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drawings/drawing3.xml" ContentType="application/vnd.openxmlformats-officedocument.drawingml.chartshapes+xml"/>
  <Override PartName="/word/drawings/drawing4.xml" ContentType="application/vnd.openxmlformats-officedocument.drawingml.chartshapes+xml"/>
  <Override PartName="/word/charts/chart1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drawings/drawing1.xml" ContentType="application/vnd.openxmlformats-officedocument.drawingml.chartshapes+xml"/>
  <Override PartName="/word/drawings/drawing2.xml" ContentType="application/vnd.openxmlformats-officedocument.drawingml.chartshapes+xml"/>
  <Override PartName="/word/charts/chart17.xml" ContentType="application/vnd.openxmlformats-officedocument.drawingml.chart+xml"/>
  <Override PartName="/word/charts/chart18.xml" ContentType="application/vnd.openxmlformats-officedocument.drawingml.chart+xml"/>
  <Override PartName="/docProps/custom.xml" ContentType="application/vnd.openxmlformats-officedocument.custom-properties+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24.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35BD" w:rsidRPr="00051438" w:rsidRDefault="004C35BD" w:rsidP="004C35BD">
      <w:pPr>
        <w:pStyle w:val="NormalWeb"/>
        <w:spacing w:before="0" w:beforeAutospacing="0" w:after="0" w:afterAutospacing="0"/>
        <w:jc w:val="center"/>
        <w:rPr>
          <w:rFonts w:asciiTheme="majorHAnsi" w:hAnsiTheme="majorHAnsi"/>
          <w:iCs/>
          <w:sz w:val="36"/>
          <w:szCs w:val="36"/>
        </w:rPr>
      </w:pPr>
      <w:r w:rsidRPr="00051438">
        <w:rPr>
          <w:rFonts w:asciiTheme="majorHAnsi" w:hAnsiTheme="majorHAnsi"/>
          <w:iCs/>
          <w:sz w:val="36"/>
          <w:szCs w:val="36"/>
        </w:rPr>
        <w:t>Geostatistical Analysis of Point Soil Water Retention Parameters for Flint Sand</w:t>
      </w:r>
    </w:p>
    <w:p w:rsidR="004C35BD" w:rsidRPr="00051438" w:rsidRDefault="004C35BD" w:rsidP="004C35BD">
      <w:pPr>
        <w:spacing w:after="0" w:line="240" w:lineRule="auto"/>
        <w:jc w:val="center"/>
        <w:rPr>
          <w:rFonts w:cs="Times New Roman"/>
          <w:b/>
          <w:szCs w:val="24"/>
        </w:rPr>
      </w:pPr>
    </w:p>
    <w:p w:rsidR="004C35BD" w:rsidRPr="00051438" w:rsidRDefault="004C35BD" w:rsidP="004C35BD">
      <w:pPr>
        <w:spacing w:after="0" w:line="240" w:lineRule="auto"/>
        <w:jc w:val="center"/>
        <w:rPr>
          <w:rFonts w:cs="Times New Roman"/>
          <w:b/>
          <w:szCs w:val="24"/>
        </w:rPr>
      </w:pPr>
    </w:p>
    <w:p w:rsidR="004C35BD" w:rsidRPr="00051438" w:rsidRDefault="004C35BD" w:rsidP="004C35BD">
      <w:pPr>
        <w:spacing w:after="0" w:line="240" w:lineRule="auto"/>
        <w:jc w:val="center"/>
        <w:rPr>
          <w:rFonts w:cs="Times New Roman"/>
          <w:b/>
          <w:szCs w:val="24"/>
        </w:rPr>
      </w:pPr>
    </w:p>
    <w:p w:rsidR="004C35BD" w:rsidRPr="00051438" w:rsidRDefault="004C35BD" w:rsidP="004C35BD">
      <w:pPr>
        <w:spacing w:after="0" w:line="240" w:lineRule="auto"/>
        <w:jc w:val="center"/>
        <w:rPr>
          <w:rFonts w:cs="Times New Roman"/>
          <w:b/>
          <w:szCs w:val="24"/>
        </w:rPr>
      </w:pPr>
    </w:p>
    <w:p w:rsidR="004C35BD" w:rsidRPr="00051438" w:rsidRDefault="004C35BD" w:rsidP="004C35BD">
      <w:pPr>
        <w:spacing w:after="0" w:line="240" w:lineRule="auto"/>
        <w:jc w:val="center"/>
        <w:rPr>
          <w:rFonts w:cs="Times New Roman"/>
          <w:b/>
          <w:szCs w:val="24"/>
        </w:rPr>
      </w:pPr>
    </w:p>
    <w:p w:rsidR="004C35BD" w:rsidRPr="00051438" w:rsidRDefault="004C35BD" w:rsidP="004C35BD">
      <w:pPr>
        <w:spacing w:after="0" w:line="240" w:lineRule="auto"/>
        <w:jc w:val="center"/>
        <w:rPr>
          <w:rFonts w:cs="Times New Roman"/>
          <w:b/>
          <w:szCs w:val="24"/>
        </w:rPr>
      </w:pPr>
    </w:p>
    <w:p w:rsidR="004C35BD" w:rsidRPr="00051438" w:rsidRDefault="004C35BD" w:rsidP="004C35BD">
      <w:pPr>
        <w:spacing w:after="0" w:line="240" w:lineRule="auto"/>
        <w:jc w:val="center"/>
        <w:rPr>
          <w:rFonts w:cs="Times New Roman"/>
          <w:b/>
          <w:szCs w:val="24"/>
        </w:rPr>
      </w:pPr>
    </w:p>
    <w:p w:rsidR="004C35BD" w:rsidRPr="00051438" w:rsidRDefault="004C35BD" w:rsidP="004C35BD">
      <w:pPr>
        <w:spacing w:after="0" w:line="240" w:lineRule="auto"/>
        <w:rPr>
          <w:rFonts w:cs="Times New Roman"/>
          <w:b/>
          <w:szCs w:val="24"/>
        </w:rPr>
      </w:pPr>
    </w:p>
    <w:p w:rsidR="004C35BD" w:rsidRPr="00051438" w:rsidRDefault="004C35BD" w:rsidP="004C35BD">
      <w:pPr>
        <w:spacing w:after="0" w:line="240" w:lineRule="auto"/>
        <w:jc w:val="center"/>
        <w:rPr>
          <w:rFonts w:cs="Times New Roman"/>
          <w:b/>
          <w:szCs w:val="24"/>
        </w:rPr>
      </w:pPr>
    </w:p>
    <w:p w:rsidR="004C35BD" w:rsidRPr="00051438" w:rsidRDefault="004C35BD" w:rsidP="004C35BD">
      <w:pPr>
        <w:spacing w:after="0" w:line="240" w:lineRule="auto"/>
        <w:jc w:val="center"/>
        <w:rPr>
          <w:rFonts w:cs="Times New Roman"/>
          <w:b/>
          <w:szCs w:val="24"/>
        </w:rPr>
      </w:pPr>
    </w:p>
    <w:p w:rsidR="004C35BD" w:rsidRPr="00051438" w:rsidRDefault="004C35BD" w:rsidP="004C35BD">
      <w:pPr>
        <w:spacing w:after="0" w:line="240" w:lineRule="auto"/>
        <w:jc w:val="center"/>
        <w:rPr>
          <w:rFonts w:cs="Times New Roman"/>
          <w:b/>
          <w:szCs w:val="24"/>
        </w:rPr>
      </w:pPr>
    </w:p>
    <w:p w:rsidR="004C35BD" w:rsidRPr="00051438" w:rsidRDefault="004C35BD" w:rsidP="004C35BD">
      <w:pPr>
        <w:spacing w:after="0" w:line="240" w:lineRule="auto"/>
        <w:jc w:val="center"/>
        <w:rPr>
          <w:rFonts w:cs="Times New Roman"/>
          <w:b/>
          <w:szCs w:val="24"/>
        </w:rPr>
      </w:pPr>
    </w:p>
    <w:p w:rsidR="004C35BD" w:rsidRPr="00051438" w:rsidRDefault="004C35BD" w:rsidP="004C35BD">
      <w:pPr>
        <w:spacing w:after="0" w:line="240" w:lineRule="auto"/>
        <w:jc w:val="center"/>
        <w:rPr>
          <w:rFonts w:cs="Times New Roman"/>
          <w:b/>
          <w:szCs w:val="24"/>
        </w:rPr>
      </w:pPr>
    </w:p>
    <w:p w:rsidR="004C35BD" w:rsidRPr="00051438" w:rsidRDefault="004C35BD" w:rsidP="004C35BD">
      <w:pPr>
        <w:spacing w:after="0" w:line="240" w:lineRule="auto"/>
        <w:jc w:val="center"/>
        <w:rPr>
          <w:rFonts w:cs="Times New Roman"/>
          <w:b/>
          <w:szCs w:val="24"/>
        </w:rPr>
      </w:pPr>
    </w:p>
    <w:p w:rsidR="004C35BD" w:rsidRPr="00051438" w:rsidRDefault="004C35BD" w:rsidP="004C35BD">
      <w:pPr>
        <w:spacing w:after="0" w:line="240" w:lineRule="auto"/>
        <w:jc w:val="center"/>
        <w:rPr>
          <w:rFonts w:cs="Times New Roman"/>
          <w:b/>
          <w:szCs w:val="24"/>
        </w:rPr>
      </w:pPr>
    </w:p>
    <w:p w:rsidR="004C35BD" w:rsidRPr="00051438" w:rsidRDefault="004C35BD" w:rsidP="004C35BD">
      <w:pPr>
        <w:spacing w:after="0" w:line="240" w:lineRule="auto"/>
        <w:jc w:val="center"/>
        <w:rPr>
          <w:rFonts w:cs="Times New Roman"/>
          <w:b/>
          <w:szCs w:val="24"/>
        </w:rPr>
      </w:pPr>
    </w:p>
    <w:p w:rsidR="004C35BD" w:rsidRPr="00051438" w:rsidRDefault="004C35BD" w:rsidP="004C35BD">
      <w:pPr>
        <w:spacing w:after="0" w:line="240" w:lineRule="auto"/>
        <w:jc w:val="center"/>
        <w:rPr>
          <w:rFonts w:cs="Times New Roman"/>
          <w:b/>
          <w:szCs w:val="24"/>
        </w:rPr>
      </w:pPr>
    </w:p>
    <w:p w:rsidR="004C35BD" w:rsidRPr="00051438" w:rsidRDefault="004C35BD" w:rsidP="004C35BD">
      <w:pPr>
        <w:spacing w:after="0" w:line="240" w:lineRule="auto"/>
        <w:jc w:val="center"/>
        <w:rPr>
          <w:rFonts w:cs="Times New Roman"/>
          <w:sz w:val="36"/>
          <w:szCs w:val="36"/>
        </w:rPr>
      </w:pPr>
      <w:r w:rsidRPr="00051438">
        <w:rPr>
          <w:rFonts w:cs="Times New Roman"/>
          <w:sz w:val="36"/>
          <w:szCs w:val="36"/>
        </w:rPr>
        <w:t>A Thesis Presented for the</w:t>
      </w:r>
    </w:p>
    <w:p w:rsidR="004C35BD" w:rsidRPr="00051438" w:rsidRDefault="004C35BD" w:rsidP="004C35BD">
      <w:pPr>
        <w:spacing w:after="0" w:line="240" w:lineRule="auto"/>
        <w:jc w:val="center"/>
        <w:rPr>
          <w:rFonts w:cs="Times New Roman"/>
          <w:sz w:val="36"/>
          <w:szCs w:val="36"/>
        </w:rPr>
      </w:pPr>
      <w:r w:rsidRPr="00051438">
        <w:rPr>
          <w:rFonts w:cs="Times New Roman"/>
          <w:sz w:val="36"/>
          <w:szCs w:val="36"/>
        </w:rPr>
        <w:t>Master of Science Degree</w:t>
      </w:r>
    </w:p>
    <w:p w:rsidR="004C35BD" w:rsidRPr="00051438" w:rsidRDefault="004C35BD" w:rsidP="004C35BD">
      <w:pPr>
        <w:spacing w:after="0" w:line="240" w:lineRule="auto"/>
        <w:jc w:val="center"/>
        <w:rPr>
          <w:rFonts w:cs="Times New Roman"/>
          <w:sz w:val="36"/>
          <w:szCs w:val="36"/>
        </w:rPr>
      </w:pPr>
      <w:r w:rsidRPr="00051438">
        <w:rPr>
          <w:rFonts w:cs="Times New Roman"/>
          <w:sz w:val="36"/>
          <w:szCs w:val="36"/>
        </w:rPr>
        <w:t>The University of Tennessee, Knoxville</w:t>
      </w:r>
    </w:p>
    <w:p w:rsidR="004C35BD" w:rsidRPr="00051438" w:rsidRDefault="004C35BD" w:rsidP="004C35BD">
      <w:pPr>
        <w:spacing w:after="0" w:line="240" w:lineRule="auto"/>
        <w:jc w:val="center"/>
        <w:rPr>
          <w:rFonts w:cs="Times New Roman"/>
          <w:b/>
          <w:szCs w:val="24"/>
        </w:rPr>
      </w:pPr>
    </w:p>
    <w:p w:rsidR="004C35BD" w:rsidRPr="00051438" w:rsidRDefault="004C35BD" w:rsidP="004C35BD">
      <w:pPr>
        <w:spacing w:after="0" w:line="240" w:lineRule="auto"/>
        <w:jc w:val="center"/>
        <w:rPr>
          <w:rFonts w:cs="Times New Roman"/>
          <w:szCs w:val="24"/>
        </w:rPr>
      </w:pPr>
    </w:p>
    <w:p w:rsidR="004C35BD" w:rsidRPr="00051438" w:rsidRDefault="004C35BD" w:rsidP="004C35BD">
      <w:pPr>
        <w:spacing w:after="0" w:line="240" w:lineRule="auto"/>
        <w:jc w:val="center"/>
        <w:rPr>
          <w:rFonts w:cs="Times New Roman"/>
          <w:szCs w:val="24"/>
        </w:rPr>
      </w:pPr>
    </w:p>
    <w:p w:rsidR="004C35BD" w:rsidRPr="00051438" w:rsidRDefault="004C35BD" w:rsidP="004C35BD">
      <w:pPr>
        <w:spacing w:after="0" w:line="240" w:lineRule="auto"/>
        <w:jc w:val="center"/>
        <w:rPr>
          <w:rFonts w:cs="Times New Roman"/>
          <w:szCs w:val="24"/>
        </w:rPr>
      </w:pPr>
    </w:p>
    <w:p w:rsidR="004C35BD" w:rsidRPr="00051438" w:rsidRDefault="004C35BD" w:rsidP="004C35BD">
      <w:pPr>
        <w:spacing w:after="0" w:line="240" w:lineRule="auto"/>
        <w:jc w:val="center"/>
        <w:rPr>
          <w:rFonts w:cs="Times New Roman"/>
          <w:szCs w:val="24"/>
        </w:rPr>
      </w:pPr>
    </w:p>
    <w:p w:rsidR="004C35BD" w:rsidRPr="00051438" w:rsidRDefault="004C35BD" w:rsidP="004C35BD">
      <w:pPr>
        <w:spacing w:after="0" w:line="240" w:lineRule="auto"/>
        <w:jc w:val="center"/>
        <w:rPr>
          <w:rFonts w:cs="Times New Roman"/>
          <w:szCs w:val="24"/>
        </w:rPr>
      </w:pPr>
    </w:p>
    <w:p w:rsidR="004C35BD" w:rsidRPr="00051438" w:rsidRDefault="004C35BD" w:rsidP="004C35BD">
      <w:pPr>
        <w:spacing w:after="0" w:line="240" w:lineRule="auto"/>
        <w:jc w:val="center"/>
        <w:rPr>
          <w:rFonts w:cs="Times New Roman"/>
          <w:szCs w:val="24"/>
        </w:rPr>
      </w:pPr>
    </w:p>
    <w:p w:rsidR="004C35BD" w:rsidRPr="00051438" w:rsidRDefault="004C35BD" w:rsidP="004C35BD">
      <w:pPr>
        <w:spacing w:after="0" w:line="240" w:lineRule="auto"/>
        <w:jc w:val="center"/>
        <w:rPr>
          <w:rFonts w:cs="Times New Roman"/>
          <w:szCs w:val="24"/>
        </w:rPr>
      </w:pPr>
    </w:p>
    <w:p w:rsidR="004C35BD" w:rsidRPr="00051438" w:rsidRDefault="004C35BD" w:rsidP="004C35BD">
      <w:pPr>
        <w:spacing w:after="0" w:line="240" w:lineRule="auto"/>
        <w:jc w:val="center"/>
        <w:rPr>
          <w:rFonts w:cs="Times New Roman"/>
          <w:szCs w:val="24"/>
        </w:rPr>
      </w:pPr>
    </w:p>
    <w:p w:rsidR="004C35BD" w:rsidRPr="00051438" w:rsidRDefault="004C35BD" w:rsidP="004C35BD">
      <w:pPr>
        <w:spacing w:after="0" w:line="240" w:lineRule="auto"/>
        <w:jc w:val="center"/>
        <w:rPr>
          <w:rFonts w:cs="Times New Roman"/>
          <w:szCs w:val="24"/>
        </w:rPr>
      </w:pPr>
    </w:p>
    <w:p w:rsidR="004C35BD" w:rsidRPr="00051438" w:rsidRDefault="004C35BD" w:rsidP="004C35BD">
      <w:pPr>
        <w:spacing w:after="0" w:line="240" w:lineRule="auto"/>
        <w:jc w:val="center"/>
        <w:rPr>
          <w:rFonts w:cs="Times New Roman"/>
          <w:szCs w:val="24"/>
        </w:rPr>
      </w:pPr>
    </w:p>
    <w:p w:rsidR="004C35BD" w:rsidRPr="00051438" w:rsidRDefault="004C35BD" w:rsidP="004C35BD">
      <w:pPr>
        <w:spacing w:after="0" w:line="240" w:lineRule="auto"/>
        <w:jc w:val="center"/>
        <w:rPr>
          <w:rFonts w:cs="Times New Roman"/>
          <w:szCs w:val="24"/>
        </w:rPr>
      </w:pPr>
    </w:p>
    <w:p w:rsidR="004C35BD" w:rsidRPr="00051438" w:rsidRDefault="004C35BD" w:rsidP="004C35BD">
      <w:pPr>
        <w:spacing w:after="0" w:line="240" w:lineRule="auto"/>
        <w:jc w:val="center"/>
        <w:rPr>
          <w:rFonts w:cs="Times New Roman"/>
          <w:szCs w:val="24"/>
        </w:rPr>
      </w:pPr>
    </w:p>
    <w:p w:rsidR="004C35BD" w:rsidRPr="00051438" w:rsidRDefault="004C35BD" w:rsidP="004C35BD">
      <w:pPr>
        <w:spacing w:after="0" w:line="240" w:lineRule="auto"/>
        <w:jc w:val="center"/>
        <w:rPr>
          <w:rFonts w:cs="Times New Roman"/>
          <w:szCs w:val="24"/>
        </w:rPr>
      </w:pPr>
    </w:p>
    <w:p w:rsidR="004C35BD" w:rsidRDefault="004C35BD" w:rsidP="004C35BD">
      <w:pPr>
        <w:spacing w:after="0" w:line="240" w:lineRule="auto"/>
        <w:jc w:val="center"/>
        <w:rPr>
          <w:rFonts w:cs="Times New Roman"/>
          <w:szCs w:val="24"/>
        </w:rPr>
      </w:pPr>
    </w:p>
    <w:p w:rsidR="00BC75B3" w:rsidRDefault="00BC75B3" w:rsidP="004C35BD">
      <w:pPr>
        <w:spacing w:after="0" w:line="240" w:lineRule="auto"/>
        <w:jc w:val="center"/>
        <w:rPr>
          <w:rFonts w:cs="Times New Roman"/>
          <w:szCs w:val="24"/>
        </w:rPr>
      </w:pPr>
    </w:p>
    <w:p w:rsidR="00BC75B3" w:rsidRPr="00051438" w:rsidRDefault="00BC75B3" w:rsidP="004C35BD">
      <w:pPr>
        <w:spacing w:after="0" w:line="240" w:lineRule="auto"/>
        <w:jc w:val="center"/>
        <w:rPr>
          <w:rFonts w:cs="Times New Roman"/>
          <w:szCs w:val="24"/>
        </w:rPr>
      </w:pPr>
    </w:p>
    <w:p w:rsidR="004C35BD" w:rsidRPr="00051438" w:rsidRDefault="004C35BD" w:rsidP="004C35BD">
      <w:pPr>
        <w:spacing w:after="0" w:line="240" w:lineRule="auto"/>
        <w:jc w:val="center"/>
        <w:rPr>
          <w:rFonts w:cs="Times New Roman"/>
          <w:szCs w:val="24"/>
        </w:rPr>
      </w:pPr>
    </w:p>
    <w:p w:rsidR="004C35BD" w:rsidRPr="00051438" w:rsidRDefault="004C35BD" w:rsidP="004C35BD">
      <w:pPr>
        <w:spacing w:after="0" w:line="240" w:lineRule="auto"/>
        <w:jc w:val="center"/>
        <w:rPr>
          <w:rFonts w:cs="Times New Roman"/>
          <w:b/>
          <w:sz w:val="36"/>
          <w:szCs w:val="36"/>
        </w:rPr>
      </w:pPr>
      <w:r w:rsidRPr="00051438">
        <w:rPr>
          <w:rFonts w:cs="Times New Roman"/>
          <w:sz w:val="36"/>
          <w:szCs w:val="36"/>
        </w:rPr>
        <w:t>William B. Roberts</w:t>
      </w:r>
    </w:p>
    <w:p w:rsidR="00BC75B3" w:rsidRDefault="00005C52" w:rsidP="00BC75B3">
      <w:pPr>
        <w:spacing w:after="0" w:line="240" w:lineRule="auto"/>
        <w:jc w:val="center"/>
        <w:rPr>
          <w:rFonts w:cs="Times New Roman"/>
          <w:sz w:val="36"/>
          <w:szCs w:val="36"/>
        </w:rPr>
        <w:sectPr w:rsidR="00BC75B3" w:rsidSect="00BC75B3">
          <w:footerReference w:type="default" r:id="rId8"/>
          <w:type w:val="continuous"/>
          <w:pgSz w:w="12240" w:h="15840"/>
          <w:pgMar w:top="1440" w:right="1440" w:bottom="1440" w:left="1440" w:header="720" w:footer="720" w:gutter="0"/>
          <w:pgNumType w:start="1"/>
          <w:cols w:space="720"/>
          <w:titlePg/>
          <w:docGrid w:linePitch="360"/>
        </w:sectPr>
      </w:pPr>
      <w:r>
        <w:rPr>
          <w:rFonts w:cs="Times New Roman"/>
          <w:sz w:val="36"/>
          <w:szCs w:val="36"/>
        </w:rPr>
        <w:t>July 24</w:t>
      </w:r>
      <w:r w:rsidR="00C21681">
        <w:rPr>
          <w:rFonts w:cs="Times New Roman"/>
          <w:sz w:val="36"/>
          <w:szCs w:val="36"/>
        </w:rPr>
        <w:t>, 2015</w:t>
      </w:r>
    </w:p>
    <w:p w:rsidR="004C35BD" w:rsidRPr="00051438" w:rsidRDefault="004C35BD" w:rsidP="00DB127D">
      <w:pPr>
        <w:pStyle w:val="Heading1"/>
        <w:spacing w:before="0"/>
      </w:pPr>
      <w:bookmarkStart w:id="0" w:name="_Toc412485222"/>
      <w:r w:rsidRPr="00051438">
        <w:lastRenderedPageBreak/>
        <w:t>ACKNOWLEDGEMENTS</w:t>
      </w:r>
      <w:bookmarkEnd w:id="0"/>
    </w:p>
    <w:p w:rsidR="004C35BD" w:rsidRPr="00051438" w:rsidRDefault="004C35BD" w:rsidP="004C35BD">
      <w:pPr>
        <w:spacing w:after="0" w:line="240" w:lineRule="auto"/>
        <w:jc w:val="center"/>
        <w:rPr>
          <w:rFonts w:cs="Times New Roman"/>
          <w:b/>
          <w:szCs w:val="24"/>
        </w:rPr>
      </w:pPr>
    </w:p>
    <w:p w:rsidR="00BE27EF" w:rsidRDefault="00837724" w:rsidP="00931713">
      <w:pPr>
        <w:spacing w:after="0" w:line="480" w:lineRule="auto"/>
        <w:rPr>
          <w:rFonts w:cs="Times New Roman"/>
          <w:szCs w:val="24"/>
        </w:rPr>
      </w:pPr>
      <w:r>
        <w:rPr>
          <w:rFonts w:cs="Times New Roman"/>
          <w:b/>
          <w:szCs w:val="24"/>
        </w:rPr>
        <w:tab/>
      </w:r>
      <w:r w:rsidR="00DB3777">
        <w:rPr>
          <w:rFonts w:cs="Times New Roman"/>
          <w:szCs w:val="24"/>
        </w:rPr>
        <w:t>First a</w:t>
      </w:r>
      <w:r w:rsidR="00EC17E8">
        <w:rPr>
          <w:rFonts w:cs="Times New Roman"/>
          <w:szCs w:val="24"/>
        </w:rPr>
        <w:t xml:space="preserve">nd foremost, I would like to thank God for his blessings throughout my academic career and personal life. I would also like to thank my family and friends for their </w:t>
      </w:r>
      <w:r w:rsidR="007F7EBF">
        <w:rPr>
          <w:rFonts w:cs="Times New Roman"/>
          <w:szCs w:val="24"/>
        </w:rPr>
        <w:t xml:space="preserve">unending encouragement and support through my education. </w:t>
      </w:r>
      <w:r w:rsidR="008644F6">
        <w:rPr>
          <w:rFonts w:cs="Times New Roman"/>
          <w:szCs w:val="24"/>
        </w:rPr>
        <w:t xml:space="preserve">I would like to dedicate my </w:t>
      </w:r>
      <w:r w:rsidR="00FA7CDF">
        <w:rPr>
          <w:rFonts w:cs="Times New Roman"/>
          <w:szCs w:val="24"/>
        </w:rPr>
        <w:t>thesis to my late grandpa, Harla</w:t>
      </w:r>
      <w:r w:rsidR="008644F6">
        <w:rPr>
          <w:rFonts w:cs="Times New Roman"/>
          <w:szCs w:val="24"/>
        </w:rPr>
        <w:t xml:space="preserve">n Roberts. </w:t>
      </w:r>
      <w:r w:rsidR="00FA7CDF">
        <w:rPr>
          <w:rFonts w:cs="Times New Roman"/>
          <w:szCs w:val="24"/>
        </w:rPr>
        <w:t xml:space="preserve">He </w:t>
      </w:r>
      <w:r w:rsidR="00BE27EF">
        <w:rPr>
          <w:rFonts w:cs="Times New Roman"/>
          <w:szCs w:val="24"/>
        </w:rPr>
        <w:t>was a man’s man that touched the lives of everyone around him through his kind heart and unrivaled work ethic. He was proud to call me his grandson</w:t>
      </w:r>
      <w:r w:rsidR="00C9171C">
        <w:rPr>
          <w:rFonts w:cs="Times New Roman"/>
          <w:szCs w:val="24"/>
        </w:rPr>
        <w:t>,</w:t>
      </w:r>
      <w:r w:rsidR="00BE27EF">
        <w:rPr>
          <w:rFonts w:cs="Times New Roman"/>
          <w:szCs w:val="24"/>
        </w:rPr>
        <w:t xml:space="preserve"> and </w:t>
      </w:r>
      <w:r w:rsidR="00CF2817">
        <w:rPr>
          <w:rFonts w:cs="Times New Roman"/>
          <w:szCs w:val="24"/>
        </w:rPr>
        <w:t>because of that</w:t>
      </w:r>
      <w:r w:rsidR="00C9171C">
        <w:rPr>
          <w:rFonts w:cs="Times New Roman"/>
          <w:szCs w:val="24"/>
        </w:rPr>
        <w:t>,</w:t>
      </w:r>
      <w:r w:rsidR="00CF2817">
        <w:rPr>
          <w:rFonts w:cs="Times New Roman"/>
          <w:szCs w:val="24"/>
        </w:rPr>
        <w:t xml:space="preserve"> </w:t>
      </w:r>
      <w:r w:rsidR="00C9171C">
        <w:rPr>
          <w:rFonts w:cs="Times New Roman"/>
          <w:szCs w:val="24"/>
        </w:rPr>
        <w:t xml:space="preserve">I </w:t>
      </w:r>
      <w:r w:rsidR="00BE27EF">
        <w:rPr>
          <w:rFonts w:cs="Times New Roman"/>
          <w:szCs w:val="24"/>
        </w:rPr>
        <w:t>will continue to</w:t>
      </w:r>
      <w:r w:rsidR="00923F3A">
        <w:rPr>
          <w:rFonts w:cs="Times New Roman"/>
          <w:szCs w:val="24"/>
        </w:rPr>
        <w:t xml:space="preserve"> work hard every day to honor</w:t>
      </w:r>
      <w:r w:rsidR="00BE27EF">
        <w:rPr>
          <w:rFonts w:cs="Times New Roman"/>
          <w:szCs w:val="24"/>
        </w:rPr>
        <w:t xml:space="preserve"> his legacy. </w:t>
      </w:r>
    </w:p>
    <w:p w:rsidR="00DB3777" w:rsidRDefault="007F7EBF" w:rsidP="00931713">
      <w:pPr>
        <w:spacing w:after="0" w:line="480" w:lineRule="auto"/>
        <w:rPr>
          <w:rFonts w:cs="Times New Roman"/>
          <w:szCs w:val="24"/>
        </w:rPr>
      </w:pPr>
      <w:r>
        <w:rPr>
          <w:rFonts w:cs="Times New Roman"/>
          <w:szCs w:val="24"/>
        </w:rPr>
        <w:tab/>
        <w:t xml:space="preserve">I would like to express my sincere gratitude to my thesis advisor, Dr. Ed Perfect. It was a great privilege and honor to work and study under his guidance. </w:t>
      </w:r>
      <w:r w:rsidR="008644F6">
        <w:rPr>
          <w:rFonts w:cs="Times New Roman"/>
          <w:szCs w:val="24"/>
        </w:rPr>
        <w:t>I would like to thank him for giving me the opportunity to obtain my Master’s degree from the University of Tennessee, Knoxville (UT). I would also like to thank Brendan Donnelly for his help and friendship throughout our time working as graduate students under Dr. Perfect. Thanks also to my committee members, Dr Larry McKay and Dr. John Tyner, for their help throughout this process. I would also like to thank the entire Earth and Planetary Sciences Department for making my experience at UT the most enjoyable time of my life!</w:t>
      </w:r>
    </w:p>
    <w:p w:rsidR="008310F2" w:rsidRDefault="008310F2" w:rsidP="00931713">
      <w:pPr>
        <w:spacing w:after="0" w:line="480" w:lineRule="auto"/>
        <w:rPr>
          <w:rFonts w:cs="Times New Roman"/>
          <w:szCs w:val="24"/>
        </w:rPr>
      </w:pPr>
    </w:p>
    <w:p w:rsidR="008644F6" w:rsidRPr="008644F6" w:rsidRDefault="008644F6" w:rsidP="00931713">
      <w:pPr>
        <w:spacing w:after="0" w:line="480" w:lineRule="auto"/>
        <w:rPr>
          <w:rFonts w:cs="Times New Roman"/>
          <w:szCs w:val="24"/>
        </w:rPr>
      </w:pPr>
    </w:p>
    <w:p w:rsidR="00DB3777" w:rsidRPr="00837724" w:rsidRDefault="00DB3777" w:rsidP="00931713">
      <w:pPr>
        <w:spacing w:after="0" w:line="480" w:lineRule="auto"/>
        <w:rPr>
          <w:rFonts w:cs="Times New Roman"/>
          <w:szCs w:val="24"/>
        </w:rPr>
      </w:pPr>
    </w:p>
    <w:p w:rsidR="004C35BD" w:rsidRPr="00051438" w:rsidRDefault="004C35BD" w:rsidP="004C35BD">
      <w:pPr>
        <w:spacing w:after="0" w:line="240" w:lineRule="auto"/>
        <w:jc w:val="center"/>
        <w:rPr>
          <w:rFonts w:cs="Times New Roman"/>
          <w:b/>
          <w:szCs w:val="24"/>
        </w:rPr>
      </w:pPr>
    </w:p>
    <w:p w:rsidR="004C35BD" w:rsidRPr="00051438" w:rsidRDefault="004C35BD" w:rsidP="004C35BD">
      <w:pPr>
        <w:spacing w:after="0" w:line="240" w:lineRule="auto"/>
        <w:jc w:val="center"/>
        <w:rPr>
          <w:rFonts w:cs="Times New Roman"/>
          <w:b/>
          <w:szCs w:val="24"/>
        </w:rPr>
      </w:pPr>
    </w:p>
    <w:p w:rsidR="004C35BD" w:rsidRPr="00051438" w:rsidRDefault="004C35BD" w:rsidP="004C35BD">
      <w:pPr>
        <w:spacing w:after="0" w:line="240" w:lineRule="auto"/>
        <w:jc w:val="center"/>
        <w:rPr>
          <w:rFonts w:cs="Times New Roman"/>
          <w:b/>
          <w:szCs w:val="24"/>
        </w:rPr>
      </w:pPr>
    </w:p>
    <w:p w:rsidR="004C35BD" w:rsidRPr="00051438" w:rsidRDefault="004C35BD" w:rsidP="004C35BD">
      <w:pPr>
        <w:spacing w:after="0" w:line="240" w:lineRule="auto"/>
        <w:jc w:val="center"/>
        <w:rPr>
          <w:rFonts w:cs="Times New Roman"/>
          <w:b/>
          <w:szCs w:val="24"/>
        </w:rPr>
      </w:pPr>
    </w:p>
    <w:p w:rsidR="004C35BD" w:rsidRPr="00051438" w:rsidRDefault="004C35BD" w:rsidP="004C35BD">
      <w:pPr>
        <w:spacing w:after="0" w:line="240" w:lineRule="auto"/>
        <w:jc w:val="center"/>
        <w:rPr>
          <w:rFonts w:cs="Times New Roman"/>
          <w:b/>
          <w:szCs w:val="24"/>
        </w:rPr>
      </w:pPr>
    </w:p>
    <w:p w:rsidR="004C35BD" w:rsidRPr="00051438" w:rsidRDefault="004C35BD" w:rsidP="004C35BD">
      <w:pPr>
        <w:spacing w:after="0" w:line="240" w:lineRule="auto"/>
        <w:jc w:val="center"/>
        <w:rPr>
          <w:rFonts w:cs="Times New Roman"/>
          <w:b/>
          <w:szCs w:val="24"/>
        </w:rPr>
      </w:pPr>
    </w:p>
    <w:p w:rsidR="004C35BD" w:rsidRPr="00051438" w:rsidRDefault="004C35BD" w:rsidP="00C9171C">
      <w:pPr>
        <w:spacing w:after="0" w:line="240" w:lineRule="auto"/>
        <w:rPr>
          <w:rFonts w:cs="Times New Roman"/>
          <w:b/>
          <w:szCs w:val="24"/>
        </w:rPr>
      </w:pPr>
    </w:p>
    <w:p w:rsidR="00914333" w:rsidRDefault="004C35BD" w:rsidP="00BE27EF">
      <w:pPr>
        <w:pStyle w:val="Heading1"/>
        <w:spacing w:before="0" w:line="480" w:lineRule="auto"/>
      </w:pPr>
      <w:bookmarkStart w:id="1" w:name="_Toc412485223"/>
      <w:r w:rsidRPr="00102A3E">
        <w:lastRenderedPageBreak/>
        <w:t>ABSTRACT</w:t>
      </w:r>
      <w:bookmarkEnd w:id="1"/>
    </w:p>
    <w:p w:rsidR="002F3B63" w:rsidRDefault="003B7A55" w:rsidP="00AD3F10">
      <w:pPr>
        <w:spacing w:line="480" w:lineRule="auto"/>
        <w:ind w:firstLine="720"/>
      </w:pPr>
      <w:r>
        <w:t>G</w:t>
      </w:r>
      <w:r w:rsidR="002F3B63">
        <w:t>eostatis</w:t>
      </w:r>
      <w:r w:rsidR="00420DD8">
        <w:t>tics were</w:t>
      </w:r>
      <w:r w:rsidR="002F3B63" w:rsidRPr="00C820F7">
        <w:t xml:space="preserve"> employed to characterize sub-core scale heterogeneity</w:t>
      </w:r>
      <w:r w:rsidR="00AD3ACC">
        <w:t xml:space="preserve"> and i</w:t>
      </w:r>
      <w:r w:rsidR="002F3B63">
        <w:t>dentify spatial structure</w:t>
      </w:r>
      <w:r w:rsidR="002F3B63" w:rsidRPr="00C820F7">
        <w:t xml:space="preserve"> in</w:t>
      </w:r>
      <w:r w:rsidR="002F3B63">
        <w:t xml:space="preserve"> previously published</w:t>
      </w:r>
      <w:r w:rsidR="002F3B63" w:rsidRPr="00C820F7">
        <w:t xml:space="preserve"> water retention data </w:t>
      </w:r>
      <w:r w:rsidR="002B6EEB">
        <w:t xml:space="preserve">(Kang et al., 2014) </w:t>
      </w:r>
      <w:r w:rsidR="00AD3ACC">
        <w:t xml:space="preserve">obtained using neutron radiography </w:t>
      </w:r>
      <w:r w:rsidR="00E0426E">
        <w:t>for</w:t>
      </w:r>
      <w:r>
        <w:t xml:space="preserve"> Flint sand. </w:t>
      </w:r>
      <w:r w:rsidR="002F3B63">
        <w:t>The water retention data were parameterized using the Brooks and Corey (B</w:t>
      </w:r>
      <w:r w:rsidR="00420DD8">
        <w:t xml:space="preserve">C) model. The </w:t>
      </w:r>
      <w:r w:rsidR="002F3B63">
        <w:t xml:space="preserve">BC parameters </w:t>
      </w:r>
      <w:r w:rsidR="00420DD8">
        <w:t>investigated were</w:t>
      </w:r>
      <w:r w:rsidR="002F3B63">
        <w:t>: saturated water content (</w:t>
      </w:r>
      <w:r w:rsidR="002F3B63" w:rsidRPr="009E6D9F">
        <w:rPr>
          <w:i/>
        </w:rPr>
        <w:t>Ѳ</w:t>
      </w:r>
      <w:r w:rsidR="002F3B63" w:rsidRPr="009E6D9F">
        <w:rPr>
          <w:i/>
          <w:vertAlign w:val="subscript"/>
        </w:rPr>
        <w:t>s</w:t>
      </w:r>
      <w:r w:rsidR="002F3B63">
        <w:t>), residual water content (</w:t>
      </w:r>
      <w:r w:rsidR="002F3B63" w:rsidRPr="009E6D9F">
        <w:rPr>
          <w:i/>
        </w:rPr>
        <w:t>Ѳ</w:t>
      </w:r>
      <w:r w:rsidR="002F3B63" w:rsidRPr="009E6D9F">
        <w:rPr>
          <w:i/>
          <w:vertAlign w:val="subscript"/>
        </w:rPr>
        <w:t>r</w:t>
      </w:r>
      <w:r w:rsidR="002F3B63">
        <w:t>), air entry value (</w:t>
      </w:r>
      <w:r w:rsidR="002F3B63" w:rsidRPr="009E6D9F">
        <w:rPr>
          <w:i/>
        </w:rPr>
        <w:t>ψ</w:t>
      </w:r>
      <w:r w:rsidR="002F3B63" w:rsidRPr="009E6D9F">
        <w:rPr>
          <w:i/>
          <w:vertAlign w:val="subscript"/>
        </w:rPr>
        <w:t>a</w:t>
      </w:r>
      <w:r w:rsidR="002F3B63">
        <w:t>), and pore size distribution index (</w:t>
      </w:r>
      <w:r w:rsidR="002F3B63" w:rsidRPr="009E6D9F">
        <w:rPr>
          <w:i/>
        </w:rPr>
        <w:t>λ</w:t>
      </w:r>
      <w:r w:rsidR="002F3B63">
        <w:t>). Spatial dependency in the BC p</w:t>
      </w:r>
      <w:r w:rsidR="00AD3ACC">
        <w:t xml:space="preserve">arameters was identified using </w:t>
      </w:r>
      <w:r w:rsidR="002F3B63">
        <w:t>semivariogram</w:t>
      </w:r>
      <w:r w:rsidR="00AD3ACC">
        <w:t>s</w:t>
      </w:r>
      <w:r w:rsidR="002F3B63">
        <w:t>. Of the four</w:t>
      </w:r>
      <w:r w:rsidR="00420DD8">
        <w:t xml:space="preserve"> BC</w:t>
      </w:r>
      <w:r w:rsidR="002F3B63">
        <w:t xml:space="preserve"> parameters analyzed, two were fou</w:t>
      </w:r>
      <w:r w:rsidR="00AD3ACC">
        <w:t xml:space="preserve">nd to be spatially correlated, </w:t>
      </w:r>
      <w:r w:rsidR="002F3B63" w:rsidRPr="009E6D9F">
        <w:rPr>
          <w:i/>
        </w:rPr>
        <w:t>Ѳ</w:t>
      </w:r>
      <w:r w:rsidR="002F3B63" w:rsidRPr="009E6D9F">
        <w:rPr>
          <w:i/>
          <w:vertAlign w:val="subscript"/>
        </w:rPr>
        <w:t>s</w:t>
      </w:r>
      <w:r w:rsidR="002F3B63">
        <w:t xml:space="preserve"> and </w:t>
      </w:r>
      <w:r w:rsidR="002F3B63" w:rsidRPr="009E6D9F">
        <w:rPr>
          <w:i/>
        </w:rPr>
        <w:t>ψ</w:t>
      </w:r>
      <w:r w:rsidR="002F3B63" w:rsidRPr="009E6D9F">
        <w:rPr>
          <w:i/>
          <w:vertAlign w:val="subscript"/>
        </w:rPr>
        <w:t>a</w:t>
      </w:r>
      <w:r w:rsidR="002F3B63">
        <w:t xml:space="preserve">. </w:t>
      </w:r>
      <w:r w:rsidR="00420DD8">
        <w:t>The</w:t>
      </w:r>
      <w:r w:rsidR="00AD3F10">
        <w:t xml:space="preserve"> spherical model fit to the cross variogram was used to perform co-kriging and map</w:t>
      </w:r>
      <w:r w:rsidR="00420DD8">
        <w:t xml:space="preserve"> out the spatial dependency of these parameters. </w:t>
      </w:r>
      <w:r w:rsidR="002F3B63" w:rsidRPr="00C820F7">
        <w:t xml:space="preserve">Low and high values apparent at the top and bottom of the kriged map for </w:t>
      </w:r>
      <w:r w:rsidR="002F3B63" w:rsidRPr="00A67B67">
        <w:rPr>
          <w:i/>
        </w:rPr>
        <w:t>ψ</w:t>
      </w:r>
      <w:r w:rsidR="002F3B63" w:rsidRPr="00A67B67">
        <w:rPr>
          <w:i/>
          <w:vertAlign w:val="subscript"/>
        </w:rPr>
        <w:t>a</w:t>
      </w:r>
      <w:r w:rsidR="002F3B63" w:rsidRPr="00C820F7">
        <w:t xml:space="preserve"> implicated packing and </w:t>
      </w:r>
      <w:r w:rsidR="00776D1A">
        <w:t>compressive stress</w:t>
      </w:r>
      <w:r w:rsidR="002F3B63" w:rsidRPr="00C820F7">
        <w:t xml:space="preserve"> as the major causes of sub-core scale heterogeneity </w:t>
      </w:r>
      <w:r w:rsidR="002F3B63">
        <w:t>for this</w:t>
      </w:r>
      <w:r w:rsidR="002F3B63" w:rsidRPr="00C820F7">
        <w:t xml:space="preserve"> parameter.  A </w:t>
      </w:r>
      <w:r>
        <w:t xml:space="preserve">concentrated area of high values in the center of the kriged map for </w:t>
      </w:r>
      <w:r w:rsidRPr="009E6D9F">
        <w:rPr>
          <w:i/>
        </w:rPr>
        <w:t>Ѳ</w:t>
      </w:r>
      <w:r w:rsidRPr="009E6D9F">
        <w:rPr>
          <w:i/>
          <w:vertAlign w:val="subscript"/>
        </w:rPr>
        <w:t>s</w:t>
      </w:r>
      <w:r>
        <w:t xml:space="preserve"> suggests that neutron scattering and </w:t>
      </w:r>
      <w:r w:rsidR="002F3B63" w:rsidRPr="00C820F7">
        <w:t>the normalization procedure employed</w:t>
      </w:r>
      <w:r w:rsidR="002F3B63">
        <w:t xml:space="preserve"> during image analysis</w:t>
      </w:r>
      <w:r w:rsidR="002F3B63" w:rsidRPr="00C820F7">
        <w:t xml:space="preserve"> to eliminate the effect of </w:t>
      </w:r>
      <w:r w:rsidR="002F3B63">
        <w:t xml:space="preserve">variable neutron path lengths was not completely successful. </w:t>
      </w:r>
      <w:r w:rsidR="002F3B63" w:rsidRPr="00C820F7">
        <w:t>To alleviate these effects a trend correction process was developed by generating a second dataset using cross-validation, calculating the diffe</w:t>
      </w:r>
      <w:r w:rsidR="00420DD8">
        <w:t>rence between the observed and leave-one-out cross validation</w:t>
      </w:r>
      <w:r w:rsidR="002F3B63" w:rsidRPr="00C820F7">
        <w:t xml:space="preserve"> data set, and adding the average of the observed data to the newly created residual variable. </w:t>
      </w:r>
      <w:r w:rsidR="00DD6BCA">
        <w:t>This</w:t>
      </w:r>
      <w:r w:rsidR="002F3B63" w:rsidRPr="00C820F7">
        <w:t xml:space="preserve"> trend correction process was validated using a</w:t>
      </w:r>
      <w:r w:rsidR="002F3B63">
        <w:t xml:space="preserve">n independent data set collected </w:t>
      </w:r>
      <w:r w:rsidR="002F3B63" w:rsidRPr="00C820F7">
        <w:t>by Cropper (201</w:t>
      </w:r>
      <w:r w:rsidR="002F3B63">
        <w:t xml:space="preserve">4). </w:t>
      </w:r>
      <w:r w:rsidR="002F3B63" w:rsidRPr="00C820F7">
        <w:t xml:space="preserve">Mann-Whitney and Kolmogorov-Smirnov </w:t>
      </w:r>
      <w:r w:rsidR="002F3B63">
        <w:t>two sample test</w:t>
      </w:r>
      <w:r w:rsidR="00D32E0B">
        <w:t>s</w:t>
      </w:r>
      <w:r w:rsidR="002F3B63" w:rsidRPr="00C820F7">
        <w:t xml:space="preserve"> were employed to determine if the Cropper (2014) </w:t>
      </w:r>
      <w:r w:rsidR="002F3B63">
        <w:t xml:space="preserve">parameters were significantly different from the trend corrected parameters in terms of their median values and frequency distributions, respectively. </w:t>
      </w:r>
      <w:r w:rsidR="002F3B63" w:rsidRPr="00C820F7">
        <w:t xml:space="preserve">The results from both tests </w:t>
      </w:r>
      <w:r w:rsidR="00D32E0B">
        <w:t xml:space="preserve">found </w:t>
      </w:r>
      <w:r w:rsidR="002F3B63">
        <w:lastRenderedPageBreak/>
        <w:t>significant difference</w:t>
      </w:r>
      <w:r w:rsidR="00D32E0B">
        <w:t>s</w:t>
      </w:r>
      <w:r w:rsidR="00F3659D">
        <w:t xml:space="preserve"> between the two data sets </w:t>
      </w:r>
      <w:r w:rsidR="00D32E0B">
        <w:t>indicating</w:t>
      </w:r>
      <w:r w:rsidR="002F3B63" w:rsidRPr="00C820F7">
        <w:t xml:space="preserve"> the trend correc</w:t>
      </w:r>
      <w:r w:rsidR="00F3659D">
        <w:t>tion procedure was unsuccessful, likely due to the unconsolidated sample and cylindrical geometry employed.</w:t>
      </w:r>
      <w:r w:rsidR="002F3B63" w:rsidRPr="00C820F7">
        <w:t xml:space="preserve">  </w:t>
      </w:r>
      <w:r w:rsidR="0033266C">
        <w:t xml:space="preserve">Since </w:t>
      </w:r>
      <w:r w:rsidR="002F3B63">
        <w:t>spatial structure can have profound effects on flow and transport predictions, future work using neutron radiography to measure point BC parameters should f</w:t>
      </w:r>
      <w:r w:rsidR="00DD6BCA">
        <w:t xml:space="preserve">ocus on consolidated samples </w:t>
      </w:r>
      <w:r w:rsidR="002F3B63">
        <w:t>a</w:t>
      </w:r>
      <w:r w:rsidR="00DD6BCA">
        <w:t>nd rectangular sample geometry</w:t>
      </w:r>
      <w:r w:rsidR="002F3B63">
        <w:t xml:space="preserve">. </w:t>
      </w:r>
      <w:r w:rsidR="00F3659D">
        <w:t>Further exploration</w:t>
      </w:r>
      <w:r w:rsidR="00D32E0B">
        <w:t xml:space="preserve"> of the novel trend correction procedure is warranted.</w:t>
      </w:r>
    </w:p>
    <w:p w:rsidR="00051438" w:rsidRDefault="00051438" w:rsidP="004C35BD">
      <w:pPr>
        <w:pStyle w:val="Style1"/>
      </w:pPr>
    </w:p>
    <w:p w:rsidR="00051438" w:rsidRDefault="00051438">
      <w:pPr>
        <w:rPr>
          <w:rFonts w:eastAsiaTheme="majorEastAsia" w:cstheme="majorBidi"/>
          <w:b/>
          <w:bCs/>
          <w:sz w:val="28"/>
          <w:szCs w:val="28"/>
        </w:rPr>
      </w:pPr>
      <w:r>
        <w:br w:type="page"/>
      </w:r>
    </w:p>
    <w:sdt>
      <w:sdtPr>
        <w:rPr>
          <w:rFonts w:asciiTheme="minorHAnsi" w:eastAsiaTheme="minorHAnsi" w:hAnsiTheme="minorHAnsi" w:cstheme="minorBidi"/>
          <w:b w:val="0"/>
          <w:bCs w:val="0"/>
          <w:sz w:val="22"/>
          <w:szCs w:val="22"/>
        </w:rPr>
        <w:id w:val="9434252"/>
        <w:docPartObj>
          <w:docPartGallery w:val="Table of Contents"/>
          <w:docPartUnique/>
        </w:docPartObj>
      </w:sdtPr>
      <w:sdtEndPr>
        <w:rPr>
          <w:rFonts w:asciiTheme="majorHAnsi" w:hAnsiTheme="majorHAnsi"/>
          <w:sz w:val="24"/>
        </w:rPr>
      </w:sdtEndPr>
      <w:sdtContent>
        <w:p w:rsidR="00487588" w:rsidRDefault="00BC1D54" w:rsidP="0033266C">
          <w:pPr>
            <w:pStyle w:val="Heading1"/>
            <w:spacing w:before="0" w:line="480" w:lineRule="auto"/>
          </w:pPr>
          <w:r>
            <w:t>TABLE OF CONTENTS</w:t>
          </w:r>
        </w:p>
        <w:p w:rsidR="00D0332D" w:rsidRDefault="00177749" w:rsidP="00AD3F10">
          <w:pPr>
            <w:pStyle w:val="TOC1"/>
            <w:tabs>
              <w:tab w:val="right" w:leader="dot" w:pos="9350"/>
            </w:tabs>
            <w:spacing w:line="480" w:lineRule="auto"/>
            <w:rPr>
              <w:rFonts w:asciiTheme="minorHAnsi" w:eastAsiaTheme="minorEastAsia" w:hAnsiTheme="minorHAnsi"/>
              <w:noProof/>
              <w:sz w:val="22"/>
            </w:rPr>
          </w:pPr>
          <w:r>
            <w:fldChar w:fldCharType="begin"/>
          </w:r>
          <w:r w:rsidR="00BC1D54">
            <w:instrText xml:space="preserve"> TOC \h \z \u \t "Style1,1,Style2,1,Style3,1" </w:instrText>
          </w:r>
          <w:r>
            <w:fldChar w:fldCharType="separate"/>
          </w:r>
          <w:hyperlink w:anchor="_Toc425427016" w:history="1">
            <w:r w:rsidR="00D0332D" w:rsidRPr="005F4272">
              <w:rPr>
                <w:rStyle w:val="Hyperlink"/>
                <w:noProof/>
              </w:rPr>
              <w:t>CHAPTER 1</w:t>
            </w:r>
            <w:r w:rsidR="00D0332D">
              <w:rPr>
                <w:noProof/>
                <w:webHidden/>
              </w:rPr>
              <w:tab/>
            </w:r>
            <w:r>
              <w:rPr>
                <w:noProof/>
                <w:webHidden/>
              </w:rPr>
              <w:fldChar w:fldCharType="begin"/>
            </w:r>
            <w:r w:rsidR="00D0332D">
              <w:rPr>
                <w:noProof/>
                <w:webHidden/>
              </w:rPr>
              <w:instrText xml:space="preserve"> PAGEREF _Toc425427016 \h </w:instrText>
            </w:r>
            <w:r>
              <w:rPr>
                <w:noProof/>
                <w:webHidden/>
              </w:rPr>
            </w:r>
            <w:r>
              <w:rPr>
                <w:noProof/>
                <w:webHidden/>
              </w:rPr>
              <w:fldChar w:fldCharType="separate"/>
            </w:r>
            <w:r w:rsidR="00885C9E">
              <w:rPr>
                <w:noProof/>
                <w:webHidden/>
              </w:rPr>
              <w:t>1</w:t>
            </w:r>
            <w:r>
              <w:rPr>
                <w:noProof/>
                <w:webHidden/>
              </w:rPr>
              <w:fldChar w:fldCharType="end"/>
            </w:r>
          </w:hyperlink>
        </w:p>
        <w:p w:rsidR="00D0332D" w:rsidRDefault="00177749" w:rsidP="00AD3F10">
          <w:pPr>
            <w:pStyle w:val="TOC1"/>
            <w:tabs>
              <w:tab w:val="right" w:leader="dot" w:pos="9350"/>
            </w:tabs>
            <w:spacing w:line="480" w:lineRule="auto"/>
            <w:rPr>
              <w:rFonts w:asciiTheme="minorHAnsi" w:eastAsiaTheme="minorEastAsia" w:hAnsiTheme="minorHAnsi"/>
              <w:noProof/>
              <w:sz w:val="22"/>
            </w:rPr>
          </w:pPr>
          <w:hyperlink w:anchor="_Toc425427017" w:history="1">
            <w:r w:rsidR="00D0332D" w:rsidRPr="005F4272">
              <w:rPr>
                <w:rStyle w:val="Hyperlink"/>
                <w:noProof/>
              </w:rPr>
              <w:t>INTRODUCTION</w:t>
            </w:r>
            <w:r w:rsidR="00D0332D">
              <w:rPr>
                <w:noProof/>
                <w:webHidden/>
              </w:rPr>
              <w:tab/>
            </w:r>
            <w:r>
              <w:rPr>
                <w:noProof/>
                <w:webHidden/>
              </w:rPr>
              <w:fldChar w:fldCharType="begin"/>
            </w:r>
            <w:r w:rsidR="00D0332D">
              <w:rPr>
                <w:noProof/>
                <w:webHidden/>
              </w:rPr>
              <w:instrText xml:space="preserve"> PAGEREF _Toc425427017 \h </w:instrText>
            </w:r>
            <w:r>
              <w:rPr>
                <w:noProof/>
                <w:webHidden/>
              </w:rPr>
            </w:r>
            <w:r>
              <w:rPr>
                <w:noProof/>
                <w:webHidden/>
              </w:rPr>
              <w:fldChar w:fldCharType="separate"/>
            </w:r>
            <w:r w:rsidR="00885C9E">
              <w:rPr>
                <w:noProof/>
                <w:webHidden/>
              </w:rPr>
              <w:t>1</w:t>
            </w:r>
            <w:r>
              <w:rPr>
                <w:noProof/>
                <w:webHidden/>
              </w:rPr>
              <w:fldChar w:fldCharType="end"/>
            </w:r>
          </w:hyperlink>
        </w:p>
        <w:p w:rsidR="00D0332D" w:rsidRDefault="00177749" w:rsidP="00AD3F10">
          <w:pPr>
            <w:pStyle w:val="TOC1"/>
            <w:tabs>
              <w:tab w:val="right" w:leader="dot" w:pos="9350"/>
            </w:tabs>
            <w:spacing w:line="480" w:lineRule="auto"/>
            <w:rPr>
              <w:rFonts w:asciiTheme="minorHAnsi" w:eastAsiaTheme="minorEastAsia" w:hAnsiTheme="minorHAnsi"/>
              <w:noProof/>
              <w:sz w:val="22"/>
            </w:rPr>
          </w:pPr>
          <w:hyperlink w:anchor="_Toc425427018" w:history="1">
            <w:r w:rsidR="00D0332D" w:rsidRPr="005F4272">
              <w:rPr>
                <w:rStyle w:val="Hyperlink"/>
                <w:noProof/>
              </w:rPr>
              <w:t>1.1 Problem Statement</w:t>
            </w:r>
            <w:r w:rsidR="00D0332D">
              <w:rPr>
                <w:noProof/>
                <w:webHidden/>
              </w:rPr>
              <w:tab/>
            </w:r>
            <w:r>
              <w:rPr>
                <w:noProof/>
                <w:webHidden/>
              </w:rPr>
              <w:fldChar w:fldCharType="begin"/>
            </w:r>
            <w:r w:rsidR="00D0332D">
              <w:rPr>
                <w:noProof/>
                <w:webHidden/>
              </w:rPr>
              <w:instrText xml:space="preserve"> PAGEREF _Toc425427018 \h </w:instrText>
            </w:r>
            <w:r>
              <w:rPr>
                <w:noProof/>
                <w:webHidden/>
              </w:rPr>
            </w:r>
            <w:r>
              <w:rPr>
                <w:noProof/>
                <w:webHidden/>
              </w:rPr>
              <w:fldChar w:fldCharType="separate"/>
            </w:r>
            <w:r w:rsidR="00885C9E">
              <w:rPr>
                <w:noProof/>
                <w:webHidden/>
              </w:rPr>
              <w:t>1</w:t>
            </w:r>
            <w:r>
              <w:rPr>
                <w:noProof/>
                <w:webHidden/>
              </w:rPr>
              <w:fldChar w:fldCharType="end"/>
            </w:r>
          </w:hyperlink>
        </w:p>
        <w:p w:rsidR="00D0332D" w:rsidRDefault="00177749" w:rsidP="00AD3F10">
          <w:pPr>
            <w:pStyle w:val="TOC1"/>
            <w:tabs>
              <w:tab w:val="right" w:leader="dot" w:pos="9350"/>
            </w:tabs>
            <w:spacing w:line="480" w:lineRule="auto"/>
            <w:rPr>
              <w:rFonts w:asciiTheme="minorHAnsi" w:eastAsiaTheme="minorEastAsia" w:hAnsiTheme="minorHAnsi"/>
              <w:noProof/>
              <w:sz w:val="22"/>
            </w:rPr>
          </w:pPr>
          <w:hyperlink w:anchor="_Toc425427019" w:history="1">
            <w:r w:rsidR="00D0332D" w:rsidRPr="005F4272">
              <w:rPr>
                <w:rStyle w:val="Hyperlink"/>
                <w:noProof/>
              </w:rPr>
              <w:t>1.2 Objectives</w:t>
            </w:r>
            <w:r w:rsidR="00D0332D">
              <w:rPr>
                <w:noProof/>
                <w:webHidden/>
              </w:rPr>
              <w:tab/>
            </w:r>
            <w:r>
              <w:rPr>
                <w:noProof/>
                <w:webHidden/>
              </w:rPr>
              <w:fldChar w:fldCharType="begin"/>
            </w:r>
            <w:r w:rsidR="00D0332D">
              <w:rPr>
                <w:noProof/>
                <w:webHidden/>
              </w:rPr>
              <w:instrText xml:space="preserve"> PAGEREF _Toc425427019 \h </w:instrText>
            </w:r>
            <w:r>
              <w:rPr>
                <w:noProof/>
                <w:webHidden/>
              </w:rPr>
            </w:r>
            <w:r>
              <w:rPr>
                <w:noProof/>
                <w:webHidden/>
              </w:rPr>
              <w:fldChar w:fldCharType="separate"/>
            </w:r>
            <w:r w:rsidR="00885C9E">
              <w:rPr>
                <w:noProof/>
                <w:webHidden/>
              </w:rPr>
              <w:t>3</w:t>
            </w:r>
            <w:r>
              <w:rPr>
                <w:noProof/>
                <w:webHidden/>
              </w:rPr>
              <w:fldChar w:fldCharType="end"/>
            </w:r>
          </w:hyperlink>
        </w:p>
        <w:p w:rsidR="00D0332D" w:rsidRDefault="00177749" w:rsidP="00AD3F10">
          <w:pPr>
            <w:pStyle w:val="TOC1"/>
            <w:tabs>
              <w:tab w:val="right" w:leader="dot" w:pos="9350"/>
            </w:tabs>
            <w:spacing w:line="480" w:lineRule="auto"/>
            <w:rPr>
              <w:rFonts w:asciiTheme="minorHAnsi" w:eastAsiaTheme="minorEastAsia" w:hAnsiTheme="minorHAnsi"/>
              <w:noProof/>
              <w:sz w:val="22"/>
            </w:rPr>
          </w:pPr>
          <w:hyperlink w:anchor="_Toc425427020" w:history="1">
            <w:r w:rsidR="00D0332D" w:rsidRPr="005F4272">
              <w:rPr>
                <w:rStyle w:val="Hyperlink"/>
                <w:noProof/>
              </w:rPr>
              <w:t>1.3 Hypotheses</w:t>
            </w:r>
            <w:r w:rsidR="00D0332D">
              <w:rPr>
                <w:noProof/>
                <w:webHidden/>
              </w:rPr>
              <w:tab/>
            </w:r>
            <w:r>
              <w:rPr>
                <w:noProof/>
                <w:webHidden/>
              </w:rPr>
              <w:fldChar w:fldCharType="begin"/>
            </w:r>
            <w:r w:rsidR="00D0332D">
              <w:rPr>
                <w:noProof/>
                <w:webHidden/>
              </w:rPr>
              <w:instrText xml:space="preserve"> PAGEREF _Toc425427020 \h </w:instrText>
            </w:r>
            <w:r>
              <w:rPr>
                <w:noProof/>
                <w:webHidden/>
              </w:rPr>
            </w:r>
            <w:r>
              <w:rPr>
                <w:noProof/>
                <w:webHidden/>
              </w:rPr>
              <w:fldChar w:fldCharType="separate"/>
            </w:r>
            <w:r w:rsidR="00885C9E">
              <w:rPr>
                <w:noProof/>
                <w:webHidden/>
              </w:rPr>
              <w:t>3</w:t>
            </w:r>
            <w:r>
              <w:rPr>
                <w:noProof/>
                <w:webHidden/>
              </w:rPr>
              <w:fldChar w:fldCharType="end"/>
            </w:r>
          </w:hyperlink>
        </w:p>
        <w:p w:rsidR="00D0332D" w:rsidRDefault="00177749" w:rsidP="00AD3F10">
          <w:pPr>
            <w:pStyle w:val="TOC1"/>
            <w:tabs>
              <w:tab w:val="right" w:leader="dot" w:pos="9350"/>
            </w:tabs>
            <w:spacing w:line="480" w:lineRule="auto"/>
            <w:rPr>
              <w:rFonts w:asciiTheme="minorHAnsi" w:eastAsiaTheme="minorEastAsia" w:hAnsiTheme="minorHAnsi"/>
              <w:noProof/>
              <w:sz w:val="22"/>
            </w:rPr>
          </w:pPr>
          <w:hyperlink w:anchor="_Toc425427021" w:history="1">
            <w:r w:rsidR="00D0332D" w:rsidRPr="005F4272">
              <w:rPr>
                <w:rStyle w:val="Hyperlink"/>
                <w:noProof/>
              </w:rPr>
              <w:t>CHAPTER 2</w:t>
            </w:r>
            <w:r w:rsidR="00D0332D">
              <w:rPr>
                <w:noProof/>
                <w:webHidden/>
              </w:rPr>
              <w:tab/>
            </w:r>
            <w:r>
              <w:rPr>
                <w:noProof/>
                <w:webHidden/>
              </w:rPr>
              <w:fldChar w:fldCharType="begin"/>
            </w:r>
            <w:r w:rsidR="00D0332D">
              <w:rPr>
                <w:noProof/>
                <w:webHidden/>
              </w:rPr>
              <w:instrText xml:space="preserve"> PAGEREF _Toc425427021 \h </w:instrText>
            </w:r>
            <w:r>
              <w:rPr>
                <w:noProof/>
                <w:webHidden/>
              </w:rPr>
            </w:r>
            <w:r>
              <w:rPr>
                <w:noProof/>
                <w:webHidden/>
              </w:rPr>
              <w:fldChar w:fldCharType="separate"/>
            </w:r>
            <w:r w:rsidR="00885C9E">
              <w:rPr>
                <w:noProof/>
                <w:webHidden/>
              </w:rPr>
              <w:t>4</w:t>
            </w:r>
            <w:r>
              <w:rPr>
                <w:noProof/>
                <w:webHidden/>
              </w:rPr>
              <w:fldChar w:fldCharType="end"/>
            </w:r>
          </w:hyperlink>
        </w:p>
        <w:p w:rsidR="00D0332D" w:rsidRDefault="00177749" w:rsidP="00AD3F10">
          <w:pPr>
            <w:pStyle w:val="TOC1"/>
            <w:tabs>
              <w:tab w:val="right" w:leader="dot" w:pos="9350"/>
            </w:tabs>
            <w:spacing w:line="480" w:lineRule="auto"/>
            <w:rPr>
              <w:rFonts w:asciiTheme="minorHAnsi" w:eastAsiaTheme="minorEastAsia" w:hAnsiTheme="minorHAnsi"/>
              <w:noProof/>
              <w:sz w:val="22"/>
            </w:rPr>
          </w:pPr>
          <w:hyperlink w:anchor="_Toc425427022" w:history="1">
            <w:r w:rsidR="00D0332D" w:rsidRPr="005F4272">
              <w:rPr>
                <w:rStyle w:val="Hyperlink"/>
                <w:noProof/>
              </w:rPr>
              <w:t>LITERATURE REVIEW</w:t>
            </w:r>
            <w:r w:rsidR="00D0332D">
              <w:rPr>
                <w:noProof/>
                <w:webHidden/>
              </w:rPr>
              <w:tab/>
            </w:r>
            <w:r>
              <w:rPr>
                <w:noProof/>
                <w:webHidden/>
              </w:rPr>
              <w:fldChar w:fldCharType="begin"/>
            </w:r>
            <w:r w:rsidR="00D0332D">
              <w:rPr>
                <w:noProof/>
                <w:webHidden/>
              </w:rPr>
              <w:instrText xml:space="preserve"> PAGEREF _Toc425427022 \h </w:instrText>
            </w:r>
            <w:r>
              <w:rPr>
                <w:noProof/>
                <w:webHidden/>
              </w:rPr>
            </w:r>
            <w:r>
              <w:rPr>
                <w:noProof/>
                <w:webHidden/>
              </w:rPr>
              <w:fldChar w:fldCharType="separate"/>
            </w:r>
            <w:r w:rsidR="00885C9E">
              <w:rPr>
                <w:noProof/>
                <w:webHidden/>
              </w:rPr>
              <w:t>4</w:t>
            </w:r>
            <w:r>
              <w:rPr>
                <w:noProof/>
                <w:webHidden/>
              </w:rPr>
              <w:fldChar w:fldCharType="end"/>
            </w:r>
          </w:hyperlink>
        </w:p>
        <w:p w:rsidR="00D0332D" w:rsidRDefault="00177749" w:rsidP="00AD3F10">
          <w:pPr>
            <w:pStyle w:val="TOC1"/>
            <w:tabs>
              <w:tab w:val="right" w:leader="dot" w:pos="9350"/>
            </w:tabs>
            <w:spacing w:line="480" w:lineRule="auto"/>
            <w:rPr>
              <w:rFonts w:asciiTheme="minorHAnsi" w:eastAsiaTheme="minorEastAsia" w:hAnsiTheme="minorHAnsi"/>
              <w:noProof/>
              <w:sz w:val="22"/>
            </w:rPr>
          </w:pPr>
          <w:hyperlink w:anchor="_Toc425427023" w:history="1">
            <w:r w:rsidR="00D0332D" w:rsidRPr="005F4272">
              <w:rPr>
                <w:rStyle w:val="Hyperlink"/>
                <w:noProof/>
              </w:rPr>
              <w:t>2.1 Sub-Core Scale Heterogeneity</w:t>
            </w:r>
            <w:r w:rsidR="00D0332D">
              <w:rPr>
                <w:noProof/>
                <w:webHidden/>
              </w:rPr>
              <w:tab/>
            </w:r>
            <w:r>
              <w:rPr>
                <w:noProof/>
                <w:webHidden/>
              </w:rPr>
              <w:fldChar w:fldCharType="begin"/>
            </w:r>
            <w:r w:rsidR="00D0332D">
              <w:rPr>
                <w:noProof/>
                <w:webHidden/>
              </w:rPr>
              <w:instrText xml:space="preserve"> PAGEREF _Toc425427023 \h </w:instrText>
            </w:r>
            <w:r>
              <w:rPr>
                <w:noProof/>
                <w:webHidden/>
              </w:rPr>
            </w:r>
            <w:r>
              <w:rPr>
                <w:noProof/>
                <w:webHidden/>
              </w:rPr>
              <w:fldChar w:fldCharType="separate"/>
            </w:r>
            <w:r w:rsidR="00885C9E">
              <w:rPr>
                <w:noProof/>
                <w:webHidden/>
              </w:rPr>
              <w:t>4</w:t>
            </w:r>
            <w:r>
              <w:rPr>
                <w:noProof/>
                <w:webHidden/>
              </w:rPr>
              <w:fldChar w:fldCharType="end"/>
            </w:r>
          </w:hyperlink>
        </w:p>
        <w:p w:rsidR="00D0332D" w:rsidRDefault="00177749" w:rsidP="00AD3F10">
          <w:pPr>
            <w:pStyle w:val="TOC1"/>
            <w:tabs>
              <w:tab w:val="right" w:leader="dot" w:pos="9350"/>
            </w:tabs>
            <w:spacing w:line="480" w:lineRule="auto"/>
            <w:rPr>
              <w:rFonts w:asciiTheme="minorHAnsi" w:eastAsiaTheme="minorEastAsia" w:hAnsiTheme="minorHAnsi"/>
              <w:noProof/>
              <w:sz w:val="22"/>
            </w:rPr>
          </w:pPr>
          <w:hyperlink w:anchor="_Toc425427024" w:history="1">
            <w:r w:rsidR="00D0332D" w:rsidRPr="005F4272">
              <w:rPr>
                <w:rStyle w:val="Hyperlink"/>
                <w:noProof/>
              </w:rPr>
              <w:t>2.2 Computed Tomography and Neutron Imaging</w:t>
            </w:r>
            <w:r w:rsidR="00D0332D">
              <w:rPr>
                <w:noProof/>
                <w:webHidden/>
              </w:rPr>
              <w:tab/>
            </w:r>
            <w:r>
              <w:rPr>
                <w:noProof/>
                <w:webHidden/>
              </w:rPr>
              <w:fldChar w:fldCharType="begin"/>
            </w:r>
            <w:r w:rsidR="00D0332D">
              <w:rPr>
                <w:noProof/>
                <w:webHidden/>
              </w:rPr>
              <w:instrText xml:space="preserve"> PAGEREF _Toc425427024 \h </w:instrText>
            </w:r>
            <w:r>
              <w:rPr>
                <w:noProof/>
                <w:webHidden/>
              </w:rPr>
            </w:r>
            <w:r>
              <w:rPr>
                <w:noProof/>
                <w:webHidden/>
              </w:rPr>
              <w:fldChar w:fldCharType="separate"/>
            </w:r>
            <w:r w:rsidR="00885C9E">
              <w:rPr>
                <w:noProof/>
                <w:webHidden/>
              </w:rPr>
              <w:t>6</w:t>
            </w:r>
            <w:r>
              <w:rPr>
                <w:noProof/>
                <w:webHidden/>
              </w:rPr>
              <w:fldChar w:fldCharType="end"/>
            </w:r>
          </w:hyperlink>
        </w:p>
        <w:p w:rsidR="00D0332D" w:rsidRDefault="00177749" w:rsidP="00AD3F10">
          <w:pPr>
            <w:pStyle w:val="TOC1"/>
            <w:tabs>
              <w:tab w:val="right" w:leader="dot" w:pos="9350"/>
            </w:tabs>
            <w:spacing w:line="480" w:lineRule="auto"/>
            <w:rPr>
              <w:rFonts w:asciiTheme="minorHAnsi" w:eastAsiaTheme="minorEastAsia" w:hAnsiTheme="minorHAnsi"/>
              <w:noProof/>
              <w:sz w:val="22"/>
            </w:rPr>
          </w:pPr>
          <w:hyperlink w:anchor="_Toc425427025" w:history="1">
            <w:r w:rsidR="00D0332D" w:rsidRPr="005F4272">
              <w:rPr>
                <w:rStyle w:val="Hyperlink"/>
                <w:noProof/>
              </w:rPr>
              <w:t>2.3 Geostatistical Analysis of Sub-Core Heterogeneities</w:t>
            </w:r>
            <w:r w:rsidR="00D0332D">
              <w:rPr>
                <w:noProof/>
                <w:webHidden/>
              </w:rPr>
              <w:tab/>
            </w:r>
            <w:r>
              <w:rPr>
                <w:noProof/>
                <w:webHidden/>
              </w:rPr>
              <w:fldChar w:fldCharType="begin"/>
            </w:r>
            <w:r w:rsidR="00D0332D">
              <w:rPr>
                <w:noProof/>
                <w:webHidden/>
              </w:rPr>
              <w:instrText xml:space="preserve"> PAGEREF _Toc425427025 \h </w:instrText>
            </w:r>
            <w:r>
              <w:rPr>
                <w:noProof/>
                <w:webHidden/>
              </w:rPr>
            </w:r>
            <w:r>
              <w:rPr>
                <w:noProof/>
                <w:webHidden/>
              </w:rPr>
              <w:fldChar w:fldCharType="separate"/>
            </w:r>
            <w:r w:rsidR="00885C9E">
              <w:rPr>
                <w:noProof/>
                <w:webHidden/>
              </w:rPr>
              <w:t>7</w:t>
            </w:r>
            <w:r>
              <w:rPr>
                <w:noProof/>
                <w:webHidden/>
              </w:rPr>
              <w:fldChar w:fldCharType="end"/>
            </w:r>
          </w:hyperlink>
        </w:p>
        <w:p w:rsidR="00D0332D" w:rsidRDefault="00177749" w:rsidP="00AD3F10">
          <w:pPr>
            <w:pStyle w:val="TOC1"/>
            <w:tabs>
              <w:tab w:val="right" w:leader="dot" w:pos="9350"/>
            </w:tabs>
            <w:spacing w:line="480" w:lineRule="auto"/>
            <w:rPr>
              <w:rFonts w:asciiTheme="minorHAnsi" w:eastAsiaTheme="minorEastAsia" w:hAnsiTheme="minorHAnsi"/>
              <w:noProof/>
              <w:sz w:val="22"/>
            </w:rPr>
          </w:pPr>
          <w:hyperlink w:anchor="_Toc425427026" w:history="1">
            <w:r w:rsidR="00D0332D" w:rsidRPr="005F4272">
              <w:rPr>
                <w:rStyle w:val="Hyperlink"/>
                <w:noProof/>
              </w:rPr>
              <w:t>CHAPTER 3 METHODOLOGY</w:t>
            </w:r>
            <w:r w:rsidR="00D0332D">
              <w:rPr>
                <w:noProof/>
                <w:webHidden/>
              </w:rPr>
              <w:tab/>
            </w:r>
            <w:r>
              <w:rPr>
                <w:noProof/>
                <w:webHidden/>
              </w:rPr>
              <w:fldChar w:fldCharType="begin"/>
            </w:r>
            <w:r w:rsidR="00D0332D">
              <w:rPr>
                <w:noProof/>
                <w:webHidden/>
              </w:rPr>
              <w:instrText xml:space="preserve"> PAGEREF _Toc425427026 \h </w:instrText>
            </w:r>
            <w:r>
              <w:rPr>
                <w:noProof/>
                <w:webHidden/>
              </w:rPr>
            </w:r>
            <w:r>
              <w:rPr>
                <w:noProof/>
                <w:webHidden/>
              </w:rPr>
              <w:fldChar w:fldCharType="separate"/>
            </w:r>
            <w:r w:rsidR="00885C9E">
              <w:rPr>
                <w:noProof/>
                <w:webHidden/>
              </w:rPr>
              <w:t>12</w:t>
            </w:r>
            <w:r>
              <w:rPr>
                <w:noProof/>
                <w:webHidden/>
              </w:rPr>
              <w:fldChar w:fldCharType="end"/>
            </w:r>
          </w:hyperlink>
        </w:p>
        <w:p w:rsidR="00D0332D" w:rsidRDefault="00177749" w:rsidP="00AD3F10">
          <w:pPr>
            <w:pStyle w:val="TOC1"/>
            <w:tabs>
              <w:tab w:val="right" w:leader="dot" w:pos="9350"/>
            </w:tabs>
            <w:spacing w:line="480" w:lineRule="auto"/>
            <w:rPr>
              <w:rFonts w:asciiTheme="minorHAnsi" w:eastAsiaTheme="minorEastAsia" w:hAnsiTheme="minorHAnsi"/>
              <w:noProof/>
              <w:sz w:val="22"/>
            </w:rPr>
          </w:pPr>
          <w:hyperlink w:anchor="_Toc425427027" w:history="1">
            <w:r w:rsidR="00D0332D" w:rsidRPr="005F4272">
              <w:rPr>
                <w:rStyle w:val="Hyperlink"/>
                <w:noProof/>
              </w:rPr>
              <w:t>3.1 Data</w:t>
            </w:r>
            <w:r w:rsidR="00D0332D">
              <w:rPr>
                <w:noProof/>
                <w:webHidden/>
              </w:rPr>
              <w:tab/>
            </w:r>
            <w:r>
              <w:rPr>
                <w:noProof/>
                <w:webHidden/>
              </w:rPr>
              <w:fldChar w:fldCharType="begin"/>
            </w:r>
            <w:r w:rsidR="00D0332D">
              <w:rPr>
                <w:noProof/>
                <w:webHidden/>
              </w:rPr>
              <w:instrText xml:space="preserve"> PAGEREF _Toc425427027 \h </w:instrText>
            </w:r>
            <w:r>
              <w:rPr>
                <w:noProof/>
                <w:webHidden/>
              </w:rPr>
            </w:r>
            <w:r>
              <w:rPr>
                <w:noProof/>
                <w:webHidden/>
              </w:rPr>
              <w:fldChar w:fldCharType="separate"/>
            </w:r>
            <w:r w:rsidR="00885C9E">
              <w:rPr>
                <w:noProof/>
                <w:webHidden/>
              </w:rPr>
              <w:t>12</w:t>
            </w:r>
            <w:r>
              <w:rPr>
                <w:noProof/>
                <w:webHidden/>
              </w:rPr>
              <w:fldChar w:fldCharType="end"/>
            </w:r>
          </w:hyperlink>
        </w:p>
        <w:p w:rsidR="00D0332D" w:rsidRDefault="00177749" w:rsidP="00AD3F10">
          <w:pPr>
            <w:pStyle w:val="TOC1"/>
            <w:tabs>
              <w:tab w:val="right" w:leader="dot" w:pos="9350"/>
            </w:tabs>
            <w:spacing w:line="480" w:lineRule="auto"/>
            <w:rPr>
              <w:rFonts w:asciiTheme="minorHAnsi" w:eastAsiaTheme="minorEastAsia" w:hAnsiTheme="minorHAnsi"/>
              <w:noProof/>
              <w:sz w:val="22"/>
            </w:rPr>
          </w:pPr>
          <w:hyperlink w:anchor="_Toc425427028" w:history="1">
            <w:r w:rsidR="00D0332D" w:rsidRPr="005F4272">
              <w:rPr>
                <w:rStyle w:val="Hyperlink"/>
                <w:noProof/>
              </w:rPr>
              <w:t>3.2 Preliminary Classical Statistics</w:t>
            </w:r>
            <w:r w:rsidR="00D0332D">
              <w:rPr>
                <w:noProof/>
                <w:webHidden/>
              </w:rPr>
              <w:tab/>
            </w:r>
            <w:r>
              <w:rPr>
                <w:noProof/>
                <w:webHidden/>
              </w:rPr>
              <w:fldChar w:fldCharType="begin"/>
            </w:r>
            <w:r w:rsidR="00D0332D">
              <w:rPr>
                <w:noProof/>
                <w:webHidden/>
              </w:rPr>
              <w:instrText xml:space="preserve"> PAGEREF _Toc425427028 \h </w:instrText>
            </w:r>
            <w:r>
              <w:rPr>
                <w:noProof/>
                <w:webHidden/>
              </w:rPr>
            </w:r>
            <w:r>
              <w:rPr>
                <w:noProof/>
                <w:webHidden/>
              </w:rPr>
              <w:fldChar w:fldCharType="separate"/>
            </w:r>
            <w:r w:rsidR="00885C9E">
              <w:rPr>
                <w:noProof/>
                <w:webHidden/>
              </w:rPr>
              <w:t>14</w:t>
            </w:r>
            <w:r>
              <w:rPr>
                <w:noProof/>
                <w:webHidden/>
              </w:rPr>
              <w:fldChar w:fldCharType="end"/>
            </w:r>
          </w:hyperlink>
        </w:p>
        <w:p w:rsidR="00D0332D" w:rsidRDefault="00177749" w:rsidP="00AD3F10">
          <w:pPr>
            <w:pStyle w:val="TOC1"/>
            <w:tabs>
              <w:tab w:val="right" w:leader="dot" w:pos="9350"/>
            </w:tabs>
            <w:spacing w:line="480" w:lineRule="auto"/>
            <w:rPr>
              <w:rFonts w:asciiTheme="minorHAnsi" w:eastAsiaTheme="minorEastAsia" w:hAnsiTheme="minorHAnsi"/>
              <w:noProof/>
              <w:sz w:val="22"/>
            </w:rPr>
          </w:pPr>
          <w:hyperlink w:anchor="_Toc425427029" w:history="1">
            <w:r w:rsidR="00D0332D" w:rsidRPr="005F4272">
              <w:rPr>
                <w:rStyle w:val="Hyperlink"/>
                <w:noProof/>
              </w:rPr>
              <w:t>3.3 Trend Surface Analysis</w:t>
            </w:r>
            <w:r w:rsidR="00D0332D">
              <w:rPr>
                <w:noProof/>
                <w:webHidden/>
              </w:rPr>
              <w:tab/>
            </w:r>
            <w:r>
              <w:rPr>
                <w:noProof/>
                <w:webHidden/>
              </w:rPr>
              <w:fldChar w:fldCharType="begin"/>
            </w:r>
            <w:r w:rsidR="00D0332D">
              <w:rPr>
                <w:noProof/>
                <w:webHidden/>
              </w:rPr>
              <w:instrText xml:space="preserve"> PAGEREF _Toc425427029 \h </w:instrText>
            </w:r>
            <w:r>
              <w:rPr>
                <w:noProof/>
                <w:webHidden/>
              </w:rPr>
            </w:r>
            <w:r>
              <w:rPr>
                <w:noProof/>
                <w:webHidden/>
              </w:rPr>
              <w:fldChar w:fldCharType="separate"/>
            </w:r>
            <w:r w:rsidR="00885C9E">
              <w:rPr>
                <w:noProof/>
                <w:webHidden/>
              </w:rPr>
              <w:t>14</w:t>
            </w:r>
            <w:r>
              <w:rPr>
                <w:noProof/>
                <w:webHidden/>
              </w:rPr>
              <w:fldChar w:fldCharType="end"/>
            </w:r>
          </w:hyperlink>
        </w:p>
        <w:p w:rsidR="00D0332D" w:rsidRDefault="00177749" w:rsidP="00AD3F10">
          <w:pPr>
            <w:pStyle w:val="TOC1"/>
            <w:tabs>
              <w:tab w:val="right" w:leader="dot" w:pos="9350"/>
            </w:tabs>
            <w:spacing w:line="480" w:lineRule="auto"/>
            <w:rPr>
              <w:rFonts w:asciiTheme="minorHAnsi" w:eastAsiaTheme="minorEastAsia" w:hAnsiTheme="minorHAnsi"/>
              <w:noProof/>
              <w:sz w:val="22"/>
            </w:rPr>
          </w:pPr>
          <w:hyperlink w:anchor="_Toc425427030" w:history="1">
            <w:r w:rsidR="00D0332D" w:rsidRPr="005F4272">
              <w:rPr>
                <w:rStyle w:val="Hyperlink"/>
                <w:noProof/>
              </w:rPr>
              <w:t>3.4 Detrending</w:t>
            </w:r>
            <w:r w:rsidR="00D0332D">
              <w:rPr>
                <w:noProof/>
                <w:webHidden/>
              </w:rPr>
              <w:tab/>
            </w:r>
            <w:r>
              <w:rPr>
                <w:noProof/>
                <w:webHidden/>
              </w:rPr>
              <w:fldChar w:fldCharType="begin"/>
            </w:r>
            <w:r w:rsidR="00D0332D">
              <w:rPr>
                <w:noProof/>
                <w:webHidden/>
              </w:rPr>
              <w:instrText xml:space="preserve"> PAGEREF _Toc425427030 \h </w:instrText>
            </w:r>
            <w:r>
              <w:rPr>
                <w:noProof/>
                <w:webHidden/>
              </w:rPr>
            </w:r>
            <w:r>
              <w:rPr>
                <w:noProof/>
                <w:webHidden/>
              </w:rPr>
              <w:fldChar w:fldCharType="separate"/>
            </w:r>
            <w:r w:rsidR="00885C9E">
              <w:rPr>
                <w:noProof/>
                <w:webHidden/>
              </w:rPr>
              <w:t>18</w:t>
            </w:r>
            <w:r>
              <w:rPr>
                <w:noProof/>
                <w:webHidden/>
              </w:rPr>
              <w:fldChar w:fldCharType="end"/>
            </w:r>
          </w:hyperlink>
        </w:p>
        <w:p w:rsidR="00D0332D" w:rsidRDefault="00177749" w:rsidP="00AD3F10">
          <w:pPr>
            <w:pStyle w:val="TOC1"/>
            <w:tabs>
              <w:tab w:val="right" w:leader="dot" w:pos="9350"/>
            </w:tabs>
            <w:spacing w:line="480" w:lineRule="auto"/>
            <w:rPr>
              <w:rFonts w:asciiTheme="minorHAnsi" w:eastAsiaTheme="minorEastAsia" w:hAnsiTheme="minorHAnsi"/>
              <w:noProof/>
              <w:sz w:val="22"/>
            </w:rPr>
          </w:pPr>
          <w:hyperlink w:anchor="_Toc425427031" w:history="1">
            <w:r w:rsidR="00D0332D" w:rsidRPr="005F4272">
              <w:rPr>
                <w:rStyle w:val="Hyperlink"/>
                <w:noProof/>
              </w:rPr>
              <w:t>3.5 Spatial Interpolation</w:t>
            </w:r>
            <w:r w:rsidR="00D0332D">
              <w:rPr>
                <w:noProof/>
                <w:webHidden/>
              </w:rPr>
              <w:tab/>
            </w:r>
            <w:r>
              <w:rPr>
                <w:noProof/>
                <w:webHidden/>
              </w:rPr>
              <w:fldChar w:fldCharType="begin"/>
            </w:r>
            <w:r w:rsidR="00D0332D">
              <w:rPr>
                <w:noProof/>
                <w:webHidden/>
              </w:rPr>
              <w:instrText xml:space="preserve"> PAGEREF _Toc425427031 \h </w:instrText>
            </w:r>
            <w:r>
              <w:rPr>
                <w:noProof/>
                <w:webHidden/>
              </w:rPr>
            </w:r>
            <w:r>
              <w:rPr>
                <w:noProof/>
                <w:webHidden/>
              </w:rPr>
              <w:fldChar w:fldCharType="separate"/>
            </w:r>
            <w:r w:rsidR="00885C9E">
              <w:rPr>
                <w:noProof/>
                <w:webHidden/>
              </w:rPr>
              <w:t>19</w:t>
            </w:r>
            <w:r>
              <w:rPr>
                <w:noProof/>
                <w:webHidden/>
              </w:rPr>
              <w:fldChar w:fldCharType="end"/>
            </w:r>
          </w:hyperlink>
        </w:p>
        <w:p w:rsidR="00D0332D" w:rsidRDefault="00177749" w:rsidP="00AD3F10">
          <w:pPr>
            <w:pStyle w:val="TOC1"/>
            <w:tabs>
              <w:tab w:val="right" w:leader="dot" w:pos="9350"/>
            </w:tabs>
            <w:spacing w:line="480" w:lineRule="auto"/>
            <w:rPr>
              <w:rFonts w:asciiTheme="minorHAnsi" w:eastAsiaTheme="minorEastAsia" w:hAnsiTheme="minorHAnsi"/>
              <w:noProof/>
              <w:sz w:val="22"/>
            </w:rPr>
          </w:pPr>
          <w:hyperlink w:anchor="_Toc425427032" w:history="1">
            <w:r w:rsidR="00D0332D" w:rsidRPr="005F4272">
              <w:rPr>
                <w:rStyle w:val="Hyperlink"/>
                <w:noProof/>
              </w:rPr>
              <w:t>3.5.1 Introduction</w:t>
            </w:r>
            <w:r w:rsidR="00D0332D">
              <w:rPr>
                <w:noProof/>
                <w:webHidden/>
              </w:rPr>
              <w:tab/>
            </w:r>
            <w:r>
              <w:rPr>
                <w:noProof/>
                <w:webHidden/>
              </w:rPr>
              <w:fldChar w:fldCharType="begin"/>
            </w:r>
            <w:r w:rsidR="00D0332D">
              <w:rPr>
                <w:noProof/>
                <w:webHidden/>
              </w:rPr>
              <w:instrText xml:space="preserve"> PAGEREF _Toc425427032 \h </w:instrText>
            </w:r>
            <w:r>
              <w:rPr>
                <w:noProof/>
                <w:webHidden/>
              </w:rPr>
            </w:r>
            <w:r>
              <w:rPr>
                <w:noProof/>
                <w:webHidden/>
              </w:rPr>
              <w:fldChar w:fldCharType="separate"/>
            </w:r>
            <w:r w:rsidR="00885C9E">
              <w:rPr>
                <w:noProof/>
                <w:webHidden/>
              </w:rPr>
              <w:t>19</w:t>
            </w:r>
            <w:r>
              <w:rPr>
                <w:noProof/>
                <w:webHidden/>
              </w:rPr>
              <w:fldChar w:fldCharType="end"/>
            </w:r>
          </w:hyperlink>
        </w:p>
        <w:p w:rsidR="00D0332D" w:rsidRDefault="00177749" w:rsidP="00AD3F10">
          <w:pPr>
            <w:pStyle w:val="TOC1"/>
            <w:tabs>
              <w:tab w:val="right" w:leader="dot" w:pos="9350"/>
            </w:tabs>
            <w:spacing w:line="480" w:lineRule="auto"/>
            <w:rPr>
              <w:rFonts w:asciiTheme="minorHAnsi" w:eastAsiaTheme="minorEastAsia" w:hAnsiTheme="minorHAnsi"/>
              <w:noProof/>
              <w:sz w:val="22"/>
            </w:rPr>
          </w:pPr>
          <w:hyperlink w:anchor="_Toc425427033" w:history="1">
            <w:r w:rsidR="00D0332D" w:rsidRPr="005F4272">
              <w:rPr>
                <w:rStyle w:val="Hyperlink"/>
                <w:noProof/>
              </w:rPr>
              <w:t>3.5.2 Empirical Semivariogram and Cross - Variogram</w:t>
            </w:r>
            <w:r w:rsidR="00D0332D">
              <w:rPr>
                <w:noProof/>
                <w:webHidden/>
              </w:rPr>
              <w:tab/>
            </w:r>
            <w:r>
              <w:rPr>
                <w:noProof/>
                <w:webHidden/>
              </w:rPr>
              <w:fldChar w:fldCharType="begin"/>
            </w:r>
            <w:r w:rsidR="00D0332D">
              <w:rPr>
                <w:noProof/>
                <w:webHidden/>
              </w:rPr>
              <w:instrText xml:space="preserve"> PAGEREF _Toc425427033 \h </w:instrText>
            </w:r>
            <w:r>
              <w:rPr>
                <w:noProof/>
                <w:webHidden/>
              </w:rPr>
            </w:r>
            <w:r>
              <w:rPr>
                <w:noProof/>
                <w:webHidden/>
              </w:rPr>
              <w:fldChar w:fldCharType="separate"/>
            </w:r>
            <w:r w:rsidR="00885C9E">
              <w:rPr>
                <w:noProof/>
                <w:webHidden/>
              </w:rPr>
              <w:t>20</w:t>
            </w:r>
            <w:r>
              <w:rPr>
                <w:noProof/>
                <w:webHidden/>
              </w:rPr>
              <w:fldChar w:fldCharType="end"/>
            </w:r>
          </w:hyperlink>
        </w:p>
        <w:p w:rsidR="00D0332D" w:rsidRDefault="00177749" w:rsidP="00AD3F10">
          <w:pPr>
            <w:pStyle w:val="TOC1"/>
            <w:tabs>
              <w:tab w:val="right" w:leader="dot" w:pos="9350"/>
            </w:tabs>
            <w:spacing w:line="480" w:lineRule="auto"/>
            <w:rPr>
              <w:rFonts w:asciiTheme="minorHAnsi" w:eastAsiaTheme="minorEastAsia" w:hAnsiTheme="minorHAnsi"/>
              <w:noProof/>
              <w:sz w:val="22"/>
            </w:rPr>
          </w:pPr>
          <w:hyperlink w:anchor="_Toc425427034" w:history="1">
            <w:r w:rsidR="00D0332D" w:rsidRPr="005F4272">
              <w:rPr>
                <w:rStyle w:val="Hyperlink"/>
                <w:noProof/>
              </w:rPr>
              <w:t>3.5.3 Semivariogram Model</w:t>
            </w:r>
            <w:r w:rsidR="00D0332D">
              <w:rPr>
                <w:noProof/>
                <w:webHidden/>
              </w:rPr>
              <w:tab/>
            </w:r>
            <w:r>
              <w:rPr>
                <w:noProof/>
                <w:webHidden/>
              </w:rPr>
              <w:fldChar w:fldCharType="begin"/>
            </w:r>
            <w:r w:rsidR="00D0332D">
              <w:rPr>
                <w:noProof/>
                <w:webHidden/>
              </w:rPr>
              <w:instrText xml:space="preserve"> PAGEREF _Toc425427034 \h </w:instrText>
            </w:r>
            <w:r>
              <w:rPr>
                <w:noProof/>
                <w:webHidden/>
              </w:rPr>
            </w:r>
            <w:r>
              <w:rPr>
                <w:noProof/>
                <w:webHidden/>
              </w:rPr>
              <w:fldChar w:fldCharType="separate"/>
            </w:r>
            <w:r w:rsidR="00885C9E">
              <w:rPr>
                <w:noProof/>
                <w:webHidden/>
              </w:rPr>
              <w:t>21</w:t>
            </w:r>
            <w:r>
              <w:rPr>
                <w:noProof/>
                <w:webHidden/>
              </w:rPr>
              <w:fldChar w:fldCharType="end"/>
            </w:r>
          </w:hyperlink>
        </w:p>
        <w:p w:rsidR="00D0332D" w:rsidRDefault="00177749" w:rsidP="00AD3F10">
          <w:pPr>
            <w:pStyle w:val="TOC1"/>
            <w:tabs>
              <w:tab w:val="right" w:leader="dot" w:pos="9350"/>
            </w:tabs>
            <w:spacing w:line="480" w:lineRule="auto"/>
            <w:rPr>
              <w:rFonts w:asciiTheme="minorHAnsi" w:eastAsiaTheme="minorEastAsia" w:hAnsiTheme="minorHAnsi"/>
              <w:noProof/>
              <w:sz w:val="22"/>
            </w:rPr>
          </w:pPr>
          <w:hyperlink w:anchor="_Toc425427035" w:history="1">
            <w:r w:rsidR="00D0332D" w:rsidRPr="005F4272">
              <w:rPr>
                <w:rStyle w:val="Hyperlink"/>
                <w:noProof/>
              </w:rPr>
              <w:t>3.5.4 Kriging</w:t>
            </w:r>
            <w:r w:rsidR="00D0332D">
              <w:rPr>
                <w:noProof/>
                <w:webHidden/>
              </w:rPr>
              <w:tab/>
            </w:r>
            <w:r>
              <w:rPr>
                <w:noProof/>
                <w:webHidden/>
              </w:rPr>
              <w:fldChar w:fldCharType="begin"/>
            </w:r>
            <w:r w:rsidR="00D0332D">
              <w:rPr>
                <w:noProof/>
                <w:webHidden/>
              </w:rPr>
              <w:instrText xml:space="preserve"> PAGEREF _Toc425427035 \h </w:instrText>
            </w:r>
            <w:r>
              <w:rPr>
                <w:noProof/>
                <w:webHidden/>
              </w:rPr>
            </w:r>
            <w:r>
              <w:rPr>
                <w:noProof/>
                <w:webHidden/>
              </w:rPr>
              <w:fldChar w:fldCharType="separate"/>
            </w:r>
            <w:r w:rsidR="00885C9E">
              <w:rPr>
                <w:noProof/>
                <w:webHidden/>
              </w:rPr>
              <w:t>23</w:t>
            </w:r>
            <w:r>
              <w:rPr>
                <w:noProof/>
                <w:webHidden/>
              </w:rPr>
              <w:fldChar w:fldCharType="end"/>
            </w:r>
          </w:hyperlink>
        </w:p>
        <w:p w:rsidR="00D0332D" w:rsidRDefault="00177749" w:rsidP="00AD3F10">
          <w:pPr>
            <w:pStyle w:val="TOC1"/>
            <w:tabs>
              <w:tab w:val="right" w:leader="dot" w:pos="9350"/>
            </w:tabs>
            <w:spacing w:line="480" w:lineRule="auto"/>
            <w:rPr>
              <w:rFonts w:asciiTheme="minorHAnsi" w:eastAsiaTheme="minorEastAsia" w:hAnsiTheme="minorHAnsi"/>
              <w:noProof/>
              <w:sz w:val="22"/>
            </w:rPr>
          </w:pPr>
          <w:hyperlink w:anchor="_Toc425427036" w:history="1">
            <w:r w:rsidR="00D0332D" w:rsidRPr="005F4272">
              <w:rPr>
                <w:rStyle w:val="Hyperlink"/>
                <w:noProof/>
              </w:rPr>
              <w:t>3.6 Cross-validation</w:t>
            </w:r>
            <w:r w:rsidR="00D0332D">
              <w:rPr>
                <w:noProof/>
                <w:webHidden/>
              </w:rPr>
              <w:tab/>
            </w:r>
            <w:r>
              <w:rPr>
                <w:noProof/>
                <w:webHidden/>
              </w:rPr>
              <w:fldChar w:fldCharType="begin"/>
            </w:r>
            <w:r w:rsidR="00D0332D">
              <w:rPr>
                <w:noProof/>
                <w:webHidden/>
              </w:rPr>
              <w:instrText xml:space="preserve"> PAGEREF _Toc425427036 \h </w:instrText>
            </w:r>
            <w:r>
              <w:rPr>
                <w:noProof/>
                <w:webHidden/>
              </w:rPr>
            </w:r>
            <w:r>
              <w:rPr>
                <w:noProof/>
                <w:webHidden/>
              </w:rPr>
              <w:fldChar w:fldCharType="separate"/>
            </w:r>
            <w:r w:rsidR="00885C9E">
              <w:rPr>
                <w:noProof/>
                <w:webHidden/>
              </w:rPr>
              <w:t>27</w:t>
            </w:r>
            <w:r>
              <w:rPr>
                <w:noProof/>
                <w:webHidden/>
              </w:rPr>
              <w:fldChar w:fldCharType="end"/>
            </w:r>
          </w:hyperlink>
        </w:p>
        <w:p w:rsidR="00D0332D" w:rsidRDefault="00177749" w:rsidP="00AD3F10">
          <w:pPr>
            <w:pStyle w:val="TOC1"/>
            <w:tabs>
              <w:tab w:val="right" w:leader="dot" w:pos="9350"/>
            </w:tabs>
            <w:spacing w:line="480" w:lineRule="auto"/>
            <w:rPr>
              <w:rFonts w:asciiTheme="minorHAnsi" w:eastAsiaTheme="minorEastAsia" w:hAnsiTheme="minorHAnsi"/>
              <w:noProof/>
              <w:sz w:val="22"/>
            </w:rPr>
          </w:pPr>
          <w:hyperlink w:anchor="_Toc425427037" w:history="1">
            <w:r w:rsidR="00D0332D" w:rsidRPr="005F4272">
              <w:rPr>
                <w:rStyle w:val="Hyperlink"/>
                <w:noProof/>
              </w:rPr>
              <w:t>3.7 Trend Correction</w:t>
            </w:r>
            <w:r w:rsidR="00D0332D">
              <w:rPr>
                <w:noProof/>
                <w:webHidden/>
              </w:rPr>
              <w:tab/>
            </w:r>
            <w:r>
              <w:rPr>
                <w:noProof/>
                <w:webHidden/>
              </w:rPr>
              <w:fldChar w:fldCharType="begin"/>
            </w:r>
            <w:r w:rsidR="00D0332D">
              <w:rPr>
                <w:noProof/>
                <w:webHidden/>
              </w:rPr>
              <w:instrText xml:space="preserve"> PAGEREF _Toc425427037 \h </w:instrText>
            </w:r>
            <w:r>
              <w:rPr>
                <w:noProof/>
                <w:webHidden/>
              </w:rPr>
            </w:r>
            <w:r>
              <w:rPr>
                <w:noProof/>
                <w:webHidden/>
              </w:rPr>
              <w:fldChar w:fldCharType="separate"/>
            </w:r>
            <w:r w:rsidR="00885C9E">
              <w:rPr>
                <w:noProof/>
                <w:webHidden/>
              </w:rPr>
              <w:t>29</w:t>
            </w:r>
            <w:r>
              <w:rPr>
                <w:noProof/>
                <w:webHidden/>
              </w:rPr>
              <w:fldChar w:fldCharType="end"/>
            </w:r>
          </w:hyperlink>
        </w:p>
        <w:p w:rsidR="00D0332D" w:rsidRDefault="00177749" w:rsidP="00AD3F10">
          <w:pPr>
            <w:pStyle w:val="TOC1"/>
            <w:tabs>
              <w:tab w:val="right" w:leader="dot" w:pos="9350"/>
            </w:tabs>
            <w:spacing w:line="480" w:lineRule="auto"/>
            <w:rPr>
              <w:rFonts w:asciiTheme="minorHAnsi" w:eastAsiaTheme="minorEastAsia" w:hAnsiTheme="minorHAnsi"/>
              <w:noProof/>
              <w:sz w:val="22"/>
            </w:rPr>
          </w:pPr>
          <w:hyperlink w:anchor="_Toc425427038" w:history="1">
            <w:r w:rsidR="00D0332D" w:rsidRPr="005F4272">
              <w:rPr>
                <w:rStyle w:val="Hyperlink"/>
                <w:noProof/>
              </w:rPr>
              <w:t>3.8 Validation</w:t>
            </w:r>
            <w:r w:rsidR="00D0332D">
              <w:rPr>
                <w:noProof/>
                <w:webHidden/>
              </w:rPr>
              <w:tab/>
            </w:r>
            <w:r>
              <w:rPr>
                <w:noProof/>
                <w:webHidden/>
              </w:rPr>
              <w:fldChar w:fldCharType="begin"/>
            </w:r>
            <w:r w:rsidR="00D0332D">
              <w:rPr>
                <w:noProof/>
                <w:webHidden/>
              </w:rPr>
              <w:instrText xml:space="preserve"> PAGEREF _Toc425427038 \h </w:instrText>
            </w:r>
            <w:r>
              <w:rPr>
                <w:noProof/>
                <w:webHidden/>
              </w:rPr>
            </w:r>
            <w:r>
              <w:rPr>
                <w:noProof/>
                <w:webHidden/>
              </w:rPr>
              <w:fldChar w:fldCharType="separate"/>
            </w:r>
            <w:r w:rsidR="00885C9E">
              <w:rPr>
                <w:noProof/>
                <w:webHidden/>
              </w:rPr>
              <w:t>31</w:t>
            </w:r>
            <w:r>
              <w:rPr>
                <w:noProof/>
                <w:webHidden/>
              </w:rPr>
              <w:fldChar w:fldCharType="end"/>
            </w:r>
          </w:hyperlink>
        </w:p>
        <w:p w:rsidR="00D0332D" w:rsidRDefault="00177749" w:rsidP="00AD3F10">
          <w:pPr>
            <w:pStyle w:val="TOC1"/>
            <w:tabs>
              <w:tab w:val="right" w:leader="dot" w:pos="9350"/>
            </w:tabs>
            <w:spacing w:line="480" w:lineRule="auto"/>
            <w:rPr>
              <w:rFonts w:asciiTheme="minorHAnsi" w:eastAsiaTheme="minorEastAsia" w:hAnsiTheme="minorHAnsi"/>
              <w:noProof/>
              <w:sz w:val="22"/>
            </w:rPr>
          </w:pPr>
          <w:hyperlink w:anchor="_Toc425427039" w:history="1">
            <w:r w:rsidR="00D0332D" w:rsidRPr="005F4272">
              <w:rPr>
                <w:rStyle w:val="Hyperlink"/>
                <w:noProof/>
              </w:rPr>
              <w:t>CHAPTER 4</w:t>
            </w:r>
            <w:r w:rsidR="00D0332D">
              <w:rPr>
                <w:noProof/>
                <w:webHidden/>
              </w:rPr>
              <w:tab/>
            </w:r>
            <w:r>
              <w:rPr>
                <w:noProof/>
                <w:webHidden/>
              </w:rPr>
              <w:fldChar w:fldCharType="begin"/>
            </w:r>
            <w:r w:rsidR="00D0332D">
              <w:rPr>
                <w:noProof/>
                <w:webHidden/>
              </w:rPr>
              <w:instrText xml:space="preserve"> PAGEREF _Toc425427039 \h </w:instrText>
            </w:r>
            <w:r>
              <w:rPr>
                <w:noProof/>
                <w:webHidden/>
              </w:rPr>
            </w:r>
            <w:r>
              <w:rPr>
                <w:noProof/>
                <w:webHidden/>
              </w:rPr>
              <w:fldChar w:fldCharType="separate"/>
            </w:r>
            <w:r w:rsidR="00885C9E">
              <w:rPr>
                <w:noProof/>
                <w:webHidden/>
              </w:rPr>
              <w:t>35</w:t>
            </w:r>
            <w:r>
              <w:rPr>
                <w:noProof/>
                <w:webHidden/>
              </w:rPr>
              <w:fldChar w:fldCharType="end"/>
            </w:r>
          </w:hyperlink>
        </w:p>
        <w:p w:rsidR="00D0332D" w:rsidRDefault="00177749" w:rsidP="00AD3F10">
          <w:pPr>
            <w:pStyle w:val="TOC1"/>
            <w:tabs>
              <w:tab w:val="right" w:leader="dot" w:pos="9350"/>
            </w:tabs>
            <w:spacing w:line="480" w:lineRule="auto"/>
            <w:rPr>
              <w:rFonts w:asciiTheme="minorHAnsi" w:eastAsiaTheme="minorEastAsia" w:hAnsiTheme="minorHAnsi"/>
              <w:noProof/>
              <w:sz w:val="22"/>
            </w:rPr>
          </w:pPr>
          <w:hyperlink w:anchor="_Toc425427040" w:history="1">
            <w:r w:rsidR="00D0332D" w:rsidRPr="005F4272">
              <w:rPr>
                <w:rStyle w:val="Hyperlink"/>
                <w:noProof/>
              </w:rPr>
              <w:t>RESULTS AND DISCUSSION</w:t>
            </w:r>
            <w:r w:rsidR="00D0332D">
              <w:rPr>
                <w:noProof/>
                <w:webHidden/>
              </w:rPr>
              <w:tab/>
            </w:r>
            <w:r>
              <w:rPr>
                <w:noProof/>
                <w:webHidden/>
              </w:rPr>
              <w:fldChar w:fldCharType="begin"/>
            </w:r>
            <w:r w:rsidR="00D0332D">
              <w:rPr>
                <w:noProof/>
                <w:webHidden/>
              </w:rPr>
              <w:instrText xml:space="preserve"> PAGEREF _Toc425427040 \h </w:instrText>
            </w:r>
            <w:r>
              <w:rPr>
                <w:noProof/>
                <w:webHidden/>
              </w:rPr>
            </w:r>
            <w:r>
              <w:rPr>
                <w:noProof/>
                <w:webHidden/>
              </w:rPr>
              <w:fldChar w:fldCharType="separate"/>
            </w:r>
            <w:r w:rsidR="00885C9E">
              <w:rPr>
                <w:noProof/>
                <w:webHidden/>
              </w:rPr>
              <w:t>35</w:t>
            </w:r>
            <w:r>
              <w:rPr>
                <w:noProof/>
                <w:webHidden/>
              </w:rPr>
              <w:fldChar w:fldCharType="end"/>
            </w:r>
          </w:hyperlink>
        </w:p>
        <w:p w:rsidR="00D0332D" w:rsidRDefault="00177749" w:rsidP="00AD3F10">
          <w:pPr>
            <w:pStyle w:val="TOC1"/>
            <w:tabs>
              <w:tab w:val="right" w:leader="dot" w:pos="9350"/>
            </w:tabs>
            <w:spacing w:line="480" w:lineRule="auto"/>
            <w:rPr>
              <w:rFonts w:asciiTheme="minorHAnsi" w:eastAsiaTheme="minorEastAsia" w:hAnsiTheme="minorHAnsi"/>
              <w:noProof/>
              <w:sz w:val="22"/>
            </w:rPr>
          </w:pPr>
          <w:hyperlink w:anchor="_Toc425427041" w:history="1">
            <w:r w:rsidR="00D0332D" w:rsidRPr="005F4272">
              <w:rPr>
                <w:rStyle w:val="Hyperlink"/>
                <w:noProof/>
              </w:rPr>
              <w:t>4.1 Fitting the Brooks and Corey Equation</w:t>
            </w:r>
            <w:r w:rsidR="00D0332D">
              <w:rPr>
                <w:noProof/>
                <w:webHidden/>
              </w:rPr>
              <w:tab/>
            </w:r>
            <w:r>
              <w:rPr>
                <w:noProof/>
                <w:webHidden/>
              </w:rPr>
              <w:fldChar w:fldCharType="begin"/>
            </w:r>
            <w:r w:rsidR="00D0332D">
              <w:rPr>
                <w:noProof/>
                <w:webHidden/>
              </w:rPr>
              <w:instrText xml:space="preserve"> PAGEREF _Toc425427041 \h </w:instrText>
            </w:r>
            <w:r>
              <w:rPr>
                <w:noProof/>
                <w:webHidden/>
              </w:rPr>
            </w:r>
            <w:r>
              <w:rPr>
                <w:noProof/>
                <w:webHidden/>
              </w:rPr>
              <w:fldChar w:fldCharType="separate"/>
            </w:r>
            <w:r w:rsidR="00885C9E">
              <w:rPr>
                <w:noProof/>
                <w:webHidden/>
              </w:rPr>
              <w:t>35</w:t>
            </w:r>
            <w:r>
              <w:rPr>
                <w:noProof/>
                <w:webHidden/>
              </w:rPr>
              <w:fldChar w:fldCharType="end"/>
            </w:r>
          </w:hyperlink>
        </w:p>
        <w:p w:rsidR="00D0332D" w:rsidRDefault="00177749" w:rsidP="00AD3F10">
          <w:pPr>
            <w:pStyle w:val="TOC1"/>
            <w:tabs>
              <w:tab w:val="right" w:leader="dot" w:pos="9350"/>
            </w:tabs>
            <w:spacing w:line="480" w:lineRule="auto"/>
            <w:rPr>
              <w:rFonts w:asciiTheme="minorHAnsi" w:eastAsiaTheme="minorEastAsia" w:hAnsiTheme="minorHAnsi"/>
              <w:noProof/>
              <w:sz w:val="22"/>
            </w:rPr>
          </w:pPr>
          <w:hyperlink w:anchor="_Toc425427042" w:history="1">
            <w:r w:rsidR="00D0332D" w:rsidRPr="005F4272">
              <w:rPr>
                <w:rStyle w:val="Hyperlink"/>
                <w:noProof/>
              </w:rPr>
              <w:t>4.2 Classical Descriptive Statistics</w:t>
            </w:r>
            <w:r w:rsidR="00D0332D">
              <w:rPr>
                <w:noProof/>
                <w:webHidden/>
              </w:rPr>
              <w:tab/>
            </w:r>
            <w:r>
              <w:rPr>
                <w:noProof/>
                <w:webHidden/>
              </w:rPr>
              <w:fldChar w:fldCharType="begin"/>
            </w:r>
            <w:r w:rsidR="00D0332D">
              <w:rPr>
                <w:noProof/>
                <w:webHidden/>
              </w:rPr>
              <w:instrText xml:space="preserve"> PAGEREF _Toc425427042 \h </w:instrText>
            </w:r>
            <w:r>
              <w:rPr>
                <w:noProof/>
                <w:webHidden/>
              </w:rPr>
            </w:r>
            <w:r>
              <w:rPr>
                <w:noProof/>
                <w:webHidden/>
              </w:rPr>
              <w:fldChar w:fldCharType="separate"/>
            </w:r>
            <w:r w:rsidR="00885C9E">
              <w:rPr>
                <w:noProof/>
                <w:webHidden/>
              </w:rPr>
              <w:t>35</w:t>
            </w:r>
            <w:r>
              <w:rPr>
                <w:noProof/>
                <w:webHidden/>
              </w:rPr>
              <w:fldChar w:fldCharType="end"/>
            </w:r>
          </w:hyperlink>
        </w:p>
        <w:p w:rsidR="00D0332D" w:rsidRDefault="00177749" w:rsidP="00AD3F10">
          <w:pPr>
            <w:pStyle w:val="TOC1"/>
            <w:tabs>
              <w:tab w:val="right" w:leader="dot" w:pos="9350"/>
            </w:tabs>
            <w:spacing w:line="480" w:lineRule="auto"/>
            <w:rPr>
              <w:rFonts w:asciiTheme="minorHAnsi" w:eastAsiaTheme="minorEastAsia" w:hAnsiTheme="minorHAnsi"/>
              <w:noProof/>
              <w:sz w:val="22"/>
            </w:rPr>
          </w:pPr>
          <w:hyperlink w:anchor="_Toc425427043" w:history="1">
            <w:r w:rsidR="00D0332D" w:rsidRPr="005F4272">
              <w:rPr>
                <w:rStyle w:val="Hyperlink"/>
                <w:noProof/>
              </w:rPr>
              <w:t>4.3 Trend Identification Using the Kruskal-Wallis Test</w:t>
            </w:r>
            <w:r w:rsidR="00D0332D">
              <w:rPr>
                <w:noProof/>
                <w:webHidden/>
              </w:rPr>
              <w:tab/>
            </w:r>
            <w:r>
              <w:rPr>
                <w:noProof/>
                <w:webHidden/>
              </w:rPr>
              <w:fldChar w:fldCharType="begin"/>
            </w:r>
            <w:r w:rsidR="00D0332D">
              <w:rPr>
                <w:noProof/>
                <w:webHidden/>
              </w:rPr>
              <w:instrText xml:space="preserve"> PAGEREF _Toc425427043 \h </w:instrText>
            </w:r>
            <w:r>
              <w:rPr>
                <w:noProof/>
                <w:webHidden/>
              </w:rPr>
            </w:r>
            <w:r>
              <w:rPr>
                <w:noProof/>
                <w:webHidden/>
              </w:rPr>
              <w:fldChar w:fldCharType="separate"/>
            </w:r>
            <w:r w:rsidR="00885C9E">
              <w:rPr>
                <w:noProof/>
                <w:webHidden/>
              </w:rPr>
              <w:t>37</w:t>
            </w:r>
            <w:r>
              <w:rPr>
                <w:noProof/>
                <w:webHidden/>
              </w:rPr>
              <w:fldChar w:fldCharType="end"/>
            </w:r>
          </w:hyperlink>
        </w:p>
        <w:p w:rsidR="00D0332D" w:rsidRDefault="00177749" w:rsidP="00AD3F10">
          <w:pPr>
            <w:pStyle w:val="TOC1"/>
            <w:tabs>
              <w:tab w:val="right" w:leader="dot" w:pos="9350"/>
            </w:tabs>
            <w:spacing w:line="480" w:lineRule="auto"/>
            <w:rPr>
              <w:rFonts w:asciiTheme="minorHAnsi" w:eastAsiaTheme="minorEastAsia" w:hAnsiTheme="minorHAnsi"/>
              <w:noProof/>
              <w:sz w:val="22"/>
            </w:rPr>
          </w:pPr>
          <w:hyperlink w:anchor="_Toc425427044" w:history="1">
            <w:r w:rsidR="00D0332D" w:rsidRPr="005F4272">
              <w:rPr>
                <w:rStyle w:val="Hyperlink"/>
                <w:noProof/>
              </w:rPr>
              <w:t>4.4 Trend Surface Analysis and Detrending</w:t>
            </w:r>
            <w:r w:rsidR="00D0332D">
              <w:rPr>
                <w:noProof/>
                <w:webHidden/>
              </w:rPr>
              <w:tab/>
            </w:r>
            <w:r>
              <w:rPr>
                <w:noProof/>
                <w:webHidden/>
              </w:rPr>
              <w:fldChar w:fldCharType="begin"/>
            </w:r>
            <w:r w:rsidR="00D0332D">
              <w:rPr>
                <w:noProof/>
                <w:webHidden/>
              </w:rPr>
              <w:instrText xml:space="preserve"> PAGEREF _Toc425427044 \h </w:instrText>
            </w:r>
            <w:r>
              <w:rPr>
                <w:noProof/>
                <w:webHidden/>
              </w:rPr>
            </w:r>
            <w:r>
              <w:rPr>
                <w:noProof/>
                <w:webHidden/>
              </w:rPr>
              <w:fldChar w:fldCharType="separate"/>
            </w:r>
            <w:r w:rsidR="00885C9E">
              <w:rPr>
                <w:noProof/>
                <w:webHidden/>
              </w:rPr>
              <w:t>38</w:t>
            </w:r>
            <w:r>
              <w:rPr>
                <w:noProof/>
                <w:webHidden/>
              </w:rPr>
              <w:fldChar w:fldCharType="end"/>
            </w:r>
          </w:hyperlink>
        </w:p>
        <w:p w:rsidR="00D0332D" w:rsidRDefault="00177749" w:rsidP="00AD3F10">
          <w:pPr>
            <w:pStyle w:val="TOC1"/>
            <w:tabs>
              <w:tab w:val="right" w:leader="dot" w:pos="9350"/>
            </w:tabs>
            <w:spacing w:line="480" w:lineRule="auto"/>
            <w:rPr>
              <w:rFonts w:asciiTheme="minorHAnsi" w:eastAsiaTheme="minorEastAsia" w:hAnsiTheme="minorHAnsi"/>
              <w:noProof/>
              <w:sz w:val="22"/>
            </w:rPr>
          </w:pPr>
          <w:hyperlink w:anchor="_Toc425427045" w:history="1">
            <w:r w:rsidR="00D0332D" w:rsidRPr="005F4272">
              <w:rPr>
                <w:rStyle w:val="Hyperlink"/>
                <w:noProof/>
              </w:rPr>
              <w:t>4.5 Spatial Interpolation</w:t>
            </w:r>
            <w:r w:rsidR="00D0332D">
              <w:rPr>
                <w:noProof/>
                <w:webHidden/>
              </w:rPr>
              <w:tab/>
            </w:r>
            <w:r>
              <w:rPr>
                <w:noProof/>
                <w:webHidden/>
              </w:rPr>
              <w:fldChar w:fldCharType="begin"/>
            </w:r>
            <w:r w:rsidR="00D0332D">
              <w:rPr>
                <w:noProof/>
                <w:webHidden/>
              </w:rPr>
              <w:instrText xml:space="preserve"> PAGEREF _Toc425427045 \h </w:instrText>
            </w:r>
            <w:r>
              <w:rPr>
                <w:noProof/>
                <w:webHidden/>
              </w:rPr>
            </w:r>
            <w:r>
              <w:rPr>
                <w:noProof/>
                <w:webHidden/>
              </w:rPr>
              <w:fldChar w:fldCharType="separate"/>
            </w:r>
            <w:r w:rsidR="00885C9E">
              <w:rPr>
                <w:noProof/>
                <w:webHidden/>
              </w:rPr>
              <w:t>40</w:t>
            </w:r>
            <w:r>
              <w:rPr>
                <w:noProof/>
                <w:webHidden/>
              </w:rPr>
              <w:fldChar w:fldCharType="end"/>
            </w:r>
          </w:hyperlink>
        </w:p>
        <w:p w:rsidR="00D0332D" w:rsidRDefault="00177749" w:rsidP="00AD3F10">
          <w:pPr>
            <w:pStyle w:val="TOC1"/>
            <w:tabs>
              <w:tab w:val="right" w:leader="dot" w:pos="9350"/>
            </w:tabs>
            <w:spacing w:line="480" w:lineRule="auto"/>
            <w:rPr>
              <w:rFonts w:asciiTheme="minorHAnsi" w:eastAsiaTheme="minorEastAsia" w:hAnsiTheme="minorHAnsi"/>
              <w:noProof/>
              <w:sz w:val="22"/>
            </w:rPr>
          </w:pPr>
          <w:hyperlink w:anchor="_Toc425427046" w:history="1">
            <w:r w:rsidR="00D0332D" w:rsidRPr="005F4272">
              <w:rPr>
                <w:rStyle w:val="Hyperlink"/>
                <w:noProof/>
              </w:rPr>
              <w:t>4.5.1 Theoretical Model</w:t>
            </w:r>
            <w:r w:rsidR="00D0332D">
              <w:rPr>
                <w:noProof/>
                <w:webHidden/>
              </w:rPr>
              <w:tab/>
            </w:r>
            <w:r>
              <w:rPr>
                <w:noProof/>
                <w:webHidden/>
              </w:rPr>
              <w:fldChar w:fldCharType="begin"/>
            </w:r>
            <w:r w:rsidR="00D0332D">
              <w:rPr>
                <w:noProof/>
                <w:webHidden/>
              </w:rPr>
              <w:instrText xml:space="preserve"> PAGEREF _Toc425427046 \h </w:instrText>
            </w:r>
            <w:r>
              <w:rPr>
                <w:noProof/>
                <w:webHidden/>
              </w:rPr>
            </w:r>
            <w:r>
              <w:rPr>
                <w:noProof/>
                <w:webHidden/>
              </w:rPr>
              <w:fldChar w:fldCharType="separate"/>
            </w:r>
            <w:r w:rsidR="00885C9E">
              <w:rPr>
                <w:noProof/>
                <w:webHidden/>
              </w:rPr>
              <w:t>40</w:t>
            </w:r>
            <w:r>
              <w:rPr>
                <w:noProof/>
                <w:webHidden/>
              </w:rPr>
              <w:fldChar w:fldCharType="end"/>
            </w:r>
          </w:hyperlink>
        </w:p>
        <w:p w:rsidR="00D0332D" w:rsidRDefault="00177749" w:rsidP="00AD3F10">
          <w:pPr>
            <w:pStyle w:val="TOC1"/>
            <w:tabs>
              <w:tab w:val="right" w:leader="dot" w:pos="9350"/>
            </w:tabs>
            <w:spacing w:line="480" w:lineRule="auto"/>
            <w:rPr>
              <w:rFonts w:asciiTheme="minorHAnsi" w:eastAsiaTheme="minorEastAsia" w:hAnsiTheme="minorHAnsi"/>
              <w:noProof/>
              <w:sz w:val="22"/>
            </w:rPr>
          </w:pPr>
          <w:hyperlink w:anchor="_Toc425427047" w:history="1">
            <w:r w:rsidR="00D0332D" w:rsidRPr="005F4272">
              <w:rPr>
                <w:rStyle w:val="Hyperlink"/>
                <w:noProof/>
              </w:rPr>
              <w:t>4.5.2 Cross-validation</w:t>
            </w:r>
            <w:r w:rsidR="00D0332D">
              <w:rPr>
                <w:noProof/>
                <w:webHidden/>
              </w:rPr>
              <w:tab/>
            </w:r>
            <w:r>
              <w:rPr>
                <w:noProof/>
                <w:webHidden/>
              </w:rPr>
              <w:fldChar w:fldCharType="begin"/>
            </w:r>
            <w:r w:rsidR="00D0332D">
              <w:rPr>
                <w:noProof/>
                <w:webHidden/>
              </w:rPr>
              <w:instrText xml:space="preserve"> PAGEREF _Toc425427047 \h </w:instrText>
            </w:r>
            <w:r>
              <w:rPr>
                <w:noProof/>
                <w:webHidden/>
              </w:rPr>
            </w:r>
            <w:r>
              <w:rPr>
                <w:noProof/>
                <w:webHidden/>
              </w:rPr>
              <w:fldChar w:fldCharType="separate"/>
            </w:r>
            <w:r w:rsidR="00885C9E">
              <w:rPr>
                <w:noProof/>
                <w:webHidden/>
              </w:rPr>
              <w:t>44</w:t>
            </w:r>
            <w:r>
              <w:rPr>
                <w:noProof/>
                <w:webHidden/>
              </w:rPr>
              <w:fldChar w:fldCharType="end"/>
            </w:r>
          </w:hyperlink>
        </w:p>
        <w:p w:rsidR="00D0332D" w:rsidRDefault="00177749" w:rsidP="00AD3F10">
          <w:pPr>
            <w:pStyle w:val="TOC1"/>
            <w:tabs>
              <w:tab w:val="right" w:leader="dot" w:pos="9350"/>
            </w:tabs>
            <w:spacing w:line="480" w:lineRule="auto"/>
            <w:rPr>
              <w:rFonts w:asciiTheme="minorHAnsi" w:eastAsiaTheme="minorEastAsia" w:hAnsiTheme="minorHAnsi"/>
              <w:noProof/>
              <w:sz w:val="22"/>
            </w:rPr>
          </w:pPr>
          <w:hyperlink w:anchor="_Toc425427048" w:history="1">
            <w:r w:rsidR="00D0332D" w:rsidRPr="005F4272">
              <w:rPr>
                <w:rStyle w:val="Hyperlink"/>
                <w:noProof/>
              </w:rPr>
              <w:t>4.5.3 Kriging</w:t>
            </w:r>
            <w:r w:rsidR="00D0332D">
              <w:rPr>
                <w:noProof/>
                <w:webHidden/>
              </w:rPr>
              <w:tab/>
            </w:r>
            <w:r>
              <w:rPr>
                <w:noProof/>
                <w:webHidden/>
              </w:rPr>
              <w:fldChar w:fldCharType="begin"/>
            </w:r>
            <w:r w:rsidR="00D0332D">
              <w:rPr>
                <w:noProof/>
                <w:webHidden/>
              </w:rPr>
              <w:instrText xml:space="preserve"> PAGEREF _Toc425427048 \h </w:instrText>
            </w:r>
            <w:r>
              <w:rPr>
                <w:noProof/>
                <w:webHidden/>
              </w:rPr>
            </w:r>
            <w:r>
              <w:rPr>
                <w:noProof/>
                <w:webHidden/>
              </w:rPr>
              <w:fldChar w:fldCharType="separate"/>
            </w:r>
            <w:r w:rsidR="00885C9E">
              <w:rPr>
                <w:noProof/>
                <w:webHidden/>
              </w:rPr>
              <w:t>46</w:t>
            </w:r>
            <w:r>
              <w:rPr>
                <w:noProof/>
                <w:webHidden/>
              </w:rPr>
              <w:fldChar w:fldCharType="end"/>
            </w:r>
          </w:hyperlink>
        </w:p>
        <w:p w:rsidR="00D0332D" w:rsidRDefault="00177749" w:rsidP="00AD3F10">
          <w:pPr>
            <w:pStyle w:val="TOC1"/>
            <w:tabs>
              <w:tab w:val="right" w:leader="dot" w:pos="9350"/>
            </w:tabs>
            <w:spacing w:line="480" w:lineRule="auto"/>
            <w:rPr>
              <w:rFonts w:asciiTheme="minorHAnsi" w:eastAsiaTheme="minorEastAsia" w:hAnsiTheme="minorHAnsi"/>
              <w:noProof/>
              <w:sz w:val="22"/>
            </w:rPr>
          </w:pPr>
          <w:hyperlink w:anchor="_Toc425427049" w:history="1">
            <w:r w:rsidR="00D0332D" w:rsidRPr="005F4272">
              <w:rPr>
                <w:rStyle w:val="Hyperlink"/>
                <w:noProof/>
              </w:rPr>
              <w:t>4.6 Trend Correction and Validation</w:t>
            </w:r>
            <w:r w:rsidR="00D0332D">
              <w:rPr>
                <w:noProof/>
                <w:webHidden/>
              </w:rPr>
              <w:tab/>
            </w:r>
            <w:r>
              <w:rPr>
                <w:noProof/>
                <w:webHidden/>
              </w:rPr>
              <w:fldChar w:fldCharType="begin"/>
            </w:r>
            <w:r w:rsidR="00D0332D">
              <w:rPr>
                <w:noProof/>
                <w:webHidden/>
              </w:rPr>
              <w:instrText xml:space="preserve"> PAGEREF _Toc425427049 \h </w:instrText>
            </w:r>
            <w:r>
              <w:rPr>
                <w:noProof/>
                <w:webHidden/>
              </w:rPr>
            </w:r>
            <w:r>
              <w:rPr>
                <w:noProof/>
                <w:webHidden/>
              </w:rPr>
              <w:fldChar w:fldCharType="separate"/>
            </w:r>
            <w:r w:rsidR="00885C9E">
              <w:rPr>
                <w:noProof/>
                <w:webHidden/>
              </w:rPr>
              <w:t>49</w:t>
            </w:r>
            <w:r>
              <w:rPr>
                <w:noProof/>
                <w:webHidden/>
              </w:rPr>
              <w:fldChar w:fldCharType="end"/>
            </w:r>
          </w:hyperlink>
        </w:p>
        <w:p w:rsidR="00D0332D" w:rsidRDefault="00177749" w:rsidP="00AD3F10">
          <w:pPr>
            <w:pStyle w:val="TOC1"/>
            <w:tabs>
              <w:tab w:val="right" w:leader="dot" w:pos="9350"/>
            </w:tabs>
            <w:spacing w:line="480" w:lineRule="auto"/>
            <w:rPr>
              <w:rFonts w:asciiTheme="minorHAnsi" w:eastAsiaTheme="minorEastAsia" w:hAnsiTheme="minorHAnsi"/>
              <w:noProof/>
              <w:sz w:val="22"/>
            </w:rPr>
          </w:pPr>
          <w:hyperlink w:anchor="_Toc425427050" w:history="1">
            <w:r w:rsidR="00D0332D" w:rsidRPr="005F4272">
              <w:rPr>
                <w:rStyle w:val="Hyperlink"/>
                <w:noProof/>
              </w:rPr>
              <w:t>CHAPTER 5</w:t>
            </w:r>
            <w:r w:rsidR="00D0332D">
              <w:rPr>
                <w:noProof/>
                <w:webHidden/>
              </w:rPr>
              <w:tab/>
            </w:r>
            <w:r>
              <w:rPr>
                <w:noProof/>
                <w:webHidden/>
              </w:rPr>
              <w:fldChar w:fldCharType="begin"/>
            </w:r>
            <w:r w:rsidR="00D0332D">
              <w:rPr>
                <w:noProof/>
                <w:webHidden/>
              </w:rPr>
              <w:instrText xml:space="preserve"> PAGEREF _Toc425427050 \h </w:instrText>
            </w:r>
            <w:r>
              <w:rPr>
                <w:noProof/>
                <w:webHidden/>
              </w:rPr>
            </w:r>
            <w:r>
              <w:rPr>
                <w:noProof/>
                <w:webHidden/>
              </w:rPr>
              <w:fldChar w:fldCharType="separate"/>
            </w:r>
            <w:r w:rsidR="00885C9E">
              <w:rPr>
                <w:noProof/>
                <w:webHidden/>
              </w:rPr>
              <w:t>53</w:t>
            </w:r>
            <w:r>
              <w:rPr>
                <w:noProof/>
                <w:webHidden/>
              </w:rPr>
              <w:fldChar w:fldCharType="end"/>
            </w:r>
          </w:hyperlink>
        </w:p>
        <w:p w:rsidR="00D0332D" w:rsidRDefault="00177749" w:rsidP="00AD3F10">
          <w:pPr>
            <w:pStyle w:val="TOC1"/>
            <w:tabs>
              <w:tab w:val="right" w:leader="dot" w:pos="9350"/>
            </w:tabs>
            <w:spacing w:line="480" w:lineRule="auto"/>
            <w:rPr>
              <w:rFonts w:asciiTheme="minorHAnsi" w:eastAsiaTheme="minorEastAsia" w:hAnsiTheme="minorHAnsi"/>
              <w:noProof/>
              <w:sz w:val="22"/>
            </w:rPr>
          </w:pPr>
          <w:hyperlink w:anchor="_Toc425427051" w:history="1">
            <w:r w:rsidR="00D0332D" w:rsidRPr="005F4272">
              <w:rPr>
                <w:rStyle w:val="Hyperlink"/>
                <w:noProof/>
              </w:rPr>
              <w:t>SUMMARY, CONCLUSIONS, AND RECOMMENDATIONS</w:t>
            </w:r>
            <w:r w:rsidR="00D0332D">
              <w:rPr>
                <w:noProof/>
                <w:webHidden/>
              </w:rPr>
              <w:tab/>
            </w:r>
            <w:r>
              <w:rPr>
                <w:noProof/>
                <w:webHidden/>
              </w:rPr>
              <w:fldChar w:fldCharType="begin"/>
            </w:r>
            <w:r w:rsidR="00D0332D">
              <w:rPr>
                <w:noProof/>
                <w:webHidden/>
              </w:rPr>
              <w:instrText xml:space="preserve"> PAGEREF _Toc425427051 \h </w:instrText>
            </w:r>
            <w:r>
              <w:rPr>
                <w:noProof/>
                <w:webHidden/>
              </w:rPr>
            </w:r>
            <w:r>
              <w:rPr>
                <w:noProof/>
                <w:webHidden/>
              </w:rPr>
              <w:fldChar w:fldCharType="separate"/>
            </w:r>
            <w:r w:rsidR="00885C9E">
              <w:rPr>
                <w:noProof/>
                <w:webHidden/>
              </w:rPr>
              <w:t>53</w:t>
            </w:r>
            <w:r>
              <w:rPr>
                <w:noProof/>
                <w:webHidden/>
              </w:rPr>
              <w:fldChar w:fldCharType="end"/>
            </w:r>
          </w:hyperlink>
        </w:p>
        <w:p w:rsidR="00D0332D" w:rsidRDefault="00177749" w:rsidP="00AD3F10">
          <w:pPr>
            <w:pStyle w:val="TOC1"/>
            <w:tabs>
              <w:tab w:val="right" w:leader="dot" w:pos="9350"/>
            </w:tabs>
            <w:spacing w:line="480" w:lineRule="auto"/>
            <w:rPr>
              <w:rFonts w:asciiTheme="minorHAnsi" w:eastAsiaTheme="minorEastAsia" w:hAnsiTheme="minorHAnsi"/>
              <w:noProof/>
              <w:sz w:val="22"/>
            </w:rPr>
          </w:pPr>
          <w:hyperlink w:anchor="_Toc425427052" w:history="1">
            <w:r w:rsidR="00D0332D" w:rsidRPr="005F4272">
              <w:rPr>
                <w:rStyle w:val="Hyperlink"/>
                <w:noProof/>
              </w:rPr>
              <w:t>LIST OF REFERENCES</w:t>
            </w:r>
            <w:r w:rsidR="00D0332D">
              <w:rPr>
                <w:noProof/>
                <w:webHidden/>
              </w:rPr>
              <w:tab/>
            </w:r>
            <w:r>
              <w:rPr>
                <w:noProof/>
                <w:webHidden/>
              </w:rPr>
              <w:fldChar w:fldCharType="begin"/>
            </w:r>
            <w:r w:rsidR="00D0332D">
              <w:rPr>
                <w:noProof/>
                <w:webHidden/>
              </w:rPr>
              <w:instrText xml:space="preserve"> PAGEREF _Toc425427052 \h </w:instrText>
            </w:r>
            <w:r>
              <w:rPr>
                <w:noProof/>
                <w:webHidden/>
              </w:rPr>
            </w:r>
            <w:r>
              <w:rPr>
                <w:noProof/>
                <w:webHidden/>
              </w:rPr>
              <w:fldChar w:fldCharType="separate"/>
            </w:r>
            <w:r w:rsidR="00885C9E">
              <w:rPr>
                <w:noProof/>
                <w:webHidden/>
              </w:rPr>
              <w:t>59</w:t>
            </w:r>
            <w:r>
              <w:rPr>
                <w:noProof/>
                <w:webHidden/>
              </w:rPr>
              <w:fldChar w:fldCharType="end"/>
            </w:r>
          </w:hyperlink>
        </w:p>
        <w:p w:rsidR="00D0332D" w:rsidRDefault="00177749" w:rsidP="00AD3F10">
          <w:pPr>
            <w:pStyle w:val="TOC1"/>
            <w:tabs>
              <w:tab w:val="right" w:leader="dot" w:pos="9350"/>
            </w:tabs>
            <w:spacing w:line="480" w:lineRule="auto"/>
            <w:rPr>
              <w:rFonts w:asciiTheme="minorHAnsi" w:eastAsiaTheme="minorEastAsia" w:hAnsiTheme="minorHAnsi"/>
              <w:noProof/>
              <w:sz w:val="22"/>
            </w:rPr>
          </w:pPr>
          <w:hyperlink w:anchor="_Toc425427053" w:history="1">
            <w:r w:rsidR="00D0332D" w:rsidRPr="005F4272">
              <w:rPr>
                <w:rStyle w:val="Hyperlink"/>
                <w:noProof/>
              </w:rPr>
              <w:t>APPENDICIES</w:t>
            </w:r>
            <w:r w:rsidR="00D0332D">
              <w:rPr>
                <w:noProof/>
                <w:webHidden/>
              </w:rPr>
              <w:tab/>
            </w:r>
            <w:r>
              <w:rPr>
                <w:noProof/>
                <w:webHidden/>
              </w:rPr>
              <w:fldChar w:fldCharType="begin"/>
            </w:r>
            <w:r w:rsidR="00D0332D">
              <w:rPr>
                <w:noProof/>
                <w:webHidden/>
              </w:rPr>
              <w:instrText xml:space="preserve"> PAGEREF _Toc425427053 \h </w:instrText>
            </w:r>
            <w:r>
              <w:rPr>
                <w:noProof/>
                <w:webHidden/>
              </w:rPr>
            </w:r>
            <w:r>
              <w:rPr>
                <w:noProof/>
                <w:webHidden/>
              </w:rPr>
              <w:fldChar w:fldCharType="separate"/>
            </w:r>
            <w:r w:rsidR="00885C9E">
              <w:rPr>
                <w:noProof/>
                <w:webHidden/>
              </w:rPr>
              <w:t>65</w:t>
            </w:r>
            <w:r>
              <w:rPr>
                <w:noProof/>
                <w:webHidden/>
              </w:rPr>
              <w:fldChar w:fldCharType="end"/>
            </w:r>
          </w:hyperlink>
        </w:p>
        <w:p w:rsidR="00D0332D" w:rsidRDefault="00177749" w:rsidP="00AD3F10">
          <w:pPr>
            <w:pStyle w:val="TOC1"/>
            <w:tabs>
              <w:tab w:val="right" w:leader="dot" w:pos="9350"/>
            </w:tabs>
            <w:spacing w:line="480" w:lineRule="auto"/>
            <w:rPr>
              <w:rFonts w:asciiTheme="minorHAnsi" w:eastAsiaTheme="minorEastAsia" w:hAnsiTheme="minorHAnsi"/>
              <w:noProof/>
              <w:sz w:val="22"/>
            </w:rPr>
          </w:pPr>
          <w:hyperlink w:anchor="_Toc425427054" w:history="1">
            <w:r w:rsidR="00D0332D" w:rsidRPr="005F4272">
              <w:rPr>
                <w:rStyle w:val="Hyperlink"/>
                <w:noProof/>
              </w:rPr>
              <w:t>Appendix 1. Tables</w:t>
            </w:r>
            <w:r w:rsidR="00D0332D">
              <w:rPr>
                <w:noProof/>
                <w:webHidden/>
              </w:rPr>
              <w:tab/>
            </w:r>
            <w:r>
              <w:rPr>
                <w:noProof/>
                <w:webHidden/>
              </w:rPr>
              <w:fldChar w:fldCharType="begin"/>
            </w:r>
            <w:r w:rsidR="00D0332D">
              <w:rPr>
                <w:noProof/>
                <w:webHidden/>
              </w:rPr>
              <w:instrText xml:space="preserve"> PAGEREF _Toc425427054 \h </w:instrText>
            </w:r>
            <w:r>
              <w:rPr>
                <w:noProof/>
                <w:webHidden/>
              </w:rPr>
            </w:r>
            <w:r>
              <w:rPr>
                <w:noProof/>
                <w:webHidden/>
              </w:rPr>
              <w:fldChar w:fldCharType="separate"/>
            </w:r>
            <w:r w:rsidR="00885C9E">
              <w:rPr>
                <w:noProof/>
                <w:webHidden/>
              </w:rPr>
              <w:t>66</w:t>
            </w:r>
            <w:r>
              <w:rPr>
                <w:noProof/>
                <w:webHidden/>
              </w:rPr>
              <w:fldChar w:fldCharType="end"/>
            </w:r>
          </w:hyperlink>
        </w:p>
        <w:p w:rsidR="00D0332D" w:rsidRDefault="00177749" w:rsidP="00AD3F10">
          <w:pPr>
            <w:pStyle w:val="TOC1"/>
            <w:tabs>
              <w:tab w:val="right" w:leader="dot" w:pos="9350"/>
            </w:tabs>
            <w:spacing w:line="480" w:lineRule="auto"/>
            <w:rPr>
              <w:rFonts w:asciiTheme="minorHAnsi" w:eastAsiaTheme="minorEastAsia" w:hAnsiTheme="minorHAnsi"/>
              <w:noProof/>
              <w:sz w:val="22"/>
            </w:rPr>
          </w:pPr>
          <w:hyperlink w:anchor="_Toc425427055" w:history="1">
            <w:r w:rsidR="00D0332D" w:rsidRPr="005F4272">
              <w:rPr>
                <w:rStyle w:val="Hyperlink"/>
                <w:noProof/>
              </w:rPr>
              <w:t>Appendix 2. Figures</w:t>
            </w:r>
            <w:r w:rsidR="00D0332D">
              <w:rPr>
                <w:noProof/>
                <w:webHidden/>
              </w:rPr>
              <w:tab/>
            </w:r>
            <w:r>
              <w:rPr>
                <w:noProof/>
                <w:webHidden/>
              </w:rPr>
              <w:fldChar w:fldCharType="begin"/>
            </w:r>
            <w:r w:rsidR="00D0332D">
              <w:rPr>
                <w:noProof/>
                <w:webHidden/>
              </w:rPr>
              <w:instrText xml:space="preserve"> PAGEREF _Toc425427055 \h </w:instrText>
            </w:r>
            <w:r>
              <w:rPr>
                <w:noProof/>
                <w:webHidden/>
              </w:rPr>
            </w:r>
            <w:r>
              <w:rPr>
                <w:noProof/>
                <w:webHidden/>
              </w:rPr>
              <w:fldChar w:fldCharType="separate"/>
            </w:r>
            <w:r w:rsidR="00885C9E">
              <w:rPr>
                <w:noProof/>
                <w:webHidden/>
              </w:rPr>
              <w:t>72</w:t>
            </w:r>
            <w:r>
              <w:rPr>
                <w:noProof/>
                <w:webHidden/>
              </w:rPr>
              <w:fldChar w:fldCharType="end"/>
            </w:r>
          </w:hyperlink>
        </w:p>
        <w:p w:rsidR="00D0332D" w:rsidRDefault="00177749" w:rsidP="00AD3F10">
          <w:pPr>
            <w:pStyle w:val="TOC1"/>
            <w:tabs>
              <w:tab w:val="right" w:leader="dot" w:pos="9350"/>
            </w:tabs>
            <w:spacing w:line="480" w:lineRule="auto"/>
            <w:rPr>
              <w:rFonts w:asciiTheme="minorHAnsi" w:eastAsiaTheme="minorEastAsia" w:hAnsiTheme="minorHAnsi"/>
              <w:noProof/>
              <w:sz w:val="22"/>
            </w:rPr>
          </w:pPr>
          <w:hyperlink w:anchor="_Toc425427056" w:history="1">
            <w:r w:rsidR="00D0332D" w:rsidRPr="005F4272">
              <w:rPr>
                <w:rStyle w:val="Hyperlink"/>
                <w:noProof/>
              </w:rPr>
              <w:t>VITA</w:t>
            </w:r>
            <w:r w:rsidR="00D0332D">
              <w:rPr>
                <w:noProof/>
                <w:webHidden/>
              </w:rPr>
              <w:tab/>
            </w:r>
            <w:r>
              <w:rPr>
                <w:noProof/>
                <w:webHidden/>
              </w:rPr>
              <w:fldChar w:fldCharType="begin"/>
            </w:r>
            <w:r w:rsidR="00D0332D">
              <w:rPr>
                <w:noProof/>
                <w:webHidden/>
              </w:rPr>
              <w:instrText xml:space="preserve"> PAGEREF _Toc425427056 \h </w:instrText>
            </w:r>
            <w:r>
              <w:rPr>
                <w:noProof/>
                <w:webHidden/>
              </w:rPr>
            </w:r>
            <w:r>
              <w:rPr>
                <w:noProof/>
                <w:webHidden/>
              </w:rPr>
              <w:fldChar w:fldCharType="separate"/>
            </w:r>
            <w:r w:rsidR="00885C9E">
              <w:rPr>
                <w:noProof/>
                <w:webHidden/>
              </w:rPr>
              <w:t>93</w:t>
            </w:r>
            <w:r>
              <w:rPr>
                <w:noProof/>
                <w:webHidden/>
              </w:rPr>
              <w:fldChar w:fldCharType="end"/>
            </w:r>
          </w:hyperlink>
        </w:p>
        <w:p w:rsidR="008743BB" w:rsidRDefault="00177749" w:rsidP="0033266C">
          <w:pPr>
            <w:spacing w:line="480" w:lineRule="auto"/>
          </w:pPr>
          <w:r>
            <w:fldChar w:fldCharType="end"/>
          </w:r>
        </w:p>
      </w:sdtContent>
    </w:sdt>
    <w:bookmarkStart w:id="2" w:name="_Toc412485224" w:displacedByCustomXml="prev"/>
    <w:p w:rsidR="008743BB" w:rsidRDefault="008743BB" w:rsidP="008743BB">
      <w:pPr>
        <w:pStyle w:val="Heading1"/>
        <w:spacing w:before="0"/>
      </w:pPr>
    </w:p>
    <w:p w:rsidR="0004094A" w:rsidRDefault="0004094A" w:rsidP="0004094A"/>
    <w:p w:rsidR="0004094A" w:rsidRDefault="0004094A" w:rsidP="0004094A"/>
    <w:p w:rsidR="0004094A" w:rsidRDefault="0004094A" w:rsidP="0004094A"/>
    <w:p w:rsidR="0004094A" w:rsidRDefault="0004094A" w:rsidP="0004094A"/>
    <w:p w:rsidR="0004094A" w:rsidRDefault="0004094A" w:rsidP="0004094A"/>
    <w:p w:rsidR="0004094A" w:rsidRDefault="0004094A" w:rsidP="0004094A"/>
    <w:p w:rsidR="0004094A" w:rsidRDefault="0004094A" w:rsidP="0004094A"/>
    <w:p w:rsidR="0004094A" w:rsidRDefault="0004094A" w:rsidP="0004094A"/>
    <w:p w:rsidR="0004094A" w:rsidRDefault="0004094A" w:rsidP="0004094A"/>
    <w:p w:rsidR="0004094A" w:rsidRDefault="0004094A" w:rsidP="0004094A"/>
    <w:p w:rsidR="0004094A" w:rsidRDefault="0004094A" w:rsidP="0004094A"/>
    <w:p w:rsidR="00D83E2D" w:rsidRDefault="00D83E2D" w:rsidP="0004094A"/>
    <w:p w:rsidR="00D83E2D" w:rsidRDefault="00D83E2D" w:rsidP="0004094A"/>
    <w:p w:rsidR="00D83E2D" w:rsidRDefault="00D83E2D" w:rsidP="0004094A"/>
    <w:p w:rsidR="00D83E2D" w:rsidRDefault="00D83E2D" w:rsidP="0004094A"/>
    <w:p w:rsidR="00D83E2D" w:rsidRDefault="00D83E2D" w:rsidP="0004094A"/>
    <w:p w:rsidR="00D83E2D" w:rsidRDefault="00D83E2D" w:rsidP="0004094A"/>
    <w:p w:rsidR="00D83E2D" w:rsidRDefault="00D83E2D" w:rsidP="0004094A"/>
    <w:p w:rsidR="0004094A" w:rsidRPr="0004094A" w:rsidRDefault="0004094A" w:rsidP="0004094A"/>
    <w:p w:rsidR="00C9171C" w:rsidRDefault="00C9171C" w:rsidP="00D83E2D">
      <w:pPr>
        <w:pStyle w:val="Heading1"/>
        <w:spacing w:before="0" w:line="480" w:lineRule="auto"/>
      </w:pPr>
      <w:r>
        <w:lastRenderedPageBreak/>
        <w:t>LIST OF TABLES</w:t>
      </w:r>
    </w:p>
    <w:p w:rsidR="00AD3F10" w:rsidRDefault="00177749" w:rsidP="00AD3F10">
      <w:pPr>
        <w:pStyle w:val="TableofFigures"/>
        <w:tabs>
          <w:tab w:val="right" w:leader="dot" w:pos="9350"/>
        </w:tabs>
        <w:spacing w:line="480" w:lineRule="auto"/>
        <w:rPr>
          <w:rFonts w:asciiTheme="minorHAnsi" w:eastAsiaTheme="minorEastAsia" w:hAnsiTheme="minorHAnsi" w:cstheme="minorBidi"/>
          <w:caps w:val="0"/>
          <w:noProof/>
          <w:sz w:val="22"/>
          <w:szCs w:val="22"/>
        </w:rPr>
      </w:pPr>
      <w:r w:rsidRPr="00177749">
        <w:fldChar w:fldCharType="begin"/>
      </w:r>
      <w:r w:rsidR="00C9171C" w:rsidRPr="00F16EC1">
        <w:instrText xml:space="preserve"> TOC \h \z \c "Table" </w:instrText>
      </w:r>
      <w:r w:rsidRPr="00177749">
        <w:fldChar w:fldCharType="separate"/>
      </w:r>
      <w:hyperlink w:anchor="_Toc425427057" w:history="1">
        <w:r w:rsidR="00AD3F10" w:rsidRPr="00203050">
          <w:rPr>
            <w:rStyle w:val="Hyperlink"/>
            <w:noProof/>
          </w:rPr>
          <w:t>Table 1: Descriptive statistics of observed BC parameters (Equation 1)</w:t>
        </w:r>
        <w:r w:rsidR="00AD3F10">
          <w:rPr>
            <w:noProof/>
            <w:webHidden/>
          </w:rPr>
          <w:tab/>
        </w:r>
        <w:r>
          <w:rPr>
            <w:noProof/>
            <w:webHidden/>
          </w:rPr>
          <w:fldChar w:fldCharType="begin"/>
        </w:r>
        <w:r w:rsidR="00AD3F10">
          <w:rPr>
            <w:noProof/>
            <w:webHidden/>
          </w:rPr>
          <w:instrText xml:space="preserve"> PAGEREF _Toc425427057 \h </w:instrText>
        </w:r>
        <w:r>
          <w:rPr>
            <w:noProof/>
            <w:webHidden/>
          </w:rPr>
        </w:r>
        <w:r>
          <w:rPr>
            <w:noProof/>
            <w:webHidden/>
          </w:rPr>
          <w:fldChar w:fldCharType="separate"/>
        </w:r>
        <w:r w:rsidR="00885C9E">
          <w:rPr>
            <w:noProof/>
            <w:webHidden/>
          </w:rPr>
          <w:t>66</w:t>
        </w:r>
        <w:r>
          <w:rPr>
            <w:noProof/>
            <w:webHidden/>
          </w:rPr>
          <w:fldChar w:fldCharType="end"/>
        </w:r>
      </w:hyperlink>
    </w:p>
    <w:p w:rsidR="00AD3F10" w:rsidRDefault="00177749" w:rsidP="00AD3F10">
      <w:pPr>
        <w:pStyle w:val="TableofFigures"/>
        <w:tabs>
          <w:tab w:val="right" w:leader="dot" w:pos="9350"/>
        </w:tabs>
        <w:spacing w:line="480" w:lineRule="auto"/>
        <w:rPr>
          <w:rFonts w:asciiTheme="minorHAnsi" w:eastAsiaTheme="minorEastAsia" w:hAnsiTheme="minorHAnsi" w:cstheme="minorBidi"/>
          <w:caps w:val="0"/>
          <w:noProof/>
          <w:sz w:val="22"/>
          <w:szCs w:val="22"/>
        </w:rPr>
      </w:pPr>
      <w:hyperlink w:anchor="_Toc425427058" w:history="1">
        <w:r w:rsidR="00AD3F10" w:rsidRPr="00203050">
          <w:rPr>
            <w:rStyle w:val="Hyperlink"/>
            <w:noProof/>
          </w:rPr>
          <w:t>Table 2: Asterisks are used to denote the level of significance for multiple statistical tests presented in the study; for example, *** indicates significance at the 99.9% confidence level, ** indicates significance at the 99% confidence level, * indicates significance at the 95% confidence level, and non-significant (confidence levels &lt; 95%) results are indicated using NS</w:t>
        </w:r>
        <w:r w:rsidR="00AD3F10">
          <w:rPr>
            <w:noProof/>
            <w:webHidden/>
          </w:rPr>
          <w:tab/>
        </w:r>
        <w:r>
          <w:rPr>
            <w:noProof/>
            <w:webHidden/>
          </w:rPr>
          <w:fldChar w:fldCharType="begin"/>
        </w:r>
        <w:r w:rsidR="00AD3F10">
          <w:rPr>
            <w:noProof/>
            <w:webHidden/>
          </w:rPr>
          <w:instrText xml:space="preserve"> PAGEREF _Toc425427058 \h </w:instrText>
        </w:r>
        <w:r>
          <w:rPr>
            <w:noProof/>
            <w:webHidden/>
          </w:rPr>
        </w:r>
        <w:r>
          <w:rPr>
            <w:noProof/>
            <w:webHidden/>
          </w:rPr>
          <w:fldChar w:fldCharType="separate"/>
        </w:r>
        <w:r w:rsidR="00885C9E">
          <w:rPr>
            <w:noProof/>
            <w:webHidden/>
          </w:rPr>
          <w:t>66</w:t>
        </w:r>
        <w:r>
          <w:rPr>
            <w:noProof/>
            <w:webHidden/>
          </w:rPr>
          <w:fldChar w:fldCharType="end"/>
        </w:r>
      </w:hyperlink>
    </w:p>
    <w:p w:rsidR="00AD3F10" w:rsidRDefault="00177749" w:rsidP="00AD3F10">
      <w:pPr>
        <w:pStyle w:val="TableofFigures"/>
        <w:tabs>
          <w:tab w:val="right" w:leader="dot" w:pos="9350"/>
        </w:tabs>
        <w:spacing w:line="480" w:lineRule="auto"/>
        <w:rPr>
          <w:rFonts w:asciiTheme="minorHAnsi" w:eastAsiaTheme="minorEastAsia" w:hAnsiTheme="minorHAnsi" w:cstheme="minorBidi"/>
          <w:caps w:val="0"/>
          <w:noProof/>
          <w:sz w:val="22"/>
          <w:szCs w:val="22"/>
        </w:rPr>
      </w:pPr>
      <w:hyperlink w:anchor="_Toc425427059" w:history="1">
        <w:r w:rsidR="00AD3F10" w:rsidRPr="00203050">
          <w:rPr>
            <w:rStyle w:val="Hyperlink"/>
            <w:noProof/>
          </w:rPr>
          <w:t xml:space="preserve">Table 3: SW </w:t>
        </w:r>
        <w:r w:rsidR="00AD3F10" w:rsidRPr="00203050">
          <w:rPr>
            <w:rStyle w:val="Hyperlink"/>
            <w:i/>
            <w:noProof/>
          </w:rPr>
          <w:t>W</w:t>
        </w:r>
        <w:r w:rsidR="00AD3F10" w:rsidRPr="00203050">
          <w:rPr>
            <w:rStyle w:val="Hyperlink"/>
            <w:noProof/>
          </w:rPr>
          <w:t xml:space="preserve"> statistic used to test if the BC parameters come from a normal distribution before employing trend surface analysis and moving forward with the kriging analyses</w:t>
        </w:r>
        <w:r w:rsidR="00AD3F10">
          <w:rPr>
            <w:noProof/>
            <w:webHidden/>
          </w:rPr>
          <w:tab/>
        </w:r>
        <w:r>
          <w:rPr>
            <w:noProof/>
            <w:webHidden/>
          </w:rPr>
          <w:fldChar w:fldCharType="begin"/>
        </w:r>
        <w:r w:rsidR="00AD3F10">
          <w:rPr>
            <w:noProof/>
            <w:webHidden/>
          </w:rPr>
          <w:instrText xml:space="preserve"> PAGEREF _Toc425427059 \h </w:instrText>
        </w:r>
        <w:r>
          <w:rPr>
            <w:noProof/>
            <w:webHidden/>
          </w:rPr>
        </w:r>
        <w:r>
          <w:rPr>
            <w:noProof/>
            <w:webHidden/>
          </w:rPr>
          <w:fldChar w:fldCharType="separate"/>
        </w:r>
        <w:r w:rsidR="00885C9E">
          <w:rPr>
            <w:noProof/>
            <w:webHidden/>
          </w:rPr>
          <w:t>66</w:t>
        </w:r>
        <w:r>
          <w:rPr>
            <w:noProof/>
            <w:webHidden/>
          </w:rPr>
          <w:fldChar w:fldCharType="end"/>
        </w:r>
      </w:hyperlink>
    </w:p>
    <w:p w:rsidR="00AD3F10" w:rsidRDefault="00177749" w:rsidP="00AD3F10">
      <w:pPr>
        <w:pStyle w:val="TableofFigures"/>
        <w:tabs>
          <w:tab w:val="right" w:leader="dot" w:pos="9350"/>
        </w:tabs>
        <w:spacing w:line="480" w:lineRule="auto"/>
        <w:rPr>
          <w:rFonts w:asciiTheme="minorHAnsi" w:eastAsiaTheme="minorEastAsia" w:hAnsiTheme="minorHAnsi" w:cstheme="minorBidi"/>
          <w:caps w:val="0"/>
          <w:noProof/>
          <w:sz w:val="22"/>
          <w:szCs w:val="22"/>
        </w:rPr>
      </w:pPr>
      <w:hyperlink w:anchor="_Toc425427060" w:history="1">
        <w:r w:rsidR="00AD3F10" w:rsidRPr="00203050">
          <w:rPr>
            <w:rStyle w:val="Hyperlink"/>
            <w:noProof/>
          </w:rPr>
          <w:t>Table 4: KW results for sample intervals in the x-direction</w:t>
        </w:r>
        <w:r w:rsidR="00AD3F10">
          <w:rPr>
            <w:noProof/>
            <w:webHidden/>
          </w:rPr>
          <w:tab/>
        </w:r>
        <w:r>
          <w:rPr>
            <w:noProof/>
            <w:webHidden/>
          </w:rPr>
          <w:fldChar w:fldCharType="begin"/>
        </w:r>
        <w:r w:rsidR="00AD3F10">
          <w:rPr>
            <w:noProof/>
            <w:webHidden/>
          </w:rPr>
          <w:instrText xml:space="preserve"> PAGEREF _Toc425427060 \h </w:instrText>
        </w:r>
        <w:r>
          <w:rPr>
            <w:noProof/>
            <w:webHidden/>
          </w:rPr>
        </w:r>
        <w:r>
          <w:rPr>
            <w:noProof/>
            <w:webHidden/>
          </w:rPr>
          <w:fldChar w:fldCharType="separate"/>
        </w:r>
        <w:r w:rsidR="00885C9E">
          <w:rPr>
            <w:noProof/>
            <w:webHidden/>
          </w:rPr>
          <w:t>66</w:t>
        </w:r>
        <w:r>
          <w:rPr>
            <w:noProof/>
            <w:webHidden/>
          </w:rPr>
          <w:fldChar w:fldCharType="end"/>
        </w:r>
      </w:hyperlink>
    </w:p>
    <w:p w:rsidR="00AD3F10" w:rsidRDefault="00177749" w:rsidP="00AD3F10">
      <w:pPr>
        <w:pStyle w:val="TableofFigures"/>
        <w:tabs>
          <w:tab w:val="right" w:leader="dot" w:pos="9350"/>
        </w:tabs>
        <w:spacing w:line="480" w:lineRule="auto"/>
        <w:rPr>
          <w:rFonts w:asciiTheme="minorHAnsi" w:eastAsiaTheme="minorEastAsia" w:hAnsiTheme="minorHAnsi" w:cstheme="minorBidi"/>
          <w:caps w:val="0"/>
          <w:noProof/>
          <w:sz w:val="22"/>
          <w:szCs w:val="22"/>
        </w:rPr>
      </w:pPr>
      <w:hyperlink w:anchor="_Toc425427061" w:history="1">
        <w:r w:rsidR="00AD3F10" w:rsidRPr="00203050">
          <w:rPr>
            <w:rStyle w:val="Hyperlink"/>
            <w:noProof/>
          </w:rPr>
          <w:t>Table 5: KW results for sample intervals in the y-direction</w:t>
        </w:r>
        <w:r w:rsidR="00AD3F10">
          <w:rPr>
            <w:noProof/>
            <w:webHidden/>
          </w:rPr>
          <w:tab/>
        </w:r>
        <w:r>
          <w:rPr>
            <w:noProof/>
            <w:webHidden/>
          </w:rPr>
          <w:fldChar w:fldCharType="begin"/>
        </w:r>
        <w:r w:rsidR="00AD3F10">
          <w:rPr>
            <w:noProof/>
            <w:webHidden/>
          </w:rPr>
          <w:instrText xml:space="preserve"> PAGEREF _Toc425427061 \h </w:instrText>
        </w:r>
        <w:r>
          <w:rPr>
            <w:noProof/>
            <w:webHidden/>
          </w:rPr>
        </w:r>
        <w:r>
          <w:rPr>
            <w:noProof/>
            <w:webHidden/>
          </w:rPr>
          <w:fldChar w:fldCharType="separate"/>
        </w:r>
        <w:r w:rsidR="00885C9E">
          <w:rPr>
            <w:noProof/>
            <w:webHidden/>
          </w:rPr>
          <w:t>67</w:t>
        </w:r>
        <w:r>
          <w:rPr>
            <w:noProof/>
            <w:webHidden/>
          </w:rPr>
          <w:fldChar w:fldCharType="end"/>
        </w:r>
      </w:hyperlink>
    </w:p>
    <w:p w:rsidR="00AD3F10" w:rsidRDefault="00177749" w:rsidP="00AD3F10">
      <w:pPr>
        <w:pStyle w:val="TableofFigures"/>
        <w:tabs>
          <w:tab w:val="right" w:leader="dot" w:pos="9350"/>
        </w:tabs>
        <w:spacing w:line="480" w:lineRule="auto"/>
        <w:rPr>
          <w:rFonts w:asciiTheme="minorHAnsi" w:eastAsiaTheme="minorEastAsia" w:hAnsiTheme="minorHAnsi" w:cstheme="minorBidi"/>
          <w:caps w:val="0"/>
          <w:noProof/>
          <w:sz w:val="22"/>
          <w:szCs w:val="22"/>
        </w:rPr>
      </w:pPr>
      <w:hyperlink w:anchor="_Toc425427062" w:history="1">
        <w:r w:rsidR="00AD3F10" w:rsidRPr="00203050">
          <w:rPr>
            <w:rStyle w:val="Hyperlink"/>
            <w:noProof/>
          </w:rPr>
          <w:t>Table 6: Trend surface analysis results used to identify significant trends in the BC parameters before kriging</w:t>
        </w:r>
        <w:r w:rsidR="00AD3F10">
          <w:rPr>
            <w:noProof/>
            <w:webHidden/>
          </w:rPr>
          <w:tab/>
        </w:r>
        <w:r>
          <w:rPr>
            <w:noProof/>
            <w:webHidden/>
          </w:rPr>
          <w:fldChar w:fldCharType="begin"/>
        </w:r>
        <w:r w:rsidR="00AD3F10">
          <w:rPr>
            <w:noProof/>
            <w:webHidden/>
          </w:rPr>
          <w:instrText xml:space="preserve"> PAGEREF _Toc425427062 \h </w:instrText>
        </w:r>
        <w:r>
          <w:rPr>
            <w:noProof/>
            <w:webHidden/>
          </w:rPr>
        </w:r>
        <w:r>
          <w:rPr>
            <w:noProof/>
            <w:webHidden/>
          </w:rPr>
          <w:fldChar w:fldCharType="separate"/>
        </w:r>
        <w:r w:rsidR="00885C9E">
          <w:rPr>
            <w:noProof/>
            <w:webHidden/>
          </w:rPr>
          <w:t>67</w:t>
        </w:r>
        <w:r>
          <w:rPr>
            <w:noProof/>
            <w:webHidden/>
          </w:rPr>
          <w:fldChar w:fldCharType="end"/>
        </w:r>
      </w:hyperlink>
    </w:p>
    <w:p w:rsidR="00AD3F10" w:rsidRDefault="00177749" w:rsidP="00AD3F10">
      <w:pPr>
        <w:pStyle w:val="TableofFigures"/>
        <w:tabs>
          <w:tab w:val="right" w:leader="dot" w:pos="9350"/>
        </w:tabs>
        <w:spacing w:line="480" w:lineRule="auto"/>
        <w:rPr>
          <w:rFonts w:asciiTheme="minorHAnsi" w:eastAsiaTheme="minorEastAsia" w:hAnsiTheme="minorHAnsi" w:cstheme="minorBidi"/>
          <w:caps w:val="0"/>
          <w:noProof/>
          <w:sz w:val="22"/>
          <w:szCs w:val="22"/>
        </w:rPr>
      </w:pPr>
      <w:hyperlink w:anchor="_Toc425427063" w:history="1">
        <w:r w:rsidR="00AD3F10" w:rsidRPr="00203050">
          <w:rPr>
            <w:rStyle w:val="Hyperlink"/>
            <w:noProof/>
          </w:rPr>
          <w:t>Table 7: t-values listed with their corresponding significance levels to determine specific trend directions</w:t>
        </w:r>
        <w:r w:rsidR="00AD3F10">
          <w:rPr>
            <w:noProof/>
            <w:webHidden/>
          </w:rPr>
          <w:tab/>
        </w:r>
        <w:r>
          <w:rPr>
            <w:noProof/>
            <w:webHidden/>
          </w:rPr>
          <w:fldChar w:fldCharType="begin"/>
        </w:r>
        <w:r w:rsidR="00AD3F10">
          <w:rPr>
            <w:noProof/>
            <w:webHidden/>
          </w:rPr>
          <w:instrText xml:space="preserve"> PAGEREF _Toc425427063 \h </w:instrText>
        </w:r>
        <w:r>
          <w:rPr>
            <w:noProof/>
            <w:webHidden/>
          </w:rPr>
        </w:r>
        <w:r>
          <w:rPr>
            <w:noProof/>
            <w:webHidden/>
          </w:rPr>
          <w:fldChar w:fldCharType="separate"/>
        </w:r>
        <w:r w:rsidR="00885C9E">
          <w:rPr>
            <w:noProof/>
            <w:webHidden/>
          </w:rPr>
          <w:t>67</w:t>
        </w:r>
        <w:r>
          <w:rPr>
            <w:noProof/>
            <w:webHidden/>
          </w:rPr>
          <w:fldChar w:fldCharType="end"/>
        </w:r>
      </w:hyperlink>
    </w:p>
    <w:p w:rsidR="00AD3F10" w:rsidRDefault="00177749" w:rsidP="00AD3F10">
      <w:pPr>
        <w:pStyle w:val="TableofFigures"/>
        <w:tabs>
          <w:tab w:val="right" w:leader="dot" w:pos="9350"/>
        </w:tabs>
        <w:spacing w:line="480" w:lineRule="auto"/>
        <w:rPr>
          <w:rFonts w:asciiTheme="minorHAnsi" w:eastAsiaTheme="minorEastAsia" w:hAnsiTheme="minorHAnsi" w:cstheme="minorBidi"/>
          <w:caps w:val="0"/>
          <w:noProof/>
          <w:sz w:val="22"/>
          <w:szCs w:val="22"/>
        </w:rPr>
      </w:pPr>
      <w:hyperlink w:anchor="_Toc425427064" w:history="1">
        <w:r w:rsidR="00AD3F10" w:rsidRPr="00203050">
          <w:rPr>
            <w:rStyle w:val="Hyperlink"/>
            <w:noProof/>
          </w:rPr>
          <w:t>Table 8: Descriptive statistics of trend surface residuals, very small mean values signify successful removal of trends within the BC parameters.</w:t>
        </w:r>
        <w:r w:rsidR="00AD3F10">
          <w:rPr>
            <w:noProof/>
            <w:webHidden/>
          </w:rPr>
          <w:tab/>
        </w:r>
        <w:r>
          <w:rPr>
            <w:noProof/>
            <w:webHidden/>
          </w:rPr>
          <w:fldChar w:fldCharType="begin"/>
        </w:r>
        <w:r w:rsidR="00AD3F10">
          <w:rPr>
            <w:noProof/>
            <w:webHidden/>
          </w:rPr>
          <w:instrText xml:space="preserve"> PAGEREF _Toc425427064 \h </w:instrText>
        </w:r>
        <w:r>
          <w:rPr>
            <w:noProof/>
            <w:webHidden/>
          </w:rPr>
        </w:r>
        <w:r>
          <w:rPr>
            <w:noProof/>
            <w:webHidden/>
          </w:rPr>
          <w:fldChar w:fldCharType="separate"/>
        </w:r>
        <w:r w:rsidR="00885C9E">
          <w:rPr>
            <w:noProof/>
            <w:webHidden/>
          </w:rPr>
          <w:t>67</w:t>
        </w:r>
        <w:r>
          <w:rPr>
            <w:noProof/>
            <w:webHidden/>
          </w:rPr>
          <w:fldChar w:fldCharType="end"/>
        </w:r>
      </w:hyperlink>
    </w:p>
    <w:p w:rsidR="00AD3F10" w:rsidRDefault="00177749" w:rsidP="00AD3F10">
      <w:pPr>
        <w:pStyle w:val="TableofFigures"/>
        <w:tabs>
          <w:tab w:val="right" w:leader="dot" w:pos="9350"/>
        </w:tabs>
        <w:spacing w:line="480" w:lineRule="auto"/>
        <w:rPr>
          <w:rFonts w:asciiTheme="minorHAnsi" w:eastAsiaTheme="minorEastAsia" w:hAnsiTheme="minorHAnsi" w:cstheme="minorBidi"/>
          <w:caps w:val="0"/>
          <w:noProof/>
          <w:sz w:val="22"/>
          <w:szCs w:val="22"/>
        </w:rPr>
      </w:pPr>
      <w:hyperlink w:anchor="_Toc425427065" w:history="1">
        <w:r w:rsidR="00AD3F10" w:rsidRPr="00203050">
          <w:rPr>
            <w:rStyle w:val="Hyperlink"/>
            <w:noProof/>
          </w:rPr>
          <w:t xml:space="preserve">Table 9: SW </w:t>
        </w:r>
        <w:r w:rsidR="00AD3F10" w:rsidRPr="00203050">
          <w:rPr>
            <w:rStyle w:val="Hyperlink"/>
            <w:i/>
            <w:noProof/>
          </w:rPr>
          <w:t>W</w:t>
        </w:r>
        <w:r w:rsidR="00AD3F10" w:rsidRPr="00203050">
          <w:rPr>
            <w:rStyle w:val="Hyperlink"/>
            <w:noProof/>
          </w:rPr>
          <w:t xml:space="preserve"> statistic and significance level for trend surface residuals before kriging, normal to near normal distributions of BC parameters before kriging will result in optimal interpolation</w:t>
        </w:r>
        <w:r w:rsidR="00AD3F10">
          <w:rPr>
            <w:noProof/>
            <w:webHidden/>
          </w:rPr>
          <w:tab/>
        </w:r>
        <w:r>
          <w:rPr>
            <w:noProof/>
            <w:webHidden/>
          </w:rPr>
          <w:fldChar w:fldCharType="begin"/>
        </w:r>
        <w:r w:rsidR="00AD3F10">
          <w:rPr>
            <w:noProof/>
            <w:webHidden/>
          </w:rPr>
          <w:instrText xml:space="preserve"> PAGEREF _Toc425427065 \h </w:instrText>
        </w:r>
        <w:r>
          <w:rPr>
            <w:noProof/>
            <w:webHidden/>
          </w:rPr>
        </w:r>
        <w:r>
          <w:rPr>
            <w:noProof/>
            <w:webHidden/>
          </w:rPr>
          <w:fldChar w:fldCharType="separate"/>
        </w:r>
        <w:r w:rsidR="00885C9E">
          <w:rPr>
            <w:noProof/>
            <w:webHidden/>
          </w:rPr>
          <w:t>67</w:t>
        </w:r>
        <w:r>
          <w:rPr>
            <w:noProof/>
            <w:webHidden/>
          </w:rPr>
          <w:fldChar w:fldCharType="end"/>
        </w:r>
      </w:hyperlink>
    </w:p>
    <w:p w:rsidR="00AD3F10" w:rsidRDefault="00177749" w:rsidP="00AD3F10">
      <w:pPr>
        <w:pStyle w:val="TableofFigures"/>
        <w:tabs>
          <w:tab w:val="right" w:leader="dot" w:pos="9350"/>
        </w:tabs>
        <w:spacing w:line="480" w:lineRule="auto"/>
        <w:rPr>
          <w:rFonts w:asciiTheme="minorHAnsi" w:eastAsiaTheme="minorEastAsia" w:hAnsiTheme="minorHAnsi" w:cstheme="minorBidi"/>
          <w:caps w:val="0"/>
          <w:noProof/>
          <w:sz w:val="22"/>
          <w:szCs w:val="22"/>
        </w:rPr>
      </w:pPr>
      <w:hyperlink w:anchor="_Toc425427066" w:history="1">
        <w:r w:rsidR="00AD3F10" w:rsidRPr="00203050">
          <w:rPr>
            <w:rStyle w:val="Hyperlink"/>
            <w:noProof/>
          </w:rPr>
          <w:t>Table 10: Semivariogram model results computed for residual BC parameters</w:t>
        </w:r>
        <w:r w:rsidR="00AD3F10">
          <w:rPr>
            <w:noProof/>
            <w:webHidden/>
          </w:rPr>
          <w:tab/>
        </w:r>
        <w:r>
          <w:rPr>
            <w:noProof/>
            <w:webHidden/>
          </w:rPr>
          <w:fldChar w:fldCharType="begin"/>
        </w:r>
        <w:r w:rsidR="00AD3F10">
          <w:rPr>
            <w:noProof/>
            <w:webHidden/>
          </w:rPr>
          <w:instrText xml:space="preserve"> PAGEREF _Toc425427066 \h </w:instrText>
        </w:r>
        <w:r>
          <w:rPr>
            <w:noProof/>
            <w:webHidden/>
          </w:rPr>
        </w:r>
        <w:r>
          <w:rPr>
            <w:noProof/>
            <w:webHidden/>
          </w:rPr>
          <w:fldChar w:fldCharType="separate"/>
        </w:r>
        <w:r w:rsidR="00885C9E">
          <w:rPr>
            <w:noProof/>
            <w:webHidden/>
          </w:rPr>
          <w:t>68</w:t>
        </w:r>
        <w:r>
          <w:rPr>
            <w:noProof/>
            <w:webHidden/>
          </w:rPr>
          <w:fldChar w:fldCharType="end"/>
        </w:r>
      </w:hyperlink>
    </w:p>
    <w:p w:rsidR="00AD3F10" w:rsidRDefault="00177749" w:rsidP="00AD3F10">
      <w:pPr>
        <w:pStyle w:val="TableofFigures"/>
        <w:tabs>
          <w:tab w:val="right" w:leader="dot" w:pos="9350"/>
        </w:tabs>
        <w:spacing w:line="480" w:lineRule="auto"/>
        <w:rPr>
          <w:rFonts w:asciiTheme="minorHAnsi" w:eastAsiaTheme="minorEastAsia" w:hAnsiTheme="minorHAnsi" w:cstheme="minorBidi"/>
          <w:caps w:val="0"/>
          <w:noProof/>
          <w:sz w:val="22"/>
          <w:szCs w:val="22"/>
        </w:rPr>
      </w:pPr>
      <w:hyperlink w:anchor="_Toc425427067" w:history="1">
        <w:r w:rsidR="00AD3F10" w:rsidRPr="00203050">
          <w:rPr>
            <w:rStyle w:val="Hyperlink"/>
            <w:noProof/>
          </w:rPr>
          <w:t>Table 11: Semivariogram model results computed for observed BC parameters</w:t>
        </w:r>
        <w:r w:rsidR="00AD3F10">
          <w:rPr>
            <w:noProof/>
            <w:webHidden/>
          </w:rPr>
          <w:tab/>
        </w:r>
        <w:r>
          <w:rPr>
            <w:noProof/>
            <w:webHidden/>
          </w:rPr>
          <w:fldChar w:fldCharType="begin"/>
        </w:r>
        <w:r w:rsidR="00AD3F10">
          <w:rPr>
            <w:noProof/>
            <w:webHidden/>
          </w:rPr>
          <w:instrText xml:space="preserve"> PAGEREF _Toc425427067 \h </w:instrText>
        </w:r>
        <w:r>
          <w:rPr>
            <w:noProof/>
            <w:webHidden/>
          </w:rPr>
        </w:r>
        <w:r>
          <w:rPr>
            <w:noProof/>
            <w:webHidden/>
          </w:rPr>
          <w:fldChar w:fldCharType="separate"/>
        </w:r>
        <w:r w:rsidR="00885C9E">
          <w:rPr>
            <w:noProof/>
            <w:webHidden/>
          </w:rPr>
          <w:t>68</w:t>
        </w:r>
        <w:r>
          <w:rPr>
            <w:noProof/>
            <w:webHidden/>
          </w:rPr>
          <w:fldChar w:fldCharType="end"/>
        </w:r>
      </w:hyperlink>
    </w:p>
    <w:p w:rsidR="00AD3F10" w:rsidRDefault="00177749" w:rsidP="00AD3F10">
      <w:pPr>
        <w:pStyle w:val="TableofFigures"/>
        <w:tabs>
          <w:tab w:val="right" w:leader="dot" w:pos="9350"/>
        </w:tabs>
        <w:spacing w:line="480" w:lineRule="auto"/>
        <w:rPr>
          <w:rFonts w:asciiTheme="minorHAnsi" w:eastAsiaTheme="minorEastAsia" w:hAnsiTheme="minorHAnsi" w:cstheme="minorBidi"/>
          <w:caps w:val="0"/>
          <w:noProof/>
          <w:sz w:val="22"/>
          <w:szCs w:val="22"/>
        </w:rPr>
      </w:pPr>
      <w:hyperlink w:anchor="_Toc425427068" w:history="1">
        <w:r w:rsidR="00AD3F10" w:rsidRPr="00203050">
          <w:rPr>
            <w:rStyle w:val="Hyperlink"/>
            <w:noProof/>
          </w:rPr>
          <w:t xml:space="preserve">Table 12: Cross-variogram with spherical model computed for the residual values of </w:t>
        </w:r>
        <w:r w:rsidR="00AD3F10" w:rsidRPr="00203050">
          <w:rPr>
            <w:rStyle w:val="Hyperlink"/>
            <w:i/>
            <w:noProof/>
          </w:rPr>
          <w:t>ψ</w:t>
        </w:r>
        <w:r w:rsidR="00AD3F10" w:rsidRPr="00203050">
          <w:rPr>
            <w:rStyle w:val="Hyperlink"/>
            <w:i/>
            <w:noProof/>
            <w:vertAlign w:val="subscript"/>
          </w:rPr>
          <w:t>a</w:t>
        </w:r>
        <w:r w:rsidR="00AD3F10" w:rsidRPr="00203050">
          <w:rPr>
            <w:rStyle w:val="Hyperlink"/>
            <w:noProof/>
          </w:rPr>
          <w:t xml:space="preserve"> versus </w:t>
        </w:r>
        <w:r w:rsidR="00AD3F10" w:rsidRPr="00203050">
          <w:rPr>
            <w:rStyle w:val="Hyperlink"/>
            <w:i/>
            <w:noProof/>
          </w:rPr>
          <w:t>Ѳ</w:t>
        </w:r>
        <w:r w:rsidR="00AD3F10" w:rsidRPr="00203050">
          <w:rPr>
            <w:rStyle w:val="Hyperlink"/>
            <w:i/>
            <w:noProof/>
            <w:vertAlign w:val="subscript"/>
          </w:rPr>
          <w:t>s</w:t>
        </w:r>
        <w:r w:rsidR="00AD3F10" w:rsidRPr="00203050">
          <w:rPr>
            <w:rStyle w:val="Hyperlink"/>
            <w:noProof/>
          </w:rPr>
          <w:t>.</w:t>
        </w:r>
        <w:r w:rsidR="00AD3F10">
          <w:rPr>
            <w:noProof/>
            <w:webHidden/>
          </w:rPr>
          <w:tab/>
        </w:r>
        <w:r>
          <w:rPr>
            <w:noProof/>
            <w:webHidden/>
          </w:rPr>
          <w:fldChar w:fldCharType="begin"/>
        </w:r>
        <w:r w:rsidR="00AD3F10">
          <w:rPr>
            <w:noProof/>
            <w:webHidden/>
          </w:rPr>
          <w:instrText xml:space="preserve"> PAGEREF _Toc425427068 \h </w:instrText>
        </w:r>
        <w:r>
          <w:rPr>
            <w:noProof/>
            <w:webHidden/>
          </w:rPr>
        </w:r>
        <w:r>
          <w:rPr>
            <w:noProof/>
            <w:webHidden/>
          </w:rPr>
          <w:fldChar w:fldCharType="separate"/>
        </w:r>
        <w:r w:rsidR="00885C9E">
          <w:rPr>
            <w:noProof/>
            <w:webHidden/>
          </w:rPr>
          <w:t>68</w:t>
        </w:r>
        <w:r>
          <w:rPr>
            <w:noProof/>
            <w:webHidden/>
          </w:rPr>
          <w:fldChar w:fldCharType="end"/>
        </w:r>
      </w:hyperlink>
    </w:p>
    <w:p w:rsidR="00AD3F10" w:rsidRDefault="00177749" w:rsidP="00AD3F10">
      <w:pPr>
        <w:pStyle w:val="TableofFigures"/>
        <w:tabs>
          <w:tab w:val="right" w:leader="dot" w:pos="9350"/>
        </w:tabs>
        <w:spacing w:line="480" w:lineRule="auto"/>
        <w:rPr>
          <w:rFonts w:asciiTheme="minorHAnsi" w:eastAsiaTheme="minorEastAsia" w:hAnsiTheme="minorHAnsi" w:cstheme="minorBidi"/>
          <w:caps w:val="0"/>
          <w:noProof/>
          <w:sz w:val="22"/>
          <w:szCs w:val="22"/>
        </w:rPr>
      </w:pPr>
      <w:hyperlink w:anchor="_Toc425427069" w:history="1">
        <w:r w:rsidR="00AD3F10" w:rsidRPr="00203050">
          <w:rPr>
            <w:rStyle w:val="Hyperlink"/>
            <w:noProof/>
          </w:rPr>
          <w:t xml:space="preserve">Table 13: CV results for </w:t>
        </w:r>
        <w:r w:rsidR="00AD3F10" w:rsidRPr="00203050">
          <w:rPr>
            <w:rStyle w:val="Hyperlink"/>
            <w:i/>
            <w:noProof/>
          </w:rPr>
          <w:t>ψ</w:t>
        </w:r>
        <w:r w:rsidR="00AD3F10" w:rsidRPr="00203050">
          <w:rPr>
            <w:rStyle w:val="Hyperlink"/>
            <w:i/>
            <w:noProof/>
            <w:vertAlign w:val="subscript"/>
          </w:rPr>
          <w:t>a</w:t>
        </w:r>
        <w:r w:rsidR="00AD3F10" w:rsidRPr="00203050">
          <w:rPr>
            <w:rStyle w:val="Hyperlink"/>
            <w:noProof/>
          </w:rPr>
          <w:t xml:space="preserve"> – compares different kriging methods and their semivariogram model which resulted in the best prediction accuracy as indicated by r and NRMSE</w:t>
        </w:r>
        <w:r w:rsidR="00AD3F10">
          <w:rPr>
            <w:noProof/>
            <w:webHidden/>
          </w:rPr>
          <w:tab/>
        </w:r>
        <w:r>
          <w:rPr>
            <w:noProof/>
            <w:webHidden/>
          </w:rPr>
          <w:fldChar w:fldCharType="begin"/>
        </w:r>
        <w:r w:rsidR="00AD3F10">
          <w:rPr>
            <w:noProof/>
            <w:webHidden/>
          </w:rPr>
          <w:instrText xml:space="preserve"> PAGEREF _Toc425427069 \h </w:instrText>
        </w:r>
        <w:r>
          <w:rPr>
            <w:noProof/>
            <w:webHidden/>
          </w:rPr>
        </w:r>
        <w:r>
          <w:rPr>
            <w:noProof/>
            <w:webHidden/>
          </w:rPr>
          <w:fldChar w:fldCharType="separate"/>
        </w:r>
        <w:r w:rsidR="00885C9E">
          <w:rPr>
            <w:noProof/>
            <w:webHidden/>
          </w:rPr>
          <w:t>68</w:t>
        </w:r>
        <w:r>
          <w:rPr>
            <w:noProof/>
            <w:webHidden/>
          </w:rPr>
          <w:fldChar w:fldCharType="end"/>
        </w:r>
      </w:hyperlink>
    </w:p>
    <w:p w:rsidR="00AD3F10" w:rsidRDefault="00177749" w:rsidP="00AD3F10">
      <w:pPr>
        <w:pStyle w:val="TableofFigures"/>
        <w:tabs>
          <w:tab w:val="right" w:leader="dot" w:pos="9350"/>
        </w:tabs>
        <w:spacing w:line="480" w:lineRule="auto"/>
        <w:rPr>
          <w:rFonts w:asciiTheme="minorHAnsi" w:eastAsiaTheme="minorEastAsia" w:hAnsiTheme="minorHAnsi" w:cstheme="minorBidi"/>
          <w:caps w:val="0"/>
          <w:noProof/>
          <w:sz w:val="22"/>
          <w:szCs w:val="22"/>
        </w:rPr>
      </w:pPr>
      <w:hyperlink w:anchor="_Toc425427070" w:history="1">
        <w:r w:rsidR="00AD3F10" w:rsidRPr="00203050">
          <w:rPr>
            <w:rStyle w:val="Hyperlink"/>
            <w:noProof/>
          </w:rPr>
          <w:t xml:space="preserve">Table 14: CV results for </w:t>
        </w:r>
        <w:r w:rsidR="00AD3F10" w:rsidRPr="00203050">
          <w:rPr>
            <w:rStyle w:val="Hyperlink"/>
            <w:i/>
            <w:noProof/>
          </w:rPr>
          <w:t>Ѳ</w:t>
        </w:r>
        <w:r w:rsidR="00AD3F10" w:rsidRPr="00203050">
          <w:rPr>
            <w:rStyle w:val="Hyperlink"/>
            <w:i/>
            <w:noProof/>
            <w:vertAlign w:val="subscript"/>
          </w:rPr>
          <w:t>s</w:t>
        </w:r>
        <w:r w:rsidR="00AD3F10" w:rsidRPr="00203050">
          <w:rPr>
            <w:rStyle w:val="Hyperlink"/>
            <w:noProof/>
          </w:rPr>
          <w:t xml:space="preserve"> – compares different kriging methods and their semivariogram model which resulted in the best prediction accuracy as indicated by r and NRMSE</w:t>
        </w:r>
        <w:r w:rsidR="00AD3F10">
          <w:rPr>
            <w:noProof/>
            <w:webHidden/>
          </w:rPr>
          <w:tab/>
        </w:r>
        <w:r>
          <w:rPr>
            <w:noProof/>
            <w:webHidden/>
          </w:rPr>
          <w:fldChar w:fldCharType="begin"/>
        </w:r>
        <w:r w:rsidR="00AD3F10">
          <w:rPr>
            <w:noProof/>
            <w:webHidden/>
          </w:rPr>
          <w:instrText xml:space="preserve"> PAGEREF _Toc425427070 \h </w:instrText>
        </w:r>
        <w:r>
          <w:rPr>
            <w:noProof/>
            <w:webHidden/>
          </w:rPr>
        </w:r>
        <w:r>
          <w:rPr>
            <w:noProof/>
            <w:webHidden/>
          </w:rPr>
          <w:fldChar w:fldCharType="separate"/>
        </w:r>
        <w:r w:rsidR="00885C9E">
          <w:rPr>
            <w:noProof/>
            <w:webHidden/>
          </w:rPr>
          <w:t>68</w:t>
        </w:r>
        <w:r>
          <w:rPr>
            <w:noProof/>
            <w:webHidden/>
          </w:rPr>
          <w:fldChar w:fldCharType="end"/>
        </w:r>
      </w:hyperlink>
    </w:p>
    <w:p w:rsidR="00AD3F10" w:rsidRDefault="00177749" w:rsidP="00AD3F10">
      <w:pPr>
        <w:pStyle w:val="TableofFigures"/>
        <w:tabs>
          <w:tab w:val="right" w:leader="dot" w:pos="9350"/>
        </w:tabs>
        <w:spacing w:line="480" w:lineRule="auto"/>
        <w:rPr>
          <w:rFonts w:asciiTheme="minorHAnsi" w:eastAsiaTheme="minorEastAsia" w:hAnsiTheme="minorHAnsi" w:cstheme="minorBidi"/>
          <w:caps w:val="0"/>
          <w:noProof/>
          <w:sz w:val="22"/>
          <w:szCs w:val="22"/>
        </w:rPr>
      </w:pPr>
      <w:hyperlink w:anchor="_Toc425427071" w:history="1">
        <w:r w:rsidR="00AD3F10" w:rsidRPr="00203050">
          <w:rPr>
            <w:rStyle w:val="Hyperlink"/>
            <w:noProof/>
          </w:rPr>
          <w:t xml:space="preserve">Table 15: Presents the results of the kriging form with the best prediction accuracy for </w:t>
        </w:r>
        <w:r w:rsidR="00AD3F10" w:rsidRPr="00203050">
          <w:rPr>
            <w:rStyle w:val="Hyperlink"/>
            <w:i/>
            <w:noProof/>
          </w:rPr>
          <w:t>ψ</w:t>
        </w:r>
        <w:r w:rsidR="00AD3F10" w:rsidRPr="00203050">
          <w:rPr>
            <w:rStyle w:val="Hyperlink"/>
            <w:i/>
            <w:noProof/>
            <w:vertAlign w:val="subscript"/>
          </w:rPr>
          <w:t>a</w:t>
        </w:r>
        <w:r w:rsidR="00AD3F10">
          <w:rPr>
            <w:noProof/>
            <w:webHidden/>
          </w:rPr>
          <w:tab/>
        </w:r>
        <w:r>
          <w:rPr>
            <w:noProof/>
            <w:webHidden/>
          </w:rPr>
          <w:fldChar w:fldCharType="begin"/>
        </w:r>
        <w:r w:rsidR="00AD3F10">
          <w:rPr>
            <w:noProof/>
            <w:webHidden/>
          </w:rPr>
          <w:instrText xml:space="preserve"> PAGEREF _Toc425427071 \h </w:instrText>
        </w:r>
        <w:r>
          <w:rPr>
            <w:noProof/>
            <w:webHidden/>
          </w:rPr>
        </w:r>
        <w:r>
          <w:rPr>
            <w:noProof/>
            <w:webHidden/>
          </w:rPr>
          <w:fldChar w:fldCharType="separate"/>
        </w:r>
        <w:r w:rsidR="00885C9E">
          <w:rPr>
            <w:noProof/>
            <w:webHidden/>
          </w:rPr>
          <w:t>69</w:t>
        </w:r>
        <w:r>
          <w:rPr>
            <w:noProof/>
            <w:webHidden/>
          </w:rPr>
          <w:fldChar w:fldCharType="end"/>
        </w:r>
      </w:hyperlink>
    </w:p>
    <w:p w:rsidR="00AD3F10" w:rsidRDefault="00177749" w:rsidP="00AD3F10">
      <w:pPr>
        <w:pStyle w:val="TableofFigures"/>
        <w:tabs>
          <w:tab w:val="right" w:leader="dot" w:pos="9350"/>
        </w:tabs>
        <w:spacing w:line="480" w:lineRule="auto"/>
        <w:rPr>
          <w:rFonts w:asciiTheme="minorHAnsi" w:eastAsiaTheme="minorEastAsia" w:hAnsiTheme="minorHAnsi" w:cstheme="minorBidi"/>
          <w:caps w:val="0"/>
          <w:noProof/>
          <w:sz w:val="22"/>
          <w:szCs w:val="22"/>
        </w:rPr>
      </w:pPr>
      <w:hyperlink w:anchor="_Toc425427072" w:history="1">
        <w:r w:rsidR="00AD3F10" w:rsidRPr="00203050">
          <w:rPr>
            <w:rStyle w:val="Hyperlink"/>
            <w:noProof/>
          </w:rPr>
          <w:t xml:space="preserve">Table 16: Presents the results of the kriging form with the best prediction accuracy for </w:t>
        </w:r>
        <w:r w:rsidR="00AD3F10" w:rsidRPr="00203050">
          <w:rPr>
            <w:rStyle w:val="Hyperlink"/>
            <w:i/>
            <w:noProof/>
          </w:rPr>
          <w:t>Ѳ</w:t>
        </w:r>
        <w:r w:rsidR="00AD3F10" w:rsidRPr="00203050">
          <w:rPr>
            <w:rStyle w:val="Hyperlink"/>
            <w:i/>
            <w:noProof/>
            <w:vertAlign w:val="subscript"/>
          </w:rPr>
          <w:t>s</w:t>
        </w:r>
        <w:r w:rsidR="00AD3F10">
          <w:rPr>
            <w:noProof/>
            <w:webHidden/>
          </w:rPr>
          <w:tab/>
        </w:r>
        <w:r>
          <w:rPr>
            <w:noProof/>
            <w:webHidden/>
          </w:rPr>
          <w:fldChar w:fldCharType="begin"/>
        </w:r>
        <w:r w:rsidR="00AD3F10">
          <w:rPr>
            <w:noProof/>
            <w:webHidden/>
          </w:rPr>
          <w:instrText xml:space="preserve"> PAGEREF _Toc425427072 \h </w:instrText>
        </w:r>
        <w:r>
          <w:rPr>
            <w:noProof/>
            <w:webHidden/>
          </w:rPr>
        </w:r>
        <w:r>
          <w:rPr>
            <w:noProof/>
            <w:webHidden/>
          </w:rPr>
          <w:fldChar w:fldCharType="separate"/>
        </w:r>
        <w:r w:rsidR="00885C9E">
          <w:rPr>
            <w:noProof/>
            <w:webHidden/>
          </w:rPr>
          <w:t>69</w:t>
        </w:r>
        <w:r>
          <w:rPr>
            <w:noProof/>
            <w:webHidden/>
          </w:rPr>
          <w:fldChar w:fldCharType="end"/>
        </w:r>
      </w:hyperlink>
    </w:p>
    <w:p w:rsidR="00AD3F10" w:rsidRDefault="00177749" w:rsidP="00AD3F10">
      <w:pPr>
        <w:pStyle w:val="TableofFigures"/>
        <w:tabs>
          <w:tab w:val="right" w:leader="dot" w:pos="9350"/>
        </w:tabs>
        <w:spacing w:line="480" w:lineRule="auto"/>
        <w:rPr>
          <w:rFonts w:asciiTheme="minorHAnsi" w:eastAsiaTheme="minorEastAsia" w:hAnsiTheme="minorHAnsi" w:cstheme="minorBidi"/>
          <w:caps w:val="0"/>
          <w:noProof/>
          <w:sz w:val="22"/>
          <w:szCs w:val="22"/>
        </w:rPr>
      </w:pPr>
      <w:hyperlink w:anchor="_Toc425427073" w:history="1">
        <w:r w:rsidR="00AD3F10" w:rsidRPr="00203050">
          <w:rPr>
            <w:rStyle w:val="Hyperlink"/>
            <w:noProof/>
          </w:rPr>
          <w:t>Table 17: Descriptive statistics of the data set generated during leave-one-out CV</w:t>
        </w:r>
        <w:r w:rsidR="00AD3F10">
          <w:rPr>
            <w:noProof/>
            <w:webHidden/>
          </w:rPr>
          <w:tab/>
        </w:r>
        <w:r>
          <w:rPr>
            <w:noProof/>
            <w:webHidden/>
          </w:rPr>
          <w:fldChar w:fldCharType="begin"/>
        </w:r>
        <w:r w:rsidR="00AD3F10">
          <w:rPr>
            <w:noProof/>
            <w:webHidden/>
          </w:rPr>
          <w:instrText xml:space="preserve"> PAGEREF _Toc425427073 \h </w:instrText>
        </w:r>
        <w:r>
          <w:rPr>
            <w:noProof/>
            <w:webHidden/>
          </w:rPr>
        </w:r>
        <w:r>
          <w:rPr>
            <w:noProof/>
            <w:webHidden/>
          </w:rPr>
          <w:fldChar w:fldCharType="separate"/>
        </w:r>
        <w:r w:rsidR="00885C9E">
          <w:rPr>
            <w:noProof/>
            <w:webHidden/>
          </w:rPr>
          <w:t>69</w:t>
        </w:r>
        <w:r>
          <w:rPr>
            <w:noProof/>
            <w:webHidden/>
          </w:rPr>
          <w:fldChar w:fldCharType="end"/>
        </w:r>
      </w:hyperlink>
    </w:p>
    <w:p w:rsidR="00AD3F10" w:rsidRDefault="00177749" w:rsidP="00AD3F10">
      <w:pPr>
        <w:pStyle w:val="TableofFigures"/>
        <w:tabs>
          <w:tab w:val="right" w:leader="dot" w:pos="9350"/>
        </w:tabs>
        <w:spacing w:line="480" w:lineRule="auto"/>
        <w:rPr>
          <w:rFonts w:asciiTheme="minorHAnsi" w:eastAsiaTheme="minorEastAsia" w:hAnsiTheme="minorHAnsi" w:cstheme="minorBidi"/>
          <w:caps w:val="0"/>
          <w:noProof/>
          <w:sz w:val="22"/>
          <w:szCs w:val="22"/>
        </w:rPr>
      </w:pPr>
      <w:hyperlink w:anchor="_Toc425427074" w:history="1">
        <w:r w:rsidR="00AD3F10" w:rsidRPr="00203050">
          <w:rPr>
            <w:rStyle w:val="Hyperlink"/>
            <w:noProof/>
          </w:rPr>
          <w:t xml:space="preserve">Table 18: SW </w:t>
        </w:r>
        <w:r w:rsidR="00AD3F10" w:rsidRPr="00203050">
          <w:rPr>
            <w:rStyle w:val="Hyperlink"/>
            <w:i/>
            <w:noProof/>
          </w:rPr>
          <w:t xml:space="preserve">W </w:t>
        </w:r>
        <w:r w:rsidR="00AD3F10" w:rsidRPr="00203050">
          <w:rPr>
            <w:rStyle w:val="Hyperlink"/>
            <w:noProof/>
          </w:rPr>
          <w:t>statistic and significance levels for the CV data set</w:t>
        </w:r>
        <w:r w:rsidR="00AD3F10">
          <w:rPr>
            <w:noProof/>
            <w:webHidden/>
          </w:rPr>
          <w:tab/>
        </w:r>
        <w:r>
          <w:rPr>
            <w:noProof/>
            <w:webHidden/>
          </w:rPr>
          <w:fldChar w:fldCharType="begin"/>
        </w:r>
        <w:r w:rsidR="00AD3F10">
          <w:rPr>
            <w:noProof/>
            <w:webHidden/>
          </w:rPr>
          <w:instrText xml:space="preserve"> PAGEREF _Toc425427074 \h </w:instrText>
        </w:r>
        <w:r>
          <w:rPr>
            <w:noProof/>
            <w:webHidden/>
          </w:rPr>
        </w:r>
        <w:r>
          <w:rPr>
            <w:noProof/>
            <w:webHidden/>
          </w:rPr>
          <w:fldChar w:fldCharType="separate"/>
        </w:r>
        <w:r w:rsidR="00885C9E">
          <w:rPr>
            <w:noProof/>
            <w:webHidden/>
          </w:rPr>
          <w:t>69</w:t>
        </w:r>
        <w:r>
          <w:rPr>
            <w:noProof/>
            <w:webHidden/>
          </w:rPr>
          <w:fldChar w:fldCharType="end"/>
        </w:r>
      </w:hyperlink>
    </w:p>
    <w:p w:rsidR="00AD3F10" w:rsidRDefault="00177749" w:rsidP="00AD3F10">
      <w:pPr>
        <w:pStyle w:val="TableofFigures"/>
        <w:tabs>
          <w:tab w:val="right" w:leader="dot" w:pos="9350"/>
        </w:tabs>
        <w:spacing w:line="480" w:lineRule="auto"/>
        <w:rPr>
          <w:rFonts w:asciiTheme="minorHAnsi" w:eastAsiaTheme="minorEastAsia" w:hAnsiTheme="minorHAnsi" w:cstheme="minorBidi"/>
          <w:caps w:val="0"/>
          <w:noProof/>
          <w:sz w:val="22"/>
          <w:szCs w:val="22"/>
        </w:rPr>
      </w:pPr>
      <w:hyperlink w:anchor="_Toc425427075" w:history="1">
        <w:r w:rsidR="00AD3F10" w:rsidRPr="00203050">
          <w:rPr>
            <w:rStyle w:val="Hyperlink"/>
            <w:noProof/>
          </w:rPr>
          <w:t>Table 19: Trend surface analysis results conducted for the CV data set to determine if the parameter contains a geographic trend</w:t>
        </w:r>
        <w:r w:rsidR="00AD3F10">
          <w:rPr>
            <w:noProof/>
            <w:webHidden/>
          </w:rPr>
          <w:tab/>
        </w:r>
        <w:r>
          <w:rPr>
            <w:noProof/>
            <w:webHidden/>
          </w:rPr>
          <w:fldChar w:fldCharType="begin"/>
        </w:r>
        <w:r w:rsidR="00AD3F10">
          <w:rPr>
            <w:noProof/>
            <w:webHidden/>
          </w:rPr>
          <w:instrText xml:space="preserve"> PAGEREF _Toc425427075 \h </w:instrText>
        </w:r>
        <w:r>
          <w:rPr>
            <w:noProof/>
            <w:webHidden/>
          </w:rPr>
        </w:r>
        <w:r>
          <w:rPr>
            <w:noProof/>
            <w:webHidden/>
          </w:rPr>
          <w:fldChar w:fldCharType="separate"/>
        </w:r>
        <w:r w:rsidR="00885C9E">
          <w:rPr>
            <w:noProof/>
            <w:webHidden/>
          </w:rPr>
          <w:t>69</w:t>
        </w:r>
        <w:r>
          <w:rPr>
            <w:noProof/>
            <w:webHidden/>
          </w:rPr>
          <w:fldChar w:fldCharType="end"/>
        </w:r>
      </w:hyperlink>
    </w:p>
    <w:p w:rsidR="00AD3F10" w:rsidRDefault="00177749" w:rsidP="00AD3F10">
      <w:pPr>
        <w:pStyle w:val="TableofFigures"/>
        <w:tabs>
          <w:tab w:val="right" w:leader="dot" w:pos="9350"/>
        </w:tabs>
        <w:spacing w:line="480" w:lineRule="auto"/>
        <w:rPr>
          <w:rFonts w:asciiTheme="minorHAnsi" w:eastAsiaTheme="minorEastAsia" w:hAnsiTheme="minorHAnsi" w:cstheme="minorBidi"/>
          <w:caps w:val="0"/>
          <w:noProof/>
          <w:sz w:val="22"/>
          <w:szCs w:val="22"/>
        </w:rPr>
      </w:pPr>
      <w:hyperlink w:anchor="_Toc425427076" w:history="1">
        <w:r w:rsidR="00AD3F10" w:rsidRPr="00203050">
          <w:rPr>
            <w:rStyle w:val="Hyperlink"/>
            <w:noProof/>
          </w:rPr>
          <w:t>Table 20: t-values used to identify specific trend directions for the CV data set</w:t>
        </w:r>
        <w:r w:rsidR="00AD3F10">
          <w:rPr>
            <w:noProof/>
            <w:webHidden/>
          </w:rPr>
          <w:tab/>
        </w:r>
        <w:r>
          <w:rPr>
            <w:noProof/>
            <w:webHidden/>
          </w:rPr>
          <w:fldChar w:fldCharType="begin"/>
        </w:r>
        <w:r w:rsidR="00AD3F10">
          <w:rPr>
            <w:noProof/>
            <w:webHidden/>
          </w:rPr>
          <w:instrText xml:space="preserve"> PAGEREF _Toc425427076 \h </w:instrText>
        </w:r>
        <w:r>
          <w:rPr>
            <w:noProof/>
            <w:webHidden/>
          </w:rPr>
        </w:r>
        <w:r>
          <w:rPr>
            <w:noProof/>
            <w:webHidden/>
          </w:rPr>
          <w:fldChar w:fldCharType="separate"/>
        </w:r>
        <w:r w:rsidR="00885C9E">
          <w:rPr>
            <w:noProof/>
            <w:webHidden/>
          </w:rPr>
          <w:t>69</w:t>
        </w:r>
        <w:r>
          <w:rPr>
            <w:noProof/>
            <w:webHidden/>
          </w:rPr>
          <w:fldChar w:fldCharType="end"/>
        </w:r>
      </w:hyperlink>
    </w:p>
    <w:p w:rsidR="00AD3F10" w:rsidRDefault="00177749" w:rsidP="00AD3F10">
      <w:pPr>
        <w:pStyle w:val="TableofFigures"/>
        <w:tabs>
          <w:tab w:val="right" w:leader="dot" w:pos="9350"/>
        </w:tabs>
        <w:spacing w:line="480" w:lineRule="auto"/>
        <w:rPr>
          <w:rFonts w:asciiTheme="minorHAnsi" w:eastAsiaTheme="minorEastAsia" w:hAnsiTheme="minorHAnsi" w:cstheme="minorBidi"/>
          <w:caps w:val="0"/>
          <w:noProof/>
          <w:sz w:val="22"/>
          <w:szCs w:val="22"/>
        </w:rPr>
      </w:pPr>
      <w:hyperlink w:anchor="_Toc425427077" w:history="1">
        <w:r w:rsidR="00AD3F10" w:rsidRPr="00203050">
          <w:rPr>
            <w:rStyle w:val="Hyperlink"/>
            <w:noProof/>
          </w:rPr>
          <w:t>Table 21: Descriptive statistics of trend surface residuals computed for the CV data set</w:t>
        </w:r>
        <w:r w:rsidR="00AD3F10">
          <w:rPr>
            <w:noProof/>
            <w:webHidden/>
          </w:rPr>
          <w:tab/>
        </w:r>
        <w:r>
          <w:rPr>
            <w:noProof/>
            <w:webHidden/>
          </w:rPr>
          <w:fldChar w:fldCharType="begin"/>
        </w:r>
        <w:r w:rsidR="00AD3F10">
          <w:rPr>
            <w:noProof/>
            <w:webHidden/>
          </w:rPr>
          <w:instrText xml:space="preserve"> PAGEREF _Toc425427077 \h </w:instrText>
        </w:r>
        <w:r>
          <w:rPr>
            <w:noProof/>
            <w:webHidden/>
          </w:rPr>
        </w:r>
        <w:r>
          <w:rPr>
            <w:noProof/>
            <w:webHidden/>
          </w:rPr>
          <w:fldChar w:fldCharType="separate"/>
        </w:r>
        <w:r w:rsidR="00885C9E">
          <w:rPr>
            <w:noProof/>
            <w:webHidden/>
          </w:rPr>
          <w:t>70</w:t>
        </w:r>
        <w:r>
          <w:rPr>
            <w:noProof/>
            <w:webHidden/>
          </w:rPr>
          <w:fldChar w:fldCharType="end"/>
        </w:r>
      </w:hyperlink>
    </w:p>
    <w:p w:rsidR="00AD3F10" w:rsidRDefault="00177749" w:rsidP="00AD3F10">
      <w:pPr>
        <w:pStyle w:val="TableofFigures"/>
        <w:tabs>
          <w:tab w:val="right" w:leader="dot" w:pos="9350"/>
        </w:tabs>
        <w:spacing w:line="480" w:lineRule="auto"/>
        <w:rPr>
          <w:rFonts w:asciiTheme="minorHAnsi" w:eastAsiaTheme="minorEastAsia" w:hAnsiTheme="minorHAnsi" w:cstheme="minorBidi"/>
          <w:caps w:val="0"/>
          <w:noProof/>
          <w:sz w:val="22"/>
          <w:szCs w:val="22"/>
        </w:rPr>
      </w:pPr>
      <w:hyperlink w:anchor="_Toc425427078" w:history="1">
        <w:r w:rsidR="00AD3F10" w:rsidRPr="00203050">
          <w:rPr>
            <w:rStyle w:val="Hyperlink"/>
            <w:noProof/>
          </w:rPr>
          <w:t xml:space="preserve">Table 22: SW </w:t>
        </w:r>
        <w:r w:rsidR="00AD3F10" w:rsidRPr="00203050">
          <w:rPr>
            <w:rStyle w:val="Hyperlink"/>
            <w:i/>
            <w:noProof/>
          </w:rPr>
          <w:t>W</w:t>
        </w:r>
        <w:r w:rsidR="00AD3F10" w:rsidRPr="00203050">
          <w:rPr>
            <w:rStyle w:val="Hyperlink"/>
            <w:noProof/>
          </w:rPr>
          <w:t xml:space="preserve"> statistic and significance level for the CV data set residuals</w:t>
        </w:r>
        <w:r w:rsidR="00AD3F10">
          <w:rPr>
            <w:noProof/>
            <w:webHidden/>
          </w:rPr>
          <w:tab/>
        </w:r>
        <w:r>
          <w:rPr>
            <w:noProof/>
            <w:webHidden/>
          </w:rPr>
          <w:fldChar w:fldCharType="begin"/>
        </w:r>
        <w:r w:rsidR="00AD3F10">
          <w:rPr>
            <w:noProof/>
            <w:webHidden/>
          </w:rPr>
          <w:instrText xml:space="preserve"> PAGEREF _Toc425427078 \h </w:instrText>
        </w:r>
        <w:r>
          <w:rPr>
            <w:noProof/>
            <w:webHidden/>
          </w:rPr>
        </w:r>
        <w:r>
          <w:rPr>
            <w:noProof/>
            <w:webHidden/>
          </w:rPr>
          <w:fldChar w:fldCharType="separate"/>
        </w:r>
        <w:r w:rsidR="00885C9E">
          <w:rPr>
            <w:noProof/>
            <w:webHidden/>
          </w:rPr>
          <w:t>70</w:t>
        </w:r>
        <w:r>
          <w:rPr>
            <w:noProof/>
            <w:webHidden/>
          </w:rPr>
          <w:fldChar w:fldCharType="end"/>
        </w:r>
      </w:hyperlink>
    </w:p>
    <w:p w:rsidR="00AD3F10" w:rsidRDefault="00177749" w:rsidP="00AD3F10">
      <w:pPr>
        <w:pStyle w:val="TableofFigures"/>
        <w:tabs>
          <w:tab w:val="right" w:leader="dot" w:pos="9350"/>
        </w:tabs>
        <w:spacing w:line="480" w:lineRule="auto"/>
        <w:rPr>
          <w:rFonts w:asciiTheme="minorHAnsi" w:eastAsiaTheme="minorEastAsia" w:hAnsiTheme="minorHAnsi" w:cstheme="minorBidi"/>
          <w:caps w:val="0"/>
          <w:noProof/>
          <w:sz w:val="22"/>
          <w:szCs w:val="22"/>
        </w:rPr>
      </w:pPr>
      <w:hyperlink w:anchor="_Toc425427079" w:history="1">
        <w:r w:rsidR="00AD3F10" w:rsidRPr="00203050">
          <w:rPr>
            <w:rStyle w:val="Hyperlink"/>
            <w:noProof/>
          </w:rPr>
          <w:t xml:space="preserve">Table 23: Cross-variogram with spherical model computed for the residual values of </w:t>
        </w:r>
        <w:r w:rsidR="00AD3F10" w:rsidRPr="00203050">
          <w:rPr>
            <w:rStyle w:val="Hyperlink"/>
            <w:i/>
            <w:noProof/>
          </w:rPr>
          <w:t>ψ</w:t>
        </w:r>
        <w:r w:rsidR="00AD3F10" w:rsidRPr="00203050">
          <w:rPr>
            <w:rStyle w:val="Hyperlink"/>
            <w:i/>
            <w:noProof/>
            <w:vertAlign w:val="subscript"/>
          </w:rPr>
          <w:t>a</w:t>
        </w:r>
        <w:r w:rsidR="00AD3F10" w:rsidRPr="00203050">
          <w:rPr>
            <w:rStyle w:val="Hyperlink"/>
            <w:noProof/>
          </w:rPr>
          <w:t xml:space="preserve"> and </w:t>
        </w:r>
        <w:r w:rsidR="00AD3F10" w:rsidRPr="00203050">
          <w:rPr>
            <w:rStyle w:val="Hyperlink"/>
            <w:i/>
            <w:noProof/>
          </w:rPr>
          <w:t>Ѳ</w:t>
        </w:r>
        <w:r w:rsidR="00AD3F10" w:rsidRPr="00203050">
          <w:rPr>
            <w:rStyle w:val="Hyperlink"/>
            <w:i/>
            <w:noProof/>
            <w:vertAlign w:val="subscript"/>
          </w:rPr>
          <w:t>s</w:t>
        </w:r>
        <w:r w:rsidR="00AD3F10" w:rsidRPr="00203050">
          <w:rPr>
            <w:rStyle w:val="Hyperlink"/>
            <w:noProof/>
          </w:rPr>
          <w:t xml:space="preserve"> for the CV data set.</w:t>
        </w:r>
        <w:r w:rsidR="00AD3F10">
          <w:rPr>
            <w:noProof/>
            <w:webHidden/>
          </w:rPr>
          <w:tab/>
        </w:r>
        <w:r>
          <w:rPr>
            <w:noProof/>
            <w:webHidden/>
          </w:rPr>
          <w:fldChar w:fldCharType="begin"/>
        </w:r>
        <w:r w:rsidR="00AD3F10">
          <w:rPr>
            <w:noProof/>
            <w:webHidden/>
          </w:rPr>
          <w:instrText xml:space="preserve"> PAGEREF _Toc425427079 \h </w:instrText>
        </w:r>
        <w:r>
          <w:rPr>
            <w:noProof/>
            <w:webHidden/>
          </w:rPr>
        </w:r>
        <w:r>
          <w:rPr>
            <w:noProof/>
            <w:webHidden/>
          </w:rPr>
          <w:fldChar w:fldCharType="separate"/>
        </w:r>
        <w:r w:rsidR="00885C9E">
          <w:rPr>
            <w:noProof/>
            <w:webHidden/>
          </w:rPr>
          <w:t>70</w:t>
        </w:r>
        <w:r>
          <w:rPr>
            <w:noProof/>
            <w:webHidden/>
          </w:rPr>
          <w:fldChar w:fldCharType="end"/>
        </w:r>
      </w:hyperlink>
    </w:p>
    <w:p w:rsidR="00AD3F10" w:rsidRDefault="00177749" w:rsidP="00AD3F10">
      <w:pPr>
        <w:pStyle w:val="TableofFigures"/>
        <w:tabs>
          <w:tab w:val="right" w:leader="dot" w:pos="9350"/>
        </w:tabs>
        <w:spacing w:line="480" w:lineRule="auto"/>
        <w:rPr>
          <w:rFonts w:asciiTheme="minorHAnsi" w:eastAsiaTheme="minorEastAsia" w:hAnsiTheme="minorHAnsi" w:cstheme="minorBidi"/>
          <w:caps w:val="0"/>
          <w:noProof/>
          <w:sz w:val="22"/>
          <w:szCs w:val="22"/>
        </w:rPr>
      </w:pPr>
      <w:hyperlink w:anchor="_Toc425427080" w:history="1">
        <w:r w:rsidR="00AD3F10" w:rsidRPr="00203050">
          <w:rPr>
            <w:rStyle w:val="Hyperlink"/>
            <w:noProof/>
          </w:rPr>
          <w:t>Table 24: CV results using CK with the spherical model for</w:t>
        </w:r>
        <w:r w:rsidR="00AD3F10" w:rsidRPr="00203050">
          <w:rPr>
            <w:rStyle w:val="Hyperlink"/>
            <w:i/>
            <w:noProof/>
          </w:rPr>
          <w:t xml:space="preserve"> ψ</w:t>
        </w:r>
        <w:r w:rsidR="00AD3F10" w:rsidRPr="00203050">
          <w:rPr>
            <w:rStyle w:val="Hyperlink"/>
            <w:i/>
            <w:noProof/>
            <w:vertAlign w:val="subscript"/>
          </w:rPr>
          <w:t>a</w:t>
        </w:r>
        <w:r w:rsidR="00AD3F10" w:rsidRPr="00203050">
          <w:rPr>
            <w:rStyle w:val="Hyperlink"/>
            <w:noProof/>
          </w:rPr>
          <w:t xml:space="preserve"> of the CV data set</w:t>
        </w:r>
        <w:r w:rsidR="00AD3F10">
          <w:rPr>
            <w:noProof/>
            <w:webHidden/>
          </w:rPr>
          <w:tab/>
        </w:r>
        <w:r>
          <w:rPr>
            <w:noProof/>
            <w:webHidden/>
          </w:rPr>
          <w:fldChar w:fldCharType="begin"/>
        </w:r>
        <w:r w:rsidR="00AD3F10">
          <w:rPr>
            <w:noProof/>
            <w:webHidden/>
          </w:rPr>
          <w:instrText xml:space="preserve"> PAGEREF _Toc425427080 \h </w:instrText>
        </w:r>
        <w:r>
          <w:rPr>
            <w:noProof/>
            <w:webHidden/>
          </w:rPr>
        </w:r>
        <w:r>
          <w:rPr>
            <w:noProof/>
            <w:webHidden/>
          </w:rPr>
          <w:fldChar w:fldCharType="separate"/>
        </w:r>
        <w:r w:rsidR="00885C9E">
          <w:rPr>
            <w:noProof/>
            <w:webHidden/>
          </w:rPr>
          <w:t>70</w:t>
        </w:r>
        <w:r>
          <w:rPr>
            <w:noProof/>
            <w:webHidden/>
          </w:rPr>
          <w:fldChar w:fldCharType="end"/>
        </w:r>
      </w:hyperlink>
    </w:p>
    <w:p w:rsidR="00AD3F10" w:rsidRDefault="00177749" w:rsidP="00AD3F10">
      <w:pPr>
        <w:pStyle w:val="TableofFigures"/>
        <w:tabs>
          <w:tab w:val="right" w:leader="dot" w:pos="9350"/>
        </w:tabs>
        <w:spacing w:line="480" w:lineRule="auto"/>
        <w:rPr>
          <w:rFonts w:asciiTheme="minorHAnsi" w:eastAsiaTheme="minorEastAsia" w:hAnsiTheme="minorHAnsi" w:cstheme="minorBidi"/>
          <w:caps w:val="0"/>
          <w:noProof/>
          <w:sz w:val="22"/>
          <w:szCs w:val="22"/>
        </w:rPr>
      </w:pPr>
      <w:hyperlink w:anchor="_Toc425427081" w:history="1">
        <w:r w:rsidR="00AD3F10" w:rsidRPr="00203050">
          <w:rPr>
            <w:rStyle w:val="Hyperlink"/>
            <w:noProof/>
          </w:rPr>
          <w:t>Table 25: CV results using CK with the spherical model for</w:t>
        </w:r>
        <w:r w:rsidR="00AD3F10" w:rsidRPr="00203050">
          <w:rPr>
            <w:rStyle w:val="Hyperlink"/>
            <w:i/>
            <w:noProof/>
          </w:rPr>
          <w:t xml:space="preserve"> Ѳ</w:t>
        </w:r>
        <w:r w:rsidR="00AD3F10" w:rsidRPr="00203050">
          <w:rPr>
            <w:rStyle w:val="Hyperlink"/>
            <w:i/>
            <w:noProof/>
            <w:vertAlign w:val="subscript"/>
          </w:rPr>
          <w:t>s</w:t>
        </w:r>
        <w:r w:rsidR="00AD3F10" w:rsidRPr="00203050">
          <w:rPr>
            <w:rStyle w:val="Hyperlink"/>
            <w:i/>
            <w:noProof/>
          </w:rPr>
          <w:t xml:space="preserve"> </w:t>
        </w:r>
        <w:r w:rsidR="00AD3F10" w:rsidRPr="00203050">
          <w:rPr>
            <w:rStyle w:val="Hyperlink"/>
            <w:noProof/>
          </w:rPr>
          <w:t>of the CV data set</w:t>
        </w:r>
        <w:r w:rsidR="00AD3F10">
          <w:rPr>
            <w:noProof/>
            <w:webHidden/>
          </w:rPr>
          <w:tab/>
        </w:r>
        <w:r>
          <w:rPr>
            <w:noProof/>
            <w:webHidden/>
          </w:rPr>
          <w:fldChar w:fldCharType="begin"/>
        </w:r>
        <w:r w:rsidR="00AD3F10">
          <w:rPr>
            <w:noProof/>
            <w:webHidden/>
          </w:rPr>
          <w:instrText xml:space="preserve"> PAGEREF _Toc425427081 \h </w:instrText>
        </w:r>
        <w:r>
          <w:rPr>
            <w:noProof/>
            <w:webHidden/>
          </w:rPr>
        </w:r>
        <w:r>
          <w:rPr>
            <w:noProof/>
            <w:webHidden/>
          </w:rPr>
          <w:fldChar w:fldCharType="separate"/>
        </w:r>
        <w:r w:rsidR="00885C9E">
          <w:rPr>
            <w:noProof/>
            <w:webHidden/>
          </w:rPr>
          <w:t>70</w:t>
        </w:r>
        <w:r>
          <w:rPr>
            <w:noProof/>
            <w:webHidden/>
          </w:rPr>
          <w:fldChar w:fldCharType="end"/>
        </w:r>
      </w:hyperlink>
    </w:p>
    <w:p w:rsidR="00AD3F10" w:rsidRDefault="00177749" w:rsidP="00AD3F10">
      <w:pPr>
        <w:pStyle w:val="TableofFigures"/>
        <w:tabs>
          <w:tab w:val="right" w:leader="dot" w:pos="9350"/>
        </w:tabs>
        <w:spacing w:line="480" w:lineRule="auto"/>
        <w:rPr>
          <w:rFonts w:asciiTheme="minorHAnsi" w:eastAsiaTheme="minorEastAsia" w:hAnsiTheme="minorHAnsi" w:cstheme="minorBidi"/>
          <w:caps w:val="0"/>
          <w:noProof/>
          <w:sz w:val="22"/>
          <w:szCs w:val="22"/>
        </w:rPr>
      </w:pPr>
      <w:hyperlink w:anchor="_Toc425427082" w:history="1">
        <w:r w:rsidR="00AD3F10" w:rsidRPr="00203050">
          <w:rPr>
            <w:rStyle w:val="Hyperlink"/>
            <w:noProof/>
          </w:rPr>
          <w:t xml:space="preserve">Table 26: Descriptive statistics of the detrended variable, </w:t>
        </w:r>
        <w:r w:rsidR="00AD3F10" w:rsidRPr="00203050">
          <w:rPr>
            <w:rStyle w:val="Hyperlink"/>
            <w:i/>
            <w:noProof/>
          </w:rPr>
          <w:t>z</w:t>
        </w:r>
        <w:r w:rsidR="00AD3F10" w:rsidRPr="00203050">
          <w:rPr>
            <w:rStyle w:val="Hyperlink"/>
            <w:i/>
            <w:noProof/>
            <w:vertAlign w:val="subscript"/>
          </w:rPr>
          <w:t>ra</w:t>
        </w:r>
        <w:r w:rsidR="00AD3F10" w:rsidRPr="00203050">
          <w:rPr>
            <w:rStyle w:val="Hyperlink"/>
            <w:noProof/>
          </w:rPr>
          <w:t xml:space="preserve"> (i.e. presented as “Krige” in tables 27 and 28 below</w:t>
        </w:r>
        <w:r w:rsidR="00AD3F10">
          <w:rPr>
            <w:noProof/>
            <w:webHidden/>
          </w:rPr>
          <w:tab/>
        </w:r>
        <w:r>
          <w:rPr>
            <w:noProof/>
            <w:webHidden/>
          </w:rPr>
          <w:fldChar w:fldCharType="begin"/>
        </w:r>
        <w:r w:rsidR="00AD3F10">
          <w:rPr>
            <w:noProof/>
            <w:webHidden/>
          </w:rPr>
          <w:instrText xml:space="preserve"> PAGEREF _Toc425427082 \h </w:instrText>
        </w:r>
        <w:r>
          <w:rPr>
            <w:noProof/>
            <w:webHidden/>
          </w:rPr>
        </w:r>
        <w:r>
          <w:rPr>
            <w:noProof/>
            <w:webHidden/>
          </w:rPr>
          <w:fldChar w:fldCharType="separate"/>
        </w:r>
        <w:r w:rsidR="00885C9E">
          <w:rPr>
            <w:noProof/>
            <w:webHidden/>
          </w:rPr>
          <w:t>70</w:t>
        </w:r>
        <w:r>
          <w:rPr>
            <w:noProof/>
            <w:webHidden/>
          </w:rPr>
          <w:fldChar w:fldCharType="end"/>
        </w:r>
      </w:hyperlink>
    </w:p>
    <w:p w:rsidR="00AD3F10" w:rsidRDefault="00177749" w:rsidP="00AD3F10">
      <w:pPr>
        <w:pStyle w:val="TableofFigures"/>
        <w:tabs>
          <w:tab w:val="right" w:leader="dot" w:pos="9350"/>
        </w:tabs>
        <w:spacing w:line="480" w:lineRule="auto"/>
        <w:rPr>
          <w:rFonts w:asciiTheme="minorHAnsi" w:eastAsiaTheme="minorEastAsia" w:hAnsiTheme="minorHAnsi" w:cstheme="minorBidi"/>
          <w:caps w:val="0"/>
          <w:noProof/>
          <w:sz w:val="22"/>
          <w:szCs w:val="22"/>
        </w:rPr>
      </w:pPr>
      <w:hyperlink w:anchor="_Toc425427083" w:history="1">
        <w:r w:rsidR="00AD3F10" w:rsidRPr="00203050">
          <w:rPr>
            <w:rStyle w:val="Hyperlink"/>
            <w:noProof/>
          </w:rPr>
          <w:t xml:space="preserve">Table 27: MW </w:t>
        </w:r>
        <w:r w:rsidR="00AD3F10" w:rsidRPr="00203050">
          <w:rPr>
            <w:rStyle w:val="Hyperlink"/>
            <w:i/>
            <w:noProof/>
          </w:rPr>
          <w:t>W</w:t>
        </w:r>
        <w:r w:rsidR="00AD3F10" w:rsidRPr="00203050">
          <w:rPr>
            <w:rStyle w:val="Hyperlink"/>
            <w:noProof/>
          </w:rPr>
          <w:t xml:space="preserve"> statistic with significance levels to determine statistical differences between the following data sets: Cropper (2014), Kang et al. (2014), corrected </w:t>
        </w:r>
        <w:r w:rsidR="00AD3F10" w:rsidRPr="00203050">
          <w:rPr>
            <w:rStyle w:val="Hyperlink"/>
            <w:i/>
            <w:noProof/>
          </w:rPr>
          <w:t>z</w:t>
        </w:r>
        <w:r w:rsidR="00AD3F10" w:rsidRPr="00203050">
          <w:rPr>
            <w:rStyle w:val="Hyperlink"/>
            <w:i/>
            <w:noProof/>
            <w:vertAlign w:val="subscript"/>
          </w:rPr>
          <w:t>ra</w:t>
        </w:r>
        <w:r w:rsidR="00AD3F10" w:rsidRPr="00203050">
          <w:rPr>
            <w:rStyle w:val="Hyperlink"/>
            <w:noProof/>
          </w:rPr>
          <w:t xml:space="preserve"> (labeled as Krige) variable, and Trend (created during trend surface analysis)</w:t>
        </w:r>
        <w:r w:rsidR="00AD3F10">
          <w:rPr>
            <w:noProof/>
            <w:webHidden/>
          </w:rPr>
          <w:tab/>
        </w:r>
        <w:r>
          <w:rPr>
            <w:noProof/>
            <w:webHidden/>
          </w:rPr>
          <w:fldChar w:fldCharType="begin"/>
        </w:r>
        <w:r w:rsidR="00AD3F10">
          <w:rPr>
            <w:noProof/>
            <w:webHidden/>
          </w:rPr>
          <w:instrText xml:space="preserve"> PAGEREF _Toc425427083 \h </w:instrText>
        </w:r>
        <w:r>
          <w:rPr>
            <w:noProof/>
            <w:webHidden/>
          </w:rPr>
        </w:r>
        <w:r>
          <w:rPr>
            <w:noProof/>
            <w:webHidden/>
          </w:rPr>
          <w:fldChar w:fldCharType="separate"/>
        </w:r>
        <w:r w:rsidR="00885C9E">
          <w:rPr>
            <w:noProof/>
            <w:webHidden/>
          </w:rPr>
          <w:t>71</w:t>
        </w:r>
        <w:r>
          <w:rPr>
            <w:noProof/>
            <w:webHidden/>
          </w:rPr>
          <w:fldChar w:fldCharType="end"/>
        </w:r>
      </w:hyperlink>
    </w:p>
    <w:p w:rsidR="00AD3F10" w:rsidRDefault="00177749" w:rsidP="00AD3F10">
      <w:pPr>
        <w:pStyle w:val="TableofFigures"/>
        <w:tabs>
          <w:tab w:val="right" w:leader="dot" w:pos="9350"/>
        </w:tabs>
        <w:spacing w:line="480" w:lineRule="auto"/>
        <w:rPr>
          <w:rFonts w:asciiTheme="minorHAnsi" w:eastAsiaTheme="minorEastAsia" w:hAnsiTheme="minorHAnsi" w:cstheme="minorBidi"/>
          <w:caps w:val="0"/>
          <w:noProof/>
          <w:sz w:val="22"/>
          <w:szCs w:val="22"/>
        </w:rPr>
      </w:pPr>
      <w:hyperlink w:anchor="_Toc425427084" w:history="1">
        <w:r w:rsidR="00AD3F10" w:rsidRPr="00203050">
          <w:rPr>
            <w:rStyle w:val="Hyperlink"/>
            <w:noProof/>
          </w:rPr>
          <w:t xml:space="preserve">Table 28: KS </w:t>
        </w:r>
        <w:r w:rsidR="00AD3F10" w:rsidRPr="00203050">
          <w:rPr>
            <w:rStyle w:val="Hyperlink"/>
            <w:i/>
            <w:noProof/>
          </w:rPr>
          <w:t>D</w:t>
        </w:r>
        <w:r w:rsidR="00AD3F10" w:rsidRPr="00203050">
          <w:rPr>
            <w:rStyle w:val="Hyperlink"/>
            <w:noProof/>
          </w:rPr>
          <w:t xml:space="preserve"> statistic with significance levels to determine statistical differences between the following data sets: Cropper (2014), Kang et al. (2014), corrected </w:t>
        </w:r>
        <w:r w:rsidR="00AD3F10" w:rsidRPr="00203050">
          <w:rPr>
            <w:rStyle w:val="Hyperlink"/>
            <w:i/>
            <w:noProof/>
          </w:rPr>
          <w:t>z</w:t>
        </w:r>
        <w:r w:rsidR="00AD3F10" w:rsidRPr="00203050">
          <w:rPr>
            <w:rStyle w:val="Hyperlink"/>
            <w:i/>
            <w:noProof/>
            <w:vertAlign w:val="subscript"/>
          </w:rPr>
          <w:t>ra</w:t>
        </w:r>
        <w:r w:rsidR="00AD3F10" w:rsidRPr="00203050">
          <w:rPr>
            <w:rStyle w:val="Hyperlink"/>
            <w:noProof/>
          </w:rPr>
          <w:t xml:space="preserve"> (labeled as Krige) variable, and Trend (created during trend surface analysis)</w:t>
        </w:r>
        <w:r w:rsidR="00AD3F10">
          <w:rPr>
            <w:noProof/>
            <w:webHidden/>
          </w:rPr>
          <w:tab/>
        </w:r>
        <w:r>
          <w:rPr>
            <w:noProof/>
            <w:webHidden/>
          </w:rPr>
          <w:fldChar w:fldCharType="begin"/>
        </w:r>
        <w:r w:rsidR="00AD3F10">
          <w:rPr>
            <w:noProof/>
            <w:webHidden/>
          </w:rPr>
          <w:instrText xml:space="preserve"> PAGEREF _Toc425427084 \h </w:instrText>
        </w:r>
        <w:r>
          <w:rPr>
            <w:noProof/>
            <w:webHidden/>
          </w:rPr>
        </w:r>
        <w:r>
          <w:rPr>
            <w:noProof/>
            <w:webHidden/>
          </w:rPr>
          <w:fldChar w:fldCharType="separate"/>
        </w:r>
        <w:r w:rsidR="00885C9E">
          <w:rPr>
            <w:noProof/>
            <w:webHidden/>
          </w:rPr>
          <w:t>71</w:t>
        </w:r>
        <w:r>
          <w:rPr>
            <w:noProof/>
            <w:webHidden/>
          </w:rPr>
          <w:fldChar w:fldCharType="end"/>
        </w:r>
      </w:hyperlink>
    </w:p>
    <w:p w:rsidR="001B5DF9" w:rsidRDefault="00177749" w:rsidP="00D83E2D">
      <w:pPr>
        <w:pStyle w:val="TableofFigures"/>
        <w:tabs>
          <w:tab w:val="right" w:leader="dot" w:pos="9350"/>
        </w:tabs>
        <w:spacing w:line="480" w:lineRule="auto"/>
        <w:rPr>
          <w:b/>
        </w:rPr>
      </w:pPr>
      <w:r w:rsidRPr="00F16EC1">
        <w:rPr>
          <w:b/>
        </w:rPr>
        <w:fldChar w:fldCharType="end"/>
      </w:r>
    </w:p>
    <w:p w:rsidR="00E067E1" w:rsidRPr="00E067E1" w:rsidRDefault="00E067E1" w:rsidP="00E067E1"/>
    <w:p w:rsidR="00E067E1" w:rsidRPr="00E067E1" w:rsidRDefault="00E067E1" w:rsidP="00E067E1"/>
    <w:p w:rsidR="00AD3F10" w:rsidRDefault="00724F32" w:rsidP="00AD3F10">
      <w:pPr>
        <w:pStyle w:val="Heading1"/>
        <w:spacing w:line="480" w:lineRule="auto"/>
        <w:rPr>
          <w:noProof/>
        </w:rPr>
      </w:pPr>
      <w:r>
        <w:lastRenderedPageBreak/>
        <w:t>LIST OF FIGURES</w:t>
      </w:r>
      <w:fldSimple w:instr=" TOC \h \z \c &quot;Table&quot; "/>
      <w:r w:rsidR="00177749" w:rsidRPr="00177749">
        <w:fldChar w:fldCharType="begin"/>
      </w:r>
      <w:r w:rsidRPr="00724F32">
        <w:instrText xml:space="preserve"> TOC \h \z \c "Figure" </w:instrText>
      </w:r>
      <w:r w:rsidR="00177749" w:rsidRPr="00177749">
        <w:fldChar w:fldCharType="separate"/>
      </w:r>
    </w:p>
    <w:p w:rsidR="00AD3F10" w:rsidRDefault="00177749" w:rsidP="00AD3F10">
      <w:pPr>
        <w:pStyle w:val="TableofFigures"/>
        <w:tabs>
          <w:tab w:val="right" w:leader="dot" w:pos="9350"/>
        </w:tabs>
        <w:spacing w:line="480" w:lineRule="auto"/>
        <w:rPr>
          <w:rFonts w:asciiTheme="minorHAnsi" w:eastAsiaTheme="minorEastAsia" w:hAnsiTheme="minorHAnsi" w:cstheme="minorBidi"/>
          <w:caps w:val="0"/>
          <w:noProof/>
          <w:sz w:val="22"/>
          <w:szCs w:val="22"/>
        </w:rPr>
      </w:pPr>
      <w:hyperlink w:anchor="_Toc425427085" w:history="1">
        <w:r w:rsidR="00AD3F10" w:rsidRPr="00C8223D">
          <w:rPr>
            <w:rStyle w:val="Hyperlink"/>
            <w:noProof/>
          </w:rPr>
          <w:t>Figure 1: a) Hanging water column set up for drainage of Flint sand at the HFIR CG1-D beamline. b) Various basal matric potentials were achieved by adjusting the height of the burette column outside of the beamline (Kang et al., 2014).</w:t>
        </w:r>
        <w:r w:rsidR="00AD3F10">
          <w:rPr>
            <w:noProof/>
            <w:webHidden/>
          </w:rPr>
          <w:tab/>
        </w:r>
        <w:r>
          <w:rPr>
            <w:noProof/>
            <w:webHidden/>
          </w:rPr>
          <w:fldChar w:fldCharType="begin"/>
        </w:r>
        <w:r w:rsidR="00AD3F10">
          <w:rPr>
            <w:noProof/>
            <w:webHidden/>
          </w:rPr>
          <w:instrText xml:space="preserve"> PAGEREF _Toc425427085 \h </w:instrText>
        </w:r>
        <w:r>
          <w:rPr>
            <w:noProof/>
            <w:webHidden/>
          </w:rPr>
        </w:r>
        <w:r>
          <w:rPr>
            <w:noProof/>
            <w:webHidden/>
          </w:rPr>
          <w:fldChar w:fldCharType="separate"/>
        </w:r>
        <w:r w:rsidR="00885C9E">
          <w:rPr>
            <w:noProof/>
            <w:webHidden/>
          </w:rPr>
          <w:t>72</w:t>
        </w:r>
        <w:r>
          <w:rPr>
            <w:noProof/>
            <w:webHidden/>
          </w:rPr>
          <w:fldChar w:fldCharType="end"/>
        </w:r>
      </w:hyperlink>
    </w:p>
    <w:p w:rsidR="00AD3F10" w:rsidRDefault="00177749" w:rsidP="00AD3F10">
      <w:pPr>
        <w:pStyle w:val="TableofFigures"/>
        <w:tabs>
          <w:tab w:val="right" w:leader="dot" w:pos="9350"/>
        </w:tabs>
        <w:spacing w:line="480" w:lineRule="auto"/>
        <w:rPr>
          <w:rFonts w:asciiTheme="minorHAnsi" w:eastAsiaTheme="minorEastAsia" w:hAnsiTheme="minorHAnsi" w:cstheme="minorBidi"/>
          <w:caps w:val="0"/>
          <w:noProof/>
          <w:sz w:val="22"/>
          <w:szCs w:val="22"/>
        </w:rPr>
      </w:pPr>
      <w:hyperlink w:anchor="_Toc425427086" w:history="1">
        <w:r w:rsidR="00AD3F10" w:rsidRPr="00C8223D">
          <w:rPr>
            <w:rStyle w:val="Hyperlink"/>
            <w:noProof/>
          </w:rPr>
          <w:t>Figure 2: The 8 x 15 grid superimposed on an example 2-D radiographic image (28.2 x 60.7 mm) of air (white) displacing water (blue) in Flint sand at a given equilibrium basal matric potential used to construct the 120 point water retention curves (Kang et al., 2014); the distance between adjacent points is 3.2 mm, and the dimensions of the red rectangular region of interest are 25.6 x 51.2 mm</w:t>
        </w:r>
        <w:r w:rsidR="00AD3F10">
          <w:rPr>
            <w:noProof/>
            <w:webHidden/>
          </w:rPr>
          <w:tab/>
        </w:r>
        <w:r>
          <w:rPr>
            <w:noProof/>
            <w:webHidden/>
          </w:rPr>
          <w:fldChar w:fldCharType="begin"/>
        </w:r>
        <w:r w:rsidR="00AD3F10">
          <w:rPr>
            <w:noProof/>
            <w:webHidden/>
          </w:rPr>
          <w:instrText xml:space="preserve"> PAGEREF _Toc425427086 \h </w:instrText>
        </w:r>
        <w:r>
          <w:rPr>
            <w:noProof/>
            <w:webHidden/>
          </w:rPr>
        </w:r>
        <w:r>
          <w:rPr>
            <w:noProof/>
            <w:webHidden/>
          </w:rPr>
          <w:fldChar w:fldCharType="separate"/>
        </w:r>
        <w:r w:rsidR="00885C9E">
          <w:rPr>
            <w:noProof/>
            <w:webHidden/>
          </w:rPr>
          <w:t>73</w:t>
        </w:r>
        <w:r>
          <w:rPr>
            <w:noProof/>
            <w:webHidden/>
          </w:rPr>
          <w:fldChar w:fldCharType="end"/>
        </w:r>
      </w:hyperlink>
    </w:p>
    <w:p w:rsidR="00AD3F10" w:rsidRDefault="00177749" w:rsidP="00AD3F10">
      <w:pPr>
        <w:pStyle w:val="TableofFigures"/>
        <w:tabs>
          <w:tab w:val="right" w:leader="dot" w:pos="9350"/>
        </w:tabs>
        <w:spacing w:line="480" w:lineRule="auto"/>
        <w:rPr>
          <w:rFonts w:asciiTheme="minorHAnsi" w:eastAsiaTheme="minorEastAsia" w:hAnsiTheme="minorHAnsi" w:cstheme="minorBidi"/>
          <w:caps w:val="0"/>
          <w:noProof/>
          <w:sz w:val="22"/>
          <w:szCs w:val="22"/>
        </w:rPr>
      </w:pPr>
      <w:hyperlink w:anchor="_Toc425427087" w:history="1">
        <w:r w:rsidR="00AD3F10" w:rsidRPr="00C8223D">
          <w:rPr>
            <w:rStyle w:val="Hyperlink"/>
            <w:noProof/>
          </w:rPr>
          <w:t>Figure 3: Histograms of the observed BC parameters used to indicate that sub-core scale heterogeneity is present</w:t>
        </w:r>
        <w:r w:rsidR="00AD3F10">
          <w:rPr>
            <w:noProof/>
            <w:webHidden/>
          </w:rPr>
          <w:tab/>
        </w:r>
        <w:r>
          <w:rPr>
            <w:noProof/>
            <w:webHidden/>
          </w:rPr>
          <w:fldChar w:fldCharType="begin"/>
        </w:r>
        <w:r w:rsidR="00AD3F10">
          <w:rPr>
            <w:noProof/>
            <w:webHidden/>
          </w:rPr>
          <w:instrText xml:space="preserve"> PAGEREF _Toc425427087 \h </w:instrText>
        </w:r>
        <w:r>
          <w:rPr>
            <w:noProof/>
            <w:webHidden/>
          </w:rPr>
        </w:r>
        <w:r>
          <w:rPr>
            <w:noProof/>
            <w:webHidden/>
          </w:rPr>
          <w:fldChar w:fldCharType="separate"/>
        </w:r>
        <w:r w:rsidR="00885C9E">
          <w:rPr>
            <w:noProof/>
            <w:webHidden/>
          </w:rPr>
          <w:t>74</w:t>
        </w:r>
        <w:r>
          <w:rPr>
            <w:noProof/>
            <w:webHidden/>
          </w:rPr>
          <w:fldChar w:fldCharType="end"/>
        </w:r>
      </w:hyperlink>
    </w:p>
    <w:p w:rsidR="00AD3F10" w:rsidRDefault="00177749" w:rsidP="00AD3F10">
      <w:pPr>
        <w:pStyle w:val="TableofFigures"/>
        <w:tabs>
          <w:tab w:val="right" w:leader="dot" w:pos="9350"/>
        </w:tabs>
        <w:spacing w:line="480" w:lineRule="auto"/>
        <w:rPr>
          <w:rFonts w:asciiTheme="minorHAnsi" w:eastAsiaTheme="minorEastAsia" w:hAnsiTheme="minorHAnsi" w:cstheme="minorBidi"/>
          <w:caps w:val="0"/>
          <w:noProof/>
          <w:sz w:val="22"/>
          <w:szCs w:val="22"/>
        </w:rPr>
      </w:pPr>
      <w:hyperlink w:anchor="_Toc425427088" w:history="1">
        <w:r w:rsidR="00AD3F10" w:rsidRPr="00C8223D">
          <w:rPr>
            <w:rStyle w:val="Hyperlink"/>
            <w:noProof/>
          </w:rPr>
          <w:t>Figure 4: Q-Q plots of the BC parameters used to visualize the SW results given in Table 3</w:t>
        </w:r>
        <w:r w:rsidR="00AD3F10">
          <w:rPr>
            <w:noProof/>
            <w:webHidden/>
          </w:rPr>
          <w:tab/>
        </w:r>
        <w:r>
          <w:rPr>
            <w:noProof/>
            <w:webHidden/>
          </w:rPr>
          <w:fldChar w:fldCharType="begin"/>
        </w:r>
        <w:r w:rsidR="00AD3F10">
          <w:rPr>
            <w:noProof/>
            <w:webHidden/>
          </w:rPr>
          <w:instrText xml:space="preserve"> PAGEREF _Toc425427088 \h </w:instrText>
        </w:r>
        <w:r>
          <w:rPr>
            <w:noProof/>
            <w:webHidden/>
          </w:rPr>
        </w:r>
        <w:r>
          <w:rPr>
            <w:noProof/>
            <w:webHidden/>
          </w:rPr>
          <w:fldChar w:fldCharType="separate"/>
        </w:r>
        <w:r w:rsidR="00885C9E">
          <w:rPr>
            <w:noProof/>
            <w:webHidden/>
          </w:rPr>
          <w:t>77</w:t>
        </w:r>
        <w:r>
          <w:rPr>
            <w:noProof/>
            <w:webHidden/>
          </w:rPr>
          <w:fldChar w:fldCharType="end"/>
        </w:r>
      </w:hyperlink>
    </w:p>
    <w:p w:rsidR="00AD3F10" w:rsidRDefault="00177749" w:rsidP="00AD3F10">
      <w:pPr>
        <w:pStyle w:val="TableofFigures"/>
        <w:tabs>
          <w:tab w:val="right" w:leader="dot" w:pos="9350"/>
        </w:tabs>
        <w:spacing w:line="480" w:lineRule="auto"/>
        <w:rPr>
          <w:rFonts w:asciiTheme="minorHAnsi" w:eastAsiaTheme="minorEastAsia" w:hAnsiTheme="minorHAnsi" w:cstheme="minorBidi"/>
          <w:caps w:val="0"/>
          <w:noProof/>
          <w:sz w:val="22"/>
          <w:szCs w:val="22"/>
        </w:rPr>
      </w:pPr>
      <w:hyperlink w:anchor="_Toc425427089" w:history="1">
        <w:r w:rsidR="00AD3F10" w:rsidRPr="00C8223D">
          <w:rPr>
            <w:rStyle w:val="Hyperlink"/>
            <w:noProof/>
          </w:rPr>
          <w:t>Figure 5: Scatter diagrams used to indicate significant linear relationships between the BC parameters.</w:t>
        </w:r>
        <w:r w:rsidR="00AD3F10">
          <w:rPr>
            <w:noProof/>
            <w:webHidden/>
          </w:rPr>
          <w:tab/>
        </w:r>
        <w:r>
          <w:rPr>
            <w:noProof/>
            <w:webHidden/>
          </w:rPr>
          <w:fldChar w:fldCharType="begin"/>
        </w:r>
        <w:r w:rsidR="00AD3F10">
          <w:rPr>
            <w:noProof/>
            <w:webHidden/>
          </w:rPr>
          <w:instrText xml:space="preserve"> PAGEREF _Toc425427089 \h </w:instrText>
        </w:r>
        <w:r>
          <w:rPr>
            <w:noProof/>
            <w:webHidden/>
          </w:rPr>
        </w:r>
        <w:r>
          <w:rPr>
            <w:noProof/>
            <w:webHidden/>
          </w:rPr>
          <w:fldChar w:fldCharType="separate"/>
        </w:r>
        <w:r w:rsidR="00885C9E">
          <w:rPr>
            <w:noProof/>
            <w:webHidden/>
          </w:rPr>
          <w:t>79</w:t>
        </w:r>
        <w:r>
          <w:rPr>
            <w:noProof/>
            <w:webHidden/>
          </w:rPr>
          <w:fldChar w:fldCharType="end"/>
        </w:r>
      </w:hyperlink>
    </w:p>
    <w:p w:rsidR="00AD3F10" w:rsidRDefault="00177749" w:rsidP="00AD3F10">
      <w:pPr>
        <w:pStyle w:val="TableofFigures"/>
        <w:tabs>
          <w:tab w:val="right" w:leader="dot" w:pos="9350"/>
        </w:tabs>
        <w:spacing w:line="480" w:lineRule="auto"/>
        <w:rPr>
          <w:rFonts w:asciiTheme="minorHAnsi" w:eastAsiaTheme="minorEastAsia" w:hAnsiTheme="minorHAnsi" w:cstheme="minorBidi"/>
          <w:caps w:val="0"/>
          <w:noProof/>
          <w:sz w:val="22"/>
          <w:szCs w:val="22"/>
        </w:rPr>
      </w:pPr>
      <w:hyperlink w:anchor="_Toc425427090" w:history="1">
        <w:r w:rsidR="00AD3F10" w:rsidRPr="00C8223D">
          <w:rPr>
            <w:rStyle w:val="Hyperlink"/>
            <w:noProof/>
          </w:rPr>
          <w:t xml:space="preserve">Figure 6: Plots of median values and their corresponding upper (75%) and lower (25%) quartiles for each sample interval (i.e. 3.2 mm, 6.4 mm, etc) in the x-direction. Since water retention curves were computed for all but five points on an 8 x 15 Cartesian grid, sample intervals in the x-direction typically consist of 8 values. These plots are used to illustrate KW results and determine significantly different sample </w:t>
        </w:r>
        <w:r w:rsidR="00AD3F10" w:rsidRPr="00C8223D">
          <w:rPr>
            <w:rStyle w:val="Hyperlink"/>
            <w:noProof/>
          </w:rPr>
          <w:lastRenderedPageBreak/>
          <w:t xml:space="preserve">intervals. BC parameters with significantly different median values in the x-direction are shown here, for </w:t>
        </w:r>
        <w:r w:rsidR="00AD3F10" w:rsidRPr="00C8223D">
          <w:rPr>
            <w:rStyle w:val="Hyperlink"/>
            <w:i/>
            <w:noProof/>
          </w:rPr>
          <w:t>Ѳ</w:t>
        </w:r>
        <w:r w:rsidR="00AD3F10" w:rsidRPr="00C8223D">
          <w:rPr>
            <w:rStyle w:val="Hyperlink"/>
            <w:i/>
            <w:noProof/>
            <w:vertAlign w:val="subscript"/>
          </w:rPr>
          <w:t>s</w:t>
        </w:r>
        <w:r w:rsidR="00AD3F10" w:rsidRPr="00C8223D">
          <w:rPr>
            <w:rStyle w:val="Hyperlink"/>
            <w:noProof/>
          </w:rPr>
          <w:t xml:space="preserve"> and </w:t>
        </w:r>
        <w:r w:rsidR="00AD3F10" w:rsidRPr="00C8223D">
          <w:rPr>
            <w:rStyle w:val="Hyperlink"/>
            <w:i/>
            <w:noProof/>
          </w:rPr>
          <w:t>Ѳ</w:t>
        </w:r>
        <w:r w:rsidR="00AD3F10" w:rsidRPr="00C8223D">
          <w:rPr>
            <w:rStyle w:val="Hyperlink"/>
            <w:i/>
            <w:noProof/>
            <w:vertAlign w:val="subscript"/>
          </w:rPr>
          <w:t>r</w:t>
        </w:r>
        <w:r w:rsidR="00AD3F10" w:rsidRPr="00C8223D">
          <w:rPr>
            <w:rStyle w:val="Hyperlink"/>
            <w:noProof/>
          </w:rPr>
          <w:t>.</w:t>
        </w:r>
        <w:r w:rsidR="00AD3F10">
          <w:rPr>
            <w:noProof/>
            <w:webHidden/>
          </w:rPr>
          <w:tab/>
        </w:r>
        <w:r>
          <w:rPr>
            <w:noProof/>
            <w:webHidden/>
          </w:rPr>
          <w:fldChar w:fldCharType="begin"/>
        </w:r>
        <w:r w:rsidR="00AD3F10">
          <w:rPr>
            <w:noProof/>
            <w:webHidden/>
          </w:rPr>
          <w:instrText xml:space="preserve"> PAGEREF _Toc425427090 \h </w:instrText>
        </w:r>
        <w:r>
          <w:rPr>
            <w:noProof/>
            <w:webHidden/>
          </w:rPr>
        </w:r>
        <w:r>
          <w:rPr>
            <w:noProof/>
            <w:webHidden/>
          </w:rPr>
          <w:fldChar w:fldCharType="separate"/>
        </w:r>
        <w:r w:rsidR="00885C9E">
          <w:rPr>
            <w:noProof/>
            <w:webHidden/>
          </w:rPr>
          <w:t>80</w:t>
        </w:r>
        <w:r>
          <w:rPr>
            <w:noProof/>
            <w:webHidden/>
          </w:rPr>
          <w:fldChar w:fldCharType="end"/>
        </w:r>
      </w:hyperlink>
    </w:p>
    <w:p w:rsidR="00AD3F10" w:rsidRDefault="00177749" w:rsidP="00AD3F10">
      <w:pPr>
        <w:pStyle w:val="TableofFigures"/>
        <w:tabs>
          <w:tab w:val="right" w:leader="dot" w:pos="9350"/>
        </w:tabs>
        <w:spacing w:line="480" w:lineRule="auto"/>
        <w:rPr>
          <w:rFonts w:asciiTheme="minorHAnsi" w:eastAsiaTheme="minorEastAsia" w:hAnsiTheme="minorHAnsi" w:cstheme="minorBidi"/>
          <w:caps w:val="0"/>
          <w:noProof/>
          <w:sz w:val="22"/>
          <w:szCs w:val="22"/>
        </w:rPr>
      </w:pPr>
      <w:hyperlink w:anchor="_Toc425427091" w:history="1">
        <w:r w:rsidR="00AD3F10" w:rsidRPr="00C8223D">
          <w:rPr>
            <w:rStyle w:val="Hyperlink"/>
            <w:noProof/>
          </w:rPr>
          <w:t xml:space="preserve">Figure 7: Plots of median values and their corresponding upper (75%) and lower (25%) quartiles for each sample interval (i.e. 6.4 mm, 9.6 mm, etc) in the y-direction. Since water retention curves were computed for all but five points on an 8 x 15 Cartesian grid, sample intervals in the y-direction typically consist of 15 values. These plots are used to illustrate the KW results and determine significantly different sample intervals. BC parameters with significantly different median values in the y-direction are shown here, for </w:t>
        </w:r>
        <w:r w:rsidR="00AD3F10" w:rsidRPr="00C8223D">
          <w:rPr>
            <w:rStyle w:val="Hyperlink"/>
            <w:i/>
            <w:noProof/>
          </w:rPr>
          <w:t>ψ</w:t>
        </w:r>
        <w:r w:rsidR="00AD3F10" w:rsidRPr="00C8223D">
          <w:rPr>
            <w:rStyle w:val="Hyperlink"/>
            <w:i/>
            <w:noProof/>
            <w:vertAlign w:val="subscript"/>
          </w:rPr>
          <w:t>a</w:t>
        </w:r>
        <w:r w:rsidR="00AD3F10" w:rsidRPr="00C8223D">
          <w:rPr>
            <w:rStyle w:val="Hyperlink"/>
            <w:noProof/>
          </w:rPr>
          <w:t xml:space="preserve"> and </w:t>
        </w:r>
        <w:r w:rsidR="00AD3F10" w:rsidRPr="00C8223D">
          <w:rPr>
            <w:rStyle w:val="Hyperlink"/>
            <w:i/>
            <w:noProof/>
          </w:rPr>
          <w:t>λ</w:t>
        </w:r>
        <w:r w:rsidR="00AD3F10" w:rsidRPr="00C8223D">
          <w:rPr>
            <w:rStyle w:val="Hyperlink"/>
            <w:noProof/>
          </w:rPr>
          <w:t>.</w:t>
        </w:r>
        <w:r w:rsidR="00AD3F10">
          <w:rPr>
            <w:noProof/>
            <w:webHidden/>
          </w:rPr>
          <w:tab/>
        </w:r>
        <w:r>
          <w:rPr>
            <w:noProof/>
            <w:webHidden/>
          </w:rPr>
          <w:fldChar w:fldCharType="begin"/>
        </w:r>
        <w:r w:rsidR="00AD3F10">
          <w:rPr>
            <w:noProof/>
            <w:webHidden/>
          </w:rPr>
          <w:instrText xml:space="preserve"> PAGEREF _Toc425427091 \h </w:instrText>
        </w:r>
        <w:r>
          <w:rPr>
            <w:noProof/>
            <w:webHidden/>
          </w:rPr>
        </w:r>
        <w:r>
          <w:rPr>
            <w:noProof/>
            <w:webHidden/>
          </w:rPr>
          <w:fldChar w:fldCharType="separate"/>
        </w:r>
        <w:r w:rsidR="00885C9E">
          <w:rPr>
            <w:noProof/>
            <w:webHidden/>
          </w:rPr>
          <w:t>82</w:t>
        </w:r>
        <w:r>
          <w:rPr>
            <w:noProof/>
            <w:webHidden/>
          </w:rPr>
          <w:fldChar w:fldCharType="end"/>
        </w:r>
      </w:hyperlink>
    </w:p>
    <w:p w:rsidR="00AD3F10" w:rsidRDefault="00177749" w:rsidP="00AD3F10">
      <w:pPr>
        <w:pStyle w:val="TableofFigures"/>
        <w:tabs>
          <w:tab w:val="right" w:leader="dot" w:pos="9350"/>
        </w:tabs>
        <w:spacing w:line="480" w:lineRule="auto"/>
        <w:rPr>
          <w:rFonts w:asciiTheme="minorHAnsi" w:eastAsiaTheme="minorEastAsia" w:hAnsiTheme="minorHAnsi" w:cstheme="minorBidi"/>
          <w:caps w:val="0"/>
          <w:noProof/>
          <w:sz w:val="22"/>
          <w:szCs w:val="22"/>
        </w:rPr>
      </w:pPr>
      <w:hyperlink w:anchor="_Toc425427092" w:history="1">
        <w:r w:rsidR="00AD3F10" w:rsidRPr="00C8223D">
          <w:rPr>
            <w:rStyle w:val="Hyperlink"/>
            <w:noProof/>
          </w:rPr>
          <w:t>Figure 8: Trend surfaces for the four BC parameters are shown here and were used to identify 2 dimensional trends</w:t>
        </w:r>
        <w:r w:rsidR="00AD3F10">
          <w:rPr>
            <w:noProof/>
            <w:webHidden/>
          </w:rPr>
          <w:tab/>
        </w:r>
        <w:r>
          <w:rPr>
            <w:noProof/>
            <w:webHidden/>
          </w:rPr>
          <w:fldChar w:fldCharType="begin"/>
        </w:r>
        <w:r w:rsidR="00AD3F10">
          <w:rPr>
            <w:noProof/>
            <w:webHidden/>
          </w:rPr>
          <w:instrText xml:space="preserve"> PAGEREF _Toc425427092 \h </w:instrText>
        </w:r>
        <w:r>
          <w:rPr>
            <w:noProof/>
            <w:webHidden/>
          </w:rPr>
        </w:r>
        <w:r>
          <w:rPr>
            <w:noProof/>
            <w:webHidden/>
          </w:rPr>
          <w:fldChar w:fldCharType="separate"/>
        </w:r>
        <w:r w:rsidR="00885C9E">
          <w:rPr>
            <w:noProof/>
            <w:webHidden/>
          </w:rPr>
          <w:t>83</w:t>
        </w:r>
        <w:r>
          <w:rPr>
            <w:noProof/>
            <w:webHidden/>
          </w:rPr>
          <w:fldChar w:fldCharType="end"/>
        </w:r>
      </w:hyperlink>
    </w:p>
    <w:p w:rsidR="00AD3F10" w:rsidRDefault="00177749" w:rsidP="00AD3F10">
      <w:pPr>
        <w:pStyle w:val="TableofFigures"/>
        <w:tabs>
          <w:tab w:val="right" w:leader="dot" w:pos="9350"/>
        </w:tabs>
        <w:spacing w:line="480" w:lineRule="auto"/>
        <w:rPr>
          <w:rFonts w:asciiTheme="minorHAnsi" w:eastAsiaTheme="minorEastAsia" w:hAnsiTheme="minorHAnsi" w:cstheme="minorBidi"/>
          <w:caps w:val="0"/>
          <w:noProof/>
          <w:sz w:val="22"/>
          <w:szCs w:val="22"/>
        </w:rPr>
      </w:pPr>
      <w:hyperlink w:anchor="_Toc425427093" w:history="1">
        <w:r w:rsidR="00AD3F10" w:rsidRPr="00C8223D">
          <w:rPr>
            <w:rStyle w:val="Hyperlink"/>
            <w:noProof/>
          </w:rPr>
          <w:t xml:space="preserve">Figure 9: Residual semivariograms and best fit spherical model for all four BC parameters, a) </w:t>
        </w:r>
        <w:r w:rsidR="00AD3F10" w:rsidRPr="00C8223D">
          <w:rPr>
            <w:rStyle w:val="Hyperlink"/>
            <w:i/>
            <w:noProof/>
          </w:rPr>
          <w:t>ψ</w:t>
        </w:r>
        <w:r w:rsidR="00AD3F10" w:rsidRPr="00C8223D">
          <w:rPr>
            <w:rStyle w:val="Hyperlink"/>
            <w:i/>
            <w:noProof/>
            <w:vertAlign w:val="subscript"/>
          </w:rPr>
          <w:t>a</w:t>
        </w:r>
        <w:r w:rsidR="00AD3F10" w:rsidRPr="00C8223D">
          <w:rPr>
            <w:rStyle w:val="Hyperlink"/>
            <w:noProof/>
          </w:rPr>
          <w:t xml:space="preserve"> and b) </w:t>
        </w:r>
        <w:r w:rsidR="00AD3F10" w:rsidRPr="00C8223D">
          <w:rPr>
            <w:rStyle w:val="Hyperlink"/>
            <w:i/>
            <w:noProof/>
          </w:rPr>
          <w:t>Ѳ</w:t>
        </w:r>
        <w:r w:rsidR="00AD3F10" w:rsidRPr="00C8223D">
          <w:rPr>
            <w:rStyle w:val="Hyperlink"/>
            <w:i/>
            <w:noProof/>
            <w:vertAlign w:val="subscript"/>
          </w:rPr>
          <w:t>s</w:t>
        </w:r>
        <w:r w:rsidR="00AD3F10" w:rsidRPr="00C8223D">
          <w:rPr>
            <w:rStyle w:val="Hyperlink"/>
            <w:noProof/>
          </w:rPr>
          <w:t xml:space="preserve"> were found to be spatially dependent whereas c) </w:t>
        </w:r>
        <w:r w:rsidR="00AD3F10" w:rsidRPr="00C8223D">
          <w:rPr>
            <w:rStyle w:val="Hyperlink"/>
            <w:i/>
            <w:noProof/>
          </w:rPr>
          <w:t>λ</w:t>
        </w:r>
        <w:r w:rsidR="00AD3F10" w:rsidRPr="00C8223D">
          <w:rPr>
            <w:rStyle w:val="Hyperlink"/>
            <w:noProof/>
          </w:rPr>
          <w:t xml:space="preserve"> and d) </w:t>
        </w:r>
        <w:r w:rsidR="00AD3F10" w:rsidRPr="00C8223D">
          <w:rPr>
            <w:rStyle w:val="Hyperlink"/>
            <w:i/>
            <w:noProof/>
          </w:rPr>
          <w:t>Ѳ</w:t>
        </w:r>
        <w:r w:rsidR="00AD3F10" w:rsidRPr="00C8223D">
          <w:rPr>
            <w:rStyle w:val="Hyperlink"/>
            <w:i/>
            <w:noProof/>
            <w:vertAlign w:val="subscript"/>
          </w:rPr>
          <w:t>r</w:t>
        </w:r>
        <w:r w:rsidR="00AD3F10" w:rsidRPr="00C8223D">
          <w:rPr>
            <w:rStyle w:val="Hyperlink"/>
            <w:noProof/>
          </w:rPr>
          <w:t xml:space="preserve"> were found to be pure nugget effect</w:t>
        </w:r>
        <w:r w:rsidR="00AD3F10">
          <w:rPr>
            <w:noProof/>
            <w:webHidden/>
          </w:rPr>
          <w:tab/>
        </w:r>
        <w:r>
          <w:rPr>
            <w:noProof/>
            <w:webHidden/>
          </w:rPr>
          <w:fldChar w:fldCharType="begin"/>
        </w:r>
        <w:r w:rsidR="00AD3F10">
          <w:rPr>
            <w:noProof/>
            <w:webHidden/>
          </w:rPr>
          <w:instrText xml:space="preserve"> PAGEREF _Toc425427093 \h </w:instrText>
        </w:r>
        <w:r>
          <w:rPr>
            <w:noProof/>
            <w:webHidden/>
          </w:rPr>
        </w:r>
        <w:r>
          <w:rPr>
            <w:noProof/>
            <w:webHidden/>
          </w:rPr>
          <w:fldChar w:fldCharType="separate"/>
        </w:r>
        <w:r w:rsidR="00885C9E">
          <w:rPr>
            <w:noProof/>
            <w:webHidden/>
          </w:rPr>
          <w:t>85</w:t>
        </w:r>
        <w:r>
          <w:rPr>
            <w:noProof/>
            <w:webHidden/>
          </w:rPr>
          <w:fldChar w:fldCharType="end"/>
        </w:r>
      </w:hyperlink>
    </w:p>
    <w:p w:rsidR="00AD3F10" w:rsidRDefault="00177749" w:rsidP="00AD3F10">
      <w:pPr>
        <w:pStyle w:val="TableofFigures"/>
        <w:tabs>
          <w:tab w:val="right" w:leader="dot" w:pos="9350"/>
        </w:tabs>
        <w:spacing w:line="480" w:lineRule="auto"/>
        <w:rPr>
          <w:rFonts w:asciiTheme="minorHAnsi" w:eastAsiaTheme="minorEastAsia" w:hAnsiTheme="minorHAnsi" w:cstheme="minorBidi"/>
          <w:caps w:val="0"/>
          <w:noProof/>
          <w:sz w:val="22"/>
          <w:szCs w:val="22"/>
        </w:rPr>
      </w:pPr>
      <w:hyperlink w:anchor="_Toc425427094" w:history="1">
        <w:r w:rsidR="00AD3F10" w:rsidRPr="00C8223D">
          <w:rPr>
            <w:rStyle w:val="Hyperlink"/>
            <w:noProof/>
          </w:rPr>
          <w:t xml:space="preserve">Figure 10: Raw semivariograms and best fit spherical model for </w:t>
        </w:r>
        <w:r w:rsidR="00AD3F10" w:rsidRPr="00C8223D">
          <w:rPr>
            <w:rStyle w:val="Hyperlink"/>
            <w:i/>
            <w:noProof/>
          </w:rPr>
          <w:t>ψ</w:t>
        </w:r>
        <w:r w:rsidR="00AD3F10" w:rsidRPr="00C8223D">
          <w:rPr>
            <w:rStyle w:val="Hyperlink"/>
            <w:i/>
            <w:noProof/>
            <w:vertAlign w:val="subscript"/>
          </w:rPr>
          <w:t>a</w:t>
        </w:r>
        <w:r w:rsidR="00AD3F10" w:rsidRPr="00C8223D">
          <w:rPr>
            <w:rStyle w:val="Hyperlink"/>
            <w:noProof/>
          </w:rPr>
          <w:t xml:space="preserve">, </w:t>
        </w:r>
        <w:r w:rsidR="00AD3F10" w:rsidRPr="00C8223D">
          <w:rPr>
            <w:rStyle w:val="Hyperlink"/>
            <w:i/>
            <w:noProof/>
          </w:rPr>
          <w:t>Ѳ</w:t>
        </w:r>
        <w:r w:rsidR="00AD3F10" w:rsidRPr="00C8223D">
          <w:rPr>
            <w:rStyle w:val="Hyperlink"/>
            <w:i/>
            <w:noProof/>
            <w:vertAlign w:val="subscript"/>
          </w:rPr>
          <w:t>s</w:t>
        </w:r>
        <w:r w:rsidR="00AD3F10" w:rsidRPr="00C8223D">
          <w:rPr>
            <w:rStyle w:val="Hyperlink"/>
            <w:noProof/>
          </w:rPr>
          <w:t xml:space="preserve">, and </w:t>
        </w:r>
        <w:r w:rsidR="00AD3F10" w:rsidRPr="00C8223D">
          <w:rPr>
            <w:rStyle w:val="Hyperlink"/>
            <w:i/>
            <w:noProof/>
          </w:rPr>
          <w:t>λ</w:t>
        </w:r>
        <w:r w:rsidR="00AD3F10" w:rsidRPr="00C8223D">
          <w:rPr>
            <w:rStyle w:val="Hyperlink"/>
            <w:noProof/>
          </w:rPr>
          <w:t xml:space="preserve"> parameters, a) </w:t>
        </w:r>
        <w:r w:rsidR="00AD3F10" w:rsidRPr="00C8223D">
          <w:rPr>
            <w:rStyle w:val="Hyperlink"/>
            <w:i/>
            <w:noProof/>
          </w:rPr>
          <w:t>ψ</w:t>
        </w:r>
        <w:r w:rsidR="00AD3F10" w:rsidRPr="00C8223D">
          <w:rPr>
            <w:rStyle w:val="Hyperlink"/>
            <w:i/>
            <w:noProof/>
            <w:vertAlign w:val="subscript"/>
          </w:rPr>
          <w:t>a</w:t>
        </w:r>
        <w:r w:rsidR="00AD3F10" w:rsidRPr="00C8223D">
          <w:rPr>
            <w:rStyle w:val="Hyperlink"/>
            <w:noProof/>
          </w:rPr>
          <w:t xml:space="preserve"> and b) </w:t>
        </w:r>
        <w:r w:rsidR="00AD3F10" w:rsidRPr="00C8223D">
          <w:rPr>
            <w:rStyle w:val="Hyperlink"/>
            <w:i/>
            <w:noProof/>
          </w:rPr>
          <w:t>Ѳ</w:t>
        </w:r>
        <w:r w:rsidR="00AD3F10" w:rsidRPr="00C8223D">
          <w:rPr>
            <w:rStyle w:val="Hyperlink"/>
            <w:i/>
            <w:noProof/>
            <w:vertAlign w:val="subscript"/>
          </w:rPr>
          <w:t>s</w:t>
        </w:r>
        <w:r w:rsidR="00AD3F10" w:rsidRPr="00C8223D">
          <w:rPr>
            <w:rStyle w:val="Hyperlink"/>
            <w:noProof/>
          </w:rPr>
          <w:t xml:space="preserve"> were found to be spatially dependent whereas c) </w:t>
        </w:r>
        <w:r w:rsidR="00AD3F10" w:rsidRPr="00C8223D">
          <w:rPr>
            <w:rStyle w:val="Hyperlink"/>
            <w:i/>
            <w:noProof/>
          </w:rPr>
          <w:t xml:space="preserve">λ </w:t>
        </w:r>
        <w:r w:rsidR="00AD3F10" w:rsidRPr="00C8223D">
          <w:rPr>
            <w:rStyle w:val="Hyperlink"/>
            <w:noProof/>
          </w:rPr>
          <w:t xml:space="preserve">was determined to be pure nugget effect; a significant fit of the spherical model to the semivariogram of </w:t>
        </w:r>
        <w:r w:rsidR="00AD3F10" w:rsidRPr="00C8223D">
          <w:rPr>
            <w:rStyle w:val="Hyperlink"/>
            <w:i/>
            <w:noProof/>
          </w:rPr>
          <w:t>Ѳ</w:t>
        </w:r>
        <w:r w:rsidR="00AD3F10" w:rsidRPr="00C8223D">
          <w:rPr>
            <w:rStyle w:val="Hyperlink"/>
            <w:i/>
            <w:noProof/>
            <w:vertAlign w:val="subscript"/>
          </w:rPr>
          <w:t>r</w:t>
        </w:r>
        <w:r w:rsidR="00AD3F10" w:rsidRPr="00C8223D">
          <w:rPr>
            <w:rStyle w:val="Hyperlink"/>
            <w:noProof/>
          </w:rPr>
          <w:t xml:space="preserve"> was unsuccessful</w:t>
        </w:r>
        <w:r w:rsidR="00AD3F10">
          <w:rPr>
            <w:noProof/>
            <w:webHidden/>
          </w:rPr>
          <w:tab/>
        </w:r>
        <w:r>
          <w:rPr>
            <w:noProof/>
            <w:webHidden/>
          </w:rPr>
          <w:fldChar w:fldCharType="begin"/>
        </w:r>
        <w:r w:rsidR="00AD3F10">
          <w:rPr>
            <w:noProof/>
            <w:webHidden/>
          </w:rPr>
          <w:instrText xml:space="preserve"> PAGEREF _Toc425427094 \h </w:instrText>
        </w:r>
        <w:r>
          <w:rPr>
            <w:noProof/>
            <w:webHidden/>
          </w:rPr>
        </w:r>
        <w:r>
          <w:rPr>
            <w:noProof/>
            <w:webHidden/>
          </w:rPr>
          <w:fldChar w:fldCharType="separate"/>
        </w:r>
        <w:r w:rsidR="00885C9E">
          <w:rPr>
            <w:noProof/>
            <w:webHidden/>
          </w:rPr>
          <w:t>87</w:t>
        </w:r>
        <w:r>
          <w:rPr>
            <w:noProof/>
            <w:webHidden/>
          </w:rPr>
          <w:fldChar w:fldCharType="end"/>
        </w:r>
      </w:hyperlink>
    </w:p>
    <w:p w:rsidR="00AD3F10" w:rsidRDefault="00177749" w:rsidP="00AD3F10">
      <w:pPr>
        <w:pStyle w:val="TableofFigures"/>
        <w:tabs>
          <w:tab w:val="right" w:leader="dot" w:pos="9350"/>
        </w:tabs>
        <w:spacing w:line="480" w:lineRule="auto"/>
        <w:rPr>
          <w:rFonts w:asciiTheme="minorHAnsi" w:eastAsiaTheme="minorEastAsia" w:hAnsiTheme="minorHAnsi" w:cstheme="minorBidi"/>
          <w:caps w:val="0"/>
          <w:noProof/>
          <w:sz w:val="22"/>
          <w:szCs w:val="22"/>
        </w:rPr>
      </w:pPr>
      <w:hyperlink w:anchor="_Toc425427095" w:history="1">
        <w:r w:rsidR="00AD3F10" w:rsidRPr="00C8223D">
          <w:rPr>
            <w:rStyle w:val="Hyperlink"/>
            <w:noProof/>
          </w:rPr>
          <w:t>Figure 11: S</w:t>
        </w:r>
        <w:r w:rsidR="00AD3F10" w:rsidRPr="00C8223D">
          <w:rPr>
            <w:rStyle w:val="Hyperlink"/>
            <w:iCs/>
            <w:noProof/>
          </w:rPr>
          <w:t xml:space="preserve">hows the cross-variogram of </w:t>
        </w:r>
        <w:r w:rsidR="00AD3F10" w:rsidRPr="00C8223D">
          <w:rPr>
            <w:rStyle w:val="Hyperlink"/>
            <w:i/>
            <w:noProof/>
          </w:rPr>
          <w:t>ψ</w:t>
        </w:r>
        <w:r w:rsidR="00AD3F10" w:rsidRPr="00C8223D">
          <w:rPr>
            <w:rStyle w:val="Hyperlink"/>
            <w:i/>
            <w:noProof/>
            <w:vertAlign w:val="subscript"/>
          </w:rPr>
          <w:t>a</w:t>
        </w:r>
        <w:r w:rsidR="00AD3F10" w:rsidRPr="00C8223D">
          <w:rPr>
            <w:rStyle w:val="Hyperlink"/>
            <w:noProof/>
          </w:rPr>
          <w:t xml:space="preserve"> and </w:t>
        </w:r>
        <w:r w:rsidR="00AD3F10" w:rsidRPr="00C8223D">
          <w:rPr>
            <w:rStyle w:val="Hyperlink"/>
            <w:i/>
            <w:noProof/>
          </w:rPr>
          <w:t>Ѳ</w:t>
        </w:r>
        <w:r w:rsidR="00AD3F10" w:rsidRPr="00C8223D">
          <w:rPr>
            <w:rStyle w:val="Hyperlink"/>
            <w:i/>
            <w:noProof/>
            <w:vertAlign w:val="subscript"/>
          </w:rPr>
          <w:t xml:space="preserve">s </w:t>
        </w:r>
        <w:r w:rsidR="00AD3F10" w:rsidRPr="00C8223D">
          <w:rPr>
            <w:rStyle w:val="Hyperlink"/>
            <w:noProof/>
          </w:rPr>
          <w:t>with the fitted spherical model</w:t>
        </w:r>
        <w:r w:rsidR="00AD3F10">
          <w:rPr>
            <w:noProof/>
            <w:webHidden/>
          </w:rPr>
          <w:tab/>
        </w:r>
        <w:r>
          <w:rPr>
            <w:noProof/>
            <w:webHidden/>
          </w:rPr>
          <w:fldChar w:fldCharType="begin"/>
        </w:r>
        <w:r w:rsidR="00AD3F10">
          <w:rPr>
            <w:noProof/>
            <w:webHidden/>
          </w:rPr>
          <w:instrText xml:space="preserve"> PAGEREF _Toc425427095 \h </w:instrText>
        </w:r>
        <w:r>
          <w:rPr>
            <w:noProof/>
            <w:webHidden/>
          </w:rPr>
        </w:r>
        <w:r>
          <w:rPr>
            <w:noProof/>
            <w:webHidden/>
          </w:rPr>
          <w:fldChar w:fldCharType="separate"/>
        </w:r>
        <w:r w:rsidR="00885C9E">
          <w:rPr>
            <w:noProof/>
            <w:webHidden/>
          </w:rPr>
          <w:t>87</w:t>
        </w:r>
        <w:r>
          <w:rPr>
            <w:noProof/>
            <w:webHidden/>
          </w:rPr>
          <w:fldChar w:fldCharType="end"/>
        </w:r>
      </w:hyperlink>
    </w:p>
    <w:p w:rsidR="00AD3F10" w:rsidRDefault="00177749" w:rsidP="00AD3F10">
      <w:pPr>
        <w:pStyle w:val="TableofFigures"/>
        <w:tabs>
          <w:tab w:val="right" w:leader="dot" w:pos="9350"/>
        </w:tabs>
        <w:spacing w:line="480" w:lineRule="auto"/>
        <w:rPr>
          <w:rFonts w:asciiTheme="minorHAnsi" w:eastAsiaTheme="minorEastAsia" w:hAnsiTheme="minorHAnsi" w:cstheme="minorBidi"/>
          <w:caps w:val="0"/>
          <w:noProof/>
          <w:sz w:val="22"/>
          <w:szCs w:val="22"/>
        </w:rPr>
      </w:pPr>
      <w:hyperlink w:anchor="_Toc425427096" w:history="1">
        <w:r w:rsidR="00AD3F10" w:rsidRPr="00C8223D">
          <w:rPr>
            <w:rStyle w:val="Hyperlink"/>
            <w:noProof/>
          </w:rPr>
          <w:t xml:space="preserve">Figure 12: One-to-one graph of the CK method compared to the theoretical one-to-one line of correlation for </w:t>
        </w:r>
        <w:r w:rsidR="00AD3F10" w:rsidRPr="00C8223D">
          <w:rPr>
            <w:rStyle w:val="Hyperlink"/>
            <w:i/>
            <w:noProof/>
          </w:rPr>
          <w:t>ψ</w:t>
        </w:r>
        <w:r w:rsidR="00AD3F10" w:rsidRPr="00C8223D">
          <w:rPr>
            <w:rStyle w:val="Hyperlink"/>
            <w:i/>
            <w:noProof/>
            <w:vertAlign w:val="subscript"/>
          </w:rPr>
          <w:t>a</w:t>
        </w:r>
        <w:r w:rsidR="00AD3F10">
          <w:rPr>
            <w:noProof/>
            <w:webHidden/>
          </w:rPr>
          <w:tab/>
        </w:r>
        <w:r>
          <w:rPr>
            <w:noProof/>
            <w:webHidden/>
          </w:rPr>
          <w:fldChar w:fldCharType="begin"/>
        </w:r>
        <w:r w:rsidR="00AD3F10">
          <w:rPr>
            <w:noProof/>
            <w:webHidden/>
          </w:rPr>
          <w:instrText xml:space="preserve"> PAGEREF _Toc425427096 \h </w:instrText>
        </w:r>
        <w:r>
          <w:rPr>
            <w:noProof/>
            <w:webHidden/>
          </w:rPr>
        </w:r>
        <w:r>
          <w:rPr>
            <w:noProof/>
            <w:webHidden/>
          </w:rPr>
          <w:fldChar w:fldCharType="separate"/>
        </w:r>
        <w:r w:rsidR="00885C9E">
          <w:rPr>
            <w:noProof/>
            <w:webHidden/>
          </w:rPr>
          <w:t>88</w:t>
        </w:r>
        <w:r>
          <w:rPr>
            <w:noProof/>
            <w:webHidden/>
          </w:rPr>
          <w:fldChar w:fldCharType="end"/>
        </w:r>
      </w:hyperlink>
    </w:p>
    <w:p w:rsidR="00AD3F10" w:rsidRDefault="00177749" w:rsidP="00AD3F10">
      <w:pPr>
        <w:pStyle w:val="TableofFigures"/>
        <w:tabs>
          <w:tab w:val="right" w:leader="dot" w:pos="9350"/>
        </w:tabs>
        <w:spacing w:line="480" w:lineRule="auto"/>
        <w:rPr>
          <w:rFonts w:asciiTheme="minorHAnsi" w:eastAsiaTheme="minorEastAsia" w:hAnsiTheme="minorHAnsi" w:cstheme="minorBidi"/>
          <w:caps w:val="0"/>
          <w:noProof/>
          <w:sz w:val="22"/>
          <w:szCs w:val="22"/>
        </w:rPr>
      </w:pPr>
      <w:hyperlink w:anchor="_Toc425427097" w:history="1">
        <w:r w:rsidR="00AD3F10" w:rsidRPr="00C8223D">
          <w:rPr>
            <w:rStyle w:val="Hyperlink"/>
            <w:noProof/>
          </w:rPr>
          <w:t xml:space="preserve">Figure 13: One-to-one graph of the CK method compared to the theoretical one-to-one line of correlation for </w:t>
        </w:r>
        <w:r w:rsidR="00AD3F10" w:rsidRPr="00C8223D">
          <w:rPr>
            <w:rStyle w:val="Hyperlink"/>
            <w:i/>
            <w:noProof/>
          </w:rPr>
          <w:t>Ѳ</w:t>
        </w:r>
        <w:r w:rsidR="00AD3F10" w:rsidRPr="00C8223D">
          <w:rPr>
            <w:rStyle w:val="Hyperlink"/>
            <w:i/>
            <w:noProof/>
            <w:vertAlign w:val="subscript"/>
          </w:rPr>
          <w:t>s</w:t>
        </w:r>
        <w:r w:rsidR="00AD3F10">
          <w:rPr>
            <w:noProof/>
            <w:webHidden/>
          </w:rPr>
          <w:tab/>
        </w:r>
        <w:r>
          <w:rPr>
            <w:noProof/>
            <w:webHidden/>
          </w:rPr>
          <w:fldChar w:fldCharType="begin"/>
        </w:r>
        <w:r w:rsidR="00AD3F10">
          <w:rPr>
            <w:noProof/>
            <w:webHidden/>
          </w:rPr>
          <w:instrText xml:space="preserve"> PAGEREF _Toc425427097 \h </w:instrText>
        </w:r>
        <w:r>
          <w:rPr>
            <w:noProof/>
            <w:webHidden/>
          </w:rPr>
        </w:r>
        <w:r>
          <w:rPr>
            <w:noProof/>
            <w:webHidden/>
          </w:rPr>
          <w:fldChar w:fldCharType="separate"/>
        </w:r>
        <w:r w:rsidR="00885C9E">
          <w:rPr>
            <w:noProof/>
            <w:webHidden/>
          </w:rPr>
          <w:t>88</w:t>
        </w:r>
        <w:r>
          <w:rPr>
            <w:noProof/>
            <w:webHidden/>
          </w:rPr>
          <w:fldChar w:fldCharType="end"/>
        </w:r>
      </w:hyperlink>
    </w:p>
    <w:p w:rsidR="00AD3F10" w:rsidRDefault="00177749" w:rsidP="00AD3F10">
      <w:pPr>
        <w:pStyle w:val="TableofFigures"/>
        <w:tabs>
          <w:tab w:val="right" w:leader="dot" w:pos="9350"/>
        </w:tabs>
        <w:spacing w:line="480" w:lineRule="auto"/>
        <w:rPr>
          <w:rFonts w:asciiTheme="minorHAnsi" w:eastAsiaTheme="minorEastAsia" w:hAnsiTheme="minorHAnsi" w:cstheme="minorBidi"/>
          <w:caps w:val="0"/>
          <w:noProof/>
          <w:sz w:val="22"/>
          <w:szCs w:val="22"/>
        </w:rPr>
      </w:pPr>
      <w:hyperlink w:anchor="_Toc425427098" w:history="1">
        <w:r w:rsidR="00AD3F10" w:rsidRPr="00C8223D">
          <w:rPr>
            <w:rStyle w:val="Hyperlink"/>
            <w:noProof/>
          </w:rPr>
          <w:t xml:space="preserve">Figure 14: Final co-kriged maps for </w:t>
        </w:r>
        <w:r w:rsidR="00AD3F10" w:rsidRPr="00C8223D">
          <w:rPr>
            <w:rStyle w:val="Hyperlink"/>
            <w:i/>
            <w:noProof/>
          </w:rPr>
          <w:t>ψ</w:t>
        </w:r>
        <w:r w:rsidR="00AD3F10" w:rsidRPr="00C8223D">
          <w:rPr>
            <w:rStyle w:val="Hyperlink"/>
            <w:i/>
            <w:noProof/>
            <w:vertAlign w:val="subscript"/>
          </w:rPr>
          <w:t>a</w:t>
        </w:r>
        <w:r w:rsidR="00AD3F10" w:rsidRPr="00C8223D">
          <w:rPr>
            <w:rStyle w:val="Hyperlink"/>
            <w:noProof/>
          </w:rPr>
          <w:t xml:space="preserve"> and </w:t>
        </w:r>
        <w:r w:rsidR="00AD3F10" w:rsidRPr="00C8223D">
          <w:rPr>
            <w:rStyle w:val="Hyperlink"/>
            <w:i/>
            <w:noProof/>
          </w:rPr>
          <w:t>Ѳ</w:t>
        </w:r>
        <w:r w:rsidR="00AD3F10" w:rsidRPr="00C8223D">
          <w:rPr>
            <w:rStyle w:val="Hyperlink"/>
            <w:i/>
            <w:noProof/>
            <w:vertAlign w:val="subscript"/>
          </w:rPr>
          <w:t>s</w:t>
        </w:r>
        <w:r w:rsidR="00AD3F10" w:rsidRPr="00C8223D">
          <w:rPr>
            <w:rStyle w:val="Hyperlink"/>
            <w:noProof/>
          </w:rPr>
          <w:t xml:space="preserve"> using the Kang et al. (2014) data set</w:t>
        </w:r>
        <w:r w:rsidR="00AD3F10">
          <w:rPr>
            <w:noProof/>
            <w:webHidden/>
          </w:rPr>
          <w:tab/>
        </w:r>
        <w:r>
          <w:rPr>
            <w:noProof/>
            <w:webHidden/>
          </w:rPr>
          <w:fldChar w:fldCharType="begin"/>
        </w:r>
        <w:r w:rsidR="00AD3F10">
          <w:rPr>
            <w:noProof/>
            <w:webHidden/>
          </w:rPr>
          <w:instrText xml:space="preserve"> PAGEREF _Toc425427098 \h </w:instrText>
        </w:r>
        <w:r>
          <w:rPr>
            <w:noProof/>
            <w:webHidden/>
          </w:rPr>
        </w:r>
        <w:r>
          <w:rPr>
            <w:noProof/>
            <w:webHidden/>
          </w:rPr>
          <w:fldChar w:fldCharType="separate"/>
        </w:r>
        <w:r w:rsidR="00885C9E">
          <w:rPr>
            <w:noProof/>
            <w:webHidden/>
          </w:rPr>
          <w:t>89</w:t>
        </w:r>
        <w:r>
          <w:rPr>
            <w:noProof/>
            <w:webHidden/>
          </w:rPr>
          <w:fldChar w:fldCharType="end"/>
        </w:r>
      </w:hyperlink>
    </w:p>
    <w:p w:rsidR="00AD3F10" w:rsidRDefault="00177749" w:rsidP="00AD3F10">
      <w:pPr>
        <w:pStyle w:val="TableofFigures"/>
        <w:tabs>
          <w:tab w:val="right" w:leader="dot" w:pos="9350"/>
        </w:tabs>
        <w:spacing w:line="480" w:lineRule="auto"/>
        <w:rPr>
          <w:rFonts w:asciiTheme="minorHAnsi" w:eastAsiaTheme="minorEastAsia" w:hAnsiTheme="minorHAnsi" w:cstheme="minorBidi"/>
          <w:caps w:val="0"/>
          <w:noProof/>
          <w:sz w:val="22"/>
          <w:szCs w:val="22"/>
        </w:rPr>
      </w:pPr>
      <w:hyperlink w:anchor="_Toc425427099" w:history="1">
        <w:r w:rsidR="00AD3F10" w:rsidRPr="00C8223D">
          <w:rPr>
            <w:rStyle w:val="Hyperlink"/>
            <w:noProof/>
          </w:rPr>
          <w:t xml:space="preserve">Figure 15: Final co-kriged maps for </w:t>
        </w:r>
        <w:r w:rsidR="00AD3F10" w:rsidRPr="00C8223D">
          <w:rPr>
            <w:rStyle w:val="Hyperlink"/>
            <w:i/>
            <w:noProof/>
          </w:rPr>
          <w:t>ψ</w:t>
        </w:r>
        <w:r w:rsidR="00AD3F10" w:rsidRPr="00C8223D">
          <w:rPr>
            <w:rStyle w:val="Hyperlink"/>
            <w:i/>
            <w:noProof/>
            <w:vertAlign w:val="subscript"/>
          </w:rPr>
          <w:t>a</w:t>
        </w:r>
        <w:r w:rsidR="00AD3F10" w:rsidRPr="00C8223D">
          <w:rPr>
            <w:rStyle w:val="Hyperlink"/>
            <w:noProof/>
          </w:rPr>
          <w:t xml:space="preserve"> and </w:t>
        </w:r>
        <w:r w:rsidR="00AD3F10" w:rsidRPr="00C8223D">
          <w:rPr>
            <w:rStyle w:val="Hyperlink"/>
            <w:i/>
            <w:noProof/>
          </w:rPr>
          <w:t>Ѳ</w:t>
        </w:r>
        <w:r w:rsidR="00AD3F10" w:rsidRPr="00C8223D">
          <w:rPr>
            <w:rStyle w:val="Hyperlink"/>
            <w:i/>
            <w:noProof/>
            <w:vertAlign w:val="subscript"/>
          </w:rPr>
          <w:t>s</w:t>
        </w:r>
        <w:r w:rsidR="00AD3F10" w:rsidRPr="00C8223D">
          <w:rPr>
            <w:rStyle w:val="Hyperlink"/>
            <w:noProof/>
          </w:rPr>
          <w:t xml:space="preserve"> using the CV data set</w:t>
        </w:r>
        <w:r w:rsidR="00AD3F10">
          <w:rPr>
            <w:noProof/>
            <w:webHidden/>
          </w:rPr>
          <w:tab/>
        </w:r>
        <w:r>
          <w:rPr>
            <w:noProof/>
            <w:webHidden/>
          </w:rPr>
          <w:fldChar w:fldCharType="begin"/>
        </w:r>
        <w:r w:rsidR="00AD3F10">
          <w:rPr>
            <w:noProof/>
            <w:webHidden/>
          </w:rPr>
          <w:instrText xml:space="preserve"> PAGEREF _Toc425427099 \h </w:instrText>
        </w:r>
        <w:r>
          <w:rPr>
            <w:noProof/>
            <w:webHidden/>
          </w:rPr>
        </w:r>
        <w:r>
          <w:rPr>
            <w:noProof/>
            <w:webHidden/>
          </w:rPr>
          <w:fldChar w:fldCharType="separate"/>
        </w:r>
        <w:r w:rsidR="00885C9E">
          <w:rPr>
            <w:noProof/>
            <w:webHidden/>
          </w:rPr>
          <w:t>89</w:t>
        </w:r>
        <w:r>
          <w:rPr>
            <w:noProof/>
            <w:webHidden/>
          </w:rPr>
          <w:fldChar w:fldCharType="end"/>
        </w:r>
      </w:hyperlink>
    </w:p>
    <w:p w:rsidR="00AD3F10" w:rsidRDefault="00177749" w:rsidP="00AD3F10">
      <w:pPr>
        <w:pStyle w:val="TableofFigures"/>
        <w:tabs>
          <w:tab w:val="right" w:leader="dot" w:pos="9350"/>
        </w:tabs>
        <w:spacing w:line="480" w:lineRule="auto"/>
        <w:rPr>
          <w:rFonts w:asciiTheme="minorHAnsi" w:eastAsiaTheme="minorEastAsia" w:hAnsiTheme="minorHAnsi" w:cstheme="minorBidi"/>
          <w:caps w:val="0"/>
          <w:noProof/>
          <w:sz w:val="22"/>
          <w:szCs w:val="22"/>
        </w:rPr>
      </w:pPr>
      <w:hyperlink w:anchor="_Toc425427100" w:history="1">
        <w:r w:rsidR="00AD3F10" w:rsidRPr="00C8223D">
          <w:rPr>
            <w:rStyle w:val="Hyperlink"/>
            <w:noProof/>
          </w:rPr>
          <w:t xml:space="preserve">Figure 16: Corrected maps for </w:t>
        </w:r>
        <w:r w:rsidR="00AD3F10" w:rsidRPr="00C8223D">
          <w:rPr>
            <w:rStyle w:val="Hyperlink"/>
            <w:i/>
            <w:noProof/>
          </w:rPr>
          <w:t>ψ</w:t>
        </w:r>
        <w:r w:rsidR="00AD3F10" w:rsidRPr="00C8223D">
          <w:rPr>
            <w:rStyle w:val="Hyperlink"/>
            <w:i/>
            <w:noProof/>
            <w:vertAlign w:val="subscript"/>
          </w:rPr>
          <w:t>a</w:t>
        </w:r>
        <w:r w:rsidR="00AD3F10" w:rsidRPr="00C8223D">
          <w:rPr>
            <w:rStyle w:val="Hyperlink"/>
            <w:noProof/>
          </w:rPr>
          <w:t xml:space="preserve"> and </w:t>
        </w:r>
        <w:r w:rsidR="00AD3F10" w:rsidRPr="00C8223D">
          <w:rPr>
            <w:rStyle w:val="Hyperlink"/>
            <w:i/>
            <w:noProof/>
          </w:rPr>
          <w:t>Ѳ</w:t>
        </w:r>
        <w:r w:rsidR="00AD3F10" w:rsidRPr="00C8223D">
          <w:rPr>
            <w:rStyle w:val="Hyperlink"/>
            <w:i/>
            <w:noProof/>
            <w:vertAlign w:val="subscript"/>
          </w:rPr>
          <w:t>s</w:t>
        </w:r>
        <w:r w:rsidR="00AD3F10" w:rsidRPr="00C8223D">
          <w:rPr>
            <w:rStyle w:val="Hyperlink"/>
            <w:noProof/>
          </w:rPr>
          <w:t xml:space="preserve"> using the cross-validation and co-kriging correction method</w:t>
        </w:r>
        <w:r w:rsidR="00AD3F10">
          <w:rPr>
            <w:noProof/>
            <w:webHidden/>
          </w:rPr>
          <w:tab/>
        </w:r>
        <w:r>
          <w:rPr>
            <w:noProof/>
            <w:webHidden/>
          </w:rPr>
          <w:fldChar w:fldCharType="begin"/>
        </w:r>
        <w:r w:rsidR="00AD3F10">
          <w:rPr>
            <w:noProof/>
            <w:webHidden/>
          </w:rPr>
          <w:instrText xml:space="preserve"> PAGEREF _Toc425427100 \h </w:instrText>
        </w:r>
        <w:r>
          <w:rPr>
            <w:noProof/>
            <w:webHidden/>
          </w:rPr>
        </w:r>
        <w:r>
          <w:rPr>
            <w:noProof/>
            <w:webHidden/>
          </w:rPr>
          <w:fldChar w:fldCharType="separate"/>
        </w:r>
        <w:r w:rsidR="00885C9E">
          <w:rPr>
            <w:noProof/>
            <w:webHidden/>
          </w:rPr>
          <w:t>90</w:t>
        </w:r>
        <w:r>
          <w:rPr>
            <w:noProof/>
            <w:webHidden/>
          </w:rPr>
          <w:fldChar w:fldCharType="end"/>
        </w:r>
      </w:hyperlink>
    </w:p>
    <w:p w:rsidR="00AD3F10" w:rsidRDefault="00177749" w:rsidP="00AD3F10">
      <w:pPr>
        <w:pStyle w:val="TableofFigures"/>
        <w:tabs>
          <w:tab w:val="right" w:leader="dot" w:pos="9350"/>
        </w:tabs>
        <w:spacing w:line="480" w:lineRule="auto"/>
        <w:rPr>
          <w:rFonts w:asciiTheme="minorHAnsi" w:eastAsiaTheme="minorEastAsia" w:hAnsiTheme="minorHAnsi" w:cstheme="minorBidi"/>
          <w:caps w:val="0"/>
          <w:noProof/>
          <w:sz w:val="22"/>
          <w:szCs w:val="22"/>
        </w:rPr>
      </w:pPr>
      <w:hyperlink w:anchor="_Toc425427101" w:history="1">
        <w:r w:rsidR="00AD3F10" w:rsidRPr="00C8223D">
          <w:rPr>
            <w:rStyle w:val="Hyperlink"/>
            <w:noProof/>
          </w:rPr>
          <w:t xml:space="preserve">Figure 17: Plots of median values and their corresponding upper (75%) and lower (25%) quartiles for the independent Cropper (2012) data set, the Kang et al. (2014) data set, the Krige data set (i.e. spatial trend corrected data using CK and CV for </w:t>
        </w:r>
        <w:r w:rsidR="00AD3F10" w:rsidRPr="00C8223D">
          <w:rPr>
            <w:rStyle w:val="Hyperlink"/>
            <w:i/>
            <w:noProof/>
          </w:rPr>
          <w:t>ψ</w:t>
        </w:r>
        <w:r w:rsidR="00AD3F10" w:rsidRPr="00C8223D">
          <w:rPr>
            <w:rStyle w:val="Hyperlink"/>
            <w:i/>
            <w:noProof/>
            <w:vertAlign w:val="subscript"/>
          </w:rPr>
          <w:t>a</w:t>
        </w:r>
        <w:r w:rsidR="00AD3F10" w:rsidRPr="00C8223D">
          <w:rPr>
            <w:rStyle w:val="Hyperlink"/>
            <w:noProof/>
          </w:rPr>
          <w:t xml:space="preserve"> and </w:t>
        </w:r>
        <w:r w:rsidR="00AD3F10" w:rsidRPr="00C8223D">
          <w:rPr>
            <w:rStyle w:val="Hyperlink"/>
            <w:i/>
            <w:noProof/>
          </w:rPr>
          <w:t>Ѳ</w:t>
        </w:r>
        <w:r w:rsidR="00AD3F10" w:rsidRPr="00C8223D">
          <w:rPr>
            <w:rStyle w:val="Hyperlink"/>
            <w:i/>
            <w:noProof/>
            <w:vertAlign w:val="subscript"/>
          </w:rPr>
          <w:t>s</w:t>
        </w:r>
        <w:r w:rsidR="00AD3F10" w:rsidRPr="00C8223D">
          <w:rPr>
            <w:rStyle w:val="Hyperlink"/>
            <w:noProof/>
          </w:rPr>
          <w:t>), and the Trend data set (i.e. trend corrected data using trend surface analysis for all BC parameters). These plots are used to illustrate MW and KS results and determine which data sets are significantly different from one another.</w:t>
        </w:r>
        <w:r w:rsidR="00AD3F10">
          <w:rPr>
            <w:noProof/>
            <w:webHidden/>
          </w:rPr>
          <w:tab/>
        </w:r>
        <w:r>
          <w:rPr>
            <w:noProof/>
            <w:webHidden/>
          </w:rPr>
          <w:fldChar w:fldCharType="begin"/>
        </w:r>
        <w:r w:rsidR="00AD3F10">
          <w:rPr>
            <w:noProof/>
            <w:webHidden/>
          </w:rPr>
          <w:instrText xml:space="preserve"> PAGEREF _Toc425427101 \h </w:instrText>
        </w:r>
        <w:r>
          <w:rPr>
            <w:noProof/>
            <w:webHidden/>
          </w:rPr>
        </w:r>
        <w:r>
          <w:rPr>
            <w:noProof/>
            <w:webHidden/>
          </w:rPr>
          <w:fldChar w:fldCharType="separate"/>
        </w:r>
        <w:r w:rsidR="00885C9E">
          <w:rPr>
            <w:noProof/>
            <w:webHidden/>
          </w:rPr>
          <w:t>92</w:t>
        </w:r>
        <w:r>
          <w:rPr>
            <w:noProof/>
            <w:webHidden/>
          </w:rPr>
          <w:fldChar w:fldCharType="end"/>
        </w:r>
      </w:hyperlink>
    </w:p>
    <w:p w:rsidR="00BC75B3" w:rsidRPr="005046D3" w:rsidRDefault="00177749" w:rsidP="00AD3F10">
      <w:pPr>
        <w:pStyle w:val="Style1"/>
        <w:spacing w:line="480" w:lineRule="auto"/>
        <w:sectPr w:rsidR="00BC75B3" w:rsidRPr="005046D3" w:rsidSect="00BC75B3">
          <w:pgSz w:w="12240" w:h="15840"/>
          <w:pgMar w:top="1440" w:right="1440" w:bottom="1440" w:left="1440" w:header="720" w:footer="720" w:gutter="0"/>
          <w:pgNumType w:fmt="lowerRoman" w:start="2"/>
          <w:cols w:space="720"/>
          <w:docGrid w:linePitch="360"/>
        </w:sectPr>
      </w:pPr>
      <w:r w:rsidRPr="00724F32">
        <w:rPr>
          <w:sz w:val="24"/>
          <w:szCs w:val="24"/>
        </w:rPr>
        <w:fldChar w:fldCharType="end"/>
      </w:r>
    </w:p>
    <w:p w:rsidR="002F3B63" w:rsidRPr="00030A97" w:rsidRDefault="002F3B63" w:rsidP="00776D1A">
      <w:pPr>
        <w:pStyle w:val="Style1"/>
        <w:spacing w:after="0"/>
      </w:pPr>
      <w:bookmarkStart w:id="3" w:name="_Toc422315772"/>
      <w:bookmarkStart w:id="4" w:name="_Toc425427016"/>
      <w:bookmarkStart w:id="5" w:name="_Toc412485248"/>
      <w:bookmarkEnd w:id="2"/>
      <w:r w:rsidRPr="00030A97">
        <w:lastRenderedPageBreak/>
        <w:t>CHAPTER 1</w:t>
      </w:r>
      <w:bookmarkEnd w:id="3"/>
      <w:bookmarkEnd w:id="4"/>
    </w:p>
    <w:p w:rsidR="00557BA9" w:rsidRDefault="002F3B63" w:rsidP="00C21681">
      <w:pPr>
        <w:pStyle w:val="Style1"/>
        <w:spacing w:before="0" w:after="0"/>
      </w:pPr>
      <w:bookmarkStart w:id="6" w:name="_Toc425427017"/>
      <w:r w:rsidRPr="00030A97">
        <w:t>INTRODUCTION</w:t>
      </w:r>
      <w:bookmarkEnd w:id="6"/>
      <w:r w:rsidRPr="00030A97">
        <w:t xml:space="preserve"> </w:t>
      </w:r>
    </w:p>
    <w:p w:rsidR="00C21681" w:rsidRPr="00C21681" w:rsidRDefault="00C21681" w:rsidP="00C21681">
      <w:pPr>
        <w:pStyle w:val="Style2"/>
        <w:spacing w:line="240" w:lineRule="auto"/>
      </w:pPr>
    </w:p>
    <w:p w:rsidR="002F3B63" w:rsidRPr="00030A97" w:rsidRDefault="002F3B63" w:rsidP="00C21681">
      <w:pPr>
        <w:pStyle w:val="Style2"/>
      </w:pPr>
      <w:bookmarkStart w:id="7" w:name="_Toc425427018"/>
      <w:r w:rsidRPr="00030A97">
        <w:t xml:space="preserve">1.1 </w:t>
      </w:r>
      <w:r w:rsidRPr="00C21681">
        <w:t>Problem</w:t>
      </w:r>
      <w:r w:rsidRPr="00030A97">
        <w:t xml:space="preserve"> Statement</w:t>
      </w:r>
      <w:bookmarkEnd w:id="7"/>
    </w:p>
    <w:p w:rsidR="002F3B63" w:rsidRDefault="002F3B63" w:rsidP="002F3B63">
      <w:pPr>
        <w:spacing w:line="480" w:lineRule="auto"/>
        <w:ind w:firstLine="420"/>
      </w:pPr>
      <w:r>
        <w:t>Spatially correlated heterogeneity occurs at multiple scales</w:t>
      </w:r>
      <w:r w:rsidRPr="005157E0">
        <w:t xml:space="preserve"> </w:t>
      </w:r>
      <w:r w:rsidRPr="00101399">
        <w:t>and represents a major</w:t>
      </w:r>
      <w:r>
        <w:t xml:space="preserve"> </w:t>
      </w:r>
      <w:r w:rsidRPr="00101399">
        <w:t xml:space="preserve">challenge for predicting </w:t>
      </w:r>
      <w:r>
        <w:t>fluid movement</w:t>
      </w:r>
      <w:r w:rsidRPr="00101399">
        <w:t xml:space="preserve"> in the</w:t>
      </w:r>
      <w:r>
        <w:t xml:space="preserve"> </w:t>
      </w:r>
      <w:r w:rsidRPr="00101399">
        <w:t>subsurface</w:t>
      </w:r>
      <w:r>
        <w:t xml:space="preserve"> </w:t>
      </w:r>
      <w:r w:rsidR="00177749">
        <w:fldChar w:fldCharType="begin"/>
      </w:r>
      <w:r>
        <w:instrText xml:space="preserve"> ADDIN ZOTERO_ITEM CSL_CITATION {"citationID":"2l1geuqkt7","properties":{"formattedCitation":"(Pini and Benson, 2013)","plainCitation":"(Pini and Benson, 2013)"},"citationItems":[{"id":230,"uris":["http://zotero.org/users/1507390/items/H9FDN334"],"uri":["http://zotero.org/users/1507390/items/H9FDN334"],"itemData":{"id":230,"type":"article-journal","title":"Characterization and scaling of mesoscale heterogeneities in sandstones","container-title":"Geophysical Research Letters","page":"3903-3908","volume":"40","issue":"15","source":"Wiley Online Library","abstract":"A core-flooding technique to measure core- and subcore-scale capillary pressure curves is applied to the characterization of a naturally heterogeneous sandstone core. N2 and water are used as the nonwetting and wetting fluid phases, and X-ray imaging is applied to precisely visualize multiphase flow at the subcentimeter scale. The spatial variability in the Pc(S) relationship is represented in terms of scaling factors, which are further translated into a corresponding distribution of permeabilities, thus creating a unique and consistent framework where multiphase and rock properties are integrated. The analysis introduced here provides a practical and efficient method for characterizing subcore-scale heterogeneities, whose effects can be substantial on both single and multiphase flows.","DOI":"10.1002/grl.50756","ISSN":"1944-8007","journalAbbreviation":"Geophys. Res. Lett.","language":"en","author":[{"family":"Pini","given":"Ronny"},{"family":"Benson","given":"Sally M."}],"issued":{"date-parts":[["2013",8,16]]},"accessed":{"date-parts":[["2015",2,20]]}}}],"schema":"https://github.com/citation-style-language/schema/raw/master/csl-citation.json"} </w:instrText>
      </w:r>
      <w:r w:rsidR="00177749">
        <w:fldChar w:fldCharType="separate"/>
      </w:r>
      <w:r w:rsidRPr="00BF1FA8">
        <w:rPr>
          <w:rFonts w:ascii="Cambria" w:hAnsi="Cambria"/>
        </w:rPr>
        <w:t>(Pini and Benson, 2013)</w:t>
      </w:r>
      <w:r w:rsidR="00177749">
        <w:fldChar w:fldCharType="end"/>
      </w:r>
      <w:r w:rsidRPr="00101399">
        <w:t>.</w:t>
      </w:r>
      <w:r>
        <w:t xml:space="preserve"> Investigation of multi-scale heterogeneity and its effects on flow and transport is important for multiple applications such as site characterization, contaminant transport, brine displacement efficiency, CO</w:t>
      </w:r>
      <w:r w:rsidRPr="005A3B11">
        <w:rPr>
          <w:vertAlign w:val="subscript"/>
        </w:rPr>
        <w:t>2</w:t>
      </w:r>
      <w:r>
        <w:t xml:space="preserve"> sequestration, and reservoir production (</w:t>
      </w:r>
      <w:r w:rsidR="00177749">
        <w:rPr>
          <w:rFonts w:cstheme="minorHAnsi"/>
          <w:b/>
        </w:rPr>
        <w:fldChar w:fldCharType="begin"/>
      </w:r>
      <w:r>
        <w:rPr>
          <w:rFonts w:cstheme="minorHAnsi"/>
          <w:b/>
        </w:rPr>
        <w:instrText xml:space="preserve"> ADDIN ZOTERO_ITEM CSL_CITATION {"citationID":"3ckr18366","properties":{"formattedCitation":"(Duijn et al., 1995)","plainCitation":"(Duijn et al., 1995)"},"citationItems":[{"id":564,"uris":["http://zotero.org/users/1507390/items/NUJAIM9T"],"uri":["http://zotero.org/users/1507390/items/NUJAIM9T"],"itemData":{"id":564,"type":"article-journal","title":"The effect of capillary forces on immiscible two-phase flow in heterogeneous porous media","container-title":"Transport in Porous Media","page":"71-93","volume":"21","issue":"1","source":"link.springer.com","abstract":"We consider the one-dimensional two-phase flow including capillary effects through a heterogeneous porous medium. The heterogeneity is due to the spatial variation of the absolute permeability and the porosity. Both these quantities are assumed to be piecewise constant. At interfaces where the rock properties are discontinuous, we derive, by a regularisation technique, conditions to match the values of the saturation on both sides. There are two conditions: a flux condition and an extended pressure condition. Applying these conditions we show that trapping of the wetting phase may occur near heterogeneities. To illustrate the behaviour of the saturation we consider a time-dependent diffusion problem without convection, a stationary convection-diffusion problem, and the full time-dependent convection-diffusion problem (numerically). In particular the last two problems explicitly show the trapping behaviour.","DOI":"10.1007/BF00615335","ISSN":"0169-3913, 1573-1634","journalAbbreviation":"Transp Porous Med","language":"en","author":[{"family":"Duijn","given":"C. J. Van"},{"family":"Molenaar","given":"J."},{"family":"Neef","given":"M. J. De"}],"issued":{"date-parts":[["1995",10,1]]},"accessed":{"date-parts":[["2015",4,15]]}}}],"schema":"https://github.com/citation-style-language/schema/raw/master/csl-citation.json"} </w:instrText>
      </w:r>
      <w:r w:rsidR="00177749">
        <w:rPr>
          <w:rFonts w:cstheme="minorHAnsi"/>
          <w:b/>
        </w:rPr>
        <w:fldChar w:fldCharType="separate"/>
      </w:r>
      <w:r>
        <w:rPr>
          <w:rFonts w:ascii="Cambria" w:hAnsi="Cambria"/>
        </w:rPr>
        <w:t xml:space="preserve">Duijn et al., </w:t>
      </w:r>
      <w:r w:rsidRPr="00726EB2">
        <w:rPr>
          <w:rFonts w:ascii="Cambria" w:hAnsi="Cambria"/>
        </w:rPr>
        <w:t>1995</w:t>
      </w:r>
      <w:r w:rsidR="00177749">
        <w:rPr>
          <w:rFonts w:cstheme="minorHAnsi"/>
          <w:b/>
        </w:rPr>
        <w:fldChar w:fldCharType="end"/>
      </w:r>
      <w:r>
        <w:rPr>
          <w:rFonts w:cstheme="minorHAnsi"/>
          <w:b/>
        </w:rPr>
        <w:t>;</w:t>
      </w:r>
      <w:r>
        <w:t xml:space="preserve"> </w:t>
      </w:r>
      <w:r w:rsidR="00177749">
        <w:fldChar w:fldCharType="begin"/>
      </w:r>
      <w:r>
        <w:instrText xml:space="preserve"> ADDIN ZOTERO_ITEM CSL_CITATION {"citationID":"27jpal8sdf","properties":{"formattedCitation":"(Eaton, 2006)","plainCitation":"(Eaton, 2006)"},"citationItems":[{"id":557,"uris":["http://zotero.org/users/1507390/items/6TTNAZZC"],"uri":["http://zotero.org/users/1507390/items/6TTNAZZC"],"itemData":{"id":557,"type":"article-journal","title":"On the importance of geological heterogeneity for flow simulation","container-title":"Sedimentary Geology","collection-title":"Heterogeneity in Sedimentary Aquifers: Challenges for Characterization and Flow Modeling Geological Society of America Annual Meeting “GeoScience Horizons 2003”","page":"187-201","volume":"184","issue":"3–4","source":"ScienceDirect","abstract":"Geological heterogeneity is recognized as a major control on reservoir production and constraint on many aspects of quantitative hydrogeology. Hydrogeologists and reservoir geologists need to characterize groundwater flow through many different types of geological media for different purposes. In this introductory paper, an updated perspective is provided on the current status of the long effort to understand the effect of geological heterogeneity on flow using numerical simulations. A summary is given of continuum vs. discrete paradigms, and zonal vs. geostatistical approaches, all of which are used to structure model domains. Using these methods and modern simulation tools, flow modelers now have greater opportunities to account for the increasingly detailed understanding of heterogeneous aquifer and reservoir systems.\n\nOne way of doing this would be to apply a broader interpretation of the idea of hydrofacies, long used by hydrogeologists. Simulating flow through heterogeneous geologic media requires that numerical models capture important aspects of the structure of the flow domain. Hydrofacies are reinterpreted here as scale-dependent hydrogeologic units with a particular representative elementary volume (REV) or structure of a specific size and shape. As such, they can be delineated in indurated sedimentary or even fractured aquifer systems, independently of lithofacies, as well as in the unlithified settings in which they have traditionally been used. This reconsideration of what constitutes hydrofacies, the building blocks for representing geological heterogeneity in flow models, may be of some use in the types of settings described in this special issue.","DOI":"10.1016/j.sedgeo.2005.11.002","ISSN":"0037-0738","journalAbbreviation":"Sedimentary Geology","author":[{"family":"Eaton","given":"Timothy T."}],"issued":{"date-parts":[["2006",2,15]]},"accessed":{"date-parts":[["2015",3,31]]}}}],"schema":"https://github.com/citation-style-language/schema/raw/master/csl-citation.json"} </w:instrText>
      </w:r>
      <w:r w:rsidR="00177749">
        <w:fldChar w:fldCharType="separate"/>
      </w:r>
      <w:r w:rsidRPr="008425A2">
        <w:rPr>
          <w:rFonts w:ascii="Cambria" w:hAnsi="Cambria"/>
        </w:rPr>
        <w:t>Eaton, 2006</w:t>
      </w:r>
      <w:r w:rsidR="00177749">
        <w:fldChar w:fldCharType="end"/>
      </w:r>
      <w:r>
        <w:t>;</w:t>
      </w:r>
      <w:r>
        <w:rPr>
          <w:rFonts w:cstheme="minorHAnsi"/>
          <w:b/>
        </w:rPr>
        <w:t xml:space="preserve"> </w:t>
      </w:r>
      <w:r w:rsidR="00177749">
        <w:fldChar w:fldCharType="begin"/>
      </w:r>
      <w:r>
        <w:instrText xml:space="preserve"> ADDIN ZOTERO_ITEM CSL_CITATION {"citationID":"10ilqjd7pc","properties":{"formattedCitation":"(Perrin and Benson, 2009)","plainCitation":"(Perrin and Benson, 2009)"},"citationItems":[{"id":189,"uris":["http://zotero.org/users/1507390/items/RB6PT7CN"],"uri":["http://zotero.org/users/1507390/items/RB6PT7CN"],"itemData":{"id":189,"type":"article-journal","title":"An Experimental Study on the Influence of Sub-Core Scale Heterogeneities on CO2 Distribution in Reservoir Rocks","container-title":"Transport in Porous Media","page":"93-109","volume":"82","issue":"1","source":"link.springer.com.proxy.lib.utk.edu:90","abstract":"This article presents the results of CO2/brine two-phase flow experiments in rocks at reservoir conditions. X-ray CT scanning is used to determine CO2 saturation at a fine scale with a resolution of a few pore volumes and provide 3D porosity and saturation maps that can be use to correlate CO2 saturations and rock properties. The study highlights the strong influence of sub-core scale heterogeneities on the spatial distribution of CO2 at steady state and provides useful relative permeability data on a sample originated from an actual storage site (CO2CRC-Otway project, Victoria, South-West Australia). Two different samples tested, although different in nature, present strong heterogeneities, but differ in the detail of the connectivity of high porosity layers. In both samples, the results of the investigations show that sub-core scale heterogeneities control the sweep efficiency and may cause channeling through the porous medium. In one of the samples, CO2 saturation appears uncorrelated to porosity close to the outlet end of the core. This observation is understood as a result of the position and the orientation of high porosity layers with respect to the inlet face of the core. Finally, in the operating conditions of the two experiments, the saturation maps demonstrate that gravity does not play a major role since no detectable buoyancy driven flow is observed.","DOI":"10.1007/s11242-009-9426-x","ISSN":"0169-3913, 1573-1634","journalAbbreviation":"Transp Porous Med","language":"en","author":[{"family":"Perrin","given":"Jean-Christophe"},{"family":"Benson","given":"Sally"}],"issued":{"date-parts":[["2009",6,30]]},"accessed":{"date-parts":[["2015",2,20]]}}}],"schema":"https://github.com/citation-style-language/schema/raw/master/csl-citation.json"} </w:instrText>
      </w:r>
      <w:r w:rsidR="00177749">
        <w:fldChar w:fldCharType="separate"/>
      </w:r>
      <w:r w:rsidRPr="00726EB2">
        <w:rPr>
          <w:rFonts w:ascii="Cambria" w:hAnsi="Cambria"/>
        </w:rPr>
        <w:t>Perrin and</w:t>
      </w:r>
      <w:r>
        <w:rPr>
          <w:rFonts w:ascii="Cambria" w:hAnsi="Cambria"/>
        </w:rPr>
        <w:t xml:space="preserve"> Benson, </w:t>
      </w:r>
      <w:r w:rsidRPr="00726EB2">
        <w:rPr>
          <w:rFonts w:ascii="Cambria" w:hAnsi="Cambria"/>
        </w:rPr>
        <w:t>2009</w:t>
      </w:r>
      <w:r w:rsidR="00177749">
        <w:fldChar w:fldCharType="end"/>
      </w:r>
      <w:r>
        <w:t xml:space="preserve">; </w:t>
      </w:r>
      <w:r w:rsidR="00177749">
        <w:rPr>
          <w:rFonts w:cstheme="minorHAnsi"/>
          <w:b/>
        </w:rPr>
        <w:fldChar w:fldCharType="begin"/>
      </w:r>
      <w:r>
        <w:rPr>
          <w:rFonts w:cstheme="minorHAnsi"/>
          <w:b/>
        </w:rPr>
        <w:instrText xml:space="preserve"> ADDIN ZOTERO_ITEM CSL_CITATION {"citationID":"1dehk8sout","properties":{"formattedCitation":"(Li and Benson, 2014)","plainCitation":"(Li and Benson, 2014)"},"citationItems":[{"id":483,"uris":["http://zotero.org/users/1507390/items/E2ZVDTGH"],"uri":["http://zotero.org/users/1507390/items/E2ZVDTGH"],"itemData":{"id":483,"type":"article-journal","title":"Small-scale Heterogeneities and Buoyancy-driven CO2 Migration in Geological Storage","container-title":"Energy Procedia","collection-title":"12th International Conference on Greenhouse Gas Control Technologies, GHGT-12","page":"3608-3615","volume":"63","source":"ScienceDirect","abstract":"It is well understood that spatially correlated heterogeneities can affect large-scale CO2 migrations in geological sequestration. However, recent experimental observations from high resolution Computed Tomography (CT) imaging have shown heterogeneities at the millimeter scale in natural sandstone core samples. These heterogeneities have a high degree of randomness without distinct spatial patterns, and they appear relatively homogeneous at a larger scale. As a result, such heterogeneities tend to be ignored in core analysis and in flow simulations. In this study, we show that ignoring such small-scale heterogeneities can lead to significant overestimations of CO2 plume speed in modeling buoyancy-driven CO2 migrations. For the representative examples we study, the overestimation can be a factor of two or larger.","DOI":"10.1016/j.egypro.2014.11.391","ISSN":"1876-6102","journalAbbreviation":"Energy Procedia","author":[{"family":"Li","given":"Boxiao"},{"family":"Benson","given":"Sally M."}],"issued":{"date-parts":[["2014"]]},"accessed":{"date-parts":[["2015",2,21]]}}}],"schema":"https://github.com/citation-style-language/schema/raw/master/csl-citation.json"} </w:instrText>
      </w:r>
      <w:r w:rsidR="00177749">
        <w:rPr>
          <w:rFonts w:cstheme="minorHAnsi"/>
          <w:b/>
        </w:rPr>
        <w:fldChar w:fldCharType="separate"/>
      </w:r>
      <w:r>
        <w:rPr>
          <w:rFonts w:ascii="Cambria" w:hAnsi="Cambria"/>
        </w:rPr>
        <w:t>Li and Benson,</w:t>
      </w:r>
      <w:r w:rsidRPr="00647878">
        <w:rPr>
          <w:rFonts w:ascii="Cambria" w:hAnsi="Cambria"/>
        </w:rPr>
        <w:t xml:space="preserve"> 2014</w:t>
      </w:r>
      <w:r w:rsidR="00177749">
        <w:rPr>
          <w:rFonts w:cstheme="minorHAnsi"/>
          <w:b/>
        </w:rPr>
        <w:fldChar w:fldCharType="end"/>
      </w:r>
      <w:r>
        <w:t>).  Simulation studies have shown that</w:t>
      </w:r>
      <w:r w:rsidRPr="00BF1FA8">
        <w:t xml:space="preserve"> </w:t>
      </w:r>
      <w:r>
        <w:t xml:space="preserve">sub-core scale heterogeneity can have a profound effect on flow and transport behavior </w:t>
      </w:r>
      <w:r w:rsidR="00177749">
        <w:fldChar w:fldCharType="begin"/>
      </w:r>
      <w:r>
        <w:instrText xml:space="preserve"> ADDIN ZOTERO_ITEM CSL_CITATION {"citationID":"gfaHArPA","properties":{"formattedCitation":"(Pini and Benson, 2013)","plainCitation":"(Pini and Benson, 2013)"},"citationItems":[{"id":230,"uris":["http://zotero.org/users/1507390/items/H9FDN334"],"uri":["http://zotero.org/users/1507390/items/H9FDN334"],"itemData":{"id":230,"type":"article-journal","title":"Characterization and scaling of mesoscale heterogeneities in sandstones","container-title":"Geophysical Research Letters","page":"3903-3908","volume":"40","issue":"15","source":"Wiley Online Library","abstract":"A core-flooding technique to measure core- and subcore-scale capillary pressure curves is applied to the characterization of a naturally heterogeneous sandstone core. N2 and water are used as the nonwetting and wetting fluid phases, and X-ray imaging is applied to precisely visualize multiphase flow at the subcentimeter scale. The spatial variability in the Pc(S) relationship is represented in terms of scaling factors, which are further translated into a corresponding distribution of permeabilities, thus creating a unique and consistent framework where multiphase and rock properties are integrated. The analysis introduced here provides a practical and efficient method for characterizing subcore-scale heterogeneities, whose effects can be substantial on both single and multiphase flows.","DOI":"10.1002/grl.50756","ISSN":"1944-8007","journalAbbreviation":"Geophys. Res. Lett.","language":"en","author":[{"family":"Pini","given":"Ronny"},{"family":"Benson","given":"Sally M."}],"issued":{"date-parts":[["2013",8,16]]},"accessed":{"date-parts":[["2015",2,20]]}}}],"schema":"https://github.com/citation-style-language/schema/raw/master/csl-citation.json"} </w:instrText>
      </w:r>
      <w:r w:rsidR="00177749">
        <w:fldChar w:fldCharType="separate"/>
      </w:r>
      <w:r w:rsidRPr="00BF1FA8">
        <w:rPr>
          <w:rFonts w:ascii="Cambria" w:hAnsi="Cambria"/>
        </w:rPr>
        <w:t>(Pini and Benson, 2013)</w:t>
      </w:r>
      <w:r w:rsidR="00177749">
        <w:fldChar w:fldCharType="end"/>
      </w:r>
      <w:r>
        <w:t xml:space="preserve">. </w:t>
      </w:r>
      <w:r w:rsidR="00177749">
        <w:fldChar w:fldCharType="begin"/>
      </w:r>
      <w:r>
        <w:instrText xml:space="preserve"> ADDIN ZOTERO_ITEM CSL_CITATION {"citationID":"2b4o34ls9c","properties":{"formattedCitation":"(Li et al., 2013)","plainCitation":"(Li et al., 2013)"},"citationItems":[{"id":569,"uris":["http://zotero.org/users/1507390/items/C5DXXEH7"],"uri":["http://zotero.org/users/1507390/items/C5DXXEH7"],"itemData":{"id":569,"type":"article-journal","title":"Influence of capillary-pressure models on CO2 solubility trapping","container-title":"Advances in Water Resources","collection-title":"Computational Methods in Geologic CO2 Sequestration","page":"488-498","volume":"62, Part C","source":"ScienceDirect","abstract":"The typical shape of a capillary-pressure curve is either convex (e.g., Brooks–Corey model) or S-shaped (e.g., van Genuchten model). It is not universally agreed which model reflects natural rocks better. The difference between the two models lies in the representation of the capillary entry pressure. This difference does not lead to significantly different simulation results for modeling CO2 sequestration in aquifers without considering CO2 dissolution. However, we observe that the van-Genuchten-type capillary-pressure model accelerates CO2 solubility trapping significantly compared with the Brooks–Corey-type model. We also show that the simulation results are very sensitive to the slope of the van-Genuchten-type curve around the entry-pressure region. For the representative examples we study, the differences can be so large as to have complete dissolution of the CO2 plume versus persistence of over 50% of the plume over a 5000-year period.\n\nThe cause of such sensitivity to the capillary-pressure model is studied. Particularly, we focus on how the entry pressure is represented in each model. We examine the mass-transfer processes under gravity-capillary equilibrium, molecular diffusion, convective mixing, and in the presence of small-scale heterogeneities. Laboratory measurement of capillary-pressure curves and some important implementation issues of capillary-pressure models in numerical simulators are also discussed. Most CO2 sequestration simulations in the literature employ one of the two capillary-pressure models. It is important to recognize that these two representations lead to very different predictions of long-term CO2 sequestration.","DOI":"10.1016/j.advwatres.2013.08.005","ISSN":"0309-1708","journalAbbreviation":"Advances in Water Resources","author":[{"family":"Li","given":"Boxiao"},{"family":"Tchelepi","given":"Hamdi A."},{"family":"Benson","given":"Sally M."}],"issued":{"date-parts":[["2013",12]]},"accessed":{"date-parts":[["2015",4,17]]}}}],"schema":"https://github.com/citation-style-language/schema/raw/master/csl-citation.json"} </w:instrText>
      </w:r>
      <w:r w:rsidR="00177749">
        <w:fldChar w:fldCharType="separate"/>
      </w:r>
      <w:r>
        <w:rPr>
          <w:rFonts w:ascii="Cambria" w:hAnsi="Cambria"/>
        </w:rPr>
        <w:t>Li et al. (</w:t>
      </w:r>
      <w:r w:rsidRPr="002206B9">
        <w:rPr>
          <w:rFonts w:ascii="Cambria" w:hAnsi="Cambria"/>
        </w:rPr>
        <w:t>2013)</w:t>
      </w:r>
      <w:r w:rsidR="00177749">
        <w:fldChar w:fldCharType="end"/>
      </w:r>
      <w:r w:rsidR="00776D1A">
        <w:t xml:space="preserve"> </w:t>
      </w:r>
      <w:r>
        <w:t>pres</w:t>
      </w:r>
      <w:r w:rsidR="002B6EEB">
        <w:t>ented evidence indicating that even small</w:t>
      </w:r>
      <w:r>
        <w:t xml:space="preserve"> inaccuracy in characterizing multiphase flow parameters can accumulate and lead to significant error in long-term modeling at larger scales. Therefore, continuing investigation of sub-core scale heterogeneity is essential to better understand and model fluid movement in the subsurface.</w:t>
      </w:r>
    </w:p>
    <w:p w:rsidR="001F468B" w:rsidRDefault="002F3B63" w:rsidP="002F3B63">
      <w:pPr>
        <w:spacing w:line="480" w:lineRule="auto"/>
        <w:ind w:firstLine="420"/>
      </w:pPr>
      <w:r>
        <w:t>To understand and model multiphase flow in the subsurface the water retention curve is often employed.</w:t>
      </w:r>
      <w:r w:rsidRPr="009F58BB">
        <w:t xml:space="preserve"> </w:t>
      </w:r>
      <w:r w:rsidR="00177749">
        <w:fldChar w:fldCharType="begin"/>
      </w:r>
      <w:r>
        <w:instrText xml:space="preserve"> ADDIN ZOTERO_ITEM CSL_CITATION {"citationID":"2klnnp6og0","properties":{"formattedCitation":"(Kang et al., 2014)","plainCitation":"(Kang et al., 2014)"},"citationItems":[{"id":210,"uris":["http://zotero.org/users/1507390/items/VUXJ4FQQ"],"uri":["http://zotero.org/users/1507390/items/VUXJ4FQQ"],"itemData":{"id":210,"type":"article-journal","title":"Multiple Pixel-Scale Soil Water Retention Curves Quantified by Neutron Radiography","container-title":"Advances in Water Resources","page":"1-8","volume":"65","source":"ScienceDirect","abstract":"The soil water retention function is needed for modeling multiphase flow in porous media. Traditional techniques for measuring the soil water retention function, such as the hanging water column or pressure cell methods, yield average water retention data which have to be modeled using inverse procedures to extract relevant point parameters. In this study, we have developed a technique for directly measuring multiple point (pixel-scale) water retention curves for a repacked sand material using 2-D neutron radiography. Neutron radiographic images were obtained under quasi-equilibrium conditions at nine imposed basal matric potentials during monotonic drying of Flint sand at the High Flux Isotope Reactor (HFIR) Cold Guide (CG) 1D beamline at Oak Ridge National Laboratory. All of the images were normalized with respect to an image of the oven dry sand column. Volumetric water contents were computed on a pixel by pixel basis using an empirical calibration equation after taking into account beam hardening and geometric corrections. Corresponding matric potentials were calculated from the imposed basal matric potential and pixel elevations. Volumetric water content and matric potential data pairs corresponding to 120 selected pixels were used to construct 120 point water retention curves. Each curve was fitted to the Brooks and Corey equation using segmented non-linear regression in SAS. A 98.5% convergence rate was achieved resulting in 115 estimates of the four Brooks and Corey parameters. A single Brooks and Corey point water retention function was constructed for Flint sand using the median values of these parameter estimates. This curve corresponded closely with the point Brooks and Corey function inversely extracted from the average water retention data using TrueCell. Forward numerical simulations performed using HYDRUS 1-D showed that the cumulative outflows predicted using the point Brooks and Corey functions from both the direct (neutron radiography) and inverse (TrueCell) methods were in good agreement with independent measurements of cumulative outflow determined with a transducer. Our results indicate that neutron radiography can be used to quantify the point water retention curve of homogeneous mineral particles. Further research will be needed to extend this approach to more heterogeneous porous media.","DOI":"10.1016/j.advwatres.2013.12.004","ISSN":"0309-1708","journalAbbreviation":"Advances in Water Resources","author":[{"family":"Kang","given":"M."},{"family":"Perfect","given":"E."},{"family":"Cheng","given":"C. L."},{"family":"Bilheux","given":"H. Z."},{"family":"Lee","given":"J."},{"family":"Horita","given":"J."},{"family":"Warren","given":"J. M."}],"issued":{"date-parts":[["2014",3]]},"accessed":{"date-parts":[["2014",4,2]]}}}],"schema":"https://github.com/citation-style-language/schema/raw/master/csl-citation.json"} </w:instrText>
      </w:r>
      <w:r w:rsidR="00177749">
        <w:fldChar w:fldCharType="separate"/>
      </w:r>
      <w:r>
        <w:rPr>
          <w:rFonts w:ascii="Cambria" w:hAnsi="Cambria"/>
        </w:rPr>
        <w:t>Kang et al.</w:t>
      </w:r>
      <w:r w:rsidRPr="00030A97">
        <w:rPr>
          <w:rFonts w:ascii="Cambria" w:hAnsi="Cambria"/>
        </w:rPr>
        <w:t xml:space="preserve"> </w:t>
      </w:r>
      <w:r>
        <w:rPr>
          <w:rFonts w:ascii="Cambria" w:hAnsi="Cambria"/>
        </w:rPr>
        <w:t>(</w:t>
      </w:r>
      <w:r w:rsidRPr="00030A97">
        <w:rPr>
          <w:rFonts w:ascii="Cambria" w:hAnsi="Cambria"/>
        </w:rPr>
        <w:t>2014)</w:t>
      </w:r>
      <w:r w:rsidR="00177749">
        <w:fldChar w:fldCharType="end"/>
      </w:r>
      <w:r w:rsidR="00776D1A">
        <w:t xml:space="preserve"> </w:t>
      </w:r>
      <w:r>
        <w:t xml:space="preserve">developed a technique for directly measuring water retention curves at the sub-core scale using 2-D neutron radiography. This technique allows multiple curves to be calculated for a single core. </w:t>
      </w:r>
      <w:r w:rsidRPr="00412199">
        <w:t xml:space="preserve"> </w:t>
      </w:r>
      <w:r>
        <w:t>Kang et al. (2014) computed 120 water retention curves for a single repacked</w:t>
      </w:r>
      <w:r w:rsidR="002B6EEB">
        <w:t xml:space="preserve"> core sample of</w:t>
      </w:r>
      <w:r>
        <w:t xml:space="preserve"> homogeneous sand material. The water retention curves were parameterized by fitting the Brooks and Corey (BC) equation </w:t>
      </w:r>
      <w:r w:rsidR="00177749">
        <w:fldChar w:fldCharType="begin"/>
      </w:r>
      <w:r>
        <w:instrText xml:space="preserve"> ADDIN ZOTERO_ITEM CSL_CITATION {"citationID":"rajv8rkh7","properties":{"formattedCitation":"(Brooks and Corey, 1964)","plainCitation":"(Brooks and Corey, 1964)"},"citationItems":[{"id":477,"uris":["http://zotero.org/users/1507390/items/IX2ZMRZA"],"uri":["http://zotero.org/users/1507390/items/IX2ZMRZA"],"itemData":{"id":477,"type":"book","title":"Hydraulic Properties of Porous Media","publisher":"Colorado State University","number-of-pages":"27","source":"Google Books","language":"en","author":[{"family":"Brooks","given":"R. H."},{"family":"Corey","given":"Arthur Thomas"}],"issued":{"date-parts":[["1964"]]}}}],"schema":"https://github.com/citation-style-language/schema/raw/master/csl-citation.json"} </w:instrText>
      </w:r>
      <w:r w:rsidR="00177749">
        <w:fldChar w:fldCharType="separate"/>
      </w:r>
      <w:r w:rsidRPr="00B758A1">
        <w:rPr>
          <w:rFonts w:ascii="Cambria" w:hAnsi="Cambria"/>
        </w:rPr>
        <w:t>(Brooks and Corey, 1964)</w:t>
      </w:r>
      <w:r w:rsidR="00177749">
        <w:fldChar w:fldCharType="end"/>
      </w:r>
      <w:r>
        <w:t xml:space="preserve"> to each of the 120 curves.  Histograms of the BC </w:t>
      </w:r>
      <w:r>
        <w:lastRenderedPageBreak/>
        <w:t>parameters show a range in distributions despite water retention curves being calculated for a</w:t>
      </w:r>
      <w:r w:rsidR="00776D1A">
        <w:t xml:space="preserve"> nominally</w:t>
      </w:r>
      <w:r>
        <w:t xml:space="preserve"> homogenous material. Distributions within each parameter can be explained by sub-core scale heterogeneity caused in three ways: </w:t>
      </w:r>
    </w:p>
    <w:p w:rsidR="001F468B" w:rsidRDefault="002C1F17" w:rsidP="001F468B">
      <w:pPr>
        <w:pStyle w:val="ListParagraph"/>
        <w:numPr>
          <w:ilvl w:val="0"/>
          <w:numId w:val="7"/>
        </w:numPr>
        <w:spacing w:line="480" w:lineRule="auto"/>
      </w:pPr>
      <w:r>
        <w:t>natural</w:t>
      </w:r>
      <w:r w:rsidR="001F468B">
        <w:t xml:space="preserve"> heterogeneity </w:t>
      </w:r>
      <w:r w:rsidR="002F3B63">
        <w:t xml:space="preserve">which was effectively eliminated when the </w:t>
      </w:r>
      <w:r w:rsidR="001F468B">
        <w:t xml:space="preserve">Kang et al. (2014) </w:t>
      </w:r>
      <w:r w:rsidR="002F3B63">
        <w:t>experiment was conducted on a</w:t>
      </w:r>
      <w:r w:rsidR="00776D1A">
        <w:t xml:space="preserve"> nominally</w:t>
      </w:r>
      <w:r w:rsidR="001F468B">
        <w:t xml:space="preserve"> homogeneous material</w:t>
      </w:r>
    </w:p>
    <w:p w:rsidR="001F468B" w:rsidRDefault="001F468B" w:rsidP="001F468B">
      <w:pPr>
        <w:pStyle w:val="ListParagraph"/>
        <w:numPr>
          <w:ilvl w:val="0"/>
          <w:numId w:val="7"/>
        </w:numPr>
        <w:spacing w:line="480" w:lineRule="auto"/>
      </w:pPr>
      <w:r>
        <w:t>artificial heterogeneity due to the measurement method itself (i.e. neutron imaging)</w:t>
      </w:r>
    </w:p>
    <w:p w:rsidR="001F468B" w:rsidRDefault="002C1F17" w:rsidP="001F468B">
      <w:pPr>
        <w:pStyle w:val="ListParagraph"/>
        <w:numPr>
          <w:ilvl w:val="0"/>
          <w:numId w:val="7"/>
        </w:numPr>
        <w:spacing w:line="480" w:lineRule="auto"/>
      </w:pPr>
      <w:r>
        <w:t>induced</w:t>
      </w:r>
      <w:r w:rsidR="001F468B">
        <w:t xml:space="preserve"> heterogeneity due to stratification caused by packing and particle segregation</w:t>
      </w:r>
    </w:p>
    <w:p w:rsidR="002F3B63" w:rsidRDefault="002F3B63" w:rsidP="001F468B">
      <w:pPr>
        <w:spacing w:line="480" w:lineRule="auto"/>
      </w:pPr>
      <w:r>
        <w:t>Parameter histograms illustrate a distribution</w:t>
      </w:r>
      <w:r w:rsidR="00AD3ACC">
        <w:t>,</w:t>
      </w:r>
      <w:r>
        <w:t xml:space="preserve"> but they do not characterize the spatial distribution of the parameters. Spatial heterogeneity is known to effect fluid flow and transport through porous media </w:t>
      </w:r>
      <w:r w:rsidR="00177749">
        <w:fldChar w:fldCharType="begin"/>
      </w:r>
      <w:r>
        <w:instrText xml:space="preserve"> ADDIN ZOTERO_ITEM CSL_CITATION {"citationID":"20hlelg04h","properties":{"formattedCitation":"(Zinn and Harvey, 2003)","plainCitation":"(Zinn and Harvey, 2003)"},"citationItems":[{"id":570,"uris":["http://zotero.org/users/1507390/items/FDHNP7FA"],"uri":["http://zotero.org/users/1507390/items/FDHNP7FA"],"itemData":{"id":570,"type":"article-journal","title":"When good statistical models of aquifer heterogeneity go bad: A comparison of flow, dispersion, and mass transfer in connected and multivariate Gaussian hydraulic conductivity fields","container-title":"Water Resources Research","page":"1051","volume":"39","issue":"3","source":"Wiley Online Library","abstract":"We describe the upscaled groundwater flow and solute transport characteristics of two-dimensional hydraulic conductivity fields with three fundamentally different spatial textures and consider the conditions under which physical mobile–immobile domain mass transfer occurs in these fields. All three fields have near-identical lognormal univariate conductivity distributions, as well as near-identical isotropic spatial covariance functions. They differ in the pattern by which high- or low-conductivity regions are connected: the first field has connected high-conductivity structures; the second is multivariate log-Gaussian and, hence, has connected structures of intermediate value; and the third has connected regions of low conductivity. We find substantially different flow and transport behaviors in the three different fields. Flow and transport in the multivariate log-Gaussian field are consistent with stochastic theory. The field with connected high-conductivity paths has an effective conductivity greater than the geometric mean and large variations in fluid velocity. It produces significant mass transfer behavior (i.e., tailing) when the conductivity variance is large and, depending on the system parameters, this mass transfer is driven by either diffusion or advection. In the field with connected low-conductivity regions, the effective conductivity is below the geometric mean and transport is well characterized by the advection–dispersion model with a dispersivity smaller than that in the multivariate log-Gaussian field. Thus, physical mobile–immobile domain mass transfer may occur in smooth hydraulic conductivity fields with univariate log-Gaussian density functions if the variability in conductivity is sufficient and the high values are more connected than modeled by the multivariate log-Gaussian distribution.","DOI":"10.1029/2001WR001146","ISSN":"1944-7973","shortTitle":"When good statistical models of aquifer heterogeneity go bad","journalAbbreviation":"Water Resour. Res.","language":"en","author":[{"family":"Zinn","given":"Brendan"},{"family":"Harvey","given":"Charles F."}],"issued":{"date-parts":[["2003",3,1]]},"accessed":{"date-parts":[["2015",4,20]]}}}],"schema":"https://github.com/citation-style-language/schema/raw/master/csl-citation.json"} </w:instrText>
      </w:r>
      <w:r w:rsidR="00177749">
        <w:fldChar w:fldCharType="separate"/>
      </w:r>
      <w:r w:rsidRPr="001F468B">
        <w:rPr>
          <w:rFonts w:ascii="Cambria" w:hAnsi="Cambria"/>
        </w:rPr>
        <w:t>(Zinn and Harvey, 2003)</w:t>
      </w:r>
      <w:r w:rsidR="00177749">
        <w:fldChar w:fldCharType="end"/>
      </w:r>
      <w:r>
        <w:t xml:space="preserve">. Consequently, further investigation is needed to understand the spatial distribution of the BC parameters and </w:t>
      </w:r>
      <w:r w:rsidR="002B6EEB">
        <w:t xml:space="preserve">identify </w:t>
      </w:r>
      <w:r>
        <w:t>possible causes of the sub-core scale heterogeneity in order to potentially improve modeling of flow and transport at this scale.</w:t>
      </w:r>
    </w:p>
    <w:p w:rsidR="002F3B63" w:rsidRDefault="002F3B63" w:rsidP="002F3B63">
      <w:pPr>
        <w:spacing w:line="480" w:lineRule="auto"/>
        <w:ind w:firstLine="420"/>
      </w:pPr>
      <w:r>
        <w:t xml:space="preserve">The purpose of this study is to </w:t>
      </w:r>
      <w:r w:rsidRPr="001875C1">
        <w:tab/>
      </w:r>
      <w:r>
        <w:t>a</w:t>
      </w:r>
      <w:r w:rsidRPr="001875C1">
        <w:t>pply geostatistical techniques to</w:t>
      </w:r>
      <w:r>
        <w:t xml:space="preserve"> the</w:t>
      </w:r>
      <w:r w:rsidRPr="001875C1">
        <w:t xml:space="preserve"> </w:t>
      </w:r>
      <w:r>
        <w:t>BC</w:t>
      </w:r>
      <w:r w:rsidRPr="001875C1">
        <w:t xml:space="preserve"> parameters </w:t>
      </w:r>
      <w:r>
        <w:t xml:space="preserve">computed by Kang et al. (2014) </w:t>
      </w:r>
      <w:r w:rsidRPr="001875C1">
        <w:t xml:space="preserve">to identify spatial structure </w:t>
      </w:r>
      <w:r>
        <w:t>and</w:t>
      </w:r>
      <w:r w:rsidRPr="001875C1">
        <w:t xml:space="preserve"> characterize sub-core scale heterogeneity</w:t>
      </w:r>
      <w:r>
        <w:t xml:space="preserve"> of the repacked</w:t>
      </w:r>
      <w:r w:rsidR="00776D1A">
        <w:t>, nominally</w:t>
      </w:r>
      <w:r>
        <w:t xml:space="preserve"> homogeneous sand material. Geostatistics is typically applied at the field scale. Very few studies have applied geostatistics at the sub-core scale</w:t>
      </w:r>
      <w:r w:rsidR="005E3492">
        <w:t>,</w:t>
      </w:r>
      <w:r>
        <w:t xml:space="preserve"> and it is unknown whether any previous studies have used geostatistics to identify heterogeneity of BC parameters at the sub-core scale. </w:t>
      </w:r>
      <w:r w:rsidRPr="00101399">
        <w:t xml:space="preserve">Understanding the role of heterogeneities </w:t>
      </w:r>
      <w:r>
        <w:t xml:space="preserve">at this scale </w:t>
      </w:r>
      <w:r w:rsidRPr="00101399">
        <w:t xml:space="preserve">provides a first step toward appropriate methods for up </w:t>
      </w:r>
      <w:r w:rsidRPr="00101399">
        <w:lastRenderedPageBreak/>
        <w:t>scaling laboratory-measured data to simulate field-scale</w:t>
      </w:r>
      <w:r>
        <w:t xml:space="preserve"> </w:t>
      </w:r>
      <w:r w:rsidRPr="00101399">
        <w:t>multi-phase flow behavior</w:t>
      </w:r>
      <w:r>
        <w:t xml:space="preserve"> </w:t>
      </w:r>
      <w:r w:rsidR="00177749">
        <w:fldChar w:fldCharType="begin"/>
      </w:r>
      <w:r>
        <w:instrText xml:space="preserve"> ADDIN ZOTERO_ITEM CSL_CITATION {"citationID":"hkkbb4ljp","properties":{"formattedCitation":"(Perrin and Benson, 2009)","plainCitation":"(Perrin and Benson, 2009)"},"citationItems":[{"id":189,"uris":["http://zotero.org/users/1507390/items/RB6PT7CN"],"uri":["http://zotero.org/users/1507390/items/RB6PT7CN"],"itemData":{"id":189,"type":"article-journal","title":"An Experimental Study on the Influence of Sub-Core Scale Heterogeneities on CO2 Distribution in Reservoir Rocks","container-title":"Transport in Porous Media","page":"93-109","volume":"82","issue":"1","source":"link.springer.com.proxy.lib.utk.edu:90","abstract":"This article presents the results of CO2/brine two-phase flow experiments in rocks at reservoir conditions. X-ray CT scanning is used to determine CO2 saturation at a fine scale with a resolution of a few pore volumes and provide 3D porosity and saturation maps that can be use to correlate CO2 saturations and rock properties. The study highlights the strong influence of sub-core scale heterogeneities on the spatial distribution of CO2 at steady state and provides useful relative permeability data on a sample originated from an actual storage site (CO2CRC-Otway project, Victoria, South-West Australia). Two different samples tested, although different in nature, present strong heterogeneities, but differ in the detail of the connectivity of high porosity layers. In both samples, the results of the investigations show that sub-core scale heterogeneities control the sweep efficiency and may cause channeling through the porous medium. In one of the samples, CO2 saturation appears uncorrelated to porosity close to the outlet end of the core. This observation is understood as a result of the position and the orientation of high porosity layers with respect to the inlet face of the core. Finally, in the operating conditions of the two experiments, the saturation maps demonstrate that gravity does not play a major role since no detectable buoyancy driven flow is observed.","DOI":"10.1007/s11242-009-9426-x","ISSN":"0169-3913, 1573-1634","journalAbbreviation":"Transp Porous Med","language":"en","author":[{"family":"Perrin","given":"Jean-Christophe"},{"family":"Benson","given":"Sally"}],"issued":{"date-parts":[["2009",6,30]]},"accessed":{"date-parts":[["2015",2,20]]}}}],"schema":"https://github.com/citation-style-language/schema/raw/master/csl-citation.json"} </w:instrText>
      </w:r>
      <w:r w:rsidR="00177749">
        <w:fldChar w:fldCharType="separate"/>
      </w:r>
      <w:r w:rsidRPr="00726EB2">
        <w:rPr>
          <w:rFonts w:ascii="Cambria" w:hAnsi="Cambria"/>
        </w:rPr>
        <w:t>(Perrin and Benson, 2009)</w:t>
      </w:r>
      <w:r w:rsidR="00177749">
        <w:fldChar w:fldCharType="end"/>
      </w:r>
      <w:r>
        <w:t>.</w:t>
      </w:r>
    </w:p>
    <w:p w:rsidR="002F3B63" w:rsidRPr="00030A97" w:rsidRDefault="002F3B63" w:rsidP="00557BA9">
      <w:pPr>
        <w:pStyle w:val="Style2"/>
      </w:pPr>
      <w:bookmarkStart w:id="8" w:name="_Toc425427019"/>
      <w:r w:rsidRPr="00030A97">
        <w:t>1.2 Objectives</w:t>
      </w:r>
      <w:bookmarkEnd w:id="8"/>
    </w:p>
    <w:p w:rsidR="002F3B63" w:rsidRDefault="002F3B63" w:rsidP="002F3B63">
      <w:pPr>
        <w:spacing w:after="0" w:line="480" w:lineRule="auto"/>
        <w:ind w:firstLine="720"/>
        <w:rPr>
          <w:rFonts w:cs="Times New Roman"/>
          <w:szCs w:val="24"/>
        </w:rPr>
      </w:pPr>
      <w:r>
        <w:rPr>
          <w:rFonts w:cs="Times New Roman"/>
          <w:szCs w:val="24"/>
        </w:rPr>
        <w:t xml:space="preserve">The overall goals of this research are to characterize, explain, and attempt to correct </w:t>
      </w:r>
      <w:r w:rsidR="005E3492">
        <w:rPr>
          <w:rFonts w:cs="Times New Roman"/>
          <w:szCs w:val="24"/>
        </w:rPr>
        <w:t xml:space="preserve">method based </w:t>
      </w:r>
      <w:r>
        <w:rPr>
          <w:rFonts w:cs="Times New Roman"/>
          <w:szCs w:val="24"/>
        </w:rPr>
        <w:t>sub-core scale heterogeneity of a repacked</w:t>
      </w:r>
      <w:r w:rsidR="00776D1A">
        <w:rPr>
          <w:rFonts w:cs="Times New Roman"/>
          <w:szCs w:val="24"/>
        </w:rPr>
        <w:t>, nominally</w:t>
      </w:r>
      <w:r>
        <w:rPr>
          <w:rFonts w:cs="Times New Roman"/>
          <w:szCs w:val="24"/>
        </w:rPr>
        <w:t xml:space="preserve"> homogeneous sand material. In order to accomplish this, geostatistics will first be applied to BC parameters computed by Kang et al. (2014). Subsequently comparison statistics will be used to validate the results of the geostatistical analysis. The objectives of the research are:</w:t>
      </w:r>
    </w:p>
    <w:p w:rsidR="002F3B63" w:rsidRPr="00A12CAC" w:rsidRDefault="002F3B63" w:rsidP="002F3B63">
      <w:pPr>
        <w:pStyle w:val="ListParagraph"/>
        <w:numPr>
          <w:ilvl w:val="0"/>
          <w:numId w:val="3"/>
        </w:numPr>
        <w:spacing w:after="0" w:line="480" w:lineRule="auto"/>
        <w:rPr>
          <w:rFonts w:cs="Times New Roman"/>
          <w:iCs/>
          <w:szCs w:val="24"/>
        </w:rPr>
      </w:pPr>
      <w:r>
        <w:rPr>
          <w:rFonts w:cs="Times New Roman"/>
          <w:iCs/>
          <w:szCs w:val="24"/>
        </w:rPr>
        <w:t>P</w:t>
      </w:r>
      <w:r w:rsidR="005E3492">
        <w:rPr>
          <w:rFonts w:cs="Times New Roman"/>
          <w:iCs/>
          <w:szCs w:val="24"/>
        </w:rPr>
        <w:t xml:space="preserve">roduce </w:t>
      </w:r>
      <w:r w:rsidRPr="00A12CAC">
        <w:rPr>
          <w:rFonts w:cs="Times New Roman"/>
          <w:iCs/>
          <w:szCs w:val="24"/>
        </w:rPr>
        <w:t xml:space="preserve">semivariograms of </w:t>
      </w:r>
      <w:r>
        <w:rPr>
          <w:rFonts w:cs="Times New Roman"/>
          <w:iCs/>
          <w:szCs w:val="24"/>
        </w:rPr>
        <w:t>BC parameters</w:t>
      </w:r>
      <w:r w:rsidRPr="00A12CAC">
        <w:rPr>
          <w:rFonts w:cs="Times New Roman"/>
          <w:iCs/>
          <w:szCs w:val="24"/>
        </w:rPr>
        <w:t xml:space="preserve"> measured by Kang et al. (2014) at Oak Ridge National Lab (ORNL)</w:t>
      </w:r>
    </w:p>
    <w:p w:rsidR="002F3B63" w:rsidRDefault="002F3B63" w:rsidP="002F3B63">
      <w:pPr>
        <w:pStyle w:val="ListParagraph"/>
        <w:numPr>
          <w:ilvl w:val="0"/>
          <w:numId w:val="3"/>
        </w:numPr>
        <w:spacing w:after="0" w:line="480" w:lineRule="auto"/>
        <w:rPr>
          <w:rFonts w:cs="Times New Roman"/>
          <w:iCs/>
          <w:szCs w:val="24"/>
        </w:rPr>
      </w:pPr>
      <w:r>
        <w:rPr>
          <w:rFonts w:cs="Times New Roman"/>
          <w:iCs/>
          <w:szCs w:val="24"/>
        </w:rPr>
        <w:t>P</w:t>
      </w:r>
      <w:r w:rsidRPr="00A12CAC">
        <w:rPr>
          <w:rFonts w:cs="Times New Roman"/>
          <w:iCs/>
          <w:szCs w:val="24"/>
        </w:rPr>
        <w:t xml:space="preserve">roduce kriged </w:t>
      </w:r>
      <w:r>
        <w:rPr>
          <w:rFonts w:cs="Times New Roman"/>
          <w:iCs/>
          <w:szCs w:val="24"/>
        </w:rPr>
        <w:t xml:space="preserve">maps </w:t>
      </w:r>
      <w:r w:rsidRPr="00A12CAC">
        <w:rPr>
          <w:rFonts w:cs="Times New Roman"/>
          <w:szCs w:val="24"/>
        </w:rPr>
        <w:t xml:space="preserve">of the </w:t>
      </w:r>
      <w:r>
        <w:rPr>
          <w:rFonts w:cs="Times New Roman"/>
          <w:szCs w:val="24"/>
        </w:rPr>
        <w:t>BC</w:t>
      </w:r>
      <w:r w:rsidRPr="00A12CAC">
        <w:rPr>
          <w:rFonts w:cs="Times New Roman"/>
          <w:szCs w:val="24"/>
        </w:rPr>
        <w:t xml:space="preserve"> parameters </w:t>
      </w:r>
      <w:r w:rsidRPr="00A12CAC">
        <w:rPr>
          <w:rFonts w:cs="Times New Roman"/>
          <w:iCs/>
          <w:szCs w:val="24"/>
        </w:rPr>
        <w:t>to evaluate how they vary across the sand column</w:t>
      </w:r>
    </w:p>
    <w:p w:rsidR="002F3B63" w:rsidRDefault="002F3B63" w:rsidP="002F3B63">
      <w:pPr>
        <w:pStyle w:val="ListParagraph"/>
        <w:numPr>
          <w:ilvl w:val="0"/>
          <w:numId w:val="3"/>
        </w:numPr>
        <w:spacing w:after="0" w:line="480" w:lineRule="auto"/>
        <w:rPr>
          <w:rFonts w:cs="Times New Roman"/>
          <w:iCs/>
          <w:szCs w:val="24"/>
        </w:rPr>
      </w:pPr>
      <w:r>
        <w:rPr>
          <w:rFonts w:cs="Times New Roman"/>
          <w:iCs/>
          <w:szCs w:val="24"/>
        </w:rPr>
        <w:t>R</w:t>
      </w:r>
      <w:r w:rsidRPr="00CA5B84">
        <w:rPr>
          <w:rFonts w:cs="Times New Roman"/>
          <w:iCs/>
          <w:szCs w:val="24"/>
        </w:rPr>
        <w:t>emove spati</w:t>
      </w:r>
      <w:r>
        <w:rPr>
          <w:rFonts w:cs="Times New Roman"/>
          <w:iCs/>
          <w:szCs w:val="24"/>
        </w:rPr>
        <w:t xml:space="preserve">al structure caused by the data </w:t>
      </w:r>
      <w:r w:rsidRPr="00CA5B84">
        <w:rPr>
          <w:rFonts w:cs="Times New Roman"/>
          <w:iCs/>
          <w:szCs w:val="24"/>
        </w:rPr>
        <w:t>collection procedure</w:t>
      </w:r>
      <w:r>
        <w:rPr>
          <w:rFonts w:cs="Times New Roman"/>
          <w:iCs/>
          <w:szCs w:val="24"/>
        </w:rPr>
        <w:t xml:space="preserve"> in the Kang et al. (2014) dataset</w:t>
      </w:r>
    </w:p>
    <w:p w:rsidR="002F3B63" w:rsidRDefault="002F3B63" w:rsidP="002F3B63">
      <w:pPr>
        <w:pStyle w:val="ListParagraph"/>
        <w:numPr>
          <w:ilvl w:val="0"/>
          <w:numId w:val="3"/>
        </w:numPr>
        <w:spacing w:after="0" w:line="480" w:lineRule="auto"/>
        <w:rPr>
          <w:rFonts w:cs="Times New Roman"/>
          <w:iCs/>
          <w:szCs w:val="24"/>
        </w:rPr>
      </w:pPr>
      <w:r>
        <w:rPr>
          <w:rFonts w:cs="Times New Roman"/>
          <w:iCs/>
          <w:szCs w:val="24"/>
        </w:rPr>
        <w:t>Validate spatially-</w:t>
      </w:r>
      <w:r w:rsidRPr="00CA5B84">
        <w:rPr>
          <w:rFonts w:cs="Times New Roman"/>
          <w:iCs/>
          <w:szCs w:val="24"/>
        </w:rPr>
        <w:t>corrected neutron parameters against p</w:t>
      </w:r>
      <w:r>
        <w:rPr>
          <w:rFonts w:cs="Times New Roman"/>
          <w:iCs/>
          <w:szCs w:val="24"/>
        </w:rPr>
        <w:t xml:space="preserve">arameters collected using an independent </w:t>
      </w:r>
      <w:r w:rsidRPr="00CA5B84">
        <w:rPr>
          <w:rFonts w:cs="Times New Roman"/>
          <w:iCs/>
          <w:szCs w:val="24"/>
        </w:rPr>
        <w:t>methods</w:t>
      </w:r>
    </w:p>
    <w:p w:rsidR="002F3B63" w:rsidRPr="00030A97" w:rsidRDefault="002F3B63" w:rsidP="00557BA9">
      <w:pPr>
        <w:pStyle w:val="Style2"/>
      </w:pPr>
      <w:bookmarkStart w:id="9" w:name="_Toc425427020"/>
      <w:r w:rsidRPr="00030A97">
        <w:t>1.3 Hypothes</w:t>
      </w:r>
      <w:r w:rsidR="00F72F65">
        <w:t>es</w:t>
      </w:r>
      <w:bookmarkEnd w:id="9"/>
    </w:p>
    <w:p w:rsidR="002F3B63" w:rsidRDefault="002B6EEB" w:rsidP="003C7767">
      <w:pPr>
        <w:spacing w:after="0" w:line="480" w:lineRule="auto"/>
        <w:ind w:firstLine="720"/>
      </w:pPr>
      <w:r>
        <w:rPr>
          <w:rFonts w:cs="Times New Roman"/>
          <w:iCs/>
          <w:szCs w:val="24"/>
        </w:rPr>
        <w:t xml:space="preserve">The </w:t>
      </w:r>
      <w:r w:rsidR="00384CCD">
        <w:rPr>
          <w:rFonts w:cs="Times New Roman"/>
          <w:iCs/>
          <w:szCs w:val="24"/>
        </w:rPr>
        <w:t>null</w:t>
      </w:r>
      <w:r w:rsidR="002F3B63" w:rsidRPr="000E5EFE">
        <w:rPr>
          <w:rFonts w:cs="Times New Roman"/>
          <w:iCs/>
          <w:szCs w:val="24"/>
        </w:rPr>
        <w:t xml:space="preserve"> hypothesis </w:t>
      </w:r>
      <w:r>
        <w:rPr>
          <w:rFonts w:cs="Times New Roman"/>
          <w:iCs/>
          <w:szCs w:val="24"/>
        </w:rPr>
        <w:t xml:space="preserve">is </w:t>
      </w:r>
      <w:r w:rsidR="002F3B63" w:rsidRPr="000E5EFE">
        <w:rPr>
          <w:rFonts w:cs="Times New Roman"/>
          <w:iCs/>
          <w:szCs w:val="24"/>
        </w:rPr>
        <w:t>that</w:t>
      </w:r>
      <w:r w:rsidR="002F3B63">
        <w:rPr>
          <w:rFonts w:cs="Times New Roman"/>
          <w:iCs/>
          <w:szCs w:val="24"/>
        </w:rPr>
        <w:t xml:space="preserve"> </w:t>
      </w:r>
      <w:r w:rsidR="002F3B63" w:rsidRPr="000E5EFE">
        <w:rPr>
          <w:rFonts w:cs="Times New Roman"/>
          <w:iCs/>
          <w:szCs w:val="24"/>
        </w:rPr>
        <w:t>there will be</w:t>
      </w:r>
      <w:r>
        <w:rPr>
          <w:rFonts w:cs="Times New Roman"/>
          <w:iCs/>
          <w:szCs w:val="24"/>
        </w:rPr>
        <w:t xml:space="preserve"> little or</w:t>
      </w:r>
      <w:r w:rsidR="002F3B63" w:rsidRPr="000E5EFE">
        <w:rPr>
          <w:rFonts w:cs="Times New Roman"/>
          <w:iCs/>
          <w:szCs w:val="24"/>
        </w:rPr>
        <w:t xml:space="preserve"> no spatial </w:t>
      </w:r>
      <w:r w:rsidR="002F3B63">
        <w:rPr>
          <w:rFonts w:cs="Times New Roman"/>
          <w:iCs/>
          <w:szCs w:val="24"/>
        </w:rPr>
        <w:t>structure</w:t>
      </w:r>
      <w:r w:rsidR="002F3B63" w:rsidRPr="000E5EFE">
        <w:rPr>
          <w:rFonts w:cs="Times New Roman"/>
          <w:iCs/>
          <w:szCs w:val="24"/>
        </w:rPr>
        <w:t xml:space="preserve"> in the measur</w:t>
      </w:r>
      <w:r w:rsidR="002F3B63">
        <w:rPr>
          <w:rFonts w:cs="Times New Roman"/>
          <w:iCs/>
          <w:szCs w:val="24"/>
        </w:rPr>
        <w:t>ed Brooks and Corey parameters because they were fitted to water retention curves calculated for a</w:t>
      </w:r>
      <w:r w:rsidR="00FF2DE3">
        <w:rPr>
          <w:rFonts w:cs="Times New Roman"/>
          <w:iCs/>
          <w:szCs w:val="24"/>
        </w:rPr>
        <w:t xml:space="preserve"> nominally</w:t>
      </w:r>
      <w:r w:rsidR="002F3B63">
        <w:rPr>
          <w:rFonts w:cs="Times New Roman"/>
          <w:iCs/>
          <w:szCs w:val="24"/>
        </w:rPr>
        <w:t xml:space="preserve"> homogeneous sand material.</w:t>
      </w:r>
      <w:r w:rsidR="003C7767">
        <w:rPr>
          <w:rFonts w:cs="Times New Roman"/>
          <w:iCs/>
          <w:szCs w:val="24"/>
        </w:rPr>
        <w:t xml:space="preserve"> The alternative hypothesis is that if there is spatial structure, it will be limited to the vicinity of the ends of the core and will be due to inconsistency in core packing. </w:t>
      </w:r>
    </w:p>
    <w:p w:rsidR="002F3B63" w:rsidRPr="00030A97" w:rsidRDefault="002F3B63" w:rsidP="00557BA9">
      <w:pPr>
        <w:pStyle w:val="Style1"/>
        <w:spacing w:before="0" w:after="0"/>
      </w:pPr>
      <w:bookmarkStart w:id="10" w:name="_Toc425427021"/>
      <w:r w:rsidRPr="00030A97">
        <w:lastRenderedPageBreak/>
        <w:t>CHAPTER 2</w:t>
      </w:r>
      <w:bookmarkEnd w:id="10"/>
    </w:p>
    <w:p w:rsidR="002F3B63" w:rsidRDefault="002F3B63" w:rsidP="00557BA9">
      <w:pPr>
        <w:pStyle w:val="Style1"/>
        <w:spacing w:before="0" w:after="0"/>
      </w:pPr>
      <w:bookmarkStart w:id="11" w:name="_Toc422315778"/>
      <w:bookmarkStart w:id="12" w:name="_Toc425427022"/>
      <w:r w:rsidRPr="00030A97">
        <w:t>LITERATURE REVIEW</w:t>
      </w:r>
      <w:bookmarkEnd w:id="11"/>
      <w:bookmarkEnd w:id="12"/>
    </w:p>
    <w:p w:rsidR="00557BA9" w:rsidRPr="00557BA9" w:rsidRDefault="00557BA9" w:rsidP="00557BA9">
      <w:pPr>
        <w:pStyle w:val="Style2"/>
        <w:spacing w:line="240" w:lineRule="auto"/>
      </w:pPr>
    </w:p>
    <w:p w:rsidR="002F3B63" w:rsidRDefault="002F3B63" w:rsidP="00557BA9">
      <w:pPr>
        <w:pStyle w:val="Style2"/>
      </w:pPr>
      <w:bookmarkStart w:id="13" w:name="_Toc425427023"/>
      <w:r>
        <w:t>2.1 Sub-Core Scale Heterogeneity</w:t>
      </w:r>
      <w:bookmarkEnd w:id="13"/>
    </w:p>
    <w:p w:rsidR="002F3B63" w:rsidRDefault="002F3B63" w:rsidP="00557BA9">
      <w:pPr>
        <w:spacing w:line="480" w:lineRule="auto"/>
        <w:ind w:firstLine="720"/>
      </w:pPr>
      <w:r w:rsidRPr="00C9198D">
        <w:t>Understanding sub-core scale heterogeneity is important because it can influence fluid movement at much larger scales. The presence of sub-core s</w:t>
      </w:r>
      <w:r w:rsidR="005E3492">
        <w:t>c</w:t>
      </w:r>
      <w:r w:rsidRPr="00C9198D">
        <w:t xml:space="preserve">ale features can significantly increase overall variability </w:t>
      </w:r>
      <w:r>
        <w:t xml:space="preserve">and connectedness </w:t>
      </w:r>
      <w:r w:rsidRPr="00C9198D">
        <w:t>in the subsurface</w:t>
      </w:r>
      <w:r>
        <w:t xml:space="preserve"> </w:t>
      </w:r>
      <w:r w:rsidR="00177749">
        <w:fldChar w:fldCharType="begin"/>
      </w:r>
      <w:r>
        <w:instrText xml:space="preserve"> ADDIN ZOTERO_ITEM CSL_CITATION {"citationID":"20jmpudk3k","properties":{"formattedCitation":"(Zinn and Harvey, 2003)","plainCitation":"(Zinn and Harvey, 2003)"},"citationItems":[{"id":570,"uris":["http://zotero.org/users/1507390/items/FDHNP7FA"],"uri":["http://zotero.org/users/1507390/items/FDHNP7FA"],"itemData":{"id":570,"type":"article-journal","title":"When good statistical models of aquifer heterogeneity go bad: A comparison of flow, dispersion, and mass transfer in connected and multivariate Gaussian hydraulic conductivity fields","container-title":"Water Resources Research","page":"1051","volume":"39","issue":"3","source":"Wiley Online Library","abstract":"We describe the upscaled groundwater flow and solute transport characteristics of two-dimensional hydraulic conductivity fields with three fundamentally different spatial textures and consider the conditions under which physical mobile–immobile domain mass transfer occurs in these fields. All three fields have near-identical lognormal univariate conductivity distributions, as well as near-identical isotropic spatial covariance functions. They differ in the pattern by which high- or low-conductivity regions are connected: the first field has connected high-conductivity structures; the second is multivariate log-Gaussian and, hence, has connected structures of intermediate value; and the third has connected regions of low conductivity. We find substantially different flow and transport behaviors in the three different fields. Flow and transport in the multivariate log-Gaussian field are consistent with stochastic theory. The field with connected high-conductivity paths has an effective conductivity greater than the geometric mean and large variations in fluid velocity. It produces significant mass transfer behavior (i.e., tailing) when the conductivity variance is large and, depending on the system parameters, this mass transfer is driven by either diffusion or advection. In the field with connected low-conductivity regions, the effective conductivity is below the geometric mean and transport is well characterized by the advection–dispersion model with a dispersivity smaller than that in the multivariate log-Gaussian field. Thus, physical mobile–immobile domain mass transfer may occur in smooth hydraulic conductivity fields with univariate log-Gaussian density functions if the variability in conductivity is sufficient and the high values are more connected than modeled by the multivariate log-Gaussian distribution.","DOI":"10.1029/2001WR001146","ISSN":"1944-7973","shortTitle":"When good statistical models of aquifer heterogeneity go bad","journalAbbreviation":"Water Resour. Res.","language":"en","author":[{"family":"Zinn","given":"Brendan"},{"family":"Harvey","given":"Charles F."}],"issued":{"date-parts":[["2003",3,1]]},"accessed":{"date-parts":[["2015",4,20]]}}}],"schema":"https://github.com/citation-style-language/schema/raw/master/csl-citation.json"} </w:instrText>
      </w:r>
      <w:r w:rsidR="00177749">
        <w:fldChar w:fldCharType="separate"/>
      </w:r>
      <w:r w:rsidRPr="00030A97">
        <w:rPr>
          <w:rFonts w:ascii="Cambria" w:hAnsi="Cambria"/>
        </w:rPr>
        <w:t>(Zinn and Harvey, 2003)</w:t>
      </w:r>
      <w:r w:rsidR="00177749">
        <w:fldChar w:fldCharType="end"/>
      </w:r>
      <w:r w:rsidRPr="00C9198D">
        <w:t xml:space="preserve">. </w:t>
      </w:r>
      <w:r>
        <w:t>In this section</w:t>
      </w:r>
      <w:r w:rsidR="005E3492">
        <w:t>,</w:t>
      </w:r>
      <w:r>
        <w:t xml:space="preserve"> several studies will be investigated to illustrate specific examples of how sub-core scale heterogeneity influences fluid movement. Also, these studies demonstrate the importance of research dedicated to better understanding and improving our ability to model sub-core scale heterogeneity. </w:t>
      </w:r>
    </w:p>
    <w:p w:rsidR="002F3B63" w:rsidRDefault="002F3B63" w:rsidP="002F3B63">
      <w:pPr>
        <w:spacing w:line="480" w:lineRule="auto"/>
        <w:ind w:firstLine="720"/>
      </w:pPr>
      <w:r>
        <w:t xml:space="preserve">In the study conducted by </w:t>
      </w:r>
      <w:r w:rsidR="00177749">
        <w:fldChar w:fldCharType="begin"/>
      </w:r>
      <w:r>
        <w:instrText xml:space="preserve"> ADDIN ZOTERO_ITEM CSL_CITATION {"citationID":"29ocri130t","properties":{"formattedCitation":"(R. Pini, 2012)","plainCitation":"(R. Pini, 2012)"},"citationItems":[{"id":211,"uris":["http://zotero.org/users/1507390/items/9GKGNK2V"],"uri":["http://zotero.org/users/1507390/items/9GKGNK2V"],"itemData":{"id":211,"type":"article-journal","title":"Capillary heterogeneity in sandstones rocks during CO2/water core-flooding experiments","container-title":"Energy Procedia","page":"11375-","volume":"37","DOI":"10.1016/j.egypro.2013.06.467","ISSN":"1876-6102","author":[{"family":"R. Pini","given":"S. C. M. Krevor"}],"issued":{"date-parts":[["2012"]]}}}],"schema":"https://github.com/citation-style-language/schema/raw/master/csl-citation.json"} </w:instrText>
      </w:r>
      <w:r w:rsidR="00177749">
        <w:fldChar w:fldCharType="separate"/>
      </w:r>
      <w:r>
        <w:rPr>
          <w:rFonts w:ascii="Cambria" w:hAnsi="Cambria"/>
        </w:rPr>
        <w:t>Pini (</w:t>
      </w:r>
      <w:r w:rsidRPr="007A3608">
        <w:rPr>
          <w:rFonts w:ascii="Cambria" w:hAnsi="Cambria"/>
        </w:rPr>
        <w:t>2012)</w:t>
      </w:r>
      <w:r w:rsidR="00177749">
        <w:fldChar w:fldCharType="end"/>
      </w:r>
      <w:r w:rsidR="005E3492">
        <w:t>,</w:t>
      </w:r>
      <w:r>
        <w:t xml:space="preserve"> </w:t>
      </w:r>
      <w:r w:rsidRPr="00121C57">
        <w:t xml:space="preserve"> CO</w:t>
      </w:r>
      <w:r w:rsidRPr="007A3608">
        <w:rPr>
          <w:vertAlign w:val="subscript"/>
        </w:rPr>
        <w:t>2</w:t>
      </w:r>
      <w:r w:rsidRPr="00121C57">
        <w:t xml:space="preserve">/water drainage capillary pressure saturation curves were measured at reservoir pressure and temperature for </w:t>
      </w:r>
      <w:r w:rsidR="005E3492">
        <w:t xml:space="preserve">the </w:t>
      </w:r>
      <w:r w:rsidRPr="00121C57">
        <w:t xml:space="preserve">Berea sandstone. </w:t>
      </w:r>
      <w:r w:rsidR="005E3492">
        <w:t>Its</w:t>
      </w:r>
      <w:r w:rsidRPr="00121C57">
        <w:t xml:space="preserve"> core was initially saturated with water and then flooded with 100% CO</w:t>
      </w:r>
      <w:r w:rsidRPr="003C10DD">
        <w:rPr>
          <w:vertAlign w:val="subscript"/>
        </w:rPr>
        <w:t>2</w:t>
      </w:r>
      <w:r w:rsidRPr="00121C57">
        <w:t xml:space="preserve"> at increasingly high flow rates</w:t>
      </w:r>
      <w:r>
        <w:t>,</w:t>
      </w:r>
      <w:r w:rsidRPr="00121C57">
        <w:t xml:space="preserve"> </w:t>
      </w:r>
      <w:r>
        <w:t xml:space="preserve">X-ray Computed Tomography (CT) images were captured </w:t>
      </w:r>
      <w:r w:rsidRPr="00121C57">
        <w:t>each t</w:t>
      </w:r>
      <w:r>
        <w:t xml:space="preserve">ime the flow rate was increased </w:t>
      </w:r>
      <w:r w:rsidR="00177749" w:rsidRPr="00121C57">
        <w:fldChar w:fldCharType="begin"/>
      </w:r>
      <w:r>
        <w:instrText xml:space="preserve"> ADDIN ZOTERO_ITEM CSL_CITATION {"citationID":"MWJNkqqM","properties":{"formattedCitation":"(R. Pini, 2012)","plainCitation":"(R. Pini, 2012)"},"citationItems":[{"id":211,"uris":["http://zotero.org/users/1507390/items/9GKGNK2V"],"uri":["http://zotero.org/users/1507390/items/9GKGNK2V"],"itemData":{"id":211,"type":"article-journal","title":"Capillary heterogeneity in sandstones rocks during CO2/water core-flooding experiments","container-title":"Energy Procedia","page":"11375-","volume":"37","DOI":"10.1016/j.egypro.2013.06.467","ISSN":"1876-6102","author":[{"family":"R. Pini","given":"S. C. M. Krevor"}],"issued":{"date-parts":[["2012"]]}}}],"schema":"https://github.com/citation-style-language/schema/raw/master/csl-citation.json"} </w:instrText>
      </w:r>
      <w:r w:rsidR="00177749" w:rsidRPr="00121C57">
        <w:fldChar w:fldCharType="separate"/>
      </w:r>
      <w:r>
        <w:t>(</w:t>
      </w:r>
      <w:r w:rsidRPr="00121C57">
        <w:t>Pini, 2012)</w:t>
      </w:r>
      <w:r w:rsidR="00177749" w:rsidRPr="00121C57">
        <w:fldChar w:fldCharType="end"/>
      </w:r>
      <w:r>
        <w:t xml:space="preserve">. </w:t>
      </w:r>
      <w:r w:rsidRPr="00121C57">
        <w:t xml:space="preserve"> This technique allowed observation of capillary-pressure saturation relationships on mm-scale subsets of the rock core </w:t>
      </w:r>
      <w:r w:rsidR="00177749" w:rsidRPr="00121C57">
        <w:fldChar w:fldCharType="begin"/>
      </w:r>
      <w:r>
        <w:instrText xml:space="preserve"> ADDIN ZOTERO_ITEM CSL_CITATION {"citationID":"CwTSI2qq","properties":{"formattedCitation":"(R. Pini, 2012)","plainCitation":"(R. Pini, 2012)"},"citationItems":[{"id":211,"uris":["http://zotero.org/users/1507390/items/9GKGNK2V"],"uri":["http://zotero.org/users/1507390/items/9GKGNK2V"],"itemData":{"id":211,"type":"article-journal","title":"Capillary heterogeneity in sandstones rocks during CO2/water core-flooding experiments","container-title":"Energy Procedia","page":"11375-","volume":"37","DOI":"10.1016/j.egypro.2013.06.467","ISSN":"1876-6102","author":[{"family":"R. Pini","given":"S. C. M. Krevor"}],"issued":{"date-parts":[["2012"]]}}}],"schema":"https://github.com/citation-style-language/schema/raw/master/csl-citation.json"} </w:instrText>
      </w:r>
      <w:r w:rsidR="00177749" w:rsidRPr="00121C57">
        <w:fldChar w:fldCharType="separate"/>
      </w:r>
      <w:r>
        <w:t>(</w:t>
      </w:r>
      <w:r w:rsidRPr="00121C57">
        <w:t>Pini, 2012)</w:t>
      </w:r>
      <w:r w:rsidR="00177749" w:rsidRPr="00121C57">
        <w:fldChar w:fldCharType="end"/>
      </w:r>
      <w:r w:rsidRPr="00121C57">
        <w:t xml:space="preserve">. Results from this study show that sub-core scale capillary-pressure saturation curves are different from one another, this suggests that there is a significant degree of heterogeneity in the supposed homogeneous Berea sandstone core </w:t>
      </w:r>
      <w:r w:rsidR="00177749" w:rsidRPr="00121C57">
        <w:fldChar w:fldCharType="begin"/>
      </w:r>
      <w:r>
        <w:instrText xml:space="preserve"> ADDIN ZOTERO_ITEM CSL_CITATION {"citationID":"kGKUTMfZ","properties":{"formattedCitation":"(R. Pini, 2012)","plainCitation":"(R. Pini, 2012)"},"citationItems":[{"id":211,"uris":["http://zotero.org/users/1507390/items/9GKGNK2V"],"uri":["http://zotero.org/users/1507390/items/9GKGNK2V"],"itemData":{"id":211,"type":"article-journal","title":"Capillary heterogeneity in sandstones rocks during CO2/water core-flooding experiments","container-title":"Energy Procedia","page":"11375-","volume":"37","DOI":"10.1016/j.egypro.2013.06.467","ISSN":"1876-6102","author":[{"family":"R. Pini","given":"S. C. M. Krevor"}],"issued":{"date-parts":[["2012"]]}}}],"schema":"https://github.com/citation-style-language/schema/raw/master/csl-citation.json"} </w:instrText>
      </w:r>
      <w:r w:rsidR="00177749" w:rsidRPr="00121C57">
        <w:fldChar w:fldCharType="separate"/>
      </w:r>
      <w:r>
        <w:t>(</w:t>
      </w:r>
      <w:r w:rsidRPr="00121C57">
        <w:t>Pini, 2012)</w:t>
      </w:r>
      <w:r w:rsidR="00177749" w:rsidRPr="00121C57">
        <w:fldChar w:fldCharType="end"/>
      </w:r>
      <w:r w:rsidRPr="00121C57">
        <w:t xml:space="preserve">. Also, the study shows that sub-core scale heterogeneities can cause small changes in capillary pressure which lead to strong variations in saturation. </w:t>
      </w:r>
    </w:p>
    <w:p w:rsidR="002F3B63" w:rsidRDefault="002F3B63" w:rsidP="002F3B63">
      <w:pPr>
        <w:spacing w:line="480" w:lineRule="auto"/>
        <w:ind w:firstLine="720"/>
      </w:pPr>
      <w:r>
        <w:lastRenderedPageBreak/>
        <w:t>Krause et al. (2013) conducted</w:t>
      </w:r>
      <w:r w:rsidRPr="00FD7C1D">
        <w:t xml:space="preserve"> steady-state relative permeability measureme</w:t>
      </w:r>
      <w:r>
        <w:t>nts at reservoir conditions.</w:t>
      </w:r>
      <w:r w:rsidRPr="00FD7C1D">
        <w:t xml:space="preserve"> X-ray CT scanning was used to measure sub-core scale porosity and saturation distributions </w:t>
      </w:r>
      <w:r w:rsidR="00177749" w:rsidRPr="00FD7C1D">
        <w:fldChar w:fldCharType="begin"/>
      </w:r>
      <w:r w:rsidRPr="00FD7C1D">
        <w:instrText xml:space="preserve"> ADDIN ZOTERO_ITEM CSL_CITATION {"citationID":"105khhrpkn","properties":{"formattedCitation":"(Krause et al., 2013)","plainCitation":"(Krause et al., 2013)"},"citationItems":[{"id":153,"uris":["http://zotero.org/users/1507390/items/BN39CWPG"],"uri":["http://zotero.org/users/1507390/items/BN39CWPG"],"itemData":{"id":153,"type":"article-journal","title":"A Procedure for the Accurate Determination of Sub-Core Scale Permeability Distributions with Error Quantification","container-title":"Transport in Porous Media","page":"565-588","volume":"98","issue":"3","source":"link.springer.com.proxy.lib.utk.edu:90","abstract":"We present a new method for non-destructively calculating sub-core scale permeability distributions within a core. The new method integrates experimentally measured capillary pressure data and sub-core scale saturation and porosity data collected using a computed tomography-scanner, to construct an accurate and unique sub-core scale permeability distribution. Using this procedure, it is possible to conduct highly refined simulations of core flooding experiments without typical assumptions requiring the core to be homogeneous, or relying on inaccurate porosity-based methods for estimating permeability distributions. The calculation procedure is described and results from two example rock cores are presented, a Berea Sandstone and a sandstone from the Otway Basin Pilot Project in Australia. Drainage coreflooding experiments of carbon dioxide ( TeX\\text{ CO }_{2}) injection into water are first conducted on both cores and permeability distributions are calculated using the experimental data. Numerical simulations of the very same experiments are then conducted to demonstrate the accuracy of the calculated sub-core scale permeability distribution. Results from both cores show that the input sub-core scale saturation distributions are predicted with an TeXR^{2} correlation of greater than 0.93. This is compared to having no correlation when using simple porosity-only based permeability distributions, or assuming homogeneous core properties (Krause et al., SPE J 16(4):768–777, 2011). The uniqueness of the calculated permeability distribution is then demonstrated by calculating permeability distributions for the same core using data collected at different TeX\\text{ CO }_{2} injection fractional flows. Results show that the two independently calculated permeability distributions agree within the limits of experimental measurement error.","DOI":"10.1007/s11242-013-0161-y","ISSN":"0169-3913, 1573-1634","journalAbbreviation":"Transp Porous Med","language":"en","author":[{"family":"Krause","given":"Michael"},{"family":"Krevor","given":"Sam"},{"family":"Benson","given":"Sally M."}],"issued":{"date-parts":[["2013",5,8]]},"accessed":{"date-parts":[["2015",2,20]]}}}],"schema":"https://github.com/citation-style-language/schema/raw/master/csl-citation.json"} </w:instrText>
      </w:r>
      <w:r w:rsidR="00177749" w:rsidRPr="00FD7C1D">
        <w:fldChar w:fldCharType="separate"/>
      </w:r>
      <w:r w:rsidRPr="00FD7C1D">
        <w:t>(Krause et al., 2013)</w:t>
      </w:r>
      <w:r w:rsidR="00177749" w:rsidRPr="00FD7C1D">
        <w:fldChar w:fldCharType="end"/>
      </w:r>
      <w:r w:rsidRPr="00FD7C1D">
        <w:t>. The work was conducted on two rock cores: Berea sa</w:t>
      </w:r>
      <w:r>
        <w:t xml:space="preserve">ndstone, which in this study was </w:t>
      </w:r>
      <w:r w:rsidRPr="00FD7C1D">
        <w:t>considered to have a low degree of heterogeneity, and a sandstone core from</w:t>
      </w:r>
      <w:r>
        <w:t xml:space="preserve"> the Waare C formation which had</w:t>
      </w:r>
      <w:r w:rsidRPr="00FD7C1D">
        <w:t xml:space="preserve"> a high degree of heterogeneity. Results from the study s</w:t>
      </w:r>
      <w:r>
        <w:t>how that the Berea sandstone had</w:t>
      </w:r>
      <w:r w:rsidRPr="00FD7C1D">
        <w:t xml:space="preserve"> a homogeneous porosity distribution, but due to sub-core scale heterogeneities</w:t>
      </w:r>
      <w:r>
        <w:t xml:space="preserve"> the </w:t>
      </w:r>
      <w:r w:rsidRPr="00FD7C1D">
        <w:t>permeability distribution</w:t>
      </w:r>
      <w:r>
        <w:t xml:space="preserve"> was strongly heterogeneous. C</w:t>
      </w:r>
      <w:r w:rsidRPr="00FD7C1D">
        <w:t>onsiderable heterogeneity was found in both the porosity and permeability distributions for the Waare core. This method was shown to accurately characterize sub-core scale heterogeneity</w:t>
      </w:r>
      <w:r>
        <w:t xml:space="preserve">, and provide well-characterized rock core for applications such as upscaling </w:t>
      </w:r>
      <w:r w:rsidR="00177749" w:rsidRPr="00FD7C1D">
        <w:fldChar w:fldCharType="begin"/>
      </w:r>
      <w:r>
        <w:instrText xml:space="preserve"> ADDIN ZOTERO_ITEM CSL_CITATION {"citationID":"e9CJKPOS","properties":{"formattedCitation":"(Krause et al., 2013)","plainCitation":"(Krause et al., 2013)"},"citationItems":[{"id":153,"uris":["http://zotero.org/users/1507390/items/BN39CWPG"],"uri":["http://zotero.org/users/1507390/items/BN39CWPG"],"itemData":{"id":153,"type":"article-journal","title":"A Procedure for the Accurate Determination of Sub-Core Scale Permeability Distributions with Error Quantification","container-title":"Transport in Porous Media","page":"565-588","volume":"98","issue":"3","source":"link.springer.com.proxy.lib.utk.edu:90","abstract":"We present a new method for non-destructively calculating sub-core scale permeability distributions within a core. The new method integrates experimentally measured capillary pressure data and sub-core scale saturation and porosity data collected using a computed tomography-scanner, to construct an accurate and unique sub-core scale permeability distribution. Using this procedure, it is possible to conduct highly refined simulations of core flooding experiments without typical assumptions requiring the core to be homogeneous, or relying on inaccurate porosity-based methods for estimating permeability distributions. The calculation procedure is described and results from two example rock cores are presented, a Berea Sandstone and a sandstone from the Otway Basin Pilot Project in Australia. Drainage coreflooding experiments of carbon dioxide ( TeX\\text{ CO }_{2}) injection into water are first conducted on both cores and permeability distributions are calculated using the experimental data. Numerical simulations of the very same experiments are then conducted to demonstrate the accuracy of the calculated sub-core scale permeability distribution. Results from both cores show that the input sub-core scale saturation distributions are predicted with an TeXR^{2} correlation of greater than 0.93. This is compared to having no correlation when using simple porosity-only based permeability distributions, or assuming homogeneous core properties (Krause et al., SPE J 16(4):768–777, 2011). The uniqueness of the calculated permeability distribution is then demonstrated by calculating permeability distributions for the same core using data collected at different TeX\\text{ CO }_{2} injection fractional flows. Results show that the two independently calculated permeability distributions agree within the limits of experimental measurement error.","DOI":"10.1007/s11242-013-0161-y","ISSN":"0169-3913, 1573-1634","journalAbbreviation":"Transp Porous Med","language":"en","author":[{"family":"Krause","given":"Michael"},{"family":"Krevor","given":"Sam"},{"family":"Benson","given":"Sally M."}],"issued":{"date-parts":[["2013",5,8]]},"accessed":{"date-parts":[["2015",2,20]]}}}],"schema":"https://github.com/citation-style-language/schema/raw/master/csl-citation.json"} </w:instrText>
      </w:r>
      <w:r w:rsidR="00177749" w:rsidRPr="00FD7C1D">
        <w:fldChar w:fldCharType="separate"/>
      </w:r>
      <w:r w:rsidRPr="00FD7C1D">
        <w:t>(Krause et al., 2013)</w:t>
      </w:r>
      <w:r w:rsidR="00177749" w:rsidRPr="00FD7C1D">
        <w:fldChar w:fldCharType="end"/>
      </w:r>
      <w:r>
        <w:t>.</w:t>
      </w:r>
    </w:p>
    <w:p w:rsidR="002F3B63" w:rsidRDefault="00177749" w:rsidP="002F3B63">
      <w:pPr>
        <w:spacing w:line="480" w:lineRule="auto"/>
        <w:ind w:firstLine="720"/>
      </w:pPr>
      <w:r>
        <w:fldChar w:fldCharType="begin"/>
      </w:r>
      <w:r w:rsidR="002F3B63">
        <w:instrText xml:space="preserve"> ADDIN ZOTERO_ITEM CSL_CITATION {"citationID":"vimu88723","properties":{"formattedCitation":"(Pini and Benson, 2013)","plainCitation":"(Pini and Benson, 2013)"},"citationItems":[{"id":230,"uris":["http://zotero.org/users/1507390/items/H9FDN334"],"uri":["http://zotero.org/users/1507390/items/H9FDN334"],"itemData":{"id":230,"type":"article-journal","title":"Characterization and scaling of mesoscale heterogeneities in sandstones","container-title":"Geophysical Research Letters","page":"3903-3908","volume":"40","issue":"15","source":"Wiley Online Library","abstract":"A core-flooding technique to measure core- and subcore-scale capillary pressure curves is applied to the characterization of a naturally heterogeneous sandstone core. N2 and water are used as the nonwetting and wetting fluid phases, and X-ray imaging is applied to precisely visualize multiphase flow at the subcentimeter scale. The spatial variability in the Pc(S) relationship is represented in terms of scaling factors, which are further translated into a corresponding distribution of permeabilities, thus creating a unique and consistent framework where multiphase and rock properties are integrated. The analysis introduced here provides a practical and efficient method for characterizing subcore-scale heterogeneities, whose effects can be substantial on both single and multiphase flows.","DOI":"10.1002/grl.50756","ISSN":"1944-8007","journalAbbreviation":"Geophys. Res. Lett.","language":"en","author":[{"family":"Pini","given":"Ronny"},{"family":"Benson","given":"Sally M."}],"issued":{"date-parts":[["2013",8,16]]},"accessed":{"date-parts":[["2015",2,20]]}}}],"schema":"https://github.com/citation-style-language/schema/raw/master/csl-citation.json"} </w:instrText>
      </w:r>
      <w:r>
        <w:fldChar w:fldCharType="separate"/>
      </w:r>
      <w:r w:rsidR="002F3B63">
        <w:rPr>
          <w:rFonts w:ascii="Cambria" w:hAnsi="Cambria"/>
        </w:rPr>
        <w:t>Pini and Benson</w:t>
      </w:r>
      <w:r w:rsidR="002F3B63" w:rsidRPr="004A4A04">
        <w:rPr>
          <w:rFonts w:ascii="Cambria" w:hAnsi="Cambria"/>
        </w:rPr>
        <w:t xml:space="preserve"> </w:t>
      </w:r>
      <w:r w:rsidR="002F3B63">
        <w:rPr>
          <w:rFonts w:ascii="Cambria" w:hAnsi="Cambria"/>
        </w:rPr>
        <w:t>(</w:t>
      </w:r>
      <w:r w:rsidR="002F3B63" w:rsidRPr="004A4A04">
        <w:rPr>
          <w:rFonts w:ascii="Cambria" w:hAnsi="Cambria"/>
        </w:rPr>
        <w:t>2013</w:t>
      </w:r>
      <w:r>
        <w:fldChar w:fldCharType="end"/>
      </w:r>
      <w:r w:rsidR="002F3B63">
        <w:t>) characterized the core/sub-core scale heterogeneity of a naturally heterogeneous sandstone using N</w:t>
      </w:r>
      <w:r w:rsidR="002F3B63" w:rsidRPr="005A3B11">
        <w:rPr>
          <w:vertAlign w:val="subscript"/>
        </w:rPr>
        <w:t>2</w:t>
      </w:r>
      <w:r w:rsidR="002F3B63">
        <w:t xml:space="preserve">/water core flooding, X-ray CT imaging, and a scaling factor. They developed a procedure that can potentially combine pore and reservoir scale flow properties while sufficiently characterizing sub-core scale heterogeneities. Pini and Benson (2013) also acknowledge that geologic heterogeneity occurs over a wide range of scales and that it presents a major challenge when attempting to predict fluid movement in the sub-surface. </w:t>
      </w:r>
    </w:p>
    <w:p w:rsidR="002F3B63" w:rsidRDefault="00177749" w:rsidP="002F3B63">
      <w:pPr>
        <w:spacing w:line="480" w:lineRule="auto"/>
        <w:ind w:firstLine="720"/>
      </w:pPr>
      <w:r>
        <w:fldChar w:fldCharType="begin"/>
      </w:r>
      <w:r w:rsidR="002F3B63">
        <w:instrText xml:space="preserve"> ADDIN ZOTERO_ITEM CSL_CITATION {"citationID":"8n5dje4t1","properties":{"formattedCitation":"(Li and Benson, 2014)","plainCitation":"(Li and Benson, 2014)"},"citationItems":[{"id":483,"uris":["http://zotero.org/users/1507390/items/E2ZVDTGH"],"uri":["http://zotero.org/users/1507390/items/E2ZVDTGH"],"itemData":{"id":483,"type":"article-journal","title":"Small-scale Heterogeneities and Buoyancy-driven CO2 Migration in Geological Storage","container-title":"Energy Procedia","collection-title":"12th International Conference on Greenhouse Gas Control Technologies, GHGT-12","page":"3608-3615","volume":"63","source":"ScienceDirect","abstract":"It is well understood that spatially correlated heterogeneities can affect large-scale CO2 migrations in geological sequestration. However, recent experimental observations from high resolution Computed Tomography (CT) imaging have shown heterogeneities at the millimeter scale in natural sandstone core samples. These heterogeneities have a high degree of randomness without distinct spatial patterns, and they appear relatively homogeneous at a larger scale. As a result, such heterogeneities tend to be ignored in core analysis and in flow simulations. In this study, we show that ignoring such small-scale heterogeneities can lead to significant overestimations of CO2 plume speed in modeling buoyancy-driven CO2 migrations. For the representative examples we study, the overestimation can be a factor of two or larger.","DOI":"10.1016/j.egypro.2014.11.391","ISSN":"1876-6102","journalAbbreviation":"Energy Procedia","author":[{"family":"Li","given":"Boxiao"},{"family":"Benson","given":"Sally M."}],"issued":{"date-parts":[["2014"]]},"accessed":{"date-parts":[["2015",2,21]]}}}],"schema":"https://github.com/citation-style-language/schema/raw/master/csl-citation.json"} </w:instrText>
      </w:r>
      <w:r>
        <w:fldChar w:fldCharType="separate"/>
      </w:r>
      <w:r w:rsidR="002F3B63">
        <w:rPr>
          <w:rFonts w:ascii="Cambria" w:hAnsi="Cambria"/>
        </w:rPr>
        <w:t>Li and Benson</w:t>
      </w:r>
      <w:r w:rsidR="002F3B63" w:rsidRPr="00030A97">
        <w:rPr>
          <w:rFonts w:ascii="Cambria" w:hAnsi="Cambria"/>
        </w:rPr>
        <w:t xml:space="preserve"> </w:t>
      </w:r>
      <w:r w:rsidR="002F3B63">
        <w:rPr>
          <w:rFonts w:ascii="Cambria" w:hAnsi="Cambria"/>
        </w:rPr>
        <w:t>(</w:t>
      </w:r>
      <w:r w:rsidR="002F3B63" w:rsidRPr="00030A97">
        <w:rPr>
          <w:rFonts w:ascii="Cambria" w:hAnsi="Cambria"/>
        </w:rPr>
        <w:t>2014)</w:t>
      </w:r>
      <w:r>
        <w:fldChar w:fldCharType="end"/>
      </w:r>
      <w:r w:rsidR="002F3B63">
        <w:t>stated that, “spatially correlated heterogeneities at small scales can affect large-scale CO</w:t>
      </w:r>
      <w:r w:rsidR="002F3B63" w:rsidRPr="007A3608">
        <w:rPr>
          <w:vertAlign w:val="subscript"/>
        </w:rPr>
        <w:t>2</w:t>
      </w:r>
      <w:r w:rsidR="002F3B63">
        <w:t xml:space="preserve"> migrations in geological sequestration.” The purpose of their work was to show the effect of small-scale “High-Randomness Pattern-Free” (HRPF) heterogeneities on buoyancy driven CO</w:t>
      </w:r>
      <w:r w:rsidR="002F3B63" w:rsidRPr="005A3B11">
        <w:rPr>
          <w:vertAlign w:val="subscript"/>
        </w:rPr>
        <w:t>2</w:t>
      </w:r>
      <w:r w:rsidR="002F3B63">
        <w:t xml:space="preserve"> migration. The study was conducted on a 2D </w:t>
      </w:r>
      <w:r w:rsidR="002F3B63">
        <w:lastRenderedPageBreak/>
        <w:t>permeability field</w:t>
      </w:r>
      <w:r w:rsidR="002F3B63" w:rsidRPr="00D365C3">
        <w:t xml:space="preserve"> (5m x 0.4</w:t>
      </w:r>
      <w:r w:rsidR="002F3B63">
        <w:t>m</w:t>
      </w:r>
      <w:r w:rsidR="002F3B63" w:rsidRPr="00D365C3">
        <w:t xml:space="preserve">) </w:t>
      </w:r>
      <w:r w:rsidR="002F3B63">
        <w:t xml:space="preserve">that </w:t>
      </w:r>
      <w:r w:rsidR="002F3B63" w:rsidRPr="00D365C3">
        <w:t>was relatively homogenous over the entire sample domain</w:t>
      </w:r>
      <w:r w:rsidR="002F3B63">
        <w:t xml:space="preserve">. </w:t>
      </w:r>
      <w:r w:rsidR="002F3B63" w:rsidRPr="00D365C3">
        <w:t xml:space="preserve">However, it was shown that heterogeneities were found at the millimeter scale. </w:t>
      </w:r>
      <w:r w:rsidR="002F3B63">
        <w:t>These heterogeneities were determined to be highly random because a short spatial correlation was shown, using a variogram, at the millimeter scale.</w:t>
      </w:r>
      <w:r w:rsidR="002F3B63" w:rsidRPr="00D365C3">
        <w:t xml:space="preserve"> Because millimeter scale heterogeneity appears to be relatively homogenous at a larger scale, it is often ignored in core analysis and flow simulation </w:t>
      </w:r>
      <w:r w:rsidRPr="00D365C3">
        <w:fldChar w:fldCharType="begin"/>
      </w:r>
      <w:r w:rsidR="002F3B63" w:rsidRPr="00D365C3">
        <w:instrText xml:space="preserve"> ADDIN ZOTERO_ITEM CSL_CITATION {"citationID":"659bvet","properties":{"formattedCitation":"(Li and Benson, 2014)","plainCitation":"(Li and Benson, 2014)"},"citationItems":[{"id":483,"uris":["http://zotero.org/users/1507390/items/E2ZVDTGH"],"uri":["http://zotero.org/users/1507390/items/E2ZVDTGH"],"itemData":{"id":483,"type":"article-journal","title":"Small-scale Heterogeneities and Buoyancy-driven CO2 Migration in Geological Storage","container-title":"Energy Procedia","collection-title":"12th International Conference on Greenhouse Gas Control Technologies, GHGT-12","page":"3608-3615","volume":"63","source":"ScienceDirect","abstract":"It is well understood that spatially correlated heterogeneities can affect large-scale CO2 migrations in geological sequestration. However, recent experimental observations from high resolution Computed Tomography (CT) imaging have shown heterogeneities at the millimeter scale in natural sandstone core samples. These heterogeneities have a high degree of randomness without distinct spatial patterns, and they appear relatively homogeneous at a larger scale. As a result, such heterogeneities tend to be ignored in core analysis and in flow simulations. In this study, we show that ignoring such small-scale heterogeneities can lead to significant overestimations of CO2 plume speed in modeling buoyancy-driven CO2 migrations. For the representative examples we study, the overestimation can be a factor of two or larger.","DOI":"10.1016/j.egypro.2014.11.391","ISSN":"1876-6102","journalAbbreviation":"Energy Procedia","author":[{"family":"Li","given":"Boxiao"},{"family":"Benson","given":"Sally M."}],"issued":{"date-parts":[["2014"]]},"accessed":{"date-parts":[["2015",2,21]]}}}],"schema":"https://github.com/citation-style-language/schema/raw/master/csl-citation.json"} </w:instrText>
      </w:r>
      <w:r w:rsidRPr="00D365C3">
        <w:fldChar w:fldCharType="separate"/>
      </w:r>
      <w:r w:rsidR="002F3B63" w:rsidRPr="00D365C3">
        <w:t>(Li and Benson, 2014)</w:t>
      </w:r>
      <w:r w:rsidRPr="00D365C3">
        <w:fldChar w:fldCharType="end"/>
      </w:r>
      <w:r w:rsidR="002F3B63" w:rsidRPr="00D365C3">
        <w:t>. It was shown that CO</w:t>
      </w:r>
      <w:r w:rsidR="002F3B63" w:rsidRPr="005A3B11">
        <w:rPr>
          <w:vertAlign w:val="subscript"/>
        </w:rPr>
        <w:t>2</w:t>
      </w:r>
      <w:r w:rsidR="002F3B63">
        <w:t xml:space="preserve"> plume velocity</w:t>
      </w:r>
      <w:r w:rsidR="002F3B63" w:rsidRPr="00D365C3">
        <w:t xml:space="preserve"> can be significantly decreased or even completely immobilized by millimeter</w:t>
      </w:r>
      <w:r w:rsidR="002F3B63">
        <w:t xml:space="preserve"> scale</w:t>
      </w:r>
      <w:r w:rsidR="002F3B63" w:rsidRPr="00D365C3">
        <w:t xml:space="preserve"> </w:t>
      </w:r>
      <w:r w:rsidR="002F3B63">
        <w:t>heterogeneity</w:t>
      </w:r>
      <w:r w:rsidR="002F3B63" w:rsidRPr="00D365C3">
        <w:t xml:space="preserve"> if the plume volume is small. </w:t>
      </w:r>
    </w:p>
    <w:p w:rsidR="002F3B63" w:rsidRDefault="002F3B63" w:rsidP="00557BA9">
      <w:pPr>
        <w:pStyle w:val="Style2"/>
      </w:pPr>
      <w:bookmarkStart w:id="14" w:name="_Toc425427024"/>
      <w:r>
        <w:t>2.2</w:t>
      </w:r>
      <w:r w:rsidRPr="00030A97">
        <w:t xml:space="preserve"> Computed Tomography and Neutron Imaging</w:t>
      </w:r>
      <w:bookmarkEnd w:id="14"/>
    </w:p>
    <w:p w:rsidR="002F3B63" w:rsidRDefault="002F3B63" w:rsidP="002F3B63">
      <w:pPr>
        <w:spacing w:after="0" w:line="480" w:lineRule="auto"/>
        <w:ind w:firstLine="720"/>
        <w:rPr>
          <w:rFonts w:cstheme="minorHAnsi"/>
          <w:szCs w:val="24"/>
        </w:rPr>
      </w:pPr>
      <w:r w:rsidRPr="000E5EFE">
        <w:rPr>
          <w:rFonts w:cstheme="minorHAnsi"/>
          <w:szCs w:val="24"/>
        </w:rPr>
        <w:t>Neutron imaging was first applied in soil science in the 1970’s to visualize the spatial distribution of soil water characteristics</w:t>
      </w:r>
      <w:r>
        <w:rPr>
          <w:rFonts w:cstheme="minorHAnsi"/>
          <w:szCs w:val="24"/>
        </w:rPr>
        <w:t xml:space="preserve"> </w:t>
      </w:r>
      <w:r w:rsidR="00177749">
        <w:rPr>
          <w:rFonts w:cstheme="minorHAnsi"/>
          <w:szCs w:val="24"/>
        </w:rPr>
        <w:fldChar w:fldCharType="begin"/>
      </w:r>
      <w:r>
        <w:rPr>
          <w:rFonts w:cstheme="minorHAnsi"/>
          <w:szCs w:val="24"/>
        </w:rPr>
        <w:instrText xml:space="preserve"> ADDIN ZOTERO_ITEM CSL_CITATION {"citationID":"19vhdi2lko","properties":{"formattedCitation":"(Perfect et al., 2014)","plainCitation":"(Perfect et al., 2014)"},"citationItems":[{"id":160,"uris":["http://zotero.org/users/1507390/items/MUZMSIWN"],"uri":["http://zotero.org/users/1507390/items/MUZMSIWN"],"itemData":{"id":160,"type":"article-journal","title":"Neutron Imaging of Hydrogen-Rich Fluids in Geomaterials and Engineered Porous Media: A Review","container-title":"Earth-Science Reviews","page":"120-135","volume":"129","source":"ScienceDirect","abstract":"Recent advances in visualization technologies are providing new discoveries as well as answering old questions with respect to the phase structure and flow of hydrogen-rich fluids, such as water and oil, within porous media. Magnetic resonance and x-ray imaging are sometimes employed in this context, but are subject to significant limitations. In contrast, neutrons are ideally suited for imaging hydrogen-rich fluids in abiotic non-hydrogenous porous media because they are strongly attenuated by hydrogen and can “see” through the solid matrix in a non-destructive fashion. This review paper provides an overview of the general principles behind the use of neutrons to image hydrogen-rich fluids in both 2-dimensions (radiography) and 3-dimensions (tomography). Engineering standards for the neutron imaging method are examined. The main body of the paper consists of a comprehensive review of the diverse scientific literature on neutron imaging of static and dynamic experiments involving variably-saturated geomaterials (rocks and soils) and engineered porous media (bricks and ceramics, concrete, fuel cells, heat pipes, and porous glass). Finally some emerging areas that offer promising opportunities for future research are discussed.","DOI":"10.1016/j.earscirev.2013.11.012","ISSN":"0012-8252","shortTitle":"Neutron imaging of hydrogen-rich fluids in geomaterials and engineered porous media","journalAbbreviation":"Earth-Science Reviews","author":[{"family":"Perfect","given":"E."},{"family":"Cheng","given":"C. -L."},{"family":"Kang","given":"M."},{"family":"Bilheux","given":"H. Z."},{"family":"Lamanna","given":"J. M."},{"family":"Gragg","given":"M. J."},{"family":"Wright","given":"D. M."}],"issued":{"date-parts":[["2014",2]]},"accessed":{"date-parts":[["2014",4,2]]}}}],"schema":"https://github.com/citation-style-language/schema/raw/master/csl-citation.json"} </w:instrText>
      </w:r>
      <w:r w:rsidR="00177749">
        <w:rPr>
          <w:rFonts w:cstheme="minorHAnsi"/>
          <w:szCs w:val="24"/>
        </w:rPr>
        <w:fldChar w:fldCharType="separate"/>
      </w:r>
      <w:r w:rsidRPr="00030A97">
        <w:rPr>
          <w:rFonts w:ascii="Cambria" w:hAnsi="Cambria"/>
        </w:rPr>
        <w:t>(Perfect et al., 2014)</w:t>
      </w:r>
      <w:r w:rsidR="00177749">
        <w:rPr>
          <w:rFonts w:cstheme="minorHAnsi"/>
          <w:szCs w:val="24"/>
        </w:rPr>
        <w:fldChar w:fldCharType="end"/>
      </w:r>
      <w:r w:rsidRPr="000E5EFE">
        <w:rPr>
          <w:rFonts w:cstheme="minorHAnsi"/>
          <w:szCs w:val="24"/>
        </w:rPr>
        <w:t xml:space="preserve">. Neutron imaging is ideal for observing air-water displacements in soil because neutrons are strongly attenuated by hydrogen rich fluids but not by air or soil minerals. </w:t>
      </w:r>
      <w:r w:rsidR="00177749">
        <w:rPr>
          <w:rFonts w:cstheme="minorHAnsi"/>
          <w:szCs w:val="24"/>
        </w:rPr>
        <w:fldChar w:fldCharType="begin"/>
      </w:r>
      <w:r>
        <w:rPr>
          <w:rFonts w:cstheme="minorHAnsi"/>
          <w:szCs w:val="24"/>
        </w:rPr>
        <w:instrText xml:space="preserve"> ADDIN ZOTERO_ITEM CSL_CITATION {"citationID":"p71rqe32c","properties":{"formattedCitation":"(Deinert et al., 2004)","plainCitation":"(Deinert et al., 2004)"},"citationItems":[{"id":194,"uris":["http://zotero.org/users/1507390/items/SZCJ5KDP"],"uri":["http://zotero.org/users/1507390/items/SZCJ5KDP"],"itemData":{"id":194,"type":"article-journal","title":"Measurement of Fluid Contents and Wetting Front Profiles by Real-Time Neutron Radiography","container-title":"Journal of Hydrology","page":"192-201","volume":"290","issue":"3–4","source":"ScienceDirect","abstract":"Few methods exist for measuring rapidly changing fluid contents at the pore scale that simultaneously allow whole flow field visualization. We present a method for using real-time neutron radiography to measure rapidly changing moisture profiles in porous media. The imaging technique monitors the attenuation of a thermal neutron beam as it traverses a flow field and provides measurements every 30 ms with an image area &gt;410 cm2 and a spatial resolution ∼0.05 cm. The technique is illustrated by measuring the variation in moisture content across a wetting front moving at constant velocity through SiO2 sand. The relative contributions of the hydraulic conductivity and diffusivity terms in Richards' equation to the total fluid flux within the wetting front region were also measured. The diffusivity was found to rise from zero to a peak value within the wetting front region before falling off while the conductivity was found to rise monotonically. The reliability of the technique was checked via mass balance.","DOI":"10.1016/j.jhydrol.2003.11.018","ISSN":"0022-1694","journalAbbreviation":"Journal of Hydrology","author":[{"family":"Deinert","given":"M. R"},{"family":"Parlange","given":"J. -Y"},{"family":"Steenhuis","given":"T"},{"family":"Throop","given":"J"},{"family":"Ünlü","given":"K"},{"family":"Cady","given":"K. B"}],"issued":{"date-parts":[["2004",5,25]]},"accessed":{"date-parts":[["2014",4,2]]}}}],"schema":"https://github.com/citation-style-language/schema/raw/master/csl-citation.json"} </w:instrText>
      </w:r>
      <w:r w:rsidR="00177749">
        <w:rPr>
          <w:rFonts w:cstheme="minorHAnsi"/>
          <w:szCs w:val="24"/>
        </w:rPr>
        <w:fldChar w:fldCharType="separate"/>
      </w:r>
      <w:r>
        <w:rPr>
          <w:rFonts w:ascii="Cambria" w:hAnsi="Cambria"/>
        </w:rPr>
        <w:t>Deinert et al. (</w:t>
      </w:r>
      <w:r w:rsidRPr="00030A97">
        <w:rPr>
          <w:rFonts w:ascii="Cambria" w:hAnsi="Cambria"/>
        </w:rPr>
        <w:t>2004)</w:t>
      </w:r>
      <w:r w:rsidR="00177749">
        <w:rPr>
          <w:rFonts w:cstheme="minorHAnsi"/>
          <w:szCs w:val="24"/>
        </w:rPr>
        <w:fldChar w:fldCharType="end"/>
      </w:r>
      <w:r w:rsidR="003C7767">
        <w:rPr>
          <w:rFonts w:cstheme="minorHAnsi"/>
          <w:szCs w:val="24"/>
        </w:rPr>
        <w:t xml:space="preserve"> </w:t>
      </w:r>
      <w:r w:rsidRPr="000E5EFE">
        <w:rPr>
          <w:rFonts w:cstheme="minorHAnsi"/>
          <w:szCs w:val="24"/>
        </w:rPr>
        <w:t>concluded that neutron imaging is ideal for detailed laboratory studies because of its sensitivity to variations in moisture content and its ability to image nontran</w:t>
      </w:r>
      <w:r>
        <w:rPr>
          <w:rFonts w:cstheme="minorHAnsi"/>
          <w:szCs w:val="24"/>
        </w:rPr>
        <w:t xml:space="preserve">slucent material </w:t>
      </w:r>
      <w:r w:rsidR="00177749">
        <w:rPr>
          <w:rFonts w:cstheme="minorHAnsi"/>
          <w:szCs w:val="24"/>
        </w:rPr>
        <w:fldChar w:fldCharType="begin"/>
      </w:r>
      <w:r>
        <w:rPr>
          <w:rFonts w:cstheme="minorHAnsi"/>
          <w:szCs w:val="24"/>
        </w:rPr>
        <w:instrText xml:space="preserve"> ADDIN ZOTERO_ITEM CSL_CITATION {"citationID":"1bl3g0qj0","properties":{"formattedCitation":"(Cheng et al., 2012)","plainCitation":"(Cheng et al., 2012)"},"citationItems":[{"id":27,"uris":["http://zotero.org/users/1507390/items/4262UBTI"],"uri":["http://zotero.org/users/1507390/items/4262UBTI"],"itemData":{"id":27,"type":"article-journal","title":"Average Soil Water Retention Curves Measured by Neutron Radiography","container-title":"Soil Science Society of America Journal","page":"1184-1191","volume":"76","issue":"4","source":"CrossRef","DOI":"10.2136/sssaj2011.0313","ISSN":"0361-5995","language":"en","author":[{"family":"Cheng","given":"C. L."},{"family":"Kang","given":"M."},{"family":"Perfect","given":"E."},{"family":"Voisin","given":"S."},{"family":"Horita","given":"J."},{"family":"Bilheux","given":"H. Z."},{"family":"Warren","given":"J. M."},{"family":"Jacobson","given":"D. L."},{"family":"Hussey","given":"D. S."}],"issued":{"date-parts":[["2012"]]},"accessed":{"date-parts":[["2014",4,2]]}}}],"schema":"https://github.com/citation-style-language/schema/raw/master/csl-citation.json"} </w:instrText>
      </w:r>
      <w:r w:rsidR="00177749">
        <w:rPr>
          <w:rFonts w:cstheme="minorHAnsi"/>
          <w:szCs w:val="24"/>
        </w:rPr>
        <w:fldChar w:fldCharType="separate"/>
      </w:r>
      <w:r w:rsidRPr="00030A97">
        <w:rPr>
          <w:rFonts w:ascii="Cambria" w:hAnsi="Cambria"/>
        </w:rPr>
        <w:t>(Cheng et al., 2012)</w:t>
      </w:r>
      <w:r w:rsidR="00177749">
        <w:rPr>
          <w:rFonts w:cstheme="minorHAnsi"/>
          <w:szCs w:val="24"/>
        </w:rPr>
        <w:fldChar w:fldCharType="end"/>
      </w:r>
      <w:r>
        <w:rPr>
          <w:rFonts w:cstheme="minorHAnsi"/>
          <w:szCs w:val="24"/>
        </w:rPr>
        <w:t>.</w:t>
      </w:r>
      <w:r w:rsidRPr="000E5EFE">
        <w:rPr>
          <w:rFonts w:cstheme="minorHAnsi"/>
          <w:szCs w:val="24"/>
        </w:rPr>
        <w:t xml:space="preserve"> </w:t>
      </w:r>
    </w:p>
    <w:p w:rsidR="002F3B63" w:rsidRDefault="00177749" w:rsidP="002F3B63">
      <w:pPr>
        <w:spacing w:after="0" w:line="480" w:lineRule="auto"/>
        <w:ind w:firstLine="720"/>
        <w:rPr>
          <w:rFonts w:cstheme="minorHAnsi"/>
          <w:szCs w:val="24"/>
        </w:rPr>
      </w:pPr>
      <w:r>
        <w:rPr>
          <w:rFonts w:cstheme="minorHAnsi"/>
          <w:szCs w:val="24"/>
        </w:rPr>
        <w:fldChar w:fldCharType="begin"/>
      </w:r>
      <w:r w:rsidR="002F3B63">
        <w:rPr>
          <w:rFonts w:cstheme="minorHAnsi"/>
          <w:szCs w:val="24"/>
        </w:rPr>
        <w:instrText xml:space="preserve"> ADDIN ZOTERO_ITEM CSL_CITATION {"citationID":"1ggmvnl6b7","properties":{"formattedCitation":"(Tumlinson et al., 2008)","plainCitation":"(Tumlinson et al., 2008)"},"citationItems":[{"id":17,"uris":["http://zotero.org/users/1507390/items/2TCVF8EQ"],"uri":["http://zotero.org/users/1507390/items/2TCVF8EQ"],"itemData":{"id":17,"type":"article-journal","title":"Thermal Neutron Computed Tomography of Soil Water and Plant Roots","container-title":"Soil Science Society of America Journal","page":"1234","volume":"72","issue":"5","source":"CrossRef","DOI":"10.2136/sssaj2007.0302","ISSN":"1435-0661","language":"en","author":[{"family":"Tumlinson","given":"Leanne G."},{"family":"Liu","given":"Hungyuan"},{"family":"Silk","given":"Wendy K."},{"family":"Hopmans","given":"Jan W."}],"issued":{"date-parts":[["2008"]]},"accessed":{"date-parts":[["2014",4,2]]}}}],"schema":"https://github.com/citation-style-language/schema/raw/master/csl-citation.json"} </w:instrText>
      </w:r>
      <w:r>
        <w:rPr>
          <w:rFonts w:cstheme="minorHAnsi"/>
          <w:szCs w:val="24"/>
        </w:rPr>
        <w:fldChar w:fldCharType="separate"/>
      </w:r>
      <w:r w:rsidR="002F3B63">
        <w:rPr>
          <w:rFonts w:ascii="Cambria" w:hAnsi="Cambria"/>
        </w:rPr>
        <w:t>Tumlinson et al.</w:t>
      </w:r>
      <w:r w:rsidR="002F3B63" w:rsidRPr="00030A97">
        <w:rPr>
          <w:rFonts w:ascii="Cambria" w:hAnsi="Cambria"/>
        </w:rPr>
        <w:t xml:space="preserve"> </w:t>
      </w:r>
      <w:r w:rsidR="002F3B63">
        <w:rPr>
          <w:rFonts w:ascii="Cambria" w:hAnsi="Cambria"/>
        </w:rPr>
        <w:t>(</w:t>
      </w:r>
      <w:r w:rsidR="002F3B63" w:rsidRPr="00030A97">
        <w:rPr>
          <w:rFonts w:ascii="Cambria" w:hAnsi="Cambria"/>
        </w:rPr>
        <w:t>2008)</w:t>
      </w:r>
      <w:r>
        <w:rPr>
          <w:rFonts w:cstheme="minorHAnsi"/>
          <w:szCs w:val="24"/>
        </w:rPr>
        <w:fldChar w:fldCharType="end"/>
      </w:r>
      <w:r w:rsidR="002F3B63">
        <w:rPr>
          <w:rFonts w:cstheme="minorHAnsi"/>
          <w:szCs w:val="24"/>
        </w:rPr>
        <w:t xml:space="preserve"> </w:t>
      </w:r>
      <w:r w:rsidR="002F3B63" w:rsidRPr="000E5EFE">
        <w:rPr>
          <w:rFonts w:cstheme="minorHAnsi"/>
          <w:szCs w:val="24"/>
        </w:rPr>
        <w:t xml:space="preserve">first applied neutron imaging to measure a point water retention curve. Their analysis was based on a single applied matric potential; therefore, it was not possible to construct a full drainage function. </w:t>
      </w:r>
      <w:r>
        <w:rPr>
          <w:rFonts w:cstheme="minorHAnsi"/>
          <w:szCs w:val="24"/>
        </w:rPr>
        <w:fldChar w:fldCharType="begin"/>
      </w:r>
      <w:r w:rsidR="002F3B63">
        <w:rPr>
          <w:rFonts w:cstheme="minorHAnsi"/>
          <w:szCs w:val="24"/>
        </w:rPr>
        <w:instrText xml:space="preserve"> ADDIN ZOTERO_ITEM CSL_CITATION {"citationID":"1hn5tk46i3","properties":{"formattedCitation":"(Papafotiou et al., 2008)","plainCitation":"(Papafotiou et al., 2008)"},"citationItems":[{"id":122,"uris":["http://zotero.org/users/1507390/items/HIUDKQQV"],"uri":["http://zotero.org/users/1507390/items/HIUDKQQV"],"itemData":{"id":122,"type":"article-journal","title":"From the Pore Scale to the Lab Scale: 3-D Lab Experiment and Numerical Simulation of Drainage in Heterogeneous Porous Media","container-title":"Advances in Water Resources","collection-title":"Quantitative links between porous media structures and flow behavior across scales","page":"1253-1268","volume":"31","issue":"9","source":"ScienceDirect","abstract":"A well-controlled 3-D experiment with pre-defined block heterogeneities is conducted, where neutron tomography is used to map 3-D water distribution after two successive drainage steps. The material and hydraulic properties of the two sands are first measured in the laboratory with multistep outflow experiments. Additionally, the pore structure of the sands is acquired by means of image analysis of synchrotron tomography data and the structure is used for pore-scale simulation of one- and two-phase flow with Lattice-Boltzmann methods. This gives us another set of material and hydraulic parameters of the sands. The two sets of hydraulic properties (from the lab scale and from the pore scale) are then used in numerical simulations of the 3-D experiment.\nThe paper discusses critical aspects and benchmarks for experimental measurements of 3-D water distribution in heterogeneous porous media. Additionally, we discuss possibilities as well as difficulties and limitations in the determination of hydraulic properties of materials using two conceptually different approaches (pore scale and lab scale). We then test with the numerical simulations how good can predictions on flow and water content in structured media be when using these state-of-the-art methods for the determination of hydraulic properties. Based on the numerical simulations, we discuss which parameters are more difficult to predict and which of the two approaches (lab scale or pore scale) enables better predictions.","DOI":"10.1016/j.advwatres.2007.09.006","ISSN":"0309-1708","shortTitle":"From the pore scale to the lab scale","journalAbbreviation":"Advances in Water Resources","author":[{"family":"Papafotiou","given":"A."},{"family":"Helmig","given":"R."},{"family":"Schaap","given":"J."},{"family":"Lehmann","given":"P."},{"family":"Kaestner","given":"A."},{"family":"Flühler","given":"H."},{"family":"Neuweiler","given":"I."},{"family":"Hassanein","given":"R."},{"family":"Ahrenholz","given":"B."},{"family":"Tölke","given":"J."},{"family":"Peters","given":"A."},{"family":"Durner","given":"W."}],"issued":{"date-parts":[["2008",9]]},"accessed":{"date-parts":[["2014",4,2]]}}}],"schema":"https://github.com/citation-style-language/schema/raw/master/csl-citation.json"} </w:instrText>
      </w:r>
      <w:r>
        <w:rPr>
          <w:rFonts w:cstheme="minorHAnsi"/>
          <w:szCs w:val="24"/>
        </w:rPr>
        <w:fldChar w:fldCharType="separate"/>
      </w:r>
      <w:r w:rsidR="002F3B63">
        <w:rPr>
          <w:rFonts w:ascii="Cambria" w:hAnsi="Cambria"/>
        </w:rPr>
        <w:t>Papafotiou et al.</w:t>
      </w:r>
      <w:r w:rsidR="002F3B63" w:rsidRPr="00030A97">
        <w:rPr>
          <w:rFonts w:ascii="Cambria" w:hAnsi="Cambria"/>
        </w:rPr>
        <w:t xml:space="preserve"> </w:t>
      </w:r>
      <w:r w:rsidR="002F3B63">
        <w:rPr>
          <w:rFonts w:ascii="Cambria" w:hAnsi="Cambria"/>
        </w:rPr>
        <w:t>(</w:t>
      </w:r>
      <w:r w:rsidR="002F3B63" w:rsidRPr="00030A97">
        <w:rPr>
          <w:rFonts w:ascii="Cambria" w:hAnsi="Cambria"/>
        </w:rPr>
        <w:t>2008)</w:t>
      </w:r>
      <w:r>
        <w:rPr>
          <w:rFonts w:cstheme="minorHAnsi"/>
          <w:szCs w:val="24"/>
        </w:rPr>
        <w:fldChar w:fldCharType="end"/>
      </w:r>
      <w:r w:rsidR="002F3B63">
        <w:rPr>
          <w:rFonts w:cstheme="minorHAnsi"/>
          <w:szCs w:val="24"/>
        </w:rPr>
        <w:t xml:space="preserve"> </w:t>
      </w:r>
      <w:r w:rsidR="002F3B63" w:rsidRPr="000E5EFE">
        <w:rPr>
          <w:rFonts w:cstheme="minorHAnsi"/>
          <w:szCs w:val="24"/>
        </w:rPr>
        <w:t xml:space="preserve"> determined the 3-D distribution of water in a porous medium under quasi-steady state flow after two drainage steps. They also tested the ability of neutron and synchrotron tomography to determine average hydraulic properties using numerical simulations. </w:t>
      </w:r>
    </w:p>
    <w:p w:rsidR="002F3B63" w:rsidRPr="00B758A1" w:rsidRDefault="00177749" w:rsidP="002F3B63">
      <w:pPr>
        <w:spacing w:after="0" w:line="480" w:lineRule="auto"/>
        <w:ind w:firstLine="720"/>
        <w:rPr>
          <w:rFonts w:cstheme="minorHAnsi"/>
          <w:szCs w:val="24"/>
        </w:rPr>
      </w:pPr>
      <w:r>
        <w:rPr>
          <w:rFonts w:cstheme="minorHAnsi"/>
          <w:szCs w:val="24"/>
        </w:rPr>
        <w:lastRenderedPageBreak/>
        <w:fldChar w:fldCharType="begin"/>
      </w:r>
      <w:r w:rsidR="002F3B63">
        <w:rPr>
          <w:rFonts w:cstheme="minorHAnsi"/>
          <w:szCs w:val="24"/>
        </w:rPr>
        <w:instrText xml:space="preserve"> ADDIN ZOTERO_ITEM CSL_CITATION {"citationID":"2dpgqb046p","properties":{"formattedCitation":"(Vasin et al., 2008)","plainCitation":"(Vasin et al., 2008)"},"citationItems":[{"id":96,"uris":["http://zotero.org/users/1507390/items/EM7Z99VM"],"uri":["http://zotero.org/users/1507390/items/EM7Z99VM"],"itemData":{"id":96,"type":"article-journal","title":"Drainage in Heterogeneous Sand Columns with Different Geometric Structures","container-title":"Advances in Water Resources","collection-title":"Quantitative links between porous media structures and flow behavior across scales","page":"1205-1220","volume":"31","issue":"9","source":"ScienceDirect","abstract":"This paper discusses multi-step drainage experiments in two heterogeneously packed sand columns (10 × 10 × 20 cm3). Different packing structures were generated using two different sand types. One purpose of the study was to test the influence of packing structures on the movement of water. The second purpose was to assess the quality of predictions for the outflow curves in both columns made with an upscaled model. The heterogeneous structures of the columns can be considered as two opposing extremes. The first column was packed with a random arrangement of two sand types that is not stochastically homogeneous and where a cluster running through the column exists for both materials. The second column was packed with a periodic pattern of coarse-sand inclusions in a fine-sand background and has a clearly defined unit cell. The depth-averaged (2D) spatial distribution of the water content in the columns was monitored during the whole multi-step outflow experiment using neutron radiography. The 3D water content was measured at the steady states by neutron tomography. The experimental results are compared with the model predictions of an upscaled model derived with the homogenization theory. The parameters for the upscaled model are calculated from the hydraulic parameters of the two sand types. These hydraulic parameters were first identified in independent measurements on samples of the two individual sand types, separately. Additionally, the hydraulic parameters of both sands were identified by fitting a numerical model to the measured outflow curves. The different column structures showed a significant effect on water retention and the effective retention function, as water was trapped in the coarse-sand inclusions of the periodic structure. We included this trapping effect in the effective retention function of the upscaled model with an apparent air entry pressure. Contrary to the retention, the different packing structures had no large effect on the dynamic behavior of the outflow. The effective conductivity of the columns is therefore not significantly influenced by the structure. The upscaled models predicted the movement of the averaged water content in the two columns well. This confirms the applicability of upscaled models even if the underlying requirements are not strictly met.","DOI":"10.1016/j.advwatres.2008.01.004","ISSN":"0309-1708","journalAbbreviation":"Advances in Water Resources","author":[{"family":"Vasin","given":"M."},{"family":"Lehmann","given":"P."},{"family":"Kaestner","given":"A."},{"family":"Hassanein","given":"R."},{"family":"Nowak","given":"W."},{"family":"Helmig","given":"R."},{"family":"Neuweiler","given":"I."}],"issued":{"date-parts":[["2008",9]]},"accessed":{"date-parts":[["2014",4,2]]}}}],"schema":"https://github.com/citation-style-language/schema/raw/master/csl-citation.json"} </w:instrText>
      </w:r>
      <w:r>
        <w:rPr>
          <w:rFonts w:cstheme="minorHAnsi"/>
          <w:szCs w:val="24"/>
        </w:rPr>
        <w:fldChar w:fldCharType="separate"/>
      </w:r>
      <w:r w:rsidR="002F3B63">
        <w:rPr>
          <w:rFonts w:ascii="Cambria" w:hAnsi="Cambria"/>
        </w:rPr>
        <w:t>Vasin et al.</w:t>
      </w:r>
      <w:r w:rsidR="002F3B63" w:rsidRPr="00030A97">
        <w:rPr>
          <w:rFonts w:ascii="Cambria" w:hAnsi="Cambria"/>
        </w:rPr>
        <w:t xml:space="preserve"> </w:t>
      </w:r>
      <w:r w:rsidR="002F3B63">
        <w:rPr>
          <w:rFonts w:ascii="Cambria" w:hAnsi="Cambria"/>
        </w:rPr>
        <w:t>(</w:t>
      </w:r>
      <w:r w:rsidR="002F3B63" w:rsidRPr="00030A97">
        <w:rPr>
          <w:rFonts w:ascii="Cambria" w:hAnsi="Cambria"/>
        </w:rPr>
        <w:t>2008)</w:t>
      </w:r>
      <w:r>
        <w:rPr>
          <w:rFonts w:cstheme="minorHAnsi"/>
          <w:szCs w:val="24"/>
        </w:rPr>
        <w:fldChar w:fldCharType="end"/>
      </w:r>
      <w:r w:rsidR="002F3B63" w:rsidRPr="000E5EFE">
        <w:rPr>
          <w:rFonts w:cstheme="minorHAnsi"/>
          <w:szCs w:val="24"/>
        </w:rPr>
        <w:t xml:space="preserve"> conducted multi-step drainage experiments in two heterogeneously packed sand columns to test the influence of packing structures on the movement of water and to assess outflow curves in both columns made with an upscaled model. Neutron radiography (2-D) was used to measure the spatial distribution of water content during the multi-step drainage process and neutron tomography was used to measure 3-D water content at the steady state. Cheng et al. (2012) demonstrated that neutron imaging can fully reproduce the hysteretic characteristics of soil water and can be used to quantify average relative saturations. Kang et al. (2014) employed neutron radiography to map out the spatial distribution of water and determine </w:t>
      </w:r>
      <w:r w:rsidR="0019644D">
        <w:rPr>
          <w:rFonts w:cstheme="minorHAnsi"/>
          <w:szCs w:val="24"/>
        </w:rPr>
        <w:t>pixel (1 pixel = 0.0032 cm</w:t>
      </w:r>
      <w:r w:rsidR="00437015">
        <w:rPr>
          <w:rFonts w:cstheme="minorHAnsi"/>
          <w:szCs w:val="24"/>
        </w:rPr>
        <w:t xml:space="preserve"> or 32 </w:t>
      </w:r>
      <w:r w:rsidR="00437015">
        <w:rPr>
          <w:rFonts w:ascii="Calibri" w:hAnsi="Calibri" w:cs="Calibri"/>
          <w:szCs w:val="24"/>
        </w:rPr>
        <w:t>μ</w:t>
      </w:r>
      <w:r w:rsidR="00816E61">
        <w:rPr>
          <w:rFonts w:ascii="Calibri" w:hAnsi="Calibri" w:cs="Calibri"/>
          <w:szCs w:val="24"/>
        </w:rPr>
        <w:t>m</w:t>
      </w:r>
      <w:r w:rsidR="0019644D">
        <w:rPr>
          <w:rFonts w:cstheme="minorHAnsi"/>
          <w:szCs w:val="24"/>
        </w:rPr>
        <w:t xml:space="preserve">) or </w:t>
      </w:r>
      <w:r w:rsidR="002F3B63" w:rsidRPr="000E5EFE">
        <w:rPr>
          <w:rFonts w:cstheme="minorHAnsi"/>
          <w:szCs w:val="24"/>
        </w:rPr>
        <w:t>point water retention functions at different locations within a</w:t>
      </w:r>
      <w:r w:rsidR="0019644D">
        <w:rPr>
          <w:rFonts w:cstheme="minorHAnsi"/>
          <w:szCs w:val="24"/>
        </w:rPr>
        <w:t xml:space="preserve"> nominally</w:t>
      </w:r>
      <w:r w:rsidR="002F3B63" w:rsidRPr="000E5EFE">
        <w:rPr>
          <w:rFonts w:cstheme="minorHAnsi"/>
          <w:szCs w:val="24"/>
        </w:rPr>
        <w:t xml:space="preserve"> homogenous Flint sand column.</w:t>
      </w:r>
      <w:r w:rsidR="002F3B63">
        <w:rPr>
          <w:rFonts w:cstheme="minorHAnsi"/>
          <w:szCs w:val="24"/>
        </w:rPr>
        <w:t xml:space="preserve"> An 8 x 15 Cartesian grid was superimposed over each neutron radiograph. A water retention curve was calculated for each point on the grid system. Histograms of the water retention curve parameters indicate the existence of sub-core scale heterogeneities. Also, t</w:t>
      </w:r>
      <w:r w:rsidR="002F3B63" w:rsidRPr="00E03B6C">
        <w:rPr>
          <w:rFonts w:cstheme="minorHAnsi"/>
          <w:szCs w:val="24"/>
        </w:rPr>
        <w:t>he presence of spatial structure in these data will influence upscaling strategies, and therefore a geostatistical analysis is warranted.</w:t>
      </w:r>
    </w:p>
    <w:p w:rsidR="002F3B63" w:rsidRDefault="002F3B63" w:rsidP="00557BA9">
      <w:pPr>
        <w:pStyle w:val="Style2"/>
      </w:pPr>
      <w:bookmarkStart w:id="15" w:name="_Toc425427025"/>
      <w:r>
        <w:t>2.3 Geostatistical Analysis of Sub-Core Heterogeneities</w:t>
      </w:r>
      <w:bookmarkEnd w:id="15"/>
    </w:p>
    <w:p w:rsidR="002F3B63" w:rsidRDefault="002F3B63" w:rsidP="002F3B63">
      <w:pPr>
        <w:spacing w:line="480" w:lineRule="auto"/>
        <w:ind w:firstLine="720"/>
      </w:pPr>
      <w:r w:rsidRPr="003443AE">
        <w:t xml:space="preserve">Historically geostatistics was applied to estimate ore reserves in the mining industry </w:t>
      </w:r>
      <w:r w:rsidR="00177749">
        <w:fldChar w:fldCharType="begin"/>
      </w:r>
      <w:r>
        <w:instrText xml:space="preserve"> ADDIN ZOTERO_ITEM CSL_CITATION {"citationID":"2gleevvqp7","properties":{"formattedCitation":"(Matheron, 1963)","plainCitation":"(Matheron, 1963)"},"citationItems":[{"id":512,"uris":["http://zotero.org/users/1507390/items/4V2WCZ97"],"uri":["http://zotero.org/users/1507390/items/4V2WCZ97"],"itemData":{"id":512,"type":"article-journal","title":"Principles of geostatistics","container-title":"Economic Geology","page":"1246-1266","volume":"58","issue":"8","source":"economicgeology.org","abstract":"Knowledge of ore grades and ore reserves as well as error estimation of these values, is fundamental for mining engineers and mining geologists. Until now no appropriate scientific approach to those estimation problems has existed: geostatistics, the principles of which are summarized in this paper, constitutes a new science leading to such an approach. The author criticizes classical statistical methods still in use, and shows some of the main results given by geostatistics. Any ore deposit evaluation as well as proper decision of starting mining operations should be preceded by a geostatistical investigation which may avoid economic failures.","DOI":"10.2113/gsecongeo.58.8.1246","ISSN":"0361-0128, 1554-0774","journalAbbreviation":"Economic Geology","language":"en","author":[{"family":"Matheron","given":"Georges"}],"issued":{"date-parts":[["1963",12,1]]},"accessed":{"date-parts":[["2015",2,23]]}}}],"schema":"https://github.com/citation-style-language/schema/raw/master/csl-citation.json"} </w:instrText>
      </w:r>
      <w:r w:rsidR="00177749">
        <w:fldChar w:fldCharType="separate"/>
      </w:r>
      <w:r w:rsidRPr="00030A97">
        <w:rPr>
          <w:rFonts w:ascii="Cambria" w:hAnsi="Cambria"/>
        </w:rPr>
        <w:t>(Matheron, 1963)</w:t>
      </w:r>
      <w:r w:rsidR="00177749">
        <w:fldChar w:fldCharType="end"/>
      </w:r>
      <w:r w:rsidRPr="003443AE">
        <w:t xml:space="preserve">. However, variogram estimation and spatial prediction (kriging) have spread to all sciences where data exhibit </w:t>
      </w:r>
      <w:r>
        <w:t xml:space="preserve">spatial dependency </w:t>
      </w:r>
      <w:r w:rsidR="00177749">
        <w:fldChar w:fldCharType="begin"/>
      </w:r>
      <w:r>
        <w:instrText xml:space="preserve"> ADDIN ZOTERO_ITEM CSL_CITATION {"citationID":"cvs7a82cc","properties":{"formattedCitation":"(Ecker, 2003)","plainCitation":"(Ecker, 2003)"},"citationItems":[{"id":565,"uris":["http://zotero.org/users/1507390/items/6B86HNNK"],"uri":["http://zotero.org/users/1507390/items/6B86HNNK"],"itemData":{"id":565,"type":"article-journal","title":"Geostatistics: past, present and future","container-title":"Environmetrics. Developed under the auspices of UNESCO. Encyclopedia of Life Support Systems (EOLSS). Ed. by AH El-Shaarawi and J. Jureckova, Eolss Publishers, Oxford, UK. http://www. eolss. net","journalAbbreviation":"Environmetrics. Developed under the auspices of UNESCO. Encyclopedia of Life Support Systems (EOLSS). Ed. by AH El-Shaarawi and J. Jureckova, Eolss Publishers, Oxford, UK. http://www. eolss. net","author":[{"family":"Ecker","given":"Mark D"}],"issued":{"date-parts":[["2003"]]}}}],"schema":"https://github.com/citation-style-language/schema/raw/master/csl-citation.json"} </w:instrText>
      </w:r>
      <w:r w:rsidR="00177749">
        <w:fldChar w:fldCharType="separate"/>
      </w:r>
      <w:r>
        <w:rPr>
          <w:rFonts w:ascii="Cambria" w:hAnsi="Cambria"/>
        </w:rPr>
        <w:t>(Ecker, 2</w:t>
      </w:r>
      <w:r w:rsidRPr="00DD6A26">
        <w:rPr>
          <w:rFonts w:ascii="Cambria" w:hAnsi="Cambria"/>
        </w:rPr>
        <w:t>003)</w:t>
      </w:r>
      <w:r w:rsidR="00177749">
        <w:fldChar w:fldCharType="end"/>
      </w:r>
      <w:r>
        <w:t xml:space="preserve">. </w:t>
      </w:r>
      <w:r w:rsidRPr="003443AE">
        <w:t xml:space="preserve">Geostatistics has been applied to a wide range of disciplines and </w:t>
      </w:r>
      <w:r>
        <w:t>is</w:t>
      </w:r>
      <w:r w:rsidRPr="003443AE">
        <w:t xml:space="preserve"> defined by</w:t>
      </w:r>
      <w:r>
        <w:rPr>
          <w:rFonts w:ascii="Cambria" w:hAnsi="Cambria"/>
        </w:rPr>
        <w:t xml:space="preserve"> </w:t>
      </w:r>
      <w:r w:rsidR="00177749">
        <w:rPr>
          <w:rFonts w:ascii="Cambria" w:hAnsi="Cambria"/>
        </w:rPr>
        <w:fldChar w:fldCharType="begin"/>
      </w:r>
      <w:r>
        <w:rPr>
          <w:rFonts w:ascii="Cambria" w:hAnsi="Cambria"/>
        </w:rPr>
        <w:instrText xml:space="preserve"> ADDIN ZOTERO_ITEM CSL_CITATION {"citationID":"hnr15i46n","properties":{"formattedCitation":"(Olea, 1991)","plainCitation":"(Olea, 1991)"},"citationItems":[{"id":578,"uris":["http://zotero.org/users/1507390/items/7CBNM23K"],"uri":["http://zotero.org/users/1507390/items/7CBNM23K"],"itemData":{"id":578,"type":"book","title":"Geostatistical Glossary and Multilingual Dictionary","publisher":"Oxford University Press","number-of-pages":"198","source":"Google Books","abstract":"Geostatistics is a branch of mathematics that deals with the sampling, analysis, interpretation and display of phenomena that fluctuate in space. Although not all geostatistical methods are probabilistic in nature, the most important accomplishments in the field have been in estimation and forecasting, extending probabilistic methods of stochastic processes and time series analysis to the spatial domain. This book gives the only available comprehensive collection of definitions of geostatistical terms. It lists more than 600 entries selected from the book and journal literature through the end of 1989. Where appropriate, multiple meanings have been included for specific terms. Cross-references abound to help the reader when the definitions of a word leads to the search for other terms. Although all the definitions are in English, equivalent terms are provided in alphabetized lists in Chinese, French, German, Greek, Portuguese, Russian and Spanish. This volume will provide a useful reference for students, scientists, engineers, and others concerned with the meaning of terms found in the geostatistical literature and heard in professional practice. Definitions and entries have been prepared with multiple levels of rigor and complexity, in order to provide help to a readership that may range from inexperienced practitioners to advanced researchers.","ISBN":"9780195066890","shortTitle":"Glossary of Geostatistical Terms","language":"en","author":[{"family":"Olea","given":"Ricardo A."}],"issued":{"date-parts":[["1991"]]}}}],"schema":"https://github.com/citation-style-language/schema/raw/master/csl-citation.json"} </w:instrText>
      </w:r>
      <w:r w:rsidR="00177749">
        <w:rPr>
          <w:rFonts w:ascii="Cambria" w:hAnsi="Cambria"/>
        </w:rPr>
        <w:fldChar w:fldCharType="separate"/>
      </w:r>
      <w:r>
        <w:rPr>
          <w:rFonts w:ascii="Cambria" w:hAnsi="Cambria"/>
        </w:rPr>
        <w:t>Olea (</w:t>
      </w:r>
      <w:r w:rsidRPr="003C396F">
        <w:rPr>
          <w:rFonts w:ascii="Cambria" w:hAnsi="Cambria"/>
        </w:rPr>
        <w:t>1991)</w:t>
      </w:r>
      <w:r w:rsidR="00177749">
        <w:rPr>
          <w:rFonts w:ascii="Cambria" w:hAnsi="Cambria"/>
        </w:rPr>
        <w:fldChar w:fldCharType="end"/>
      </w:r>
      <w:r w:rsidRPr="003443AE">
        <w:t xml:space="preserve"> as “the application of statistical methods … for use in the earth sciences, particularly in geology” (</w:t>
      </w:r>
      <w:r>
        <w:t>Ecker, 2003</w:t>
      </w:r>
      <w:r w:rsidRPr="003443AE">
        <w:t>).  Geostatistics is typically applied to data at the field scale (</w:t>
      </w:r>
      <w:r w:rsidR="00177749">
        <w:fldChar w:fldCharType="begin"/>
      </w:r>
      <w:r>
        <w:instrText xml:space="preserve"> ADDIN ZOTERO_ITEM CSL_CITATION {"citationID":"33k6d1hl2","properties":{"formattedCitation":"(Dunlap and Spinazola, 1984)","plainCitation":"(Dunlap and Spinazola, 1984)"},"citationItems":[{"id":10,"uris":["http://zotero.org/users/1507390/items/26EGBJFF"],"uri":["http://zotero.org/users/1507390/items/26EGBJFF"],"itemData":{"id":10,"type":"article-journal","title":"Interpolating Water-Table Altitudes in West-Central Kansas Using Kriging Techniques.","container-title":"Geological Survey water-supply paper (USA). no. 2238.","source":"agris.fao.org","URL":"http://agris.fao.org/agris-search/search.do?f=2012/OV/OV201204180004180.xml;US19850071841","language":"English","author":[{"family":"Dunlap","given":"L.E."},{"family":"Spinazola","given":"J.M."}],"issued":{"date-parts":[["1984"]]},"accessed":{"date-parts":[["2014",4,2]]}}}],"schema":"https://github.com/citation-style-language/schema/raw/master/csl-citation.json"} </w:instrText>
      </w:r>
      <w:r w:rsidR="00177749">
        <w:fldChar w:fldCharType="separate"/>
      </w:r>
      <w:r w:rsidRPr="0039441D">
        <w:rPr>
          <w:rFonts w:ascii="Cambria" w:hAnsi="Cambria"/>
        </w:rPr>
        <w:t>Dunlap and Spinazola, 1984</w:t>
      </w:r>
      <w:r w:rsidR="00177749">
        <w:fldChar w:fldCharType="end"/>
      </w:r>
      <w:r>
        <w:t xml:space="preserve">; </w:t>
      </w:r>
      <w:r w:rsidR="00177749">
        <w:fldChar w:fldCharType="begin"/>
      </w:r>
      <w:r>
        <w:instrText xml:space="preserve"> ADDIN ZOTERO_ITEM CSL_CITATION {"citationID":"1tsqgaughc","properties":{"formattedCitation":"(Iqbal et al., 2005)","plainCitation":"(Iqbal et al., 2005)"},"citationItems":[{"id":453,"uris":["http://zotero.org/users/1507390/items/I3F6ITTQ"],"uri":["http://zotero.org/users/1507390/items/I3F6ITTQ"],"itemData":{"id":453,"type":"article-journal","title":"Spatial Variability Analysis of Soil Physical Properties of Alluvial Soils","container-title":"Soil Science Society of America Journal","page":"1338","volume":"69","issue":"4","source":"CrossRef","DOI":"10.2136/sssaj2004.0154","ISSN":"1435-0661","language":"en","author":[{"family":"Iqbal","given":"Javed"},{"family":"Thomasson","given":"John A."},{"family":"Jenkins","given":"Johnie N."},{"family":"Owens","given":"Phillip R."},{"family":"Whisler","given":"Frank D."}],"issued":{"date-parts":[["2005"]]},"accessed":{"date-parts":[["2014",9,2]]}}}],"schema":"https://github.com/citation-style-language/schema/raw/master/csl-citation.json"} </w:instrText>
      </w:r>
      <w:r w:rsidR="00177749">
        <w:fldChar w:fldCharType="separate"/>
      </w:r>
      <w:r w:rsidRPr="0039441D">
        <w:rPr>
          <w:rFonts w:ascii="Cambria" w:hAnsi="Cambria"/>
        </w:rPr>
        <w:t>Iqbal et al., 2005</w:t>
      </w:r>
      <w:r w:rsidR="00177749">
        <w:fldChar w:fldCharType="end"/>
      </w:r>
      <w:r>
        <w:t xml:space="preserve">; </w:t>
      </w:r>
      <w:r w:rsidR="00177749">
        <w:fldChar w:fldCharType="begin"/>
      </w:r>
      <w:r>
        <w:instrText xml:space="preserve"> ADDIN ZOTERO_ITEM CSL_CITATION {"citationID":"1vpgaik57u","properties":{"formattedCitation":"(Huysmans and Dassargues, 2006)","plainCitation":"(Huysmans and Dassargues, 2006)"},"citationItems":[{"id":144,"uris":["http://zotero.org/users/1507390/items/JF3QDT4B"],"uri":["http://zotero.org/users/1507390/items/JF3QDT4B"],"itemData":{"id":144,"type":"article-journal","title":"Stochastic analysis of the effect of spatial variability of diffusion parameters on radionuclide transport in a low permeability clay layer","container-title":"Hydrogeology Journal","page":"1094-1106","volume":"14","issue":"7","source":"link.springer.com","abstract":"Most studies that incorporate subsurface heterogeneity in groundwater flow and transport models only analyze and simulate the spatial variability of hydraulic conductivity. Heterogeneity of the other flow and transport parameters are usually neglected. This approach is often justified, but there are, however, cases in which disregarding the heterogeneity of the other flow and transport parameters can be questionable. In low permeability media, for instance, diffusion is often the dominant transport mechanism. It therefore seems logical to incorporate the spatial variability of the diffusion parameters in the transport model. This study therefore analyses and simulates the spatial variability of the effective diffusion coefficient and the diffusion accessible porosity with geostatistical techniques and incorporates their heterogeneity in the transport model of a low permeability formation. The formation studied was Boom clay (Belgium), a candidate host rock for the deep geological disposal of high-level radioactive waste. The calculated output radionuclide fluxes of this model are compared with the fluxes calculated with a homogeneous model and a model with a heterogeneous hydraulic conductivity distribution. This analysis shows that the heterogeneity of the diffusion parameters has a much larger effect on the calculated output radionuclide fluxes than the heterogeneity of hydraulic conductivity in the low permeability medium under study.","DOI":"10.1007/s10040-006-0035-2","ISSN":"1431-2174, 1435-0157","journalAbbreviation":"Hydrogeol J","language":"en","author":[{"family":"Huysmans","given":"Marijke"},{"family":"Dassargues","given":"Alain"}],"issued":{"date-parts":[["2006",11,1]]},"accessed":{"date-parts":[["2014",4,17]]}}}],"schema":"https://github.com/citation-style-language/schema/raw/master/csl-citation.json"} </w:instrText>
      </w:r>
      <w:r w:rsidR="00177749">
        <w:fldChar w:fldCharType="separate"/>
      </w:r>
      <w:r w:rsidRPr="0039441D">
        <w:rPr>
          <w:rFonts w:ascii="Cambria" w:hAnsi="Cambria"/>
        </w:rPr>
        <w:t>Huysmans and Dassargues, 2006</w:t>
      </w:r>
      <w:r w:rsidR="00177749">
        <w:fldChar w:fldCharType="end"/>
      </w:r>
      <w:r>
        <w:t xml:space="preserve">; </w:t>
      </w:r>
      <w:r w:rsidR="00177749">
        <w:fldChar w:fldCharType="begin"/>
      </w:r>
      <w:r>
        <w:instrText xml:space="preserve"> ADDIN ZOTERO_ITEM CSL_CITATION {"citationID":"2f5u3n89bu","properties":{"formattedCitation":"(H. Saito et al., 2009)","plainCitation":"(H. Saito et al., 2009)"},"citationItems":[{"id":93,"uris":["http://zotero.org/users/1507390/items/APEMUNEZ"],"uri":["http://zotero.org/users/1507390/items/APEMUNEZ"],"itemData":{"id":93,"type":"article-journal","title":"An alternative deterministic method for the spatial interpolation of water retention parameters","container-title":"Hydrology and Earth System Sciences","page":"453","volume":"13","issue":"4","source":"Primo","abstract":"There are two approaches available for mapping water retention parameters over the study area using a spatial interpolation method. (1) Retention models can be first fitted to retention curves available at sampling locations prior to interpolating model parameters over the study area (the FI approach). (2) Retention data points can first be interpolated over the study area before retention model parameters are fitted (the IF approach). The current study compares the performance of these two approaches in representing the spatial distribution of water retention curves. Standard geostatistical interpolation methods, i.e., ordinary kriging and indicator kriging, were used. The data used in this study were obtained from the Las Cruces trench site database, which contains water retention data for 448 soil samples. Three standard water retention models, i.e., Brooks and Corey (BC), van Genuchten (VG), and Kosugi (KSG), were considered. For each model, standard validation procedures, i.e., leave-one-out cross-validation and split-sample methods were used to estimate the uncertainty of the parameters at each sampling location, allowing for the computation of prediction errors (mean absolute error and mean error). The results show that the IF approach significantly lowered mean absolute errors for the VG model, while also reducing them moderately for the KSG and BC models. In addition, the IF approach resulted in less bias than the FI approach, except when the BC model was used in the split-sample approach. Overall, IF outperforms FI for all three retention models in describing the spatial distribution of retention parameters.","ISSN":"1027-5606","language":"eng","author":[{"family":"H. Saito","given":""},{"family":"K. Seki","given":""},{"family":"J. Šimůnek","given":""}],"issued":{"date-parts":[["2009"]]}}}],"schema":"https://github.com/citation-style-language/schema/raw/master/csl-citation.json"} </w:instrText>
      </w:r>
      <w:r w:rsidR="00177749">
        <w:fldChar w:fldCharType="separate"/>
      </w:r>
      <w:r w:rsidRPr="00DD6A26">
        <w:rPr>
          <w:rFonts w:ascii="Cambria" w:hAnsi="Cambria"/>
        </w:rPr>
        <w:t>Saito et al., 2009)</w:t>
      </w:r>
      <w:r w:rsidR="00177749">
        <w:fldChar w:fldCharType="end"/>
      </w:r>
      <w:r w:rsidRPr="003443AE">
        <w:t xml:space="preserve">; </w:t>
      </w:r>
      <w:r w:rsidRPr="003443AE">
        <w:lastRenderedPageBreak/>
        <w:t xml:space="preserve">however, </w:t>
      </w:r>
      <w:r w:rsidR="00177749">
        <w:fldChar w:fldCharType="begin"/>
      </w:r>
      <w:r>
        <w:instrText xml:space="preserve"> ADDIN ZOTERO_ITEM CSL_CITATION {"citationID":"1teqldq9h6","properties":{"formattedCitation":"(Warrick et al., 1986)","plainCitation":"(Warrick et al., 1986)"},"citationItems":[{"id":581,"uris":["http://zotero.org/users/1507390/items/6XA3V6PM"],"uri":["http://zotero.org/users/1507390/items/6XA3V6PM"],"itemData":{"id":581,"type":"book","title":"Methods of Soil Analysis. Part 1. Physical and Mineralogical Methods","publisher":"American Society of Agronomy-Soil Science Society of America","publisher-place":"Madison, WI","number-of-volumes":"9","number-of-pages":"1358","edition":"2 edition","source":"Amazon","event-place":"Madison, WI","abstract":"This is the classic text on physical and mineralogical characteristics of soils and how they relate to each other and to chemical properties. Methods of Soil Analysis, Part 1 provides a uniform set of procedures that can be used by soil scientists, engineers, students and more to conduct precise soil analysis.Also available: Methods of Soil Analysis. Part 3. Chemical Methods - ISBN 0891188258 Chemical Processes in Soils - ISBN 0891188436The American Society of Agronomy, Crop Science Society of America, and Soil Science Society of America are prominent international scientific societies headquartered in Madison, Wisconsin. The Societies specialize in peer-reviewed, high-quality science titles for a wide variety of audiences.Some of the many areas we publish in include:-Soils Methods and Management-Crop Development and Improvement-Agrosystem Management and the Global Food Crisis-Environmental Conservation and Climatology","ISBN":"9780891188117","language":"English","author":[{"family":"Warrick","given":"AW"},{"family":"Myers","given":"DE"},{"family":"Nielsen","given":"DR"}],"issued":{"date-parts":[["1986",1,1]]}}}],"schema":"https://github.com/citation-style-language/schema/raw/master/csl-citation.json"} </w:instrText>
      </w:r>
      <w:r w:rsidR="00177749">
        <w:fldChar w:fldCharType="separate"/>
      </w:r>
      <w:r>
        <w:rPr>
          <w:rFonts w:ascii="Cambria" w:hAnsi="Cambria"/>
        </w:rPr>
        <w:t>Warrick et al. (</w:t>
      </w:r>
      <w:r w:rsidRPr="00E96EF5">
        <w:rPr>
          <w:rFonts w:ascii="Cambria" w:hAnsi="Cambria"/>
        </w:rPr>
        <w:t>1986)</w:t>
      </w:r>
      <w:r w:rsidR="00177749">
        <w:fldChar w:fldCharType="end"/>
      </w:r>
      <w:r>
        <w:t xml:space="preserve"> </w:t>
      </w:r>
      <w:r w:rsidRPr="003443AE">
        <w:t>s</w:t>
      </w:r>
      <w:r>
        <w:t>t</w:t>
      </w:r>
      <w:r w:rsidRPr="003443AE">
        <w:t xml:space="preserve">ated that “dimensionally, applications of geostatistics could be for distances of a few molecules or kilometers.” </w:t>
      </w:r>
    </w:p>
    <w:p w:rsidR="002F3B63" w:rsidRDefault="002F3B63" w:rsidP="002F3B63">
      <w:pPr>
        <w:spacing w:line="480" w:lineRule="auto"/>
        <w:ind w:firstLine="720"/>
      </w:pPr>
      <w:r>
        <w:t xml:space="preserve">This section provides several examples of geostatistics being successfully applied at the sub-core scale. The success of geostatistics at this scale is important for the purpose of this study and its ability to effectively characterize sub-core scale spatial dependency. </w:t>
      </w:r>
      <w:r w:rsidRPr="003443AE">
        <w:t xml:space="preserve">Commonly geostatistical methods </w:t>
      </w:r>
      <w:r>
        <w:t xml:space="preserve">applied at </w:t>
      </w:r>
      <w:r w:rsidRPr="003443AE">
        <w:t>a small scale are associated with X-ray computed tomography</w:t>
      </w:r>
      <w:r>
        <w:t xml:space="preserve"> (CT) scanning to identify core/sub-core </w:t>
      </w:r>
      <w:r w:rsidRPr="003443AE">
        <w:t xml:space="preserve">scale heterogeneity. </w:t>
      </w:r>
      <w:r>
        <w:t xml:space="preserve">No examples were found of geostatistical analysis applied to sub-core heterogeneities quantified with neutron imaging. </w:t>
      </w:r>
    </w:p>
    <w:p w:rsidR="002F3B63" w:rsidRPr="00DD6A26" w:rsidRDefault="00177749" w:rsidP="002F3B63">
      <w:pPr>
        <w:spacing w:line="480" w:lineRule="auto"/>
        <w:ind w:firstLine="720"/>
      </w:pPr>
      <w:r>
        <w:fldChar w:fldCharType="begin"/>
      </w:r>
      <w:r w:rsidR="002F3B63">
        <w:instrText xml:space="preserve"> ADDIN ZOTERO_ITEM CSL_CITATION {"citationID":"2q4gsc306g","properties":{"formattedCitation":"(Peters and Afzal, 1992)","plainCitation":"(Peters and Afzal, 1992)"},"citationItems":[{"id":199,"uris":["http://zotero.org/users/1507390/items/U887SNE3"],"uri":["http://zotero.org/users/1507390/items/U887SNE3"],"itemData":{"id":199,"type":"article-journal","title":"Characterization of Heterogeneities in Permeable Media with Computed Tomography Imaging","container-title":"Journal of Petroleum Science and Engineering","page":"283-296","volume":"7","issue":"3–4","source":"ScienceDirect","abstract":"This study was aimed at developing a procedure for characterizing the heterogeneities in laboratory-scale porous media before they are used for enhanced oil recovery (EOR) corefloods. The porosity distribution in the medium was imaged by X-ray computed tomography (CT). A technique was developed to determine the permeability distribution from displacement data. Semivariograms, histograms and other statistical tools were used to assess and visualize the variability and spatial continuity of the porosity and permeability distributions. Results show that CT imaging is a powerful tool for characterizing permeable media. The results of this study will be used in our research to assess the impact of heterogeneities on the performance of EOR processes in laboratory corefloods.","DOI":"10.1016/0920-4105(92)90024-U","ISSN":"0920-4105","journalAbbreviation":"Journal of Petroleum Science and Engineering","author":[{"family":"Peters","given":"Ekwere J"},{"family":"Afzal","given":"Nadeem"}],"issued":{"date-parts":[["1992",5]]},"accessed":{"date-parts":[["2014",4,2]]}}}],"schema":"https://github.com/citation-style-language/schema/raw/master/csl-citation.json"} </w:instrText>
      </w:r>
      <w:r>
        <w:fldChar w:fldCharType="separate"/>
      </w:r>
      <w:r w:rsidR="002F3B63">
        <w:rPr>
          <w:rFonts w:ascii="Cambria" w:hAnsi="Cambria"/>
        </w:rPr>
        <w:t>Peters and Afzal (</w:t>
      </w:r>
      <w:r w:rsidR="002F3B63" w:rsidRPr="00E96EF5">
        <w:rPr>
          <w:rFonts w:ascii="Cambria" w:hAnsi="Cambria"/>
        </w:rPr>
        <w:t>1992)</w:t>
      </w:r>
      <w:r>
        <w:fldChar w:fldCharType="end"/>
      </w:r>
      <w:r w:rsidR="002F3B63">
        <w:t xml:space="preserve"> were </w:t>
      </w:r>
      <w:r w:rsidR="003C7767">
        <w:t>amongst the</w:t>
      </w:r>
      <w:r w:rsidR="002F3B63">
        <w:t xml:space="preserve"> first to use geostatistics at the core-scale. They investigated core-scale heterogeneities of reservoir rock to access oil recovery processes.</w:t>
      </w:r>
      <w:r w:rsidR="002F3B63" w:rsidRPr="00B91D9D">
        <w:rPr>
          <w:szCs w:val="24"/>
        </w:rPr>
        <w:t xml:space="preserve"> </w:t>
      </w:r>
      <w:r w:rsidR="002F3B63">
        <w:rPr>
          <w:szCs w:val="24"/>
        </w:rPr>
        <w:t>First, they conducted a</w:t>
      </w:r>
      <w:r w:rsidR="002F3B63" w:rsidRPr="00B91D9D">
        <w:rPr>
          <w:szCs w:val="24"/>
        </w:rPr>
        <w:t xml:space="preserve"> CT-imaging experiment to characterize a laboratory sandpack.</w:t>
      </w:r>
      <w:r w:rsidR="002F3B63" w:rsidRPr="00B91D9D">
        <w:rPr>
          <w:rFonts w:cs="Times New Roman"/>
          <w:color w:val="FFFFFF"/>
          <w:szCs w:val="24"/>
        </w:rPr>
        <w:t xml:space="preserve"> </w:t>
      </w:r>
      <w:r w:rsidR="002F3B63">
        <w:rPr>
          <w:rFonts w:cs="Times New Roman"/>
          <w:szCs w:val="24"/>
        </w:rPr>
        <w:t>Then se</w:t>
      </w:r>
      <w:r w:rsidR="002F3B63" w:rsidRPr="00B91D9D">
        <w:rPr>
          <w:szCs w:val="24"/>
        </w:rPr>
        <w:t>mivariograms, along with other statistical analyses, were used to access and visualize the variability and spatial continuity of porosity and permeability distributions</w:t>
      </w:r>
      <w:r w:rsidR="002F3B63">
        <w:rPr>
          <w:szCs w:val="24"/>
        </w:rPr>
        <w:t xml:space="preserve"> </w:t>
      </w:r>
      <w:r>
        <w:rPr>
          <w:szCs w:val="24"/>
        </w:rPr>
        <w:fldChar w:fldCharType="begin"/>
      </w:r>
      <w:r w:rsidR="002F3B63">
        <w:rPr>
          <w:szCs w:val="24"/>
        </w:rPr>
        <w:instrText xml:space="preserve"> ADDIN ZOTERO_ITEM CSL_CITATION {"citationID":"1pg853h3nq","properties":{"formattedCitation":"(Peters and Afzal, 1992)","plainCitation":"(Peters and Afzal, 1992)"},"citationItems":[{"id":199,"uris":["http://zotero.org/users/1507390/items/U887SNE3"],"uri":["http://zotero.org/users/1507390/items/U887SNE3"],"itemData":{"id":199,"type":"article-journal","title":"Characterization of Heterogeneities in Permeable Media with Computed Tomography Imaging","container-title":"Journal of Petroleum Science and Engineering","page":"283-296","volume":"7","issue":"3–4","source":"ScienceDirect","abstract":"This study was aimed at developing a procedure for characterizing the heterogeneities in laboratory-scale porous media before they are used for enhanced oil recovery (EOR) corefloods. The porosity distribution in the medium was imaged by X-ray computed tomography (CT). A technique was developed to determine the permeability distribution from displacement data. Semivariograms, histograms and other statistical tools were used to assess and visualize the variability and spatial continuity of the porosity and permeability distributions. Results show that CT imaging is a powerful tool for characterizing permeable media. The results of this study will be used in our research to assess the impact of heterogeneities on the performance of EOR processes in laboratory corefloods.","DOI":"10.1016/0920-4105(92)90024-U","ISSN":"0920-4105","journalAbbreviation":"Journal of Petroleum Science and Engineering","author":[{"family":"Peters","given":"Ekwere J"},{"family":"Afzal","given":"Nadeem"}],"issued":{"date-parts":[["1992",5]]},"accessed":{"date-parts":[["2014",4,2]]}}}],"schema":"https://github.com/citation-style-language/schema/raw/master/csl-citation.json"} </w:instrText>
      </w:r>
      <w:r>
        <w:rPr>
          <w:szCs w:val="24"/>
        </w:rPr>
        <w:fldChar w:fldCharType="separate"/>
      </w:r>
      <w:r w:rsidR="002F3B63" w:rsidRPr="00E96EF5">
        <w:rPr>
          <w:rFonts w:ascii="Cambria" w:hAnsi="Cambria"/>
        </w:rPr>
        <w:t>(Peters and Afzal, 1992)</w:t>
      </w:r>
      <w:r>
        <w:rPr>
          <w:szCs w:val="24"/>
        </w:rPr>
        <w:fldChar w:fldCharType="end"/>
      </w:r>
      <w:r w:rsidR="002F3B63" w:rsidRPr="00B91D9D">
        <w:rPr>
          <w:szCs w:val="24"/>
        </w:rPr>
        <w:t>. It was determined that CT imaging is a very powerful tool for characterizing p</w:t>
      </w:r>
      <w:r w:rsidR="003C7767">
        <w:rPr>
          <w:szCs w:val="24"/>
        </w:rPr>
        <w:t>ermeable materials. Results</w:t>
      </w:r>
      <w:r w:rsidR="002F3B63" w:rsidRPr="00B91D9D">
        <w:rPr>
          <w:szCs w:val="24"/>
        </w:rPr>
        <w:t xml:space="preserve"> indicate</w:t>
      </w:r>
      <w:r w:rsidR="003C7767">
        <w:rPr>
          <w:szCs w:val="24"/>
        </w:rPr>
        <w:t>d</w:t>
      </w:r>
      <w:r w:rsidR="002F3B63" w:rsidRPr="00B91D9D">
        <w:rPr>
          <w:szCs w:val="24"/>
        </w:rPr>
        <w:t xml:space="preserve"> that even though it is often assumed that a sandpack has homogenous and isotropic properties</w:t>
      </w:r>
      <w:r w:rsidR="003C7767">
        <w:rPr>
          <w:szCs w:val="24"/>
        </w:rPr>
        <w:t>,</w:t>
      </w:r>
      <w:r w:rsidR="002F3B63" w:rsidRPr="00B91D9D">
        <w:rPr>
          <w:szCs w:val="24"/>
        </w:rPr>
        <w:t xml:space="preserve"> sub-core heterogeneities result</w:t>
      </w:r>
      <w:r w:rsidR="003C7767">
        <w:rPr>
          <w:szCs w:val="24"/>
        </w:rPr>
        <w:t>ed</w:t>
      </w:r>
      <w:r w:rsidR="002F3B63" w:rsidRPr="00B91D9D">
        <w:rPr>
          <w:szCs w:val="24"/>
        </w:rPr>
        <w:t xml:space="preserve"> from packing.</w:t>
      </w:r>
      <w:r w:rsidR="00B61AD1">
        <w:rPr>
          <w:szCs w:val="24"/>
        </w:rPr>
        <w:t xml:space="preserve"> This</w:t>
      </w:r>
      <w:r w:rsidR="00F846A8">
        <w:rPr>
          <w:szCs w:val="24"/>
        </w:rPr>
        <w:t xml:space="preserve"> phenomenon is commonly observed</w:t>
      </w:r>
      <w:r w:rsidR="00B61AD1">
        <w:rPr>
          <w:szCs w:val="24"/>
        </w:rPr>
        <w:t xml:space="preserve"> in the geotechnical literature (</w:t>
      </w:r>
      <w:r>
        <w:rPr>
          <w:szCs w:val="24"/>
        </w:rPr>
        <w:fldChar w:fldCharType="begin"/>
      </w:r>
      <w:r w:rsidR="00DF3381">
        <w:rPr>
          <w:szCs w:val="24"/>
        </w:rPr>
        <w:instrText xml:space="preserve"> ADDIN ZOTERO_ITEM CSL_CITATION {"citationID":"2a1mln5vcl","properties":{"formattedCitation":"(Oliviera et al., 1996)","plainCitation":"(Oliviera et al., 1996)"},"citationItems":[{"id":593,"uris":["http://zotero.org/users/1507390/items/RPK2DA3Q"],"uri":["http://zotero.org/users/1507390/items/RPK2DA3Q"],"itemData":{"id":593,"type":"article-journal","title":"Packing of Sands for the Production of Homogeneous Porous Media","container-title":"Soil Science Society of America Journal","page":"49","volume":"60","issue":"1","source":"CrossRef","DOI":"10.2136/sssaj1996.03615995006000010010x","ISSN":"0361-5995","language":"en","author":[{"family":"Oliviera","given":"I. B."},{"family":"Demond","given":"A. H."},{"family":"Salehzadeh","given":"A."}],"issued":{"date-parts":[["1996"]]},"accessed":{"date-parts":[["2015",7,18]]}}}],"schema":"https://github.com/citation-style-language/schema/raw/master/csl-citation.json"} </w:instrText>
      </w:r>
      <w:r>
        <w:rPr>
          <w:szCs w:val="24"/>
        </w:rPr>
        <w:fldChar w:fldCharType="separate"/>
      </w:r>
      <w:r w:rsidR="00DF3381" w:rsidRPr="00DF3381">
        <w:rPr>
          <w:rFonts w:ascii="Cambria" w:hAnsi="Cambria"/>
        </w:rPr>
        <w:t>Oliviera et al., 1996</w:t>
      </w:r>
      <w:r>
        <w:rPr>
          <w:szCs w:val="24"/>
        </w:rPr>
        <w:fldChar w:fldCharType="end"/>
      </w:r>
      <w:r>
        <w:rPr>
          <w:szCs w:val="24"/>
        </w:rPr>
        <w:fldChar w:fldCharType="begin"/>
      </w:r>
      <w:r w:rsidR="00DF3381">
        <w:rPr>
          <w:szCs w:val="24"/>
        </w:rPr>
        <w:instrText xml:space="preserve"> ADDIN ZOTERO_ITEM CSL_CITATION {"citationID":"itf5vs5av","properties":{"formattedCitation":"(Bromly et al., 2007)","plainCitation":"(Bromly et al., 2007)"},"citationItems":[{"id":576,"uris":["http://zotero.org/users/1507390/items/FEFMQBEA"],"uri":["http://zotero.org/users/1507390/items/FEFMQBEA"],"itemData":{"id":576,"type":"article-journal","title":"Relation of dispersivity to properties of homogeneous saturated repacked soil columns","container-title":"European Journal of Soil Science","page":"293-301","volume":"58","issue":"1","source":"Wiley Online Library","abstract":"It is expected that solute dispersivity is determined by the physical properties of the transport medium. However, experimental investigations to date have not identified such a relationship. In this work, we examine the relation between soil physical parameters, experimental parameters and dispersivity. Experimental data were compiled for 291 repacked, saturated homogeneous laboratory column experiments reported in the literature. Using multiple stepwise regression and classification and regression tree analysis, the relationships between soil physical parameters (sand, silt and clay content, bulk density, water content), experimental parameters (pore-water velocity, column length and diameter), and transport parameters (dispersion coefficient and dispersivity) were examined. Regression tree analysis showed that clay content was the most important factor controlling dispersivity, followed by column diameter. Columns of length less than approximately 10 cm generally resulted in greater dispersivities than longer columns. A scale effect appeared significant with increasing column diameter, but was not apparent with column length. These results suggest that it may only be possible to relate dispersivity to intrinsic soil properties by explicitly accounting for the experimental design, including column geometry, inlet dead volume and soil packing.","DOI":"10.1111/j.1365-2389.2006.00839.x","ISSN":"1365-2389","language":"en","author":[{"family":"Bromly","given":"M."},{"family":"Hinz","given":"C."},{"family":"Aylmore","given":"L. a. G."}],"issued":{"date-parts":[["2007",2,1]]},"accessed":{"date-parts":[["2015",7,18]]}}}],"schema":"https://github.com/citation-style-language/schema/raw/master/csl-citation.json"} </w:instrText>
      </w:r>
      <w:r>
        <w:rPr>
          <w:szCs w:val="24"/>
        </w:rPr>
        <w:fldChar w:fldCharType="separate"/>
      </w:r>
      <w:r w:rsidR="00DF3381">
        <w:rPr>
          <w:rFonts w:ascii="Cambria" w:hAnsi="Cambria"/>
        </w:rPr>
        <w:t xml:space="preserve">; </w:t>
      </w:r>
      <w:r w:rsidR="00DF3381" w:rsidRPr="00DF3381">
        <w:rPr>
          <w:rFonts w:ascii="Cambria" w:hAnsi="Cambria"/>
        </w:rPr>
        <w:t>Bromly et al., 2007</w:t>
      </w:r>
      <w:r>
        <w:rPr>
          <w:szCs w:val="24"/>
        </w:rPr>
        <w:fldChar w:fldCharType="end"/>
      </w:r>
      <w:r w:rsidR="00DF3381">
        <w:rPr>
          <w:szCs w:val="24"/>
        </w:rPr>
        <w:t xml:space="preserve">; </w:t>
      </w:r>
      <w:r>
        <w:rPr>
          <w:szCs w:val="24"/>
        </w:rPr>
        <w:fldChar w:fldCharType="begin"/>
      </w:r>
      <w:r w:rsidR="00DF3381">
        <w:rPr>
          <w:szCs w:val="24"/>
        </w:rPr>
        <w:instrText xml:space="preserve"> ADDIN ZOTERO_ITEM CSL_CITATION {"citationID":"mh4h0tdb7","properties":{"formattedCitation":"{\\rtf (Lewis and Sj\\uc0\\u246{}strom, 2010)}","plainCitation":"(Lewis and Sjöstrom, 2010)"},"citationItems":[{"id":156,"uris":["http://zotero.org/users/1507390/items/245KDVHV"],"uri":["http://zotero.org/users/1507390/items/245KDVHV"],"itemData":{"id":156,"type":"article-journal","title":"Optimizing the experimental design of soil columns in saturated and unsaturated transport experiments","container-title":"Journal of Contaminant Hydrology","page":"1-13","volume":"115","issue":"1-4","source":"PubMed","abstract":"Soil column experiments in both the saturated and unsaturated regimes are widely used for applied and theoretical studies in such diverse fields as transport model evaluation, fate and transport of pesticides, explosives, microbes, heavy metals and non aqueous phase liquids, and for evapotranspiration studies. The apparent simplicity of constructing soil columns conceals a number of technical issues which can seriously affect the outcome of an experiment, such as the presence or absence of macropores, artificial preferential flow paths, non-ideal infiltrate injection and unrealistic moisture regimes. This review examines the literature to provide an analysis of the state of the art for constructing both saturated and unsaturated soil columns. Common design challenges are discussed and best practices for potential solutions are presented. This article discusses both basic principles and the practical advantages and disadvantages of various experimental approaches. Both repacked and monolith-type columns are discussed. The information in this review will assist soil scientists, hydrogeologists and environmental professionals in optimizing the construction and operation of soil column experiments in order to achieve their objectives, while avoiding serious design flaws which can compromise the integrity of their results.","DOI":"10.1016/j.jconhyd.2010.04.001","ISSN":"1873-6009","note":"PMID: 20452088","journalAbbreviation":"J. Contam. Hydrol.","language":"eng","author":[{"family":"Lewis","given":"Jeffrey"},{"family":"Sjöstrom","given":"Jan"}],"issued":{"date-parts":[["2010",6,25]]},"PMID":"20452088"}}],"schema":"https://github.com/citation-style-language/schema/raw/master/csl-citation.json"} </w:instrText>
      </w:r>
      <w:r>
        <w:rPr>
          <w:szCs w:val="24"/>
        </w:rPr>
        <w:fldChar w:fldCharType="separate"/>
      </w:r>
      <w:r w:rsidR="00DF3381" w:rsidRPr="00DF3381">
        <w:rPr>
          <w:rFonts w:ascii="Cambria" w:hAnsi="Cambria" w:cs="Times New Roman"/>
          <w:szCs w:val="24"/>
        </w:rPr>
        <w:t>Lewis and Sjöstrom, 2010</w:t>
      </w:r>
      <w:r>
        <w:rPr>
          <w:szCs w:val="24"/>
        </w:rPr>
        <w:fldChar w:fldCharType="end"/>
      </w:r>
      <w:r w:rsidR="00DF3381">
        <w:rPr>
          <w:szCs w:val="24"/>
        </w:rPr>
        <w:t xml:space="preserve">) and is a feature that may be identified within this study. </w:t>
      </w:r>
      <w:r w:rsidR="002F3B63" w:rsidRPr="00B91D9D">
        <w:rPr>
          <w:szCs w:val="24"/>
        </w:rPr>
        <w:t>Porosity and permeability variations that resulted from this heterogeneity were</w:t>
      </w:r>
      <w:r w:rsidR="002F3B63">
        <w:rPr>
          <w:szCs w:val="24"/>
        </w:rPr>
        <w:t xml:space="preserve"> success</w:t>
      </w:r>
      <w:r w:rsidR="002F3B63" w:rsidRPr="00B91D9D">
        <w:rPr>
          <w:szCs w:val="24"/>
        </w:rPr>
        <w:t>ful</w:t>
      </w:r>
      <w:r w:rsidR="002F3B63">
        <w:rPr>
          <w:szCs w:val="24"/>
        </w:rPr>
        <w:t>l</w:t>
      </w:r>
      <w:r w:rsidR="002F3B63" w:rsidRPr="00B91D9D">
        <w:rPr>
          <w:szCs w:val="24"/>
        </w:rPr>
        <w:t xml:space="preserve">y determined using geostatistics at the core scale. </w:t>
      </w:r>
    </w:p>
    <w:p w:rsidR="002F3B63" w:rsidRPr="00B91D9D" w:rsidRDefault="00177749" w:rsidP="002F3B63">
      <w:pPr>
        <w:spacing w:line="480" w:lineRule="auto"/>
        <w:ind w:firstLine="720"/>
        <w:rPr>
          <w:szCs w:val="24"/>
        </w:rPr>
      </w:pPr>
      <w:r>
        <w:rPr>
          <w:szCs w:val="24"/>
        </w:rPr>
        <w:lastRenderedPageBreak/>
        <w:fldChar w:fldCharType="begin"/>
      </w:r>
      <w:r w:rsidR="002F3B63">
        <w:rPr>
          <w:szCs w:val="24"/>
        </w:rPr>
        <w:instrText xml:space="preserve"> ADDIN ZOTERO_ITEM CSL_CITATION {"citationID":"m9js4l3e4","properties":{"formattedCitation":"(Grevers and De Jong, 1994)","plainCitation":"(Grevers and De Jong, 1994)"},"citationItems":[{"id":583,"uris":["http://zotero.org/users/1507390/items/P4AS4TQM"],"uri":["http://zotero.org/users/1507390/items/P4AS4TQM"],"itemData":{"id":583,"type":"article-journal","title":"Evaluation of soil-pore continuity using geostatistical analysis on macroporosity in serial sections obtained by computed tomography scanning","container-title":"Tomography of Soil-Water-Root Processes","page":"73-86","issue":"tomographyofsoi","journalAbbreviation":"Tomography of Soil-Water-Root Processes","author":[{"family":"Grevers","given":"Mike CJ"},{"family":"De Jong","given":"E"}],"issued":{"date-parts":[["1994"]]}}}],"schema":"https://github.com/citation-style-language/schema/raw/master/csl-citation.json"} </w:instrText>
      </w:r>
      <w:r>
        <w:rPr>
          <w:szCs w:val="24"/>
        </w:rPr>
        <w:fldChar w:fldCharType="separate"/>
      </w:r>
      <w:r w:rsidR="002F3B63">
        <w:rPr>
          <w:rFonts w:ascii="Cambria" w:hAnsi="Cambria"/>
        </w:rPr>
        <w:t>Grevers and De Jong</w:t>
      </w:r>
      <w:r w:rsidR="002F3B63" w:rsidRPr="00E80E48">
        <w:rPr>
          <w:rFonts w:ascii="Cambria" w:hAnsi="Cambria"/>
        </w:rPr>
        <w:t xml:space="preserve"> </w:t>
      </w:r>
      <w:r w:rsidR="002F3B63">
        <w:rPr>
          <w:rFonts w:ascii="Cambria" w:hAnsi="Cambria"/>
        </w:rPr>
        <w:t>(</w:t>
      </w:r>
      <w:r w:rsidR="002F3B63" w:rsidRPr="00E80E48">
        <w:rPr>
          <w:rFonts w:ascii="Cambria" w:hAnsi="Cambria"/>
        </w:rPr>
        <w:t>1994)</w:t>
      </w:r>
      <w:r>
        <w:rPr>
          <w:szCs w:val="24"/>
        </w:rPr>
        <w:fldChar w:fldCharType="end"/>
      </w:r>
      <w:r w:rsidR="002F3B63">
        <w:rPr>
          <w:szCs w:val="24"/>
        </w:rPr>
        <w:t xml:space="preserve"> applied geostatistics at the sub-core scale to analyze the spatial continuity </w:t>
      </w:r>
      <w:r w:rsidR="002F3B63" w:rsidRPr="00B91D9D">
        <w:rPr>
          <w:szCs w:val="24"/>
        </w:rPr>
        <w:t xml:space="preserve">of compacted soil and subsoil macroporosity, </w:t>
      </w:r>
      <w:r w:rsidR="002F3B63">
        <w:rPr>
          <w:szCs w:val="24"/>
        </w:rPr>
        <w:t>obtained from CT images. G</w:t>
      </w:r>
      <w:r w:rsidR="002F3B63" w:rsidRPr="00F876BE">
        <w:rPr>
          <w:szCs w:val="24"/>
        </w:rPr>
        <w:t>eostatistical analysis was useful to discriminate the spatial variability and continuity of soil macropores in subsoils at the micro-scale (i.e. less than 1 cm).</w:t>
      </w:r>
      <w:r w:rsidR="002F3B63">
        <w:rPr>
          <w:szCs w:val="24"/>
        </w:rPr>
        <w:t xml:space="preserve">  </w:t>
      </w:r>
      <w:r>
        <w:rPr>
          <w:szCs w:val="24"/>
        </w:rPr>
        <w:fldChar w:fldCharType="begin"/>
      </w:r>
      <w:r w:rsidR="002F3B63">
        <w:rPr>
          <w:szCs w:val="24"/>
        </w:rPr>
        <w:instrText xml:space="preserve"> ADDIN ZOTERO_ITEM CSL_CITATION {"citationID":"2f8qpiaag7","properties":{"formattedCitation":"(Perret et al., 1998)","plainCitation":"(Perret et al., 1998)"},"citationItems":[{"id":471,"uris":["http://zotero.org/users/1507390/items/P6K92ZHZ"],"uri":["http://zotero.org/users/1507390/items/P6K92ZHZ"],"itemData":{"id":471,"type":"article-journal","title":"Characterization of Macropore Morphology in a Sandy Loam Soil Using X-Ray Computer Assisted Tomography and Geostatistical Analysis","container-title":"Canadian Water Resources Journal / Revue canadienne des ressources hydriques","page":"143-165","volume":"23","issue":"2","source":"Taylor and Francis+NEJM","abstract":"Our understanding of the factors affecting the leaching of chemicals such as pesticides and fertilizers into soils is limited, due in part to a lack of adequate non-destructive measurements of soil pore size distribution. The recent application of X-Ray Computer Assisted Tomography scanning to non-medical fields such as soil physics has allowed the development of a new and non-destructive technique with considerable potential for quantification of soil and water processes. The present study was undertaken to develop an innovative protocol for the characterization and visualization of soil macropores. It focuses primarily on the characterization of macropore morphology in large undisturbed soil columns using a 4th generation X-ray CAT scanner. The objective of the study is to assess, in quantitative terms, variations in the morphology of macropores as a function of depth. In order to evaluate these variations, the number of macropores, soil macroporosity, macropore size, hydraulic radius, and circularity have been computed and are presented in the paper. Aspects of geostatistics, which have been used to describe the spatial distribution and spatial continuity of soil macroporosity are also presented. Pores larger or equal to 1.0 mm in equivalent diameter were readily detected. It was found that the average macroporosity of the four soil columns fluctuated between 2.1 and 3.8%. Macroporosity was found to decrease significantly with depth. Similarly, the number of macropores decreased by 0.7% to 2.5% over the entire depth of the soil columns. It was also found that the macropore-size distributions exhibited a peak for all soil columns and at all depths for macropores having an equivalent cylindrical diameter ranging from 2–4 mm. The number of macropores in this category decreased with depth. From the hydraulic radius distribution, it was inferred that about 20% of macropore throats have a diameter of 1.6 mm. Moreover, it was noted that the relative percentage of circular macropores increased with depth. Semi-variograms showed spatial dependency for most soil sections up to 22 pixels (17 mm).","DOI":"10.4296/cwrj2302143","ISSN":"0701-1784","author":[{"family":"Perret","given":"Johan"},{"family":"Prasher","given":"S.O."},{"family":"Kantzas","given":"A."},{"family":"Langford","given":"C."}],"issued":{"date-parts":[["1998",1,1]]},"accessed":{"date-parts":[["2015",2,20]]}}}],"schema":"https://github.com/citation-style-language/schema/raw/master/csl-citation.json"} </w:instrText>
      </w:r>
      <w:r>
        <w:rPr>
          <w:szCs w:val="24"/>
        </w:rPr>
        <w:fldChar w:fldCharType="separate"/>
      </w:r>
      <w:r w:rsidR="002F3B63" w:rsidRPr="00E80E48">
        <w:rPr>
          <w:rFonts w:ascii="Cambria" w:hAnsi="Cambria"/>
        </w:rPr>
        <w:t xml:space="preserve">Perret et al. </w:t>
      </w:r>
      <w:r w:rsidR="002F3B63">
        <w:rPr>
          <w:rFonts w:ascii="Cambria" w:hAnsi="Cambria"/>
        </w:rPr>
        <w:t>(</w:t>
      </w:r>
      <w:r w:rsidR="002F3B63" w:rsidRPr="00E80E48">
        <w:rPr>
          <w:rFonts w:ascii="Cambria" w:hAnsi="Cambria"/>
        </w:rPr>
        <w:t>1998)</w:t>
      </w:r>
      <w:r>
        <w:rPr>
          <w:szCs w:val="24"/>
        </w:rPr>
        <w:fldChar w:fldCharType="end"/>
      </w:r>
      <w:r w:rsidR="002F3B63" w:rsidRPr="00B91D9D">
        <w:rPr>
          <w:szCs w:val="24"/>
        </w:rPr>
        <w:t xml:space="preserve"> developed a procedure to characterize macropore morphology in large undisturbed soil columns using a 4th generation X-ray CAT scanner. Geostatistics, along with other methods, were used to access the variations</w:t>
      </w:r>
      <w:r w:rsidR="002F3B63">
        <w:rPr>
          <w:szCs w:val="24"/>
        </w:rPr>
        <w:t xml:space="preserve"> in macropore morphology as a function of depth.</w:t>
      </w:r>
      <w:r w:rsidR="002F3B63" w:rsidRPr="00B91D9D">
        <w:rPr>
          <w:szCs w:val="24"/>
        </w:rPr>
        <w:t xml:space="preserve"> Semivariograms were computed at every 30 mm interval. Results from the geostatistical analysis indicate that the spatial variability of macroporosity decreased with depth. </w:t>
      </w:r>
    </w:p>
    <w:p w:rsidR="002F3B63" w:rsidRDefault="00177749" w:rsidP="002F3B63">
      <w:pPr>
        <w:spacing w:line="480" w:lineRule="auto"/>
        <w:ind w:firstLine="720"/>
        <w:rPr>
          <w:szCs w:val="24"/>
        </w:rPr>
      </w:pPr>
      <w:r>
        <w:rPr>
          <w:szCs w:val="24"/>
        </w:rPr>
        <w:fldChar w:fldCharType="begin"/>
      </w:r>
      <w:r w:rsidR="002F3B63">
        <w:rPr>
          <w:szCs w:val="24"/>
        </w:rPr>
        <w:instrText xml:space="preserve"> ADDIN ZOTERO_ITEM CSL_CITATION {"citationID":"1en2d8t9i","properties":{"formattedCitation":"(Aylmore and Rasiah, 1998)","plainCitation":"(Aylmore and Rasiah, 1998)"},"citationItems":[{"id":494,"uris":["http://zotero.org/users/1507390/items/269FBI9C"],"uri":["http://zotero.org/users/1507390/items/269FBI9C"],"itemData":{"id":494,"type":"article-journal","title":"Computed tomography data on soil structural and hydraulic parameters assessed for spatial continuity by semivariance geostatistics","container-title":"Australian Journal of Soil Research","page":"485+","volume":"36","issue":"3","source":"Gale","archive":"Academic OneFile","ISSN":"00049573","note":"485","language":"English","author":[{"family":"Aylmore","given":"L.A.G."},{"family":"Rasiah","given":"V."}],"issued":{"date-parts":[["1998"]]},"accessed":{"date-parts":[["2015",2,22]]}}}],"schema":"https://github.com/citation-style-language/schema/raw/master/csl-citation.json"} </w:instrText>
      </w:r>
      <w:r>
        <w:rPr>
          <w:szCs w:val="24"/>
        </w:rPr>
        <w:fldChar w:fldCharType="separate"/>
      </w:r>
      <w:r w:rsidR="002F3B63">
        <w:rPr>
          <w:rFonts w:ascii="Cambria" w:hAnsi="Cambria"/>
        </w:rPr>
        <w:t>Aylmore and Rasiah (</w:t>
      </w:r>
      <w:r w:rsidR="002F3B63" w:rsidRPr="00E80E48">
        <w:rPr>
          <w:rFonts w:ascii="Cambria" w:hAnsi="Cambria"/>
        </w:rPr>
        <w:t>1998)</w:t>
      </w:r>
      <w:r>
        <w:rPr>
          <w:szCs w:val="24"/>
        </w:rPr>
        <w:fldChar w:fldCharType="end"/>
      </w:r>
      <w:r w:rsidR="002F3B63" w:rsidRPr="00B91D9D">
        <w:rPr>
          <w:szCs w:val="24"/>
        </w:rPr>
        <w:t xml:space="preserve"> explored the use of geostatistics to clarify the issue of randomness and continuity on the spatial distribution of porosity, fractal dimension, water content, and unsaturated hydraulic conductivity at scales as small as 1-cm intervals, obtained using a custom-built scanner and computed tomography techniques. It was shown that even though randomness existed in the spatial distribution of the soil parameters, specific trends</w:t>
      </w:r>
      <w:r w:rsidR="002F3B63">
        <w:rPr>
          <w:szCs w:val="24"/>
        </w:rPr>
        <w:t xml:space="preserve"> existed</w:t>
      </w:r>
      <w:r w:rsidR="002F3B63" w:rsidRPr="00B91D9D">
        <w:rPr>
          <w:szCs w:val="24"/>
        </w:rPr>
        <w:t xml:space="preserve"> in their spatial continuity</w:t>
      </w:r>
      <w:r w:rsidR="002F3B63">
        <w:rPr>
          <w:szCs w:val="24"/>
        </w:rPr>
        <w:t xml:space="preserve"> </w:t>
      </w:r>
      <w:r>
        <w:rPr>
          <w:szCs w:val="24"/>
        </w:rPr>
        <w:fldChar w:fldCharType="begin"/>
      </w:r>
      <w:r w:rsidR="002F3B63">
        <w:rPr>
          <w:szCs w:val="24"/>
        </w:rPr>
        <w:instrText xml:space="preserve"> ADDIN ZOTERO_ITEM CSL_CITATION {"citationID":"fg7fiaemn","properties":{"formattedCitation":"(Aylmore and Rasiah, 1998)","plainCitation":"(Aylmore and Rasiah, 1998)"},"citationItems":[{"id":494,"uris":["http://zotero.org/users/1507390/items/269FBI9C"],"uri":["http://zotero.org/users/1507390/items/269FBI9C"],"itemData":{"id":494,"type":"article-journal","title":"Computed tomography data on soil structural and hydraulic parameters assessed for spatial continuity by semivariance geostatistics","container-title":"Australian Journal of Soil Research","page":"485+","volume":"36","issue":"3","source":"Gale","archive":"Academic OneFile","ISSN":"00049573","note":"485","language":"English","author":[{"family":"Aylmore","given":"L.A.G."},{"family":"Rasiah","given":"V."}],"issued":{"date-parts":[["1998"]]},"accessed":{"date-parts":[["2015",2,22]]}}}],"schema":"https://github.com/citation-style-language/schema/raw/master/csl-citation.json"} </w:instrText>
      </w:r>
      <w:r>
        <w:rPr>
          <w:szCs w:val="24"/>
        </w:rPr>
        <w:fldChar w:fldCharType="separate"/>
      </w:r>
      <w:r w:rsidR="002F3B63" w:rsidRPr="00E80E48">
        <w:rPr>
          <w:rFonts w:ascii="Cambria" w:hAnsi="Cambria"/>
        </w:rPr>
        <w:t>(Aylmore and Rasiah, 1998)</w:t>
      </w:r>
      <w:r>
        <w:rPr>
          <w:szCs w:val="24"/>
        </w:rPr>
        <w:fldChar w:fldCharType="end"/>
      </w:r>
      <w:r w:rsidR="002F3B63" w:rsidRPr="00B91D9D">
        <w:rPr>
          <w:szCs w:val="24"/>
        </w:rPr>
        <w:t>. The results indicate that geostatistical analysis is useful to clarify the issue of randomness at very small</w:t>
      </w:r>
      <w:r w:rsidR="002F3B63">
        <w:rPr>
          <w:szCs w:val="24"/>
        </w:rPr>
        <w:t xml:space="preserve"> scales</w:t>
      </w:r>
      <w:r w:rsidR="002F3B63" w:rsidRPr="00B91D9D">
        <w:rPr>
          <w:szCs w:val="24"/>
        </w:rPr>
        <w:t>. Aylmore and Rasiah (1998) ended the study with a recommendation of using geostatistics to clarify randomness and spatial continuity of soil parameters, especially porosity because it can have a significant impact on flow and transport in porous media.</w:t>
      </w:r>
    </w:p>
    <w:p w:rsidR="002F3B63" w:rsidRDefault="00177749" w:rsidP="002F3B63">
      <w:pPr>
        <w:spacing w:line="480" w:lineRule="auto"/>
        <w:ind w:firstLine="720"/>
        <w:rPr>
          <w:rFonts w:cstheme="minorHAnsi"/>
          <w:szCs w:val="24"/>
        </w:rPr>
      </w:pPr>
      <w:r>
        <w:rPr>
          <w:rFonts w:cstheme="minorHAnsi"/>
          <w:szCs w:val="24"/>
        </w:rPr>
        <w:fldChar w:fldCharType="begin"/>
      </w:r>
      <w:r w:rsidR="002F3B63">
        <w:rPr>
          <w:rFonts w:cstheme="minorHAnsi"/>
          <w:szCs w:val="24"/>
        </w:rPr>
        <w:instrText xml:space="preserve"> ADDIN ZOTERO_ITEM CSL_CITATION {"citationID":"e6ko6k2ko","properties":{"formattedCitation":"(Murata and Saito, 2003)","plainCitation":"(Murata and Saito, 2003)"},"citationItems":[{"id":148,"uris":["http://zotero.org/users/1507390/items/NI4HKQNK"],"uri":["http://zotero.org/users/1507390/items/NI4HKQNK"],"itemData":{"id":148,"type":"book","title":"Environmental Rock Engineering: Proceedings of the First Kyoto International Symposium on Underground Environment, Kyoto, Japan, 17-18 March 2003","publisher":"CRC Press","number-of-pages":"432","source":"Google Books","abstract":"This book is a collection of papers presented at the 1st Kyoto International Symposium on Underground Environment entitled \"Role of Geo-technology to the Underground Environment\". Consists of nine keynote papers, thirty-one technical papers and fifteen papers resulting from the poster presentations, each covering a vital aspect of underground engineering.","ISBN":"9780415889445","shortTitle":"Environmental Rock Engineering","language":"en","author":[{"family":"Murata","given":"S."},{"family":"Saito","given":"T."}],"issued":{"date-parts":[["2003",1,1]]}}}],"schema":"https://github.com/citation-style-language/schema/raw/master/csl-citation.json"} </w:instrText>
      </w:r>
      <w:r>
        <w:rPr>
          <w:rFonts w:cstheme="minorHAnsi"/>
          <w:szCs w:val="24"/>
        </w:rPr>
        <w:fldChar w:fldCharType="separate"/>
      </w:r>
      <w:r w:rsidR="002F3B63" w:rsidRPr="00E80E48">
        <w:rPr>
          <w:rFonts w:ascii="Cambria" w:hAnsi="Cambria"/>
        </w:rPr>
        <w:t>Mura</w:t>
      </w:r>
      <w:r w:rsidR="002F3B63">
        <w:rPr>
          <w:rFonts w:ascii="Cambria" w:hAnsi="Cambria"/>
        </w:rPr>
        <w:t>ta and Saito</w:t>
      </w:r>
      <w:r w:rsidR="002F3B63" w:rsidRPr="00E80E48">
        <w:rPr>
          <w:rFonts w:ascii="Cambria" w:hAnsi="Cambria"/>
        </w:rPr>
        <w:t xml:space="preserve"> </w:t>
      </w:r>
      <w:r w:rsidR="002F3B63">
        <w:rPr>
          <w:rFonts w:ascii="Cambria" w:hAnsi="Cambria"/>
        </w:rPr>
        <w:t>(</w:t>
      </w:r>
      <w:r w:rsidR="002F3B63" w:rsidRPr="00E80E48">
        <w:rPr>
          <w:rFonts w:ascii="Cambria" w:hAnsi="Cambria"/>
        </w:rPr>
        <w:t>2003)</w:t>
      </w:r>
      <w:r>
        <w:rPr>
          <w:rFonts w:cstheme="minorHAnsi"/>
          <w:szCs w:val="24"/>
        </w:rPr>
        <w:fldChar w:fldCharType="end"/>
      </w:r>
      <w:r w:rsidR="002F3B63" w:rsidRPr="00B91D9D">
        <w:rPr>
          <w:rFonts w:cstheme="minorHAnsi"/>
          <w:szCs w:val="24"/>
        </w:rPr>
        <w:t xml:space="preserve"> used a bubble concrete material to create synthetic porous rocks with varying porosity from 10-60% to examine the influence of porosity and pore </w:t>
      </w:r>
      <w:r w:rsidR="002F3B63" w:rsidRPr="00B91D9D">
        <w:rPr>
          <w:rFonts w:cstheme="minorHAnsi"/>
          <w:szCs w:val="24"/>
        </w:rPr>
        <w:lastRenderedPageBreak/>
        <w:t>size distribution on hydraulic properties. Binary images were taken of vertical and horizontal cross-sections of the synthetic rock samples. Thresholding of the images was performed to separate pores and matrix. Semivariograms were used to identify the spatial structure of the pore size distribution. Information about the spatial correlation provided by the semivariogram analysis was used to create three-dimensional simulations of pore distribution</w:t>
      </w:r>
      <w:r w:rsidR="002F3B63">
        <w:rPr>
          <w:rFonts w:cstheme="minorHAnsi"/>
          <w:szCs w:val="24"/>
        </w:rPr>
        <w:t xml:space="preserve"> (Murata and Saito, 2003)</w:t>
      </w:r>
      <w:r w:rsidR="002F3B63" w:rsidRPr="00B91D9D">
        <w:rPr>
          <w:rFonts w:cstheme="minorHAnsi"/>
          <w:szCs w:val="24"/>
        </w:rPr>
        <w:t xml:space="preserve">. </w:t>
      </w:r>
    </w:p>
    <w:p w:rsidR="002F3B63" w:rsidRPr="00B91D9D" w:rsidRDefault="00177749" w:rsidP="002F3B63">
      <w:pPr>
        <w:spacing w:line="480" w:lineRule="auto"/>
        <w:ind w:firstLine="720"/>
        <w:rPr>
          <w:szCs w:val="24"/>
        </w:rPr>
      </w:pPr>
      <w:r>
        <w:rPr>
          <w:szCs w:val="24"/>
        </w:rPr>
        <w:fldChar w:fldCharType="begin"/>
      </w:r>
      <w:r w:rsidR="002F3B63">
        <w:rPr>
          <w:szCs w:val="24"/>
        </w:rPr>
        <w:instrText xml:space="preserve"> ADDIN ZOTERO_ITEM CSL_CITATION {"citationID":"109b0pk5o1","properties":{"formattedCitation":"(De Gryze et al., 2006)","plainCitation":"(De Gryze et al., 2006)"},"citationItems":[{"id":137,"uris":["http://zotero.org/users/1507390/items/IS3N3DT4"],"uri":["http://zotero.org/users/1507390/items/IS3N3DT4"],"itemData":{"id":137,"type":"article-journal","title":"Pore Structure Changes During Decomposition of Fresh Residue: X-Ray Tomography Analyses","container-title":"Geoderma","page":"82-96","volume":"134","issue":"1–2","source":"ScienceDirect","abstract":"The morphology of soil pores is a crucial factor in the understanding of the ecology of soil microorganisms at a small scale. X-ray computer tomography (CT) enables to visualize the soil pore space in three dimensions. We aimed at exploring possible changes in porosity and pore morphology during the incubation of soil to which fresh residue was added. These changes were compared to changes in porosity and pore morphology in field aggregates. A set of CT images is presented from newly formed, incubated and field aggregates from both a sandy loam and a silt loam soil. These aggregates are about 6–8 mm diameter. After incubation of the artificial aggregates, we observed the formation of micro-cracks. At the same time, the total void porosity &gt; 27 μm increased from 3.5% to 7%. The pore size distribution indicated that this extra porosity was present in the 27–67 μm range. Furthermore, it was found that this new pore space was (partly) located near decomposing residue. To quantify the observed changes in pore morphology, we explored the use of the mass fractal dimension and variograms. After correction for differences in porosity, we found that incubation decreased the mass fractal dimension to the level of field aggregates in the sandy loam soil, while no differences were observed in the silt loam soil. In contrast, variogram parameters of the different treatments did not change consistently with the observations in both soils. In conclusion, the data suggest that microbial activity changes the morphology of the pore structure. However, the observed changes in the pore architecture were not sufficient to explain the large differences in aggregate stability among the analyzed samples.","DOI":"10.1016/j.geoderma.2005.09.002","ISSN":"0016-7061","shortTitle":"Pore structure changes during decomposition of fresh residue","journalAbbreviation":"Geoderma","author":[{"family":"De Gryze","given":"S."},{"family":"Jassogne","given":"L."},{"family":"Six","given":"J."},{"family":"Bossuyt","given":"H."},{"family":"Wevers","given":"M."},{"family":"Merckx","given":"R."}],"issued":{"date-parts":[["2006",9]]},"accessed":{"date-parts":[["2014",4,2]]}}}],"schema":"https://github.com/citation-style-language/schema/raw/master/csl-citation.json"} </w:instrText>
      </w:r>
      <w:r>
        <w:rPr>
          <w:szCs w:val="24"/>
        </w:rPr>
        <w:fldChar w:fldCharType="separate"/>
      </w:r>
      <w:r w:rsidR="002F3B63">
        <w:rPr>
          <w:rFonts w:ascii="Cambria" w:hAnsi="Cambria"/>
        </w:rPr>
        <w:t>De Gryze et al.</w:t>
      </w:r>
      <w:r w:rsidR="002F3B63" w:rsidRPr="00E80E48">
        <w:rPr>
          <w:rFonts w:ascii="Cambria" w:hAnsi="Cambria"/>
        </w:rPr>
        <w:t xml:space="preserve"> </w:t>
      </w:r>
      <w:r w:rsidR="002F3B63">
        <w:rPr>
          <w:rFonts w:ascii="Cambria" w:hAnsi="Cambria"/>
        </w:rPr>
        <w:t>(</w:t>
      </w:r>
      <w:r w:rsidR="002F3B63" w:rsidRPr="00E80E48">
        <w:rPr>
          <w:rFonts w:ascii="Cambria" w:hAnsi="Cambria"/>
        </w:rPr>
        <w:t>2006)</w:t>
      </w:r>
      <w:r>
        <w:rPr>
          <w:szCs w:val="24"/>
        </w:rPr>
        <w:fldChar w:fldCharType="end"/>
      </w:r>
      <w:r w:rsidR="002F3B63">
        <w:rPr>
          <w:szCs w:val="24"/>
        </w:rPr>
        <w:t xml:space="preserve"> </w:t>
      </w:r>
      <w:r w:rsidR="002F3B63" w:rsidRPr="00B91D9D">
        <w:rPr>
          <w:szCs w:val="24"/>
        </w:rPr>
        <w:t>conducted a study to explore the effects of decomposing residue on porosity and pore morphology in artificial aggregates compared to native field aggregates. X-ray computed tomography (CT) was used to visualize the pore space in 3D. Mass fractal dimension and variogram analysis were performed on the images to quantify the micro-meter scale changes in porosity and pore morphology. Both types of soil samples were found to have significant spatial correlation, apparent by the standardized variograms increase from a small nugget to a sill and the successful fit of an exponential model</w:t>
      </w:r>
      <w:r w:rsidR="002F3B63">
        <w:rPr>
          <w:szCs w:val="24"/>
        </w:rPr>
        <w:t xml:space="preserve"> </w:t>
      </w:r>
      <w:r>
        <w:rPr>
          <w:szCs w:val="24"/>
        </w:rPr>
        <w:fldChar w:fldCharType="begin"/>
      </w:r>
      <w:r w:rsidR="002F3B63">
        <w:rPr>
          <w:szCs w:val="24"/>
        </w:rPr>
        <w:instrText xml:space="preserve"> ADDIN ZOTERO_ITEM CSL_CITATION {"citationID":"hlm9oo0td","properties":{"formattedCitation":"(De Gryze et al., 2006)","plainCitation":"(De Gryze et al., 2006)"},"citationItems":[{"id":137,"uris":["http://zotero.org/users/1507390/items/IS3N3DT4"],"uri":["http://zotero.org/users/1507390/items/IS3N3DT4"],"itemData":{"id":137,"type":"article-journal","title":"Pore Structure Changes During Decomposition of Fresh Residue: X-Ray Tomography Analyses","container-title":"Geoderma","page":"82-96","volume":"134","issue":"1–2","source":"ScienceDirect","abstract":"The morphology of soil pores is a crucial factor in the understanding of the ecology of soil microorganisms at a small scale. X-ray computer tomography (CT) enables to visualize the soil pore space in three dimensions. We aimed at exploring possible changes in porosity and pore morphology during the incubation of soil to which fresh residue was added. These changes were compared to changes in porosity and pore morphology in field aggregates. A set of CT images is presented from newly formed, incubated and field aggregates from both a sandy loam and a silt loam soil. These aggregates are about 6–8 mm diameter. After incubation of the artificial aggregates, we observed the formation of micro-cracks. At the same time, the total void porosity &gt; 27 μm increased from 3.5% to 7%. The pore size distribution indicated that this extra porosity was present in the 27–67 μm range. Furthermore, it was found that this new pore space was (partly) located near decomposing residue. To quantify the observed changes in pore morphology, we explored the use of the mass fractal dimension and variograms. After correction for differences in porosity, we found that incubation decreased the mass fractal dimension to the level of field aggregates in the sandy loam soil, while no differences were observed in the silt loam soil. In contrast, variogram parameters of the different treatments did not change consistently with the observations in both soils. In conclusion, the data suggest that microbial activity changes the morphology of the pore structure. However, the observed changes in the pore architecture were not sufficient to explain the large differences in aggregate stability among the analyzed samples.","DOI":"10.1016/j.geoderma.2005.09.002","ISSN":"0016-7061","shortTitle":"Pore structure changes during decomposition of fresh residue","journalAbbreviation":"Geoderma","author":[{"family":"De Gryze","given":"S."},{"family":"Jassogne","given":"L."},{"family":"Six","given":"J."},{"family":"Bossuyt","given":"H."},{"family":"Wevers","given":"M."},{"family":"Merckx","given":"R."}],"issued":{"date-parts":[["2006",9]]},"accessed":{"date-parts":[["2014",4,2]]}}}],"schema":"https://github.com/citation-style-language/schema/raw/master/csl-citation.json"} </w:instrText>
      </w:r>
      <w:r>
        <w:rPr>
          <w:szCs w:val="24"/>
        </w:rPr>
        <w:fldChar w:fldCharType="separate"/>
      </w:r>
      <w:r w:rsidR="002F3B63" w:rsidRPr="00E80E48">
        <w:rPr>
          <w:rFonts w:ascii="Cambria" w:hAnsi="Cambria"/>
        </w:rPr>
        <w:t>(De Gryze et al., 2006)</w:t>
      </w:r>
      <w:r>
        <w:rPr>
          <w:szCs w:val="24"/>
        </w:rPr>
        <w:fldChar w:fldCharType="end"/>
      </w:r>
      <w:r w:rsidR="002F3B63">
        <w:rPr>
          <w:szCs w:val="24"/>
        </w:rPr>
        <w:t>.</w:t>
      </w:r>
      <w:r w:rsidR="002F3B63" w:rsidRPr="00B91D9D">
        <w:rPr>
          <w:szCs w:val="24"/>
        </w:rPr>
        <w:t xml:space="preserve"> Although variogram analysis successfully identified spatial correlation for the soils a meaningful or interpretable difference in porosity and pore morphology between the artificial and native field aggregates caused by decomposing residue was not identified. </w:t>
      </w:r>
    </w:p>
    <w:p w:rsidR="002F3B63" w:rsidRDefault="00177749" w:rsidP="002F3B63">
      <w:pPr>
        <w:spacing w:line="480" w:lineRule="auto"/>
        <w:ind w:firstLine="720"/>
        <w:rPr>
          <w:szCs w:val="24"/>
        </w:rPr>
      </w:pPr>
      <w:r>
        <w:rPr>
          <w:szCs w:val="24"/>
        </w:rPr>
        <w:fldChar w:fldCharType="begin"/>
      </w:r>
      <w:r w:rsidR="002F3B63">
        <w:rPr>
          <w:szCs w:val="24"/>
        </w:rPr>
        <w:instrText xml:space="preserve"> ADDIN ZOTERO_ITEM CSL_CITATION {"citationID":"26khlqehk6","properties":{"formattedCitation":"(Houston et al., 2013)","plainCitation":"(Houston et al., 2013)"},"citationItems":[{"id":513,"uris":["http://zotero.org/users/1507390/items/SN9RZ2WF"],"uri":["http://zotero.org/users/1507390/items/SN9RZ2WF"],"itemData":{"id":513,"type":"article-journal","title":"Adaptive-window indicator kriging: A thresholding method for computed tomography images of porous media","container-title":"Computers &amp; Geosciences","page":"239-248","volume":"54","source":"ScienceDirect","abstract":"Image segmentation is a crucial step in understanding the structure of porous materials, subsequent analyses being profoundly dependent upon segmentation accuracy. Computed tomography images of naturally occurring heterogeneous materials such as soils are particularly challenging to segment reliably, due to the prevalence of partial volume effects, noise, and other artefacts induced during the image acquisition process. As a result, boundaries between classes of objects, typically pore versus solid in the case of soil, are difficult to identify. Indicator kriging can address these problems in a robust fashion but the computational cost can be very great under some circumstances; this is particularly true under conditions that occur regularly in images of soil. The kriging window size parameter is decisive in obtaining a good quality result at reasonable cost, but is difficult to estimate for an image exhibiting significant heterogeneity. This work demonstrates that, allowing the kriging window size to adapt locally throughout the image provides a very efficient solution. Moreover, it is shown that this can be achieved using a conceptually simple mechanism that involves negligible extra processing cost. The adaptive-window indicator kriging method described in this study achieves easily an order of magnitude improvement in computational performance over a fixed size window implementation without sacrificing quality. In addition, it is shown that, by improving the locality of estimation, the new method is robust when applied to soil images.","DOI":"10.1016/j.cageo.2012.11.016","ISSN":"0098-3004","shortTitle":"Adaptive-window indicator kriging","journalAbbreviation":"Computers &amp; Geosciences","author":[{"family":"Houston","given":"A. N."},{"family":"Otten","given":"W."},{"family":"Baveye","given":"P. C."},{"family":"Hapca","given":"S."}],"issued":{"date-parts":[["2013",4]]},"accessed":{"date-parts":[["2015",2,24]]}}}],"schema":"https://github.com/citation-style-language/schema/raw/master/csl-citation.json"} </w:instrText>
      </w:r>
      <w:r>
        <w:rPr>
          <w:szCs w:val="24"/>
        </w:rPr>
        <w:fldChar w:fldCharType="separate"/>
      </w:r>
      <w:r w:rsidR="002F3B63">
        <w:rPr>
          <w:rFonts w:ascii="Cambria" w:hAnsi="Cambria"/>
        </w:rPr>
        <w:t>Houston et al.</w:t>
      </w:r>
      <w:r w:rsidR="002F3B63" w:rsidRPr="00E80E48">
        <w:rPr>
          <w:rFonts w:ascii="Cambria" w:hAnsi="Cambria"/>
        </w:rPr>
        <w:t xml:space="preserve"> </w:t>
      </w:r>
      <w:r w:rsidR="002F3B63">
        <w:rPr>
          <w:rFonts w:ascii="Cambria" w:hAnsi="Cambria"/>
        </w:rPr>
        <w:t>(</w:t>
      </w:r>
      <w:r w:rsidR="002F3B63" w:rsidRPr="00E80E48">
        <w:rPr>
          <w:rFonts w:ascii="Cambria" w:hAnsi="Cambria"/>
        </w:rPr>
        <w:t>2013)</w:t>
      </w:r>
      <w:r>
        <w:rPr>
          <w:szCs w:val="24"/>
        </w:rPr>
        <w:fldChar w:fldCharType="end"/>
      </w:r>
      <w:r w:rsidR="002F3B63">
        <w:rPr>
          <w:szCs w:val="24"/>
        </w:rPr>
        <w:t xml:space="preserve"> is another example of geostatistical techniques conducted on CT images at the sub-core scale. In this study indicator kriging is used to deal with image segmentation issues relevant to 3D CT images of naturally occurring heterogeneous materials such as soils. The method developed by Houston et al. (2013) is an extension of </w:t>
      </w:r>
      <w:r w:rsidR="002F3B63" w:rsidRPr="00625CA7">
        <w:rPr>
          <w:szCs w:val="24"/>
        </w:rPr>
        <w:t>the commonly used indicator-kriging algorithm of</w:t>
      </w:r>
      <w:r w:rsidR="002F3B63">
        <w:rPr>
          <w:szCs w:val="24"/>
        </w:rPr>
        <w:t xml:space="preserve"> </w:t>
      </w:r>
      <w:r>
        <w:rPr>
          <w:szCs w:val="24"/>
        </w:rPr>
        <w:fldChar w:fldCharType="begin"/>
      </w:r>
      <w:r w:rsidR="002F3B63">
        <w:rPr>
          <w:szCs w:val="24"/>
        </w:rPr>
        <w:instrText xml:space="preserve"> ADDIN ZOTERO_ITEM CSL_CITATION {"citationID":"u7opt2fgu","properties":{"formattedCitation":"(Oh and Lindquist, 1999)","plainCitation":"(Oh and Lindquist, 1999)"},"citationItems":[{"id":584,"uris":["http://zotero.org/users/1507390/items/TB38WTNJ"],"uri":["http://zotero.org/users/1507390/items/TB38WTNJ"],"itemData":{"id":584,"type":"article-journal","title":"Image Thresholding by Indicator Kriging","container-title":"IEEE Transactions on Pattern Analysis and Machine Intelligence","page":"590-602","volume":"21","issue":"7","source":"IEEE Computer Society","DOI":"10.1109/34.777370","ISSN":"0162-8828","author":[{"family":"Oh","given":"Wonho"},{"family":"Lindquist","given":"W. Brent"}],"issued":{"date-parts":[["1999"]]}}}],"schema":"https://github.com/citation-style-language/schema/raw/master/csl-citation.json"} </w:instrText>
      </w:r>
      <w:r>
        <w:rPr>
          <w:szCs w:val="24"/>
        </w:rPr>
        <w:fldChar w:fldCharType="separate"/>
      </w:r>
      <w:r w:rsidR="002F3B63">
        <w:rPr>
          <w:rFonts w:ascii="Cambria" w:hAnsi="Cambria"/>
        </w:rPr>
        <w:t>Oh and Lindquist</w:t>
      </w:r>
      <w:r w:rsidR="002F3B63" w:rsidRPr="0021612A">
        <w:rPr>
          <w:rFonts w:ascii="Cambria" w:hAnsi="Cambria"/>
        </w:rPr>
        <w:t xml:space="preserve"> </w:t>
      </w:r>
      <w:r w:rsidR="002F3B63">
        <w:rPr>
          <w:rFonts w:ascii="Cambria" w:hAnsi="Cambria"/>
        </w:rPr>
        <w:t>(</w:t>
      </w:r>
      <w:r w:rsidR="002F3B63" w:rsidRPr="0021612A">
        <w:rPr>
          <w:rFonts w:ascii="Cambria" w:hAnsi="Cambria"/>
        </w:rPr>
        <w:t>1999)</w:t>
      </w:r>
      <w:r>
        <w:rPr>
          <w:szCs w:val="24"/>
        </w:rPr>
        <w:fldChar w:fldCharType="end"/>
      </w:r>
      <w:r w:rsidR="002F3B63">
        <w:rPr>
          <w:szCs w:val="24"/>
        </w:rPr>
        <w:t xml:space="preserve">. The results of </w:t>
      </w:r>
      <w:r w:rsidR="002F3B63">
        <w:rPr>
          <w:szCs w:val="24"/>
        </w:rPr>
        <w:lastRenderedPageBreak/>
        <w:t xml:space="preserve">this study show that the proposed extension produce image segmentation results similar to that of the original method with a substantial decrease in cost (Houston et al. (2013). This paper indicates that adaptive window kriging is a viable solution to solving segmentation issues </w:t>
      </w:r>
      <w:r w:rsidR="002F3B63" w:rsidRPr="00D93181">
        <w:rPr>
          <w:szCs w:val="24"/>
        </w:rPr>
        <w:t>at micro-metric resolutions</w:t>
      </w:r>
      <w:r w:rsidR="002F3B63">
        <w:rPr>
          <w:szCs w:val="24"/>
        </w:rPr>
        <w:t xml:space="preserve"> (Houston et. al, 2013).  </w:t>
      </w:r>
    </w:p>
    <w:p w:rsidR="002F3B63" w:rsidRDefault="002F3B63" w:rsidP="002F3B63">
      <w:pPr>
        <w:spacing w:line="480" w:lineRule="auto"/>
        <w:ind w:firstLine="720"/>
        <w:rPr>
          <w:szCs w:val="24"/>
        </w:rPr>
      </w:pPr>
      <w:r>
        <w:rPr>
          <w:szCs w:val="24"/>
        </w:rPr>
        <w:t xml:space="preserve">Finally, </w:t>
      </w:r>
      <w:r w:rsidR="00177749">
        <w:rPr>
          <w:szCs w:val="24"/>
        </w:rPr>
        <w:fldChar w:fldCharType="begin"/>
      </w:r>
      <w:r>
        <w:rPr>
          <w:szCs w:val="24"/>
        </w:rPr>
        <w:instrText xml:space="preserve"> ADDIN ZOTERO_ITEM CSL_CITATION {"citationID":"ap7fotqnj","properties":{"formattedCitation":"(Carducci et al., 2014)","plainCitation":"(Carducci et al., 2014)"},"citationItems":[{"id":475,"uris":["http://zotero.org/users/1507390/items/KETUX5J5"],"uri":["http://zotero.org/users/1507390/items/KETUX5J5"],"itemData":{"id":475,"type":"article-journal","title":"Scaling of pores in 3D images of Latosols (Oxisols) with contrasting mineralogy under a conservation management system","container-title":"Soil Research","page":"231-243","volume":"52","issue":"3","source":"CSIRO Publishing","abstract":"The aim of this study was to evaluate the spatial and morphological configuration of the pore space in 3D images of Latosols with different mineralogy under a conservation tillage system in a coffee crop area. The visualisation and quantification of pore size distribution by data mining and spatial variability by semi-variogams were investigated in 3D images with 60-µm spatial resolution generated by X-ray CT scan (EVS/GE MS8x-130) in soil core samples collected at different depths of a kaolinitic Red-Yellow Latosol (RYL) and a gibbsitic Red Latosol (RL) from Brazil. Greater spatial variability occurred in the horizontal direction of the 3D image, a novel finding in this area of research. The pores detected were different between the Latosols studied, mainly at 0.20–0.34 m depth. The largest number (&gt;4000) and volume (±30 mm3) of pores was found in the RL. The soil classes differed in 3D pore characteristics, and this aspect may be important in the characterisation of causes of pore variability. Sphericity was similar for both soils, with greater emphasis on pore classes with a diameter &lt;0.4 mm, mainly at the 0.20–0.34 m depth. A higher percentage of spheroid pores occurred in RL (±25%), whereas the platy pores were more abundant in RYL (&gt;15%).","journalAbbreviation":"Soil Res.","author":[{"family":"Carducci","given":"Carla Eloize"},{"family":"César de Oliveira","given":"Geraldo"},{"family":"Curi","given":"Nilton"},{"family":"Heck","given":"Richard John"},{"family":"Rossoni","given":"Diogo Francisco"}],"issued":{"date-parts":[["2014"]]},"accessed":{"date-parts":[["2015",2,20]]}}}],"schema":"https://github.com/citation-style-language/schema/raw/master/csl-citation.json"} </w:instrText>
      </w:r>
      <w:r w:rsidR="00177749">
        <w:rPr>
          <w:szCs w:val="24"/>
        </w:rPr>
        <w:fldChar w:fldCharType="separate"/>
      </w:r>
      <w:r>
        <w:rPr>
          <w:rFonts w:ascii="Cambria" w:hAnsi="Cambria"/>
        </w:rPr>
        <w:t>Carducci et al.</w:t>
      </w:r>
      <w:r w:rsidRPr="0021612A">
        <w:rPr>
          <w:rFonts w:ascii="Cambria" w:hAnsi="Cambria"/>
        </w:rPr>
        <w:t xml:space="preserve"> </w:t>
      </w:r>
      <w:r>
        <w:rPr>
          <w:rFonts w:ascii="Cambria" w:hAnsi="Cambria"/>
        </w:rPr>
        <w:t>(</w:t>
      </w:r>
      <w:r w:rsidRPr="0021612A">
        <w:rPr>
          <w:rFonts w:ascii="Cambria" w:hAnsi="Cambria"/>
        </w:rPr>
        <w:t>2014)</w:t>
      </w:r>
      <w:r w:rsidR="00177749">
        <w:rPr>
          <w:szCs w:val="24"/>
        </w:rPr>
        <w:fldChar w:fldCharType="end"/>
      </w:r>
      <w:r>
        <w:rPr>
          <w:szCs w:val="24"/>
        </w:rPr>
        <w:t xml:space="preserve"> conducted a study aimed at evaluating the spatial and morphological configuration of the pore space in core samples of kaolinitic Latosols. 3D images of the core samples were generated using an X-ray CT scanner. To prepare the 3D images for geostatistical analysis they followed an image processing technique in which grey-scale images were converted into binary images, distinguishing the void and non-void space </w:t>
      </w:r>
      <w:r w:rsidR="00177749">
        <w:rPr>
          <w:szCs w:val="24"/>
        </w:rPr>
        <w:fldChar w:fldCharType="begin"/>
      </w:r>
      <w:r>
        <w:rPr>
          <w:szCs w:val="24"/>
        </w:rPr>
        <w:instrText xml:space="preserve"> ADDIN ZOTERO_ITEM CSL_CITATION {"citationID":"1l3o5vil0","properties":{"formattedCitation":"(Carducci et al., 2014)","plainCitation":"(Carducci et al., 2014)"},"citationItems":[{"id":475,"uris":["http://zotero.org/users/1507390/items/KETUX5J5"],"uri":["http://zotero.org/users/1507390/items/KETUX5J5"],"itemData":{"id":475,"type":"article-journal","title":"Scaling of pores in 3D images of Latosols (Oxisols) with contrasting mineralogy under a conservation management system","container-title":"Soil Research","page":"231-243","volume":"52","issue":"3","source":"CSIRO Publishing","abstract":"The aim of this study was to evaluate the spatial and morphological configuration of the pore space in 3D images of Latosols with different mineralogy under a conservation tillage system in a coffee crop area. The visualisation and quantification of pore size distribution by data mining and spatial variability by semi-variogams were investigated in 3D images with 60-µm spatial resolution generated by X-ray CT scan (EVS/GE MS8x-130) in soil core samples collected at different depths of a kaolinitic Red-Yellow Latosol (RYL) and a gibbsitic Red Latosol (RL) from Brazil. Greater spatial variability occurred in the horizontal direction of the 3D image, a novel finding in this area of research. The pores detected were different between the Latosols studied, mainly at 0.20–0.34 m depth. The largest number (&gt;4000) and volume (±30 mm3) of pores was found in the RL. The soil classes differed in 3D pore characteristics, and this aspect may be important in the characterisation of causes of pore variability. Sphericity was similar for both soils, with greater emphasis on pore classes with a diameter &lt;0.4 mm, mainly at the 0.20–0.34 m depth. A higher percentage of spheroid pores occurred in RL (±25%), whereas the platy pores were more abundant in RYL (&gt;15%).","journalAbbreviation":"Soil Res.","author":[{"family":"Carducci","given":"Carla Eloize"},{"family":"César de Oliveira","given":"Geraldo"},{"family":"Curi","given":"Nilton"},{"family":"Heck","given":"Richard John"},{"family":"Rossoni","given":"Diogo Francisco"}],"issued":{"date-parts":[["2014"]]},"accessed":{"date-parts":[["2015",2,20]]}}}],"schema":"https://github.com/citation-style-language/schema/raw/master/csl-citation.json"} </w:instrText>
      </w:r>
      <w:r w:rsidR="00177749">
        <w:rPr>
          <w:szCs w:val="24"/>
        </w:rPr>
        <w:fldChar w:fldCharType="separate"/>
      </w:r>
      <w:r w:rsidRPr="0021612A">
        <w:rPr>
          <w:rFonts w:ascii="Cambria" w:hAnsi="Cambria"/>
        </w:rPr>
        <w:t>(Carducci et al., 2014)</w:t>
      </w:r>
      <w:r w:rsidR="00177749">
        <w:rPr>
          <w:szCs w:val="24"/>
        </w:rPr>
        <w:fldChar w:fldCharType="end"/>
      </w:r>
      <w:r>
        <w:rPr>
          <w:szCs w:val="24"/>
        </w:rPr>
        <w:t xml:space="preserve">.  Semi-variograms were then computed to identify the spatial structure of the different soils. It was shown that greater spatial variability was apparent in the horizontal direction of the 3D images. The identification of spatial variability in agricultural soils is useful to monitor the effects agricultural systems have on pore distribution </w:t>
      </w:r>
      <w:r w:rsidR="00177749">
        <w:rPr>
          <w:szCs w:val="24"/>
        </w:rPr>
        <w:fldChar w:fldCharType="begin"/>
      </w:r>
      <w:r>
        <w:rPr>
          <w:szCs w:val="24"/>
        </w:rPr>
        <w:instrText xml:space="preserve"> ADDIN ZOTERO_ITEM CSL_CITATION {"citationID":"olg09ru5i","properties":{"formattedCitation":"(Carducci et al., 2014)","plainCitation":"(Carducci et al., 2014)"},"citationItems":[{"id":475,"uris":["http://zotero.org/users/1507390/items/KETUX5J5"],"uri":["http://zotero.org/users/1507390/items/KETUX5J5"],"itemData":{"id":475,"type":"article-journal","title":"Scaling of pores in 3D images of Latosols (Oxisols) with contrasting mineralogy under a conservation management system","container-title":"Soil Research","page":"231-243","volume":"52","issue":"3","source":"CSIRO Publishing","abstract":"The aim of this study was to evaluate the spatial and morphological configuration of the pore space in 3D images of Latosols with different mineralogy under a conservation tillage system in a coffee crop area. The visualisation and quantification of pore size distribution by data mining and spatial variability by semi-variogams were investigated in 3D images with 60-µm spatial resolution generated by X-ray CT scan (EVS/GE MS8x-130) in soil core samples collected at different depths of a kaolinitic Red-Yellow Latosol (RYL) and a gibbsitic Red Latosol (RL) from Brazil. Greater spatial variability occurred in the horizontal direction of the 3D image, a novel finding in this area of research. The pores detected were different between the Latosols studied, mainly at 0.20–0.34 m depth. The largest number (&gt;4000) and volume (±30 mm3) of pores was found in the RL. The soil classes differed in 3D pore characteristics, and this aspect may be important in the characterisation of causes of pore variability. Sphericity was similar for both soils, with greater emphasis on pore classes with a diameter &lt;0.4 mm, mainly at the 0.20–0.34 m depth. A higher percentage of spheroid pores occurred in RL (±25%), whereas the platy pores were more abundant in RYL (&gt;15%).","journalAbbreviation":"Soil Res.","author":[{"family":"Carducci","given":"Carla Eloize"},{"family":"César de Oliveira","given":"Geraldo"},{"family":"Curi","given":"Nilton"},{"family":"Heck","given":"Richard John"},{"family":"Rossoni","given":"Diogo Francisco"}],"issued":{"date-parts":[["2014"]]},"accessed":{"date-parts":[["2015",2,20]]}}}],"schema":"https://github.com/citation-style-language/schema/raw/master/csl-citation.json"} </w:instrText>
      </w:r>
      <w:r w:rsidR="00177749">
        <w:rPr>
          <w:szCs w:val="24"/>
        </w:rPr>
        <w:fldChar w:fldCharType="separate"/>
      </w:r>
      <w:r w:rsidRPr="0021612A">
        <w:rPr>
          <w:rFonts w:ascii="Cambria" w:hAnsi="Cambria"/>
        </w:rPr>
        <w:t>(Carducci et al., 2014)</w:t>
      </w:r>
      <w:r w:rsidR="00177749">
        <w:rPr>
          <w:szCs w:val="24"/>
        </w:rPr>
        <w:fldChar w:fldCharType="end"/>
      </w:r>
      <w:r>
        <w:rPr>
          <w:szCs w:val="24"/>
        </w:rPr>
        <w:t xml:space="preserve">. </w:t>
      </w:r>
    </w:p>
    <w:p w:rsidR="00557BA9" w:rsidRDefault="002F3B63" w:rsidP="00F63C14">
      <w:pPr>
        <w:spacing w:line="480" w:lineRule="auto"/>
        <w:ind w:firstLine="720"/>
        <w:rPr>
          <w:szCs w:val="24"/>
        </w:rPr>
      </w:pPr>
      <w:r>
        <w:rPr>
          <w:szCs w:val="24"/>
        </w:rPr>
        <w:t xml:space="preserve"> These studies offer encouraging evidence that geostatistics can be used to identify spatial structure in the Kang et al. (2014) dataset. They also provide insight into a potential cause of sub-core scale heterogeneity </w:t>
      </w:r>
      <w:r w:rsidR="00F63C14">
        <w:rPr>
          <w:szCs w:val="24"/>
        </w:rPr>
        <w:t xml:space="preserve">(i.e. packing) </w:t>
      </w:r>
      <w:r>
        <w:rPr>
          <w:szCs w:val="24"/>
        </w:rPr>
        <w:t>within a</w:t>
      </w:r>
      <w:r w:rsidR="00FF2DE3">
        <w:rPr>
          <w:szCs w:val="24"/>
        </w:rPr>
        <w:t xml:space="preserve"> nominally</w:t>
      </w:r>
      <w:r>
        <w:rPr>
          <w:szCs w:val="24"/>
        </w:rPr>
        <w:t xml:space="preserve"> homogenous sandpack; as well as, recommend the use of geostatistics to identify the spatial structure of porosity. The previously mentioned studies typically relied on the binarization of CT images before using geostatistics. This research is unique in that geostatistics is applied to data evenly spaced on a Cartesian grid system at the sub-core scale, a method much more similar to how geostatistics is applied at the field scale. </w:t>
      </w:r>
      <w:bookmarkStart w:id="16" w:name="_Toc412485233"/>
    </w:p>
    <w:p w:rsidR="002F3B63" w:rsidRPr="00557BA9" w:rsidRDefault="002F3B63" w:rsidP="00557BA9">
      <w:pPr>
        <w:pStyle w:val="Style1"/>
        <w:rPr>
          <w:szCs w:val="24"/>
        </w:rPr>
      </w:pPr>
      <w:bookmarkStart w:id="17" w:name="_Toc425427026"/>
      <w:r>
        <w:lastRenderedPageBreak/>
        <w:t>CHAPTER 3</w:t>
      </w:r>
      <w:r>
        <w:br/>
        <w:t>METHODOLOGY</w:t>
      </w:r>
      <w:bookmarkEnd w:id="16"/>
      <w:bookmarkEnd w:id="17"/>
    </w:p>
    <w:p w:rsidR="002F3B63" w:rsidRDefault="002F3B63" w:rsidP="002F3B63">
      <w:pPr>
        <w:spacing w:line="480" w:lineRule="auto"/>
        <w:ind w:firstLine="720"/>
      </w:pPr>
      <w:bookmarkStart w:id="18" w:name="_Toc412485234"/>
      <w:r>
        <w:t>Geostatistics is playing an increasingly significant role in hydrogeology and reservoir modeling. This increased role is driven by the need to visualize and quantify subsurface heterogeneity because of its control on groundwater flow, solute transport, and multiphase fluid movement. In this section</w:t>
      </w:r>
      <w:r w:rsidR="00262627">
        <w:t>,</w:t>
      </w:r>
      <w:r>
        <w:t xml:space="preserve"> the process of applying geostatistics to identify sub-core scale heterogeneity in the Brooks and Corey water retention parameters estimated by Kang et al. (2014)</w:t>
      </w:r>
      <w:r w:rsidR="00262627">
        <w:t xml:space="preserve"> is described. Subsequently, </w:t>
      </w:r>
      <w:r>
        <w:t>the correction process used to remove spatial dependency caused by the Kang et al. (2014) data collection procedure</w:t>
      </w:r>
      <w:r w:rsidR="00262627">
        <w:t xml:space="preserve"> is described</w:t>
      </w:r>
      <w:r>
        <w:t xml:space="preserve">. The R statistical software </w:t>
      </w:r>
      <w:r w:rsidR="00177749">
        <w:fldChar w:fldCharType="begin"/>
      </w:r>
      <w:r>
        <w:instrText xml:space="preserve"> ADDIN ZOTERO_ITEM CSL_CITATION {"citationID":"1m2beakqkj","properties":{"formattedCitation":"(R Core Team, 2014)","plainCitation":"(R Core Team, 2014)"},"citationItems":[{"id":521,"uris":["http://zotero.org/users/1507390/items/4J2WAEDD"],"uri":["http://zotero.org/users/1507390/items/4J2WAEDD"],"itemData":{"id":521,"type":"book","title":"R: A language and environment for statistical computing","publisher":"R Foundation for Statistical Computing","publisher-place":"Vienna, Austria","event-place":"Vienna, Austria","URL":"http://www.R-project.org/","author":[{"family":"R Core Team","given":""}],"issued":{"date-parts":[["2014"]]}}}],"schema":"https://github.com/citation-style-language/schema/raw/master/csl-citation.json"} </w:instrText>
      </w:r>
      <w:r w:rsidR="00177749">
        <w:fldChar w:fldCharType="separate"/>
      </w:r>
      <w:r w:rsidRPr="00376D1F">
        <w:rPr>
          <w:rFonts w:ascii="Cambria" w:hAnsi="Cambria"/>
        </w:rPr>
        <w:t>(R Core Team, 2014)</w:t>
      </w:r>
      <w:r w:rsidR="00177749">
        <w:fldChar w:fldCharType="end"/>
      </w:r>
      <w:r>
        <w:t xml:space="preserve"> and SAS 9.2 </w:t>
      </w:r>
      <w:r w:rsidR="00177749">
        <w:fldChar w:fldCharType="begin"/>
      </w:r>
      <w:r>
        <w:instrText xml:space="preserve"> ADDIN ZOTERO_ITEM CSL_CITATION {"citationID":"2gajksmugm","properties":{"formattedCitation":"(SAS Institute, Inc., 1996)","plainCitation":"(SAS Institute, Inc., 1996)"},"citationItems":[{"id":133,"uris":["http://zotero.org/users/1507390/items/IIJBJW7Q"],"uri":["http://zotero.org/users/1507390/items/IIJBJW7Q"],"itemData":{"id":133,"type":"book","title":"SAS/STAT Technical Report: Spatial Prediction Using the SAS System","publisher":"SAS Institute, Inc.","publisher-place":"Cary, NC","number-of-pages":"80","source":"Google Books","event-place":"Cary, NC","ISBN":"9781555448769","shortTitle":"SAS/STAT Technical Report","language":"en","author":[{"family":"SAS Institute, Inc.","given":""}],"issued":{"date-parts":[["1996"]]}}}],"schema":"https://github.com/citation-style-language/schema/raw/master/csl-citation.json"} </w:instrText>
      </w:r>
      <w:r w:rsidR="00177749">
        <w:fldChar w:fldCharType="separate"/>
      </w:r>
      <w:r w:rsidRPr="00B64F5C">
        <w:rPr>
          <w:rFonts w:ascii="Cambria" w:hAnsi="Cambria"/>
        </w:rPr>
        <w:t>(SAS Institute, Inc., 1996)</w:t>
      </w:r>
      <w:r w:rsidR="00177749">
        <w:fldChar w:fldCharType="end"/>
      </w:r>
      <w:r>
        <w:t xml:space="preserve"> programs were used to conduct the geo statistical analysis in this section. </w:t>
      </w:r>
    </w:p>
    <w:p w:rsidR="002F3B63" w:rsidRDefault="002F3B63" w:rsidP="002F3B63">
      <w:pPr>
        <w:pStyle w:val="Style2"/>
      </w:pPr>
      <w:bookmarkStart w:id="19" w:name="_Toc425427027"/>
      <w:r>
        <w:t>3.1 Data</w:t>
      </w:r>
      <w:bookmarkEnd w:id="18"/>
      <w:bookmarkEnd w:id="19"/>
    </w:p>
    <w:p w:rsidR="00BF3723" w:rsidRDefault="002F3B63" w:rsidP="00BF3723">
      <w:pPr>
        <w:spacing w:line="480" w:lineRule="auto"/>
        <w:ind w:firstLine="720"/>
      </w:pPr>
      <w:r w:rsidRPr="002478F3">
        <w:rPr>
          <w:rFonts w:cs="Times New Roman"/>
          <w:szCs w:val="24"/>
        </w:rPr>
        <w:t>Neutron imaging combined with the hanging water column method were employed by Kang et al. (2014) to measure</w:t>
      </w:r>
      <w:r>
        <w:rPr>
          <w:rFonts w:cs="Times New Roman"/>
          <w:szCs w:val="24"/>
        </w:rPr>
        <w:t xml:space="preserve"> point </w:t>
      </w:r>
      <w:r w:rsidR="0019644D">
        <w:rPr>
          <w:rFonts w:cs="Times New Roman"/>
          <w:szCs w:val="24"/>
        </w:rPr>
        <w:t xml:space="preserve">(pixel-scale) </w:t>
      </w:r>
      <w:r>
        <w:rPr>
          <w:rFonts w:cs="Times New Roman"/>
          <w:szCs w:val="24"/>
        </w:rPr>
        <w:t>water retention curves for</w:t>
      </w:r>
      <w:r w:rsidRPr="002478F3">
        <w:rPr>
          <w:rFonts w:cs="Times New Roman"/>
          <w:szCs w:val="24"/>
        </w:rPr>
        <w:t xml:space="preserve"> repacked Flint sand. The hanging water column setup consisted of a cylindrical </w:t>
      </w:r>
      <w:r w:rsidR="00262627">
        <w:rPr>
          <w:rFonts w:cs="Times New Roman"/>
          <w:szCs w:val="24"/>
        </w:rPr>
        <w:t>aluminum</w:t>
      </w:r>
      <w:r w:rsidRPr="002478F3">
        <w:rPr>
          <w:rFonts w:cs="Times New Roman"/>
          <w:szCs w:val="24"/>
        </w:rPr>
        <w:t xml:space="preserve"> container (inner diameter = 2.56 cm, height = 10 cm) connected with Tygon tubing via an outlet at its base to a burette filled with distilled water. </w:t>
      </w:r>
      <w:r w:rsidR="00BF3723">
        <w:t>O</w:t>
      </w:r>
      <w:r w:rsidR="00BF3723" w:rsidRPr="00A07A6E">
        <w:t xml:space="preserve">ven-dried </w:t>
      </w:r>
      <w:r w:rsidR="00FF2DE3">
        <w:t xml:space="preserve">Flint </w:t>
      </w:r>
      <w:r w:rsidR="00BF3723" w:rsidRPr="00A07A6E">
        <w:t xml:space="preserve">sand </w:t>
      </w:r>
      <w:r w:rsidR="00BF3723">
        <w:t>(~</w:t>
      </w:r>
      <w:r w:rsidR="00BF3723" w:rsidRPr="00635FBA">
        <w:t xml:space="preserve"> 50 g</w:t>
      </w:r>
      <w:r w:rsidR="00BF3723">
        <w:t xml:space="preserve">) </w:t>
      </w:r>
      <w:r w:rsidR="00BF3723" w:rsidRPr="00A07A6E">
        <w:t>was</w:t>
      </w:r>
      <w:r w:rsidR="00BF3723">
        <w:t xml:space="preserve"> saturated with water and</w:t>
      </w:r>
      <w:r w:rsidR="00BF3723" w:rsidRPr="00A07A6E">
        <w:t xml:space="preserve"> then incrementally packed into the Al container </w:t>
      </w:r>
      <w:r w:rsidR="00BF3723">
        <w:t xml:space="preserve">up to </w:t>
      </w:r>
      <w:r w:rsidR="00BF3723" w:rsidRPr="00A07A6E">
        <w:t>5.</w:t>
      </w:r>
      <w:r w:rsidR="00BF3723">
        <w:t>6</w:t>
      </w:r>
      <w:r w:rsidR="00BF3723" w:rsidRPr="00A07A6E">
        <w:t xml:space="preserve"> </w:t>
      </w:r>
      <w:r w:rsidR="00BF3723">
        <w:t xml:space="preserve">(± 0.1) </w:t>
      </w:r>
      <w:r w:rsidR="00BF3723" w:rsidRPr="00A07A6E">
        <w:t>cm</w:t>
      </w:r>
      <w:r w:rsidR="00BF3723">
        <w:t xml:space="preserve"> (Kang et al., 2014). Before </w:t>
      </w:r>
      <w:r w:rsidR="00BF3723" w:rsidRPr="00141CB1">
        <w:t xml:space="preserve">the </w:t>
      </w:r>
      <w:r w:rsidR="00BF3723">
        <w:t xml:space="preserve">drainage </w:t>
      </w:r>
      <w:r w:rsidR="00BF3723" w:rsidRPr="00141CB1">
        <w:t>experiment</w:t>
      </w:r>
      <w:r w:rsidR="00BF3723">
        <w:t>, the</w:t>
      </w:r>
      <w:r w:rsidR="00BF3723" w:rsidRPr="00A07A6E">
        <w:t xml:space="preserve"> sand column w</w:t>
      </w:r>
      <w:r w:rsidR="00BF3723">
        <w:t>as</w:t>
      </w:r>
      <w:r w:rsidR="00BF3723" w:rsidRPr="00A07A6E">
        <w:t xml:space="preserve"> fully</w:t>
      </w:r>
      <w:r w:rsidR="00BF3723">
        <w:t xml:space="preserve"> </w:t>
      </w:r>
      <w:r w:rsidR="00BF3723" w:rsidRPr="00A07A6E">
        <w:t xml:space="preserve">saturated </w:t>
      </w:r>
      <w:r w:rsidR="00BF3723">
        <w:t>with water by raising the water level in the burette to a height approximately equal to the top of the sand pack and allowed to equilibrate overnight (Kang et al., 2014)</w:t>
      </w:r>
      <w:r w:rsidR="00BF3723" w:rsidRPr="00A07A6E">
        <w:t xml:space="preserve">. </w:t>
      </w:r>
    </w:p>
    <w:p w:rsidR="00BF3723" w:rsidRDefault="00BF3723" w:rsidP="002F3B63">
      <w:pPr>
        <w:spacing w:after="0" w:line="480" w:lineRule="auto"/>
        <w:ind w:firstLine="720"/>
        <w:rPr>
          <w:rFonts w:cs="Times New Roman"/>
          <w:szCs w:val="24"/>
        </w:rPr>
      </w:pPr>
    </w:p>
    <w:p w:rsidR="00BF3723" w:rsidRDefault="00BF3723" w:rsidP="002F3B63">
      <w:pPr>
        <w:spacing w:after="0" w:line="480" w:lineRule="auto"/>
        <w:ind w:firstLine="720"/>
        <w:rPr>
          <w:rFonts w:cs="Times New Roman"/>
          <w:szCs w:val="24"/>
        </w:rPr>
      </w:pPr>
    </w:p>
    <w:p w:rsidR="002F3B63" w:rsidRPr="00221735" w:rsidRDefault="002F3B63" w:rsidP="00BF3723">
      <w:pPr>
        <w:spacing w:before="240" w:after="0" w:line="480" w:lineRule="auto"/>
        <w:ind w:firstLine="720"/>
        <w:rPr>
          <w:rFonts w:cs="Times New Roman"/>
          <w:szCs w:val="24"/>
        </w:rPr>
      </w:pPr>
      <w:r w:rsidRPr="002478F3">
        <w:rPr>
          <w:rFonts w:cs="Times New Roman"/>
          <w:szCs w:val="24"/>
        </w:rPr>
        <w:lastRenderedPageBreak/>
        <w:t>Neutron imaging of the sand column was performed using cold neutrons at the</w:t>
      </w:r>
      <w:r>
        <w:rPr>
          <w:rFonts w:cs="Times New Roman"/>
          <w:szCs w:val="24"/>
        </w:rPr>
        <w:t xml:space="preserve"> High Flux Isotope Reactor</w:t>
      </w:r>
      <w:r w:rsidRPr="002478F3">
        <w:rPr>
          <w:rFonts w:cs="Times New Roman"/>
          <w:szCs w:val="24"/>
        </w:rPr>
        <w:t xml:space="preserve"> </w:t>
      </w:r>
      <w:r>
        <w:rPr>
          <w:rFonts w:cs="Times New Roman"/>
          <w:szCs w:val="24"/>
        </w:rPr>
        <w:t>(</w:t>
      </w:r>
      <w:r w:rsidRPr="002478F3">
        <w:rPr>
          <w:rFonts w:cs="Times New Roman"/>
          <w:szCs w:val="24"/>
        </w:rPr>
        <w:t>HFIR</w:t>
      </w:r>
      <w:r>
        <w:rPr>
          <w:rFonts w:cs="Times New Roman"/>
          <w:szCs w:val="24"/>
        </w:rPr>
        <w:t>)</w:t>
      </w:r>
      <w:r w:rsidRPr="002478F3">
        <w:rPr>
          <w:rFonts w:cs="Times New Roman"/>
          <w:szCs w:val="24"/>
        </w:rPr>
        <w:t xml:space="preserve"> CG1-D beam line at </w:t>
      </w:r>
      <w:r>
        <w:rPr>
          <w:rFonts w:cs="Times New Roman"/>
          <w:szCs w:val="24"/>
        </w:rPr>
        <w:t>Oak Ridge National Lab (</w:t>
      </w:r>
      <w:r w:rsidRPr="002478F3">
        <w:rPr>
          <w:rFonts w:cs="Times New Roman"/>
          <w:szCs w:val="24"/>
        </w:rPr>
        <w:t>ORNL</w:t>
      </w:r>
      <w:r>
        <w:rPr>
          <w:rFonts w:cs="Times New Roman"/>
          <w:szCs w:val="24"/>
        </w:rPr>
        <w:t>)</w:t>
      </w:r>
      <w:r w:rsidR="00BF3723">
        <w:rPr>
          <w:rFonts w:cs="Times New Roman"/>
          <w:szCs w:val="24"/>
        </w:rPr>
        <w:t>, photographs of the experimental setup are shown in Figure 1 (</w:t>
      </w:r>
      <w:r w:rsidR="00BF3723" w:rsidRPr="002478F3">
        <w:rPr>
          <w:rFonts w:cs="Times New Roman"/>
          <w:szCs w:val="24"/>
        </w:rPr>
        <w:t>all figures and tables are located in the appendix</w:t>
      </w:r>
      <w:r w:rsidR="00BF3723">
        <w:rPr>
          <w:rFonts w:cs="Times New Roman"/>
          <w:szCs w:val="24"/>
        </w:rPr>
        <w:t>)</w:t>
      </w:r>
      <w:r w:rsidRPr="002478F3">
        <w:rPr>
          <w:rFonts w:cs="Times New Roman"/>
          <w:szCs w:val="24"/>
        </w:rPr>
        <w:t>. The sand column was subsequently drained stepwise under quasi-equilibrium conditions by adjusting the height of the hanging water column to give various basal matric potential values</w:t>
      </w:r>
      <w:r w:rsidR="006B50D2" w:rsidRPr="006B50D2">
        <w:t xml:space="preserve"> </w:t>
      </w:r>
      <w:r w:rsidR="006B50D2">
        <w:t>of -</w:t>
      </w:r>
      <w:r w:rsidR="006B50D2" w:rsidRPr="009E0759">
        <w:t xml:space="preserve">2.1, </w:t>
      </w:r>
      <w:r w:rsidR="006B50D2">
        <w:t>-8.0</w:t>
      </w:r>
      <w:r w:rsidR="006B50D2" w:rsidRPr="009E0759">
        <w:t xml:space="preserve">, </w:t>
      </w:r>
      <w:r w:rsidR="006B50D2">
        <w:t>-</w:t>
      </w:r>
      <w:r w:rsidR="006B50D2" w:rsidRPr="009E0759">
        <w:t>11.</w:t>
      </w:r>
      <w:r w:rsidR="006B50D2">
        <w:t>8</w:t>
      </w:r>
      <w:r w:rsidR="006B50D2" w:rsidRPr="009E0759">
        <w:t xml:space="preserve">, </w:t>
      </w:r>
      <w:r w:rsidR="006B50D2">
        <w:t>-15.0</w:t>
      </w:r>
      <w:r w:rsidR="006B50D2" w:rsidRPr="009E0759">
        <w:t xml:space="preserve">, </w:t>
      </w:r>
      <w:r w:rsidR="006B50D2">
        <w:t>-</w:t>
      </w:r>
      <w:r w:rsidR="006B50D2" w:rsidRPr="009E0759">
        <w:t>16.</w:t>
      </w:r>
      <w:r w:rsidR="006B50D2">
        <w:t>6</w:t>
      </w:r>
      <w:r w:rsidR="006B50D2" w:rsidRPr="009E0759">
        <w:t xml:space="preserve">, </w:t>
      </w:r>
      <w:r w:rsidR="006B50D2">
        <w:t>-</w:t>
      </w:r>
      <w:r w:rsidR="006B50D2" w:rsidRPr="009E0759">
        <w:t xml:space="preserve">18.3, </w:t>
      </w:r>
      <w:r w:rsidR="006B50D2">
        <w:t>-</w:t>
      </w:r>
      <w:r w:rsidR="006B50D2" w:rsidRPr="009E0759">
        <w:t xml:space="preserve">20.8, </w:t>
      </w:r>
      <w:r w:rsidR="006B50D2">
        <w:t>-</w:t>
      </w:r>
      <w:r w:rsidR="006B50D2" w:rsidRPr="009E0759">
        <w:t>25.</w:t>
      </w:r>
      <w:r w:rsidR="006B50D2">
        <w:t>3</w:t>
      </w:r>
      <w:r w:rsidR="006B50D2" w:rsidRPr="009E0759">
        <w:t xml:space="preserve">, and </w:t>
      </w:r>
      <w:r w:rsidR="006B50D2">
        <w:t>-</w:t>
      </w:r>
      <w:r w:rsidR="006B50D2" w:rsidRPr="009E0759">
        <w:t>46.7</w:t>
      </w:r>
      <w:r w:rsidR="006B50D2">
        <w:t xml:space="preserve"> cm</w:t>
      </w:r>
      <w:r w:rsidRPr="002478F3">
        <w:rPr>
          <w:rFonts w:cs="Times New Roman"/>
          <w:szCs w:val="24"/>
        </w:rPr>
        <w:t xml:space="preserve"> </w:t>
      </w:r>
      <w:r w:rsidR="00177749">
        <w:rPr>
          <w:rFonts w:cs="Times New Roman"/>
          <w:szCs w:val="24"/>
        </w:rPr>
        <w:fldChar w:fldCharType="begin"/>
      </w:r>
      <w:r>
        <w:rPr>
          <w:rFonts w:cs="Times New Roman"/>
          <w:szCs w:val="24"/>
        </w:rPr>
        <w:instrText xml:space="preserve"> ADDIN ZOTERO_ITEM CSL_CITATION {"citationID":"a1q1611mp","properties":{"formattedCitation":"(Kang et al., 2014)","plainCitation":"(Kang et al., 2014)"},"citationItems":[{"id":210,"uris":["http://zotero.org/users/1507390/items/VUXJ4FQQ"],"uri":["http://zotero.org/users/1507390/items/VUXJ4FQQ"],"itemData":{"id":210,"type":"article-journal","title":"Multiple Pixel-Scale Soil Water Retention Curves Quantified by Neutron Radiography","container-title":"Advances in Water Resources","page":"1-8","volume":"65","source":"ScienceDirect","abstract":"The soil water retention function is needed for modeling multiphase flow in porous media. Traditional techniques for measuring the soil water retention function, such as the hanging water column or pressure cell methods, yield average water retention data which have to be modeled using inverse procedures to extract relevant point parameters. In this study, we have developed a technique for directly measuring multiple point (pixel-scale) water retention curves for a repacked sand material using 2-D neutron radiography. Neutron radiographic images were obtained under quasi-equilibrium conditions at nine imposed basal matric potentials during monotonic drying of Flint sand at the High Flux Isotope Reactor (HFIR) Cold Guide (CG) 1D beamline at Oak Ridge National Laboratory. All of the images were normalized with respect to an image of the oven dry sand column. Volumetric water contents were computed on a pixel by pixel basis using an empirical calibration equation after taking into account beam hardening and geometric corrections. Corresponding matric potentials were calculated from the imposed basal matric potential and pixel elevations. Volumetric water content and matric potential data pairs corresponding to 120 selected pixels were used to construct 120 point water retention curves. Each curve was fitted to the Brooks and Corey equation using segmented non-linear regression in SAS. A 98.5% convergence rate was achieved resulting in 115 estimates of the four Brooks and Corey parameters. A single Brooks and Corey point water retention function was constructed for Flint sand using the median values of these parameter estimates. This curve corresponded closely with the point Brooks and Corey function inversely extracted from the average water retention data using TrueCell. Forward numerical simulations performed using HYDRUS 1-D showed that the cumulative outflows predicted using the point Brooks and Corey functions from both the direct (neutron radiography) and inverse (TrueCell) methods were in good agreement with independent measurements of cumulative outflow determined with a transducer. Our results indicate that neutron radiography can be used to quantify the point water retention curve of homogeneous mineral particles. Further research will be needed to extend this approach to more heterogeneous porous media.","DOI":"10.1016/j.advwatres.2013.12.004","ISSN":"0309-1708","journalAbbreviation":"Advances in Water Resources","author":[{"family":"Kang","given":"M."},{"family":"Perfect","given":"E."},{"family":"Cheng","given":"C. L."},{"family":"Bilheux","given":"H. Z."},{"family":"Lee","given":"J."},{"family":"Horita","given":"J."},{"family":"Warren","given":"J. M."}],"issued":{"date-parts":[["2014",3]]},"accessed":{"date-parts":[["2014",4,2]]}}}],"schema":"https://github.com/citation-style-language/schema/raw/master/csl-citation.json"} </w:instrText>
      </w:r>
      <w:r w:rsidR="00177749">
        <w:rPr>
          <w:rFonts w:cs="Times New Roman"/>
          <w:szCs w:val="24"/>
        </w:rPr>
        <w:fldChar w:fldCharType="separate"/>
      </w:r>
      <w:r w:rsidRPr="002478F3">
        <w:rPr>
          <w:rFonts w:ascii="Cambria" w:hAnsi="Cambria"/>
        </w:rPr>
        <w:t>(Kang et al., 2014)</w:t>
      </w:r>
      <w:r w:rsidR="00177749">
        <w:rPr>
          <w:rFonts w:cs="Times New Roman"/>
          <w:szCs w:val="24"/>
        </w:rPr>
        <w:fldChar w:fldCharType="end"/>
      </w:r>
      <w:r>
        <w:rPr>
          <w:rFonts w:cs="Times New Roman"/>
          <w:szCs w:val="24"/>
        </w:rPr>
        <w:t xml:space="preserve">. </w:t>
      </w:r>
      <w:r w:rsidR="00BF3723">
        <w:rPr>
          <w:rFonts w:cs="Times New Roman"/>
          <w:szCs w:val="24"/>
        </w:rPr>
        <w:t>Radiographic images (Figure 2)</w:t>
      </w:r>
      <w:r w:rsidRPr="002478F3">
        <w:rPr>
          <w:rFonts w:cs="Times New Roman"/>
          <w:szCs w:val="24"/>
        </w:rPr>
        <w:t xml:space="preserve"> were acquired at each quasi-equilibrium state during the drainage proc</w:t>
      </w:r>
      <w:r w:rsidRPr="00221735">
        <w:rPr>
          <w:rFonts w:cs="Times New Roman"/>
          <w:szCs w:val="24"/>
        </w:rPr>
        <w:t xml:space="preserve">ess with an exposure time of 60s.  </w:t>
      </w:r>
    </w:p>
    <w:p w:rsidR="002F3B63" w:rsidRPr="00221735" w:rsidRDefault="002F3B63" w:rsidP="002F3B63">
      <w:pPr>
        <w:spacing w:after="0" w:line="480" w:lineRule="auto"/>
        <w:ind w:firstLine="720"/>
        <w:rPr>
          <w:rFonts w:cs="Times New Roman"/>
          <w:iCs/>
          <w:szCs w:val="24"/>
        </w:rPr>
      </w:pPr>
      <w:r w:rsidRPr="00221735">
        <w:rPr>
          <w:rFonts w:cs="Times New Roman"/>
          <w:szCs w:val="24"/>
        </w:rPr>
        <w:t>A grid of 8 x 15 was supe</w:t>
      </w:r>
      <w:r w:rsidR="00BF3723">
        <w:rPr>
          <w:rFonts w:cs="Times New Roman"/>
          <w:szCs w:val="24"/>
        </w:rPr>
        <w:t>rimposed on the images (Figure 2</w:t>
      </w:r>
      <w:r w:rsidRPr="00221735">
        <w:rPr>
          <w:rFonts w:cs="Times New Roman"/>
          <w:szCs w:val="24"/>
        </w:rPr>
        <w:t>), and the individual volumetric water content values (θ) at these locations were combined with information on the known distribution of matric potentials (</w:t>
      </w:r>
      <m:oMath>
        <m:r>
          <m:rPr>
            <m:sty m:val="p"/>
          </m:rPr>
          <w:rPr>
            <w:rFonts w:ascii="Cambria Math" w:hAnsi="Cambria Math" w:cs="Times New Roman"/>
            <w:szCs w:val="24"/>
          </w:rPr>
          <m:t>ψ</m:t>
        </m:r>
      </m:oMath>
      <w:r w:rsidRPr="00221735">
        <w:rPr>
          <w:rFonts w:cs="Times New Roman"/>
          <w:szCs w:val="24"/>
        </w:rPr>
        <w:t xml:space="preserve">) within the sample to give point water retention curves for the 120 selected locations (Kang et al., 2014). The point water retention data were parameterized by fitting the Brooks and Corey, BC, equation (Kang et al., 2014). The </w:t>
      </w:r>
      <w:r w:rsidRPr="00221735">
        <w:rPr>
          <w:rFonts w:cs="Times New Roman"/>
          <w:iCs/>
          <w:szCs w:val="24"/>
        </w:rPr>
        <w:t xml:space="preserve">Brooks and Corey equation is given by: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8"/>
        <w:gridCol w:w="7830"/>
        <w:gridCol w:w="828"/>
      </w:tblGrid>
      <w:tr w:rsidR="002F3B63" w:rsidRPr="002478F3" w:rsidTr="002F3B63">
        <w:tc>
          <w:tcPr>
            <w:tcW w:w="918" w:type="dxa"/>
          </w:tcPr>
          <w:p w:rsidR="002F3B63" w:rsidRPr="002478F3" w:rsidRDefault="002F3B63" w:rsidP="002F3B63">
            <w:pPr>
              <w:spacing w:line="480" w:lineRule="auto"/>
              <w:jc w:val="both"/>
              <w:rPr>
                <w:rFonts w:cs="Times New Roman"/>
                <w:iCs/>
                <w:szCs w:val="24"/>
              </w:rPr>
            </w:pPr>
          </w:p>
        </w:tc>
        <w:tc>
          <w:tcPr>
            <w:tcW w:w="7830" w:type="dxa"/>
          </w:tcPr>
          <w:p w:rsidR="002F3B63" w:rsidRPr="002478F3" w:rsidRDefault="002F3B63" w:rsidP="002F3B63">
            <w:pPr>
              <w:spacing w:line="480" w:lineRule="auto"/>
              <w:jc w:val="center"/>
              <w:rPr>
                <w:rFonts w:eastAsiaTheme="minorEastAsia" w:cs="Times New Roman"/>
                <w:iCs/>
                <w:szCs w:val="24"/>
              </w:rPr>
            </w:pPr>
            <m:oMathPara>
              <m:oMath>
                <m:r>
                  <w:rPr>
                    <w:rFonts w:ascii="Cambria Math" w:hAnsi="Cambria Math" w:cs="Times New Roman"/>
                    <w:szCs w:val="24"/>
                  </w:rPr>
                  <m:t>θ</m:t>
                </m:r>
                <m:r>
                  <w:rPr>
                    <w:rFonts w:ascii="Cambria Math" w:cs="Times New Roman"/>
                    <w:szCs w:val="24"/>
                  </w:rPr>
                  <m:t>=</m:t>
                </m:r>
                <m:sSub>
                  <m:sSubPr>
                    <m:ctrlPr>
                      <w:rPr>
                        <w:rFonts w:ascii="Cambria Math" w:hAnsi="Cambria Math" w:cs="Times New Roman"/>
                        <w:i/>
                        <w:szCs w:val="24"/>
                      </w:rPr>
                    </m:ctrlPr>
                  </m:sSubPr>
                  <m:e>
                    <m:r>
                      <w:rPr>
                        <w:rFonts w:ascii="Cambria Math" w:hAnsi="Cambria Math" w:cs="Times New Roman"/>
                        <w:szCs w:val="24"/>
                      </w:rPr>
                      <m:t>θ</m:t>
                    </m:r>
                  </m:e>
                  <m:sub>
                    <m:r>
                      <w:rPr>
                        <w:rFonts w:ascii="Cambria Math" w:hAnsi="Cambria Math" w:cs="Times New Roman"/>
                        <w:szCs w:val="24"/>
                      </w:rPr>
                      <m:t>s</m:t>
                    </m:r>
                  </m:sub>
                </m:sSub>
                <m:r>
                  <w:rPr>
                    <w:rFonts w:ascii="Cambria Math" w:cs="Times New Roman"/>
                    <w:szCs w:val="24"/>
                  </w:rPr>
                  <m:t xml:space="preserve">         0&lt;</m:t>
                </m:r>
                <m:r>
                  <w:rPr>
                    <w:rFonts w:ascii="Cambria Math" w:hAnsi="Cambria Math" w:cs="Times New Roman"/>
                    <w:szCs w:val="24"/>
                  </w:rPr>
                  <m:t>ψ</m:t>
                </m:r>
                <m:r>
                  <w:rPr>
                    <w:rFonts w:ascii="Cambria Math" w:cs="Times New Roman"/>
                    <w:szCs w:val="24"/>
                  </w:rPr>
                  <m:t>≤</m:t>
                </m:r>
                <m:r>
                  <w:rPr>
                    <w:rFonts w:ascii="Cambria Math" w:cs="Times New Roman"/>
                    <w:szCs w:val="24"/>
                  </w:rPr>
                  <m:t xml:space="preserve"> </m:t>
                </m:r>
                <m:sSub>
                  <m:sSubPr>
                    <m:ctrlPr>
                      <w:rPr>
                        <w:rFonts w:ascii="Cambria Math" w:hAnsi="Cambria Math" w:cs="Times New Roman"/>
                        <w:i/>
                        <w:iCs/>
                        <w:szCs w:val="24"/>
                      </w:rPr>
                    </m:ctrlPr>
                  </m:sSubPr>
                  <m:e>
                    <m:r>
                      <w:rPr>
                        <w:rFonts w:ascii="Cambria Math" w:hAnsi="Cambria Math" w:cs="Times New Roman"/>
                        <w:szCs w:val="24"/>
                      </w:rPr>
                      <m:t>ψ</m:t>
                    </m:r>
                  </m:e>
                  <m:sub>
                    <m:r>
                      <w:rPr>
                        <w:rFonts w:ascii="Cambria Math" w:hAnsi="Cambria Math" w:cs="Times New Roman"/>
                        <w:szCs w:val="24"/>
                      </w:rPr>
                      <m:t>a</m:t>
                    </m:r>
                  </m:sub>
                </m:sSub>
              </m:oMath>
            </m:oMathPara>
          </w:p>
          <w:p w:rsidR="002F3B63" w:rsidRPr="002478F3" w:rsidRDefault="002F3B63" w:rsidP="002F3B63">
            <w:pPr>
              <w:spacing w:line="480" w:lineRule="auto"/>
              <w:jc w:val="center"/>
              <w:rPr>
                <w:rFonts w:cs="Times New Roman"/>
                <w:iCs/>
                <w:szCs w:val="24"/>
              </w:rPr>
            </w:pPr>
            <m:oMathPara>
              <m:oMath>
                <m:r>
                  <w:rPr>
                    <w:rFonts w:ascii="Cambria Math" w:hAnsi="Cambria Math" w:cs="Times New Roman"/>
                    <w:szCs w:val="24"/>
                  </w:rPr>
                  <m:t>θ</m:t>
                </m:r>
                <m:r>
                  <w:rPr>
                    <w:rFonts w:ascii="Cambria Math" w:cs="Times New Roman"/>
                    <w:szCs w:val="24"/>
                  </w:rPr>
                  <m:t>=</m:t>
                </m:r>
                <m:sSub>
                  <m:sSubPr>
                    <m:ctrlPr>
                      <w:rPr>
                        <w:rFonts w:ascii="Cambria Math" w:hAnsi="Cambria Math" w:cs="Times New Roman"/>
                        <w:i/>
                        <w:szCs w:val="24"/>
                      </w:rPr>
                    </m:ctrlPr>
                  </m:sSubPr>
                  <m:e>
                    <m:r>
                      <w:rPr>
                        <w:rFonts w:ascii="Cambria Math" w:cs="Times New Roman"/>
                        <w:szCs w:val="24"/>
                      </w:rPr>
                      <m:t xml:space="preserve">  </m:t>
                    </m:r>
                    <m:r>
                      <w:rPr>
                        <w:rFonts w:ascii="Cambria Math" w:hAnsi="Cambria Math" w:cs="Times New Roman"/>
                        <w:szCs w:val="24"/>
                      </w:rPr>
                      <m:t>θ</m:t>
                    </m:r>
                  </m:e>
                  <m:sub>
                    <m:r>
                      <w:rPr>
                        <w:rFonts w:ascii="Cambria Math" w:hAnsi="Cambria Math" w:cs="Times New Roman"/>
                        <w:szCs w:val="24"/>
                      </w:rPr>
                      <m:t>r</m:t>
                    </m:r>
                  </m:sub>
                </m:sSub>
                <m:r>
                  <w:rPr>
                    <w:rFonts w:ascii="Cambria Math" w:cs="Times New Roman"/>
                    <w:szCs w:val="24"/>
                  </w:rPr>
                  <m:t xml:space="preserve"> + </m:t>
                </m:r>
                <m:sSub>
                  <m:sSubPr>
                    <m:ctrlPr>
                      <w:rPr>
                        <w:rFonts w:ascii="Cambria Math" w:hAnsi="Cambria Math" w:cs="Times New Roman"/>
                        <w:i/>
                        <w:szCs w:val="24"/>
                      </w:rPr>
                    </m:ctrlPr>
                  </m:sSubPr>
                  <m:e>
                    <m:r>
                      <w:rPr>
                        <w:rFonts w:ascii="Cambria Math" w:cs="Times New Roman"/>
                        <w:szCs w:val="24"/>
                      </w:rPr>
                      <m:t>(</m:t>
                    </m:r>
                    <m:r>
                      <w:rPr>
                        <w:rFonts w:ascii="Cambria Math" w:hAnsi="Cambria Math" w:cs="Times New Roman"/>
                        <w:szCs w:val="24"/>
                      </w:rPr>
                      <m:t>θ</m:t>
                    </m:r>
                  </m:e>
                  <m:sub>
                    <m:r>
                      <w:rPr>
                        <w:rFonts w:ascii="Cambria Math" w:hAnsi="Cambria Math" w:cs="Times New Roman"/>
                        <w:szCs w:val="24"/>
                      </w:rPr>
                      <m:t>s</m:t>
                    </m:r>
                  </m:sub>
                </m:sSub>
                <m:r>
                  <w:rPr>
                    <w:rFonts w:ascii="Cambria Math" w:cs="Times New Roman"/>
                    <w:szCs w:val="24"/>
                  </w:rPr>
                  <m:t xml:space="preserve"> </m:t>
                </m:r>
                <m:r>
                  <w:rPr>
                    <w:rFonts w:ascii="Cambria Math" w:cs="Times New Roman"/>
                    <w:szCs w:val="24"/>
                  </w:rPr>
                  <m:t>-</m:t>
                </m:r>
                <m:sSub>
                  <m:sSubPr>
                    <m:ctrlPr>
                      <w:rPr>
                        <w:rFonts w:ascii="Cambria Math" w:hAnsi="Cambria Math" w:cs="Times New Roman"/>
                        <w:i/>
                        <w:szCs w:val="24"/>
                      </w:rPr>
                    </m:ctrlPr>
                  </m:sSubPr>
                  <m:e>
                    <m:r>
                      <w:rPr>
                        <w:rFonts w:ascii="Cambria Math" w:cs="Times New Roman"/>
                        <w:szCs w:val="24"/>
                      </w:rPr>
                      <m:t xml:space="preserve">  </m:t>
                    </m:r>
                    <m:r>
                      <w:rPr>
                        <w:rFonts w:ascii="Cambria Math" w:hAnsi="Cambria Math" w:cs="Times New Roman"/>
                        <w:szCs w:val="24"/>
                      </w:rPr>
                      <m:t>θ</m:t>
                    </m:r>
                  </m:e>
                  <m:sub>
                    <m:r>
                      <w:rPr>
                        <w:rFonts w:ascii="Cambria Math" w:hAnsi="Cambria Math" w:cs="Times New Roman"/>
                        <w:szCs w:val="24"/>
                      </w:rPr>
                      <m:t>r</m:t>
                    </m:r>
                  </m:sub>
                </m:sSub>
                <m:r>
                  <w:rPr>
                    <w:rFonts w:ascii="Cambria Math" w:cs="Times New Roman"/>
                    <w:szCs w:val="24"/>
                  </w:rPr>
                  <m:t xml:space="preserve">) </m:t>
                </m:r>
                <m:r>
                  <w:rPr>
                    <w:rFonts w:ascii="Cambria Math" w:cs="Times New Roman"/>
                    <w:szCs w:val="24"/>
                  </w:rPr>
                  <m:t>×</m:t>
                </m:r>
                <m:r>
                  <w:rPr>
                    <w:rFonts w:ascii="Cambria Math" w:cs="Times New Roman"/>
                    <w:szCs w:val="24"/>
                  </w:rPr>
                  <m:t xml:space="preserve"> </m:t>
                </m:r>
                <m:sSup>
                  <m:sSupPr>
                    <m:ctrlPr>
                      <w:rPr>
                        <w:rFonts w:ascii="Cambria Math" w:hAnsi="Cambria Math" w:cs="Times New Roman"/>
                        <w:i/>
                        <w:szCs w:val="24"/>
                      </w:rPr>
                    </m:ctrlPr>
                  </m:sSupPr>
                  <m:e>
                    <m:d>
                      <m:dPr>
                        <m:begChr m:val="["/>
                        <m:endChr m:val="]"/>
                        <m:ctrlPr>
                          <w:rPr>
                            <w:rFonts w:ascii="Cambria Math" w:hAnsi="Cambria Math" w:cs="Times New Roman"/>
                            <w:i/>
                            <w:szCs w:val="24"/>
                          </w:rPr>
                        </m:ctrlPr>
                      </m:dPr>
                      <m:e>
                        <m:f>
                          <m:fPr>
                            <m:ctrlPr>
                              <w:rPr>
                                <w:rFonts w:ascii="Cambria Math" w:hAnsi="Cambria Math" w:cs="Times New Roman"/>
                                <w:i/>
                                <w:szCs w:val="24"/>
                              </w:rPr>
                            </m:ctrlPr>
                          </m:fPr>
                          <m:num>
                            <m:sSub>
                              <m:sSubPr>
                                <m:ctrlPr>
                                  <w:rPr>
                                    <w:rFonts w:ascii="Cambria Math" w:hAnsi="Cambria Math" w:cs="Times New Roman"/>
                                    <w:i/>
                                    <w:iCs/>
                                    <w:szCs w:val="24"/>
                                  </w:rPr>
                                </m:ctrlPr>
                              </m:sSubPr>
                              <m:e>
                                <m:r>
                                  <w:rPr>
                                    <w:rFonts w:ascii="Cambria Math" w:hAnsi="Cambria Math" w:cs="Times New Roman"/>
                                    <w:szCs w:val="24"/>
                                  </w:rPr>
                                  <m:t>ψ</m:t>
                                </m:r>
                              </m:e>
                              <m:sub>
                                <m:r>
                                  <w:rPr>
                                    <w:rFonts w:ascii="Cambria Math" w:hAnsi="Cambria Math" w:cs="Times New Roman"/>
                                    <w:szCs w:val="24"/>
                                  </w:rPr>
                                  <m:t>a</m:t>
                                </m:r>
                              </m:sub>
                            </m:sSub>
                          </m:num>
                          <m:den>
                            <m:r>
                              <w:rPr>
                                <w:rFonts w:ascii="Cambria Math" w:hAnsi="Cambria Math" w:cs="Times New Roman"/>
                                <w:szCs w:val="24"/>
                              </w:rPr>
                              <m:t>ψ</m:t>
                            </m:r>
                          </m:den>
                        </m:f>
                      </m:e>
                    </m:d>
                  </m:e>
                  <m:sup>
                    <m:r>
                      <w:rPr>
                        <w:rFonts w:ascii="Cambria Math" w:hAnsi="Cambria Math" w:cs="Times New Roman"/>
                        <w:szCs w:val="24"/>
                      </w:rPr>
                      <m:t>λ</m:t>
                    </m:r>
                  </m:sup>
                </m:sSup>
                <m:r>
                  <w:rPr>
                    <w:rFonts w:ascii="Cambria Math" w:cs="Times New Roman"/>
                    <w:szCs w:val="24"/>
                  </w:rPr>
                  <m:t xml:space="preserve">          </m:t>
                </m:r>
                <m:r>
                  <w:rPr>
                    <w:rFonts w:ascii="Cambria Math" w:hAnsi="Cambria Math" w:cs="Times New Roman"/>
                    <w:szCs w:val="24"/>
                  </w:rPr>
                  <m:t>ψ</m:t>
                </m:r>
                <m:r>
                  <w:rPr>
                    <w:rFonts w:ascii="Cambria Math" w:cs="Times New Roman"/>
                    <w:szCs w:val="24"/>
                  </w:rPr>
                  <m:t xml:space="preserve">&gt; </m:t>
                </m:r>
                <m:sSub>
                  <m:sSubPr>
                    <m:ctrlPr>
                      <w:rPr>
                        <w:rFonts w:ascii="Cambria Math" w:hAnsi="Cambria Math" w:cs="Times New Roman"/>
                        <w:i/>
                        <w:iCs/>
                        <w:szCs w:val="24"/>
                      </w:rPr>
                    </m:ctrlPr>
                  </m:sSubPr>
                  <m:e>
                    <m:r>
                      <w:rPr>
                        <w:rFonts w:ascii="Cambria Math" w:hAnsi="Cambria Math" w:cs="Times New Roman"/>
                        <w:szCs w:val="24"/>
                      </w:rPr>
                      <m:t>ψ</m:t>
                    </m:r>
                  </m:e>
                  <m:sub>
                    <m:r>
                      <w:rPr>
                        <w:rFonts w:ascii="Cambria Math" w:hAnsi="Cambria Math" w:cs="Times New Roman"/>
                        <w:szCs w:val="24"/>
                      </w:rPr>
                      <m:t>a</m:t>
                    </m:r>
                  </m:sub>
                </m:sSub>
              </m:oMath>
            </m:oMathPara>
          </w:p>
        </w:tc>
        <w:tc>
          <w:tcPr>
            <w:tcW w:w="828" w:type="dxa"/>
          </w:tcPr>
          <w:p w:rsidR="002F3B63" w:rsidRPr="002478F3" w:rsidRDefault="002F3B63" w:rsidP="002F3B63">
            <w:pPr>
              <w:spacing w:line="480" w:lineRule="auto"/>
              <w:jc w:val="right"/>
              <w:rPr>
                <w:rFonts w:cs="Times New Roman"/>
                <w:iCs/>
                <w:szCs w:val="24"/>
              </w:rPr>
            </w:pPr>
          </w:p>
          <w:p w:rsidR="002F3B63" w:rsidRPr="002478F3" w:rsidRDefault="002F3B63" w:rsidP="002F3B63">
            <w:pPr>
              <w:spacing w:line="480" w:lineRule="auto"/>
              <w:jc w:val="right"/>
              <w:rPr>
                <w:rFonts w:cs="Times New Roman"/>
                <w:iCs/>
                <w:szCs w:val="24"/>
              </w:rPr>
            </w:pPr>
            <w:r w:rsidRPr="002478F3">
              <w:rPr>
                <w:rFonts w:cs="Times New Roman"/>
                <w:iCs/>
                <w:szCs w:val="24"/>
              </w:rPr>
              <w:t>(</w:t>
            </w:r>
            <w:fldSimple w:instr=" SEQ Eq \* MERGEFORMAT ">
              <w:r w:rsidR="00885C9E" w:rsidRPr="00885C9E">
                <w:rPr>
                  <w:rFonts w:cs="Times New Roman"/>
                  <w:iCs/>
                  <w:noProof/>
                  <w:szCs w:val="24"/>
                </w:rPr>
                <w:t>1</w:t>
              </w:r>
            </w:fldSimple>
            <w:r w:rsidRPr="002478F3">
              <w:rPr>
                <w:rFonts w:cs="Times New Roman"/>
                <w:iCs/>
                <w:szCs w:val="24"/>
              </w:rPr>
              <w:t>)</w:t>
            </w:r>
          </w:p>
        </w:tc>
      </w:tr>
    </w:tbl>
    <w:p w:rsidR="002F3B63" w:rsidRPr="00221735" w:rsidRDefault="002F3B63" w:rsidP="002F3B63">
      <w:pPr>
        <w:spacing w:after="0" w:line="480" w:lineRule="auto"/>
        <w:rPr>
          <w:rFonts w:cs="Times New Roman"/>
          <w:szCs w:val="24"/>
        </w:rPr>
      </w:pPr>
      <w:r w:rsidRPr="00221735">
        <w:rPr>
          <w:rFonts w:cs="Times New Roman"/>
          <w:szCs w:val="24"/>
        </w:rPr>
        <w:t xml:space="preserve">where </w:t>
      </w:r>
      <m:oMath>
        <m:r>
          <m:rPr>
            <m:sty m:val="p"/>
          </m:rPr>
          <w:rPr>
            <w:rFonts w:ascii="Cambria Math" w:hAnsi="Cambria Math" w:cs="Times New Roman"/>
            <w:szCs w:val="24"/>
          </w:rPr>
          <m:t>θ</m:t>
        </m:r>
      </m:oMath>
      <w:r w:rsidRPr="00221735">
        <w:rPr>
          <w:rFonts w:cs="Times New Roman"/>
          <w:szCs w:val="24"/>
        </w:rPr>
        <w:t xml:space="preserve"> (cm</w:t>
      </w:r>
      <w:r w:rsidRPr="00221735">
        <w:rPr>
          <w:rFonts w:cs="Times New Roman"/>
          <w:szCs w:val="24"/>
          <w:vertAlign w:val="superscript"/>
        </w:rPr>
        <w:t>3</w:t>
      </w:r>
      <w:r w:rsidRPr="00221735">
        <w:rPr>
          <w:rFonts w:cs="Times New Roman"/>
          <w:szCs w:val="24"/>
        </w:rPr>
        <w:t>cm</w:t>
      </w:r>
      <w:r w:rsidRPr="00221735">
        <w:rPr>
          <w:rFonts w:cs="Times New Roman"/>
          <w:szCs w:val="24"/>
          <w:vertAlign w:val="superscript"/>
        </w:rPr>
        <w:t>-3</w:t>
      </w:r>
      <w:r w:rsidRPr="00221735">
        <w:rPr>
          <w:rFonts w:cs="Times New Roman"/>
          <w:szCs w:val="24"/>
        </w:rPr>
        <w:t xml:space="preserve">) is volumetric water content, </w:t>
      </w:r>
      <m:oMath>
        <m:sSub>
          <m:sSubPr>
            <m:ctrlPr>
              <w:rPr>
                <w:rFonts w:ascii="Cambria Math" w:hAnsi="Cambria Math" w:cs="Times New Roman"/>
                <w:szCs w:val="24"/>
              </w:rPr>
            </m:ctrlPr>
          </m:sSubPr>
          <m:e>
            <m:r>
              <m:rPr>
                <m:sty m:val="p"/>
              </m:rPr>
              <w:rPr>
                <w:rFonts w:ascii="Cambria Math" w:hAnsi="Cambria Math" w:cs="Times New Roman"/>
                <w:szCs w:val="24"/>
              </w:rPr>
              <m:t>θ</m:t>
            </m:r>
          </m:e>
          <m:sub>
            <m:r>
              <m:rPr>
                <m:sty m:val="p"/>
              </m:rPr>
              <w:rPr>
                <w:rFonts w:ascii="Cambria Math" w:hAnsi="Cambria Math" w:cs="Times New Roman"/>
                <w:szCs w:val="24"/>
              </w:rPr>
              <m:t>s</m:t>
            </m:r>
          </m:sub>
        </m:sSub>
      </m:oMath>
      <w:r w:rsidRPr="00221735">
        <w:rPr>
          <w:rFonts w:cs="Times New Roman"/>
          <w:szCs w:val="24"/>
        </w:rPr>
        <w:t xml:space="preserve"> (cm</w:t>
      </w:r>
      <w:r w:rsidRPr="00221735">
        <w:rPr>
          <w:rFonts w:cs="Times New Roman"/>
          <w:szCs w:val="24"/>
          <w:vertAlign w:val="superscript"/>
        </w:rPr>
        <w:t>3</w:t>
      </w:r>
      <w:r w:rsidRPr="00221735">
        <w:rPr>
          <w:rFonts w:cs="Times New Roman"/>
          <w:szCs w:val="24"/>
        </w:rPr>
        <w:t>cm</w:t>
      </w:r>
      <w:r w:rsidRPr="00221735">
        <w:rPr>
          <w:rFonts w:cs="Times New Roman"/>
          <w:szCs w:val="24"/>
          <w:vertAlign w:val="superscript"/>
        </w:rPr>
        <w:t>-3</w:t>
      </w:r>
      <w:r w:rsidRPr="00221735">
        <w:rPr>
          <w:rFonts w:cs="Times New Roman"/>
          <w:szCs w:val="24"/>
        </w:rPr>
        <w:t xml:space="preserve">) is the saturated volumetric water content, </w:t>
      </w:r>
      <m:oMath>
        <m:sSub>
          <m:sSubPr>
            <m:ctrlPr>
              <w:rPr>
                <w:rFonts w:ascii="Cambria Math" w:hAnsi="Cambria Math" w:cs="Times New Roman"/>
                <w:szCs w:val="24"/>
              </w:rPr>
            </m:ctrlPr>
          </m:sSubPr>
          <m:e>
            <m:r>
              <m:rPr>
                <m:sty m:val="p"/>
              </m:rPr>
              <w:rPr>
                <w:rFonts w:ascii="Cambria Math" w:cs="Times New Roman"/>
                <w:szCs w:val="24"/>
              </w:rPr>
              <m:t xml:space="preserve"> </m:t>
            </m:r>
            <m:r>
              <m:rPr>
                <m:sty m:val="p"/>
              </m:rPr>
              <w:rPr>
                <w:rFonts w:ascii="Cambria Math" w:hAnsi="Cambria Math" w:cs="Times New Roman"/>
                <w:szCs w:val="24"/>
              </w:rPr>
              <m:t>θ</m:t>
            </m:r>
          </m:e>
          <m:sub>
            <m:r>
              <m:rPr>
                <m:sty m:val="p"/>
              </m:rPr>
              <w:rPr>
                <w:rFonts w:ascii="Cambria Math" w:hAnsi="Cambria Math" w:cs="Times New Roman"/>
                <w:szCs w:val="24"/>
              </w:rPr>
              <m:t>r</m:t>
            </m:r>
          </m:sub>
        </m:sSub>
      </m:oMath>
      <w:r w:rsidRPr="00221735">
        <w:rPr>
          <w:rFonts w:cs="Times New Roman"/>
          <w:szCs w:val="24"/>
        </w:rPr>
        <w:t xml:space="preserve"> (cm</w:t>
      </w:r>
      <w:r w:rsidRPr="00221735">
        <w:rPr>
          <w:rFonts w:cs="Times New Roman"/>
          <w:szCs w:val="24"/>
          <w:vertAlign w:val="superscript"/>
        </w:rPr>
        <w:t>3</w:t>
      </w:r>
      <w:r w:rsidRPr="00221735">
        <w:rPr>
          <w:rFonts w:cs="Times New Roman"/>
          <w:szCs w:val="24"/>
        </w:rPr>
        <w:t>cm</w:t>
      </w:r>
      <w:r w:rsidRPr="00221735">
        <w:rPr>
          <w:rFonts w:cs="Times New Roman"/>
          <w:szCs w:val="24"/>
          <w:vertAlign w:val="superscript"/>
        </w:rPr>
        <w:t>-3</w:t>
      </w:r>
      <w:r w:rsidRPr="00221735">
        <w:rPr>
          <w:rFonts w:cs="Times New Roman"/>
          <w:szCs w:val="24"/>
        </w:rPr>
        <w:t xml:space="preserve">) is the residual volumetric water content, </w:t>
      </w:r>
      <m:oMath>
        <m:sSub>
          <m:sSubPr>
            <m:ctrlPr>
              <w:rPr>
                <w:rFonts w:ascii="Cambria Math" w:hAnsi="Cambria Math" w:cs="Times New Roman"/>
                <w:iCs/>
                <w:szCs w:val="24"/>
              </w:rPr>
            </m:ctrlPr>
          </m:sSubPr>
          <m:e>
            <m:r>
              <m:rPr>
                <m:sty m:val="p"/>
              </m:rPr>
              <w:rPr>
                <w:rFonts w:ascii="Cambria Math" w:hAnsi="Cambria Math" w:cs="Times New Roman"/>
                <w:szCs w:val="24"/>
              </w:rPr>
              <m:t>ψ</m:t>
            </m:r>
          </m:e>
          <m:sub>
            <m:r>
              <m:rPr>
                <m:sty m:val="p"/>
              </m:rPr>
              <w:rPr>
                <w:rFonts w:ascii="Cambria Math" w:hAnsi="Cambria Math" w:cs="Times New Roman"/>
                <w:szCs w:val="24"/>
              </w:rPr>
              <m:t>a</m:t>
            </m:r>
          </m:sub>
        </m:sSub>
      </m:oMath>
      <w:r w:rsidRPr="00221735">
        <w:rPr>
          <w:rFonts w:cs="Times New Roman"/>
          <w:iCs/>
          <w:szCs w:val="24"/>
        </w:rPr>
        <w:t xml:space="preserve"> (cm) is the air-entry value, and </w:t>
      </w:r>
      <m:oMath>
        <m:r>
          <m:rPr>
            <m:sty m:val="p"/>
          </m:rPr>
          <w:rPr>
            <w:rFonts w:ascii="Cambria Math" w:hAnsi="Cambria Math" w:cs="Times New Roman"/>
            <w:szCs w:val="24"/>
          </w:rPr>
          <m:t>λ</m:t>
        </m:r>
        <m:r>
          <m:rPr>
            <m:sty m:val="p"/>
          </m:rPr>
          <w:rPr>
            <w:rFonts w:ascii="Cambria Math" w:cs="Times New Roman"/>
            <w:szCs w:val="24"/>
          </w:rPr>
          <m:t xml:space="preserve"> </m:t>
        </m:r>
      </m:oMath>
      <w:r w:rsidRPr="00221735">
        <w:rPr>
          <w:rFonts w:cs="Times New Roman"/>
          <w:szCs w:val="24"/>
        </w:rPr>
        <w:t>(dimensionless)</w:t>
      </w:r>
      <w:r w:rsidRPr="00221735">
        <w:rPr>
          <w:rFonts w:cs="Times New Roman"/>
          <w:iCs/>
          <w:szCs w:val="24"/>
        </w:rPr>
        <w:t xml:space="preserve"> is the pore-size distribution index.</w:t>
      </w:r>
      <w:r w:rsidRPr="00221735">
        <w:rPr>
          <w:rFonts w:cs="Times New Roman"/>
          <w:szCs w:val="24"/>
        </w:rPr>
        <w:t xml:space="preserve">  Equation (1) was fitted to the 120 point water retention data sets using segmented non-linear regression (Marquardt method) in SAS 9.2.  All of the fits converged successfully, except for 5 points which were excluded from further analyses. The median (and mean) RMSE and R</w:t>
      </w:r>
      <w:r w:rsidRPr="00221735">
        <w:rPr>
          <w:rFonts w:cs="Times New Roman"/>
          <w:szCs w:val="24"/>
          <w:vertAlign w:val="superscript"/>
        </w:rPr>
        <w:t>2</w:t>
      </w:r>
      <w:r w:rsidRPr="00221735">
        <w:rPr>
          <w:rFonts w:cs="Times New Roman"/>
          <w:szCs w:val="24"/>
        </w:rPr>
        <w:t xml:space="preserve"> values </w:t>
      </w:r>
      <w:r>
        <w:rPr>
          <w:rFonts w:cs="Times New Roman"/>
          <w:szCs w:val="24"/>
        </w:rPr>
        <w:t xml:space="preserve">for the successfully converged fits </w:t>
      </w:r>
      <w:r w:rsidRPr="00221735">
        <w:rPr>
          <w:rFonts w:cs="Times New Roman"/>
          <w:szCs w:val="24"/>
        </w:rPr>
        <w:t>were 0.019 (0.024) and 0.985 (0.975), respectively.</w:t>
      </w:r>
    </w:p>
    <w:p w:rsidR="002F3B63" w:rsidRDefault="002F3B63" w:rsidP="002F3B63">
      <w:pPr>
        <w:pStyle w:val="Style2"/>
      </w:pPr>
      <w:bookmarkStart w:id="20" w:name="_Toc412485235"/>
      <w:bookmarkStart w:id="21" w:name="_Toc425427028"/>
      <w:r>
        <w:lastRenderedPageBreak/>
        <w:t xml:space="preserve">3.2 </w:t>
      </w:r>
      <w:bookmarkEnd w:id="20"/>
      <w:r>
        <w:t>Preliminary Classical Statistics</w:t>
      </w:r>
      <w:bookmarkEnd w:id="21"/>
      <w:r>
        <w:t xml:space="preserve"> </w:t>
      </w:r>
    </w:p>
    <w:p w:rsidR="002F3B63" w:rsidRDefault="002F3B63" w:rsidP="002F3B63">
      <w:pPr>
        <w:spacing w:line="480" w:lineRule="auto"/>
      </w:pPr>
      <w:r>
        <w:tab/>
        <w:t>Before applying geostatistics to the Kang et al. (2014) dataset each parameter was analyzed using classical descriptive statistical methods to obtain mean, median, variance, and standard deviation values. The correlation coefficient (r), coefficient of determination (R</w:t>
      </w:r>
      <w:r w:rsidRPr="006C6E98">
        <w:rPr>
          <w:vertAlign w:val="superscript"/>
        </w:rPr>
        <w:t>2</w:t>
      </w:r>
      <w:r>
        <w:t xml:space="preserve">), and scatter diagrams were used to identify correlations between parameters. The descriptive statistics, along with histograms, were used to examine the frequency distribution of each parameter.  The Shapiro-Wilk (SW) normality test </w:t>
      </w:r>
      <w:r w:rsidR="00177749">
        <w:fldChar w:fldCharType="begin"/>
      </w:r>
      <w:r>
        <w:instrText xml:space="preserve"> ADDIN ZOTERO_ITEM CSL_CITATION {"citationID":"hfjpnkh2l","properties":{"formattedCitation":"(Shapiro and Wilk, 1965)","plainCitation":"(Shapiro and Wilk, 1965)"},"citationItems":[{"id":53,"uris":["http://zotero.org/users/1507390/items/8CQMPCJG"],"uri":["http://zotero.org/users/1507390/items/8CQMPCJG"],"itemData":{"id":53,"type":"article-journal","title":"An Analysis of Variance Test for Normality (Complete Samples)","container-title":"Biometrika","page":"591-611","volume":"52","issue":"3/4","source":"CrossRef","DOI":"10.2307/2333709","ISSN":"00063444","author":[{"family":"Shapiro","given":"Samuel"},{"family":"Wilk","given":"Martin"}],"issued":{"date-parts":[["1965",12]]},"accessed":{"date-parts":[["2014",4,2]]}}}],"schema":"https://github.com/citation-style-language/schema/raw/master/csl-citation.json"} </w:instrText>
      </w:r>
      <w:r w:rsidR="00177749">
        <w:fldChar w:fldCharType="separate"/>
      </w:r>
      <w:r w:rsidRPr="00E13E4E">
        <w:rPr>
          <w:rFonts w:ascii="Cambria" w:hAnsi="Cambria"/>
        </w:rPr>
        <w:t>(Shapiro and Wilk, 1965)</w:t>
      </w:r>
      <w:r w:rsidR="00177749">
        <w:fldChar w:fldCharType="end"/>
      </w:r>
      <w:r>
        <w:t xml:space="preserve"> was used to detect non-normal data and Quantile - Quantile (Q-Q) plots were employed to visualize the SW results. Non-normal parameters were transformed either using a logarithmic (i.e. log</w:t>
      </w:r>
      <w:r w:rsidRPr="00AE1C60">
        <w:rPr>
          <w:vertAlign w:val="subscript"/>
        </w:rPr>
        <w:t>10</w:t>
      </w:r>
      <w:r>
        <w:t>(x)) or inverse (i.e. 1/x) methods to obtain a normal or more normal distributions before applying geostatistical analysis.</w:t>
      </w:r>
      <w:r w:rsidRPr="004D3FCF">
        <w:t xml:space="preserve"> </w:t>
      </w:r>
      <w:r>
        <w:t>Transformed parameters were back-transformed before interpretation. Normality testing is essential because g</w:t>
      </w:r>
      <w:r w:rsidRPr="004D3FCF">
        <w:t>eostatistical methods are optimal when data are normally distributed</w:t>
      </w:r>
      <w:r>
        <w:t>,</w:t>
      </w:r>
      <w:r w:rsidRPr="004D3FCF">
        <w:t xml:space="preserve"> </w:t>
      </w:r>
      <w:r>
        <w:t xml:space="preserve">and </w:t>
      </w:r>
      <w:r w:rsidRPr="004D3FCF">
        <w:t xml:space="preserve">significant deviations from normality can cause problems with spatial prediction </w:t>
      </w:r>
      <w:r w:rsidR="00177749">
        <w:fldChar w:fldCharType="begin"/>
      </w:r>
      <w:r>
        <w:instrText xml:space="preserve"> ADDIN ZOTERO_ITEM CSL_CITATION {"citationID":"15gr0jt411","properties":{"formattedCitation":"(Bohling, 2005)","plainCitation":"(Bohling, 2005)"},"citationItems":[{"id":106,"uris":["http://zotero.org/users/1507390/items/G2IGH5XJ"],"uri":["http://zotero.org/users/1507390/items/G2IGH5XJ"],"itemData":{"id":106,"type":"article-journal","title":"Introduction to Geostatistics and Variogram Analysis","container-title":"Kansas geological survey","page":"20","journalAbbreviation":"Kansas geological survey","author":[{"family":"Bohling","given":"Geoff"}],"issued":{"date-parts":[["2005",10]]}}}],"schema":"https://github.com/citation-style-language/schema/raw/master/csl-citation.json"} </w:instrText>
      </w:r>
      <w:r w:rsidR="00177749">
        <w:fldChar w:fldCharType="separate"/>
      </w:r>
      <w:r w:rsidRPr="004D3FCF">
        <w:rPr>
          <w:rFonts w:ascii="Cambria" w:hAnsi="Cambria"/>
        </w:rPr>
        <w:t>(Bohling, 2005)</w:t>
      </w:r>
      <w:r w:rsidR="00177749">
        <w:fldChar w:fldCharType="end"/>
      </w:r>
      <w:r>
        <w:t xml:space="preserve">. These preliminary steps were performed in an effort to ensure quality results from the geostatistical analysis.  </w:t>
      </w:r>
    </w:p>
    <w:p w:rsidR="002F3B63" w:rsidRDefault="002F3B63" w:rsidP="002F3B63">
      <w:pPr>
        <w:pStyle w:val="Style2"/>
      </w:pPr>
      <w:bookmarkStart w:id="22" w:name="_Toc412485236"/>
      <w:bookmarkStart w:id="23" w:name="_Toc425427029"/>
      <w:r>
        <w:t>3.3 Trend Surface Analysis</w:t>
      </w:r>
      <w:bookmarkEnd w:id="22"/>
      <w:bookmarkEnd w:id="23"/>
    </w:p>
    <w:p w:rsidR="002F3B63" w:rsidRPr="00810A62" w:rsidRDefault="002F3B63" w:rsidP="002F3B63">
      <w:pPr>
        <w:spacing w:after="0" w:line="480" w:lineRule="auto"/>
        <w:ind w:firstLine="720"/>
        <w:rPr>
          <w:rFonts w:cs="Times New Roman"/>
          <w:szCs w:val="24"/>
        </w:rPr>
      </w:pPr>
      <w:r w:rsidRPr="00810A62">
        <w:rPr>
          <w:rFonts w:cs="Times New Roman"/>
          <w:szCs w:val="24"/>
        </w:rPr>
        <w:t xml:space="preserve">To understand the main purpose of conducting a trend surface analysis some basic restrictions of geostatistics must first be briefly discussed. </w:t>
      </w:r>
      <w:r>
        <w:rPr>
          <w:rFonts w:cs="Times New Roman"/>
          <w:szCs w:val="24"/>
        </w:rPr>
        <w:t>In order to perform geostati</w:t>
      </w:r>
      <w:r w:rsidR="00262627">
        <w:rPr>
          <w:rFonts w:cs="Times New Roman"/>
          <w:szCs w:val="24"/>
        </w:rPr>
        <w:t xml:space="preserve">stics a weak form of stationarity </w:t>
      </w:r>
      <w:r>
        <w:rPr>
          <w:rFonts w:cs="Times New Roman"/>
          <w:szCs w:val="24"/>
        </w:rPr>
        <w:t xml:space="preserve">known as the intrinsic hypothesis must be satisfied </w:t>
      </w:r>
      <w:r w:rsidR="00177749">
        <w:rPr>
          <w:rFonts w:cs="Times New Roman"/>
          <w:szCs w:val="24"/>
        </w:rPr>
        <w:fldChar w:fldCharType="begin"/>
      </w:r>
      <w:r>
        <w:rPr>
          <w:rFonts w:cs="Times New Roman"/>
          <w:szCs w:val="24"/>
        </w:rPr>
        <w:instrText xml:space="preserve"> ADDIN ZOTERO_ITEM CSL_CITATION {"citationID":"1nkrjb2375","properties":{"formattedCitation":"(Journel and Huijbregts, 1978)","plainCitation":"(Journel and Huijbregts, 1978)"},"citationItems":[{"id":506,"uris":["http://zotero.org/users/1507390/items/PDIKNT6K"],"uri":["http://zotero.org/users/1507390/items/PDIKNT6K"],"itemData":{"id":506,"type":"book","title":"Mining Geostatistics","publisher":"Academic Press","source":"infoscience.epfl.ch","URL":"http://infoscience.epfl.ch/record/27687","ISBN":"0-12-391050-1","author":[{"family":"Journel","given":"A. G."},{"family":"Huijbregts","given":"Ch J."}],"issued":{"date-parts":[["1978"]]},"accessed":{"date-parts":[["2015",2,23]]}}}],"schema":"https://github.com/citation-style-language/schema/raw/master/csl-citation.json"} </w:instrText>
      </w:r>
      <w:r w:rsidR="00177749">
        <w:rPr>
          <w:rFonts w:cs="Times New Roman"/>
          <w:szCs w:val="24"/>
        </w:rPr>
        <w:fldChar w:fldCharType="separate"/>
      </w:r>
      <w:r w:rsidRPr="00E11965">
        <w:rPr>
          <w:rFonts w:ascii="Cambria" w:hAnsi="Cambria"/>
        </w:rPr>
        <w:t>(Journel and Huijbregts, 1978)</w:t>
      </w:r>
      <w:r w:rsidR="00177749">
        <w:rPr>
          <w:rFonts w:cs="Times New Roman"/>
          <w:szCs w:val="24"/>
        </w:rPr>
        <w:fldChar w:fldCharType="end"/>
      </w:r>
      <w:r w:rsidRPr="00810A62">
        <w:rPr>
          <w:rFonts w:cs="Times New Roman"/>
          <w:szCs w:val="24"/>
        </w:rPr>
        <w:t xml:space="preserve">. </w:t>
      </w:r>
      <w:r>
        <w:rPr>
          <w:rFonts w:cs="Times New Roman"/>
          <w:szCs w:val="24"/>
        </w:rPr>
        <w:t xml:space="preserve">The intrinsic hypothesis as described by Vieira et al. (2010) requires that the mean and semivariance depend strictly on the separation distance of samples and </w:t>
      </w:r>
      <w:r>
        <w:rPr>
          <w:rFonts w:cs="Times New Roman"/>
          <w:szCs w:val="24"/>
        </w:rPr>
        <w:lastRenderedPageBreak/>
        <w:t xml:space="preserve">not on their coordinate location </w:t>
      </w:r>
      <w:r w:rsidR="00177749">
        <w:rPr>
          <w:rFonts w:cs="Times New Roman"/>
          <w:szCs w:val="24"/>
        </w:rPr>
        <w:fldChar w:fldCharType="begin"/>
      </w:r>
      <w:r>
        <w:rPr>
          <w:rFonts w:cs="Times New Roman"/>
          <w:szCs w:val="24"/>
        </w:rPr>
        <w:instrText xml:space="preserve"> ADDIN ZOTERO_ITEM CSL_CITATION {"citationID":"1cai15cklh","properties":{"formattedCitation":"(Vieira et al., 2010)","plainCitation":"(Vieira et al., 2010)"},"citationItems":[{"id":462,"uris":["http://zotero.org/users/1507390/items/4GVWJW8R"],"uri":["http://zotero.org/users/1507390/items/4GVWJW8R"],"itemData":{"id":462,"type":"article-journal","title":"Detrending non stationary data for geostatistical applications","container-title":"Bragantia","page":"01-08","volume":"69","source":"SciELO","DOI":"10.1590/S0006-87052010000500002","ISSN":"0006-8705","author":[{"family":"Vieira","given":"Sidney Rosa"},{"family":"Carvalho","given":"José Ruy Porto de"},{"family":"Ceddia","given":"Marcos Bacis"},{"family":"González","given":"Antonio Paz"}],"issued":{"date-parts":[["2010",1]]},"accessed":{"date-parts":[["2014",9,9]]}}}],"schema":"https://github.com/citation-style-language/schema/raw/master/csl-citation.json"} </w:instrText>
      </w:r>
      <w:r w:rsidR="00177749">
        <w:rPr>
          <w:rFonts w:cs="Times New Roman"/>
          <w:szCs w:val="24"/>
        </w:rPr>
        <w:fldChar w:fldCharType="separate"/>
      </w:r>
      <w:r w:rsidRPr="00E11965">
        <w:rPr>
          <w:rFonts w:ascii="Cambria" w:hAnsi="Cambria"/>
        </w:rPr>
        <w:t>(Vieira et al., 2010)</w:t>
      </w:r>
      <w:r w:rsidR="00177749">
        <w:rPr>
          <w:rFonts w:cs="Times New Roman"/>
          <w:szCs w:val="24"/>
        </w:rPr>
        <w:fldChar w:fldCharType="end"/>
      </w:r>
      <w:r>
        <w:rPr>
          <w:rFonts w:cs="Times New Roman"/>
          <w:szCs w:val="24"/>
        </w:rPr>
        <w:t xml:space="preserve">. Often, experimental data will not satisfy this restriction because of an underlying trend; therefore, a trend removal procedure is warranted to perform geostatistics </w:t>
      </w:r>
      <w:r w:rsidR="00177749">
        <w:rPr>
          <w:rFonts w:cs="Times New Roman"/>
          <w:szCs w:val="24"/>
        </w:rPr>
        <w:fldChar w:fldCharType="begin"/>
      </w:r>
      <w:r>
        <w:rPr>
          <w:rFonts w:cs="Times New Roman"/>
          <w:szCs w:val="24"/>
        </w:rPr>
        <w:instrText xml:space="preserve"> ADDIN ZOTERO_ITEM CSL_CITATION {"citationID":"chfpk94f8","properties":{"formattedCitation":"(Vieira et al., 1983)","plainCitation":"(Vieira et al., 1983)"},"citationItems":[{"id":526,"uris":["http://zotero.org/users/1507390/items/VB2WWA9T"],"uri":["http://zotero.org/users/1507390/items/VB2WWA9T"],"itemData":{"id":526,"type":"article-journal","title":"Geostatistical theory and application to variability of some agronomical properties","container-title":"Hilgardia","page":"1-75","volume":"51","issue":"3","source":"CrossRef","DOI":"10.3733/hilg.v51n03p075","ISSN":"0073-2230","language":"en","author":[{"family":"Vieira","given":"S. R."},{"family":"Hatfield","given":"J. L."},{"family":"Nielsen","given":"D. R."},{"family":"Biggar","given":"J. W."}],"issued":{"date-parts":[["1983",6]]},"accessed":{"date-parts":[["2015",2,25]]}}}],"schema":"https://github.com/citation-style-language/schema/raw/master/csl-citation.json"} </w:instrText>
      </w:r>
      <w:r w:rsidR="00177749">
        <w:rPr>
          <w:rFonts w:cs="Times New Roman"/>
          <w:szCs w:val="24"/>
        </w:rPr>
        <w:fldChar w:fldCharType="separate"/>
      </w:r>
      <w:r w:rsidRPr="00E11965">
        <w:rPr>
          <w:rFonts w:ascii="Cambria" w:hAnsi="Cambria"/>
        </w:rPr>
        <w:t>(Vieira et al., 1983)</w:t>
      </w:r>
      <w:r w:rsidR="00177749">
        <w:rPr>
          <w:rFonts w:cs="Times New Roman"/>
          <w:szCs w:val="24"/>
        </w:rPr>
        <w:fldChar w:fldCharType="end"/>
      </w:r>
      <w:r>
        <w:rPr>
          <w:rFonts w:cs="Times New Roman"/>
          <w:szCs w:val="24"/>
        </w:rPr>
        <w:t>.</w:t>
      </w:r>
      <w:r w:rsidR="00262627">
        <w:rPr>
          <w:rFonts w:cs="Times New Roman"/>
          <w:szCs w:val="24"/>
        </w:rPr>
        <w:t xml:space="preserve"> </w:t>
      </w:r>
      <w:r w:rsidRPr="00810A62">
        <w:rPr>
          <w:rFonts w:cs="Times New Roman"/>
          <w:szCs w:val="24"/>
        </w:rPr>
        <w:t>This necessitates the use of trend surface analysis</w:t>
      </w:r>
      <w:r>
        <w:rPr>
          <w:rFonts w:cs="Times New Roman"/>
          <w:szCs w:val="24"/>
        </w:rPr>
        <w:t xml:space="preserve"> to remove the trend. </w:t>
      </w:r>
      <w:r w:rsidRPr="00810A62">
        <w:rPr>
          <w:rFonts w:cs="Times New Roman"/>
          <w:szCs w:val="24"/>
        </w:rPr>
        <w:t xml:space="preserve"> </w:t>
      </w:r>
      <w:r>
        <w:rPr>
          <w:rFonts w:cs="Times New Roman"/>
          <w:szCs w:val="24"/>
        </w:rPr>
        <w:t>A</w:t>
      </w:r>
      <w:r w:rsidRPr="00810A62">
        <w:rPr>
          <w:rFonts w:cs="Times New Roman"/>
          <w:szCs w:val="24"/>
        </w:rPr>
        <w:t xml:space="preserve"> trend surface</w:t>
      </w:r>
      <w:r>
        <w:rPr>
          <w:rFonts w:cs="Times New Roman"/>
          <w:szCs w:val="24"/>
        </w:rPr>
        <w:t xml:space="preserve"> is fit to the </w:t>
      </w:r>
      <w:r w:rsidRPr="00810A62">
        <w:rPr>
          <w:rFonts w:cs="Times New Roman"/>
          <w:szCs w:val="24"/>
        </w:rPr>
        <w:t>experimental data</w:t>
      </w:r>
      <w:r>
        <w:rPr>
          <w:rFonts w:cs="Times New Roman"/>
          <w:szCs w:val="24"/>
        </w:rPr>
        <w:t xml:space="preserve"> by the method of least squares; then the predicted trend </w:t>
      </w:r>
      <w:r w:rsidRPr="00810A62">
        <w:rPr>
          <w:rFonts w:cs="Times New Roman"/>
          <w:szCs w:val="24"/>
        </w:rPr>
        <w:t>surface is subtracted from the experimental data leaving only the residuals. Geostatistical analysis is then performed</w:t>
      </w:r>
      <w:r>
        <w:rPr>
          <w:rFonts w:cs="Times New Roman"/>
          <w:szCs w:val="24"/>
        </w:rPr>
        <w:t xml:space="preserve"> on the residuals, which satisfies</w:t>
      </w:r>
      <w:r w:rsidRPr="00810A62">
        <w:rPr>
          <w:rFonts w:cs="Times New Roman"/>
          <w:szCs w:val="24"/>
        </w:rPr>
        <w:t xml:space="preserve"> the intrinsic hypothesis. </w:t>
      </w:r>
    </w:p>
    <w:p w:rsidR="002F3B63" w:rsidRDefault="002F3B63" w:rsidP="002F3B63">
      <w:pPr>
        <w:spacing w:after="0" w:line="480" w:lineRule="auto"/>
        <w:ind w:firstLine="720"/>
        <w:rPr>
          <w:rFonts w:cs="Times New Roman"/>
          <w:szCs w:val="24"/>
        </w:rPr>
      </w:pPr>
      <w:r w:rsidRPr="00810A62">
        <w:rPr>
          <w:rFonts w:cs="Times New Roman"/>
          <w:szCs w:val="24"/>
        </w:rPr>
        <w:t>The first objective of the trend surface analysis is to visualize</w:t>
      </w:r>
      <w:r>
        <w:rPr>
          <w:rFonts w:cs="Times New Roman"/>
          <w:szCs w:val="24"/>
        </w:rPr>
        <w:t>,</w:t>
      </w:r>
      <w:r w:rsidRPr="00810A62">
        <w:rPr>
          <w:rFonts w:cs="Times New Roman"/>
          <w:szCs w:val="24"/>
        </w:rPr>
        <w:t xml:space="preserve"> </w:t>
      </w:r>
      <w:r>
        <w:rPr>
          <w:rFonts w:cs="Times New Roman"/>
          <w:szCs w:val="24"/>
        </w:rPr>
        <w:t>in 2-dimensions,</w:t>
      </w:r>
      <w:r w:rsidRPr="00810A62">
        <w:rPr>
          <w:rFonts w:cs="Times New Roman"/>
          <w:szCs w:val="24"/>
        </w:rPr>
        <w:t xml:space="preserve"> trends </w:t>
      </w:r>
      <w:r w:rsidR="00BF3723">
        <w:rPr>
          <w:rFonts w:cs="Times New Roman"/>
          <w:szCs w:val="24"/>
        </w:rPr>
        <w:t>within</w:t>
      </w:r>
      <w:r w:rsidRPr="00810A62">
        <w:rPr>
          <w:rFonts w:cs="Times New Roman"/>
          <w:szCs w:val="24"/>
        </w:rPr>
        <w:t xml:space="preserve"> the soil column for each of</w:t>
      </w:r>
      <w:r>
        <w:rPr>
          <w:rFonts w:cs="Times New Roman"/>
          <w:szCs w:val="24"/>
        </w:rPr>
        <w:t xml:space="preserve"> the</w:t>
      </w:r>
      <w:r w:rsidRPr="00810A62">
        <w:rPr>
          <w:rFonts w:cs="Times New Roman"/>
          <w:szCs w:val="24"/>
        </w:rPr>
        <w:t xml:space="preserve"> </w:t>
      </w:r>
      <w:r>
        <w:rPr>
          <w:rFonts w:cs="Times New Roman"/>
          <w:szCs w:val="24"/>
        </w:rPr>
        <w:t>BC</w:t>
      </w:r>
      <w:r w:rsidRPr="00810A62">
        <w:rPr>
          <w:rFonts w:cs="Times New Roman"/>
          <w:szCs w:val="24"/>
        </w:rPr>
        <w:t xml:space="preserve"> parameters. This is accomplished by fitting a second degree polynomial equation to the experimental data using the </w:t>
      </w:r>
      <w:r>
        <w:rPr>
          <w:rFonts w:cs="Times New Roman"/>
          <w:szCs w:val="24"/>
        </w:rPr>
        <w:t xml:space="preserve">linear model function in R </w:t>
      </w:r>
      <w:r w:rsidR="00177749">
        <w:rPr>
          <w:rFonts w:cs="Times New Roman"/>
          <w:szCs w:val="24"/>
        </w:rPr>
        <w:fldChar w:fldCharType="begin"/>
      </w:r>
      <w:r>
        <w:rPr>
          <w:rFonts w:cs="Times New Roman"/>
          <w:szCs w:val="24"/>
        </w:rPr>
        <w:instrText xml:space="preserve"> ADDIN ZOTERO_ITEM CSL_CITATION {"citationID":"2ftcn94qhb","properties":{"formattedCitation":"(R Core Team, 2014)","plainCitation":"(R Core Team, 2014)"},"citationItems":[{"id":521,"uris":["http://zotero.org/users/1507390/items/4J2WAEDD"],"uri":["http://zotero.org/users/1507390/items/4J2WAEDD"],"itemData":{"id":521,"type":"book","title":"R: A language and environment for statistical computing","publisher":"R Foundation for Statistical Computing","publisher-place":"Vienna, Austria","event-place":"Vienna, Austria","URL":"http://www.R-project.org/","author":[{"family":"R Core Team","given":""}],"issued":{"date-parts":[["2014"]]}}}],"schema":"https://github.com/citation-style-language/schema/raw/master/csl-citation.json"} </w:instrText>
      </w:r>
      <w:r w:rsidR="00177749">
        <w:rPr>
          <w:rFonts w:cs="Times New Roman"/>
          <w:szCs w:val="24"/>
        </w:rPr>
        <w:fldChar w:fldCharType="separate"/>
      </w:r>
      <w:r w:rsidRPr="003E077F">
        <w:rPr>
          <w:rFonts w:ascii="Cambria" w:hAnsi="Cambria"/>
        </w:rPr>
        <w:t>(R Core Team, 2014)</w:t>
      </w:r>
      <w:r w:rsidR="00177749">
        <w:rPr>
          <w:rFonts w:cs="Times New Roman"/>
          <w:szCs w:val="24"/>
        </w:rPr>
        <w:fldChar w:fldCharType="end"/>
      </w:r>
      <w:r w:rsidRPr="00810A62">
        <w:rPr>
          <w:rFonts w:cs="Times New Roman"/>
          <w:szCs w:val="24"/>
        </w:rPr>
        <w:t xml:space="preserve">. The second degree polynomial equation is given by: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8"/>
        <w:gridCol w:w="7830"/>
        <w:gridCol w:w="828"/>
      </w:tblGrid>
      <w:tr w:rsidR="002F3B63" w:rsidTr="002F3B63">
        <w:tc>
          <w:tcPr>
            <w:tcW w:w="918" w:type="dxa"/>
          </w:tcPr>
          <w:p w:rsidR="002F3B63" w:rsidRPr="00826222" w:rsidRDefault="002F3B63" w:rsidP="002F3B63">
            <w:pPr>
              <w:spacing w:line="480" w:lineRule="auto"/>
              <w:jc w:val="both"/>
              <w:rPr>
                <w:rFonts w:cs="Times New Roman"/>
                <w:iCs/>
                <w:szCs w:val="24"/>
              </w:rPr>
            </w:pPr>
          </w:p>
        </w:tc>
        <w:tc>
          <w:tcPr>
            <w:tcW w:w="7830" w:type="dxa"/>
          </w:tcPr>
          <w:p w:rsidR="002F3B63" w:rsidRPr="00826222" w:rsidRDefault="00177749" w:rsidP="002F3B63">
            <w:pPr>
              <w:spacing w:line="480" w:lineRule="auto"/>
              <w:jc w:val="center"/>
              <w:rPr>
                <w:rFonts w:cs="Times New Roman"/>
                <w:iCs/>
                <w:szCs w:val="24"/>
              </w:rPr>
            </w:pPr>
            <m:oMathPara>
              <m:oMath>
                <m:sSub>
                  <m:sSubPr>
                    <m:ctrlPr>
                      <w:rPr>
                        <w:rFonts w:ascii="Cambria Math" w:hAnsi="Cambria Math" w:cs="Times New Roman"/>
                        <w:i/>
                        <w:szCs w:val="24"/>
                      </w:rPr>
                    </m:ctrlPr>
                  </m:sSubPr>
                  <m:e>
                    <m:acc>
                      <m:accPr>
                        <m:ctrlPr>
                          <w:rPr>
                            <w:rFonts w:ascii="Cambria Math" w:hAnsi="Cambria Math" w:cs="Times New Roman"/>
                            <w:i/>
                            <w:szCs w:val="24"/>
                          </w:rPr>
                        </m:ctrlPr>
                      </m:accPr>
                      <m:e>
                        <m:r>
                          <w:rPr>
                            <w:rFonts w:ascii="Cambria Math" w:hAnsi="Cambria Math" w:cs="Times New Roman"/>
                            <w:szCs w:val="24"/>
                          </w:rPr>
                          <m:t>z</m:t>
                        </m:r>
                      </m:e>
                    </m:acc>
                  </m:e>
                  <m:sub>
                    <m:r>
                      <w:rPr>
                        <w:rFonts w:ascii="Cambria Math" w:hAnsi="Cambria Math" w:cs="Times New Roman"/>
                        <w:szCs w:val="24"/>
                      </w:rPr>
                      <m:t>i</m:t>
                    </m:r>
                  </m:sub>
                </m:sSub>
                <m:r>
                  <m:rPr>
                    <m:sty m:val="p"/>
                  </m:rPr>
                  <w:rPr>
                    <w:rFonts w:ascii="Cambria Math" w:cs="Times New Roman"/>
                    <w:szCs w:val="24"/>
                  </w:rPr>
                  <m:t xml:space="preserve"> = </m:t>
                </m:r>
                <m:sSub>
                  <m:sSubPr>
                    <m:ctrlPr>
                      <w:rPr>
                        <w:rFonts w:ascii="Cambria Math" w:hAnsi="Cambria Math" w:cs="Times New Roman"/>
                        <w:szCs w:val="24"/>
                      </w:rPr>
                    </m:ctrlPr>
                  </m:sSubPr>
                  <m:e>
                    <m:r>
                      <m:rPr>
                        <m:sty m:val="p"/>
                      </m:rPr>
                      <w:rPr>
                        <w:rFonts w:ascii="Cambria Math" w:cs="Times New Roman"/>
                        <w:szCs w:val="24"/>
                      </w:rPr>
                      <m:t>b</m:t>
                    </m:r>
                  </m:e>
                  <m:sub>
                    <m:r>
                      <m:rPr>
                        <m:sty m:val="p"/>
                      </m:rPr>
                      <w:rPr>
                        <w:rFonts w:ascii="Cambria Math" w:cs="Times New Roman"/>
                        <w:szCs w:val="24"/>
                      </w:rPr>
                      <m:t>0</m:t>
                    </m:r>
                  </m:sub>
                </m:sSub>
                <m:r>
                  <m:rPr>
                    <m:sty m:val="p"/>
                  </m:rPr>
                  <w:rPr>
                    <w:rFonts w:ascii="Cambria Math" w:cs="Times New Roman"/>
                    <w:szCs w:val="24"/>
                    <w:vertAlign w:val="subscript"/>
                  </w:rPr>
                  <m:t xml:space="preserve"> </m:t>
                </m:r>
                <m:r>
                  <m:rPr>
                    <m:sty m:val="p"/>
                  </m:rPr>
                  <w:rPr>
                    <w:rFonts w:ascii="Cambria Math" w:cs="Times New Roman"/>
                    <w:szCs w:val="24"/>
                  </w:rPr>
                  <m:t xml:space="preserve">+ </m:t>
                </m:r>
                <m:sSub>
                  <m:sSubPr>
                    <m:ctrlPr>
                      <w:rPr>
                        <w:rFonts w:ascii="Cambria Math" w:hAnsi="Cambria Math" w:cs="Times New Roman"/>
                        <w:szCs w:val="24"/>
                      </w:rPr>
                    </m:ctrlPr>
                  </m:sSubPr>
                  <m:e>
                    <m:r>
                      <m:rPr>
                        <m:sty m:val="p"/>
                      </m:rPr>
                      <w:rPr>
                        <w:rFonts w:ascii="Cambria Math" w:cs="Times New Roman"/>
                        <w:szCs w:val="24"/>
                      </w:rPr>
                      <m:t>b</m:t>
                    </m:r>
                  </m:e>
                  <m:sub>
                    <m:r>
                      <m:rPr>
                        <m:sty m:val="p"/>
                      </m:rPr>
                      <w:rPr>
                        <w:rFonts w:ascii="Cambria Math" w:cs="Times New Roman"/>
                        <w:szCs w:val="24"/>
                      </w:rPr>
                      <m:t>1</m:t>
                    </m:r>
                  </m:sub>
                </m:sSub>
                <m:r>
                  <m:rPr>
                    <m:sty m:val="p"/>
                  </m:rPr>
                  <w:rPr>
                    <w:rFonts w:ascii="Cambria Math" w:cs="Times New Roman"/>
                    <w:szCs w:val="24"/>
                  </w:rPr>
                  <m:t xml:space="preserve">x + </m:t>
                </m:r>
                <m:sSub>
                  <m:sSubPr>
                    <m:ctrlPr>
                      <w:rPr>
                        <w:rFonts w:ascii="Cambria Math" w:hAnsi="Cambria Math" w:cs="Times New Roman"/>
                        <w:szCs w:val="24"/>
                      </w:rPr>
                    </m:ctrlPr>
                  </m:sSubPr>
                  <m:e>
                    <m:r>
                      <m:rPr>
                        <m:sty m:val="p"/>
                      </m:rPr>
                      <w:rPr>
                        <w:rFonts w:ascii="Cambria Math" w:cs="Times New Roman"/>
                        <w:szCs w:val="24"/>
                      </w:rPr>
                      <m:t>b</m:t>
                    </m:r>
                  </m:e>
                  <m:sub>
                    <m:r>
                      <m:rPr>
                        <m:sty m:val="p"/>
                      </m:rPr>
                      <w:rPr>
                        <w:rFonts w:ascii="Cambria Math" w:cs="Times New Roman"/>
                        <w:szCs w:val="24"/>
                      </w:rPr>
                      <m:t>2</m:t>
                    </m:r>
                  </m:sub>
                </m:sSub>
                <m:r>
                  <m:rPr>
                    <m:sty m:val="p"/>
                  </m:rPr>
                  <w:rPr>
                    <w:rFonts w:ascii="Cambria Math" w:cs="Times New Roman"/>
                    <w:szCs w:val="24"/>
                  </w:rPr>
                  <m:t>y +</m:t>
                </m:r>
                <m:sSub>
                  <m:sSubPr>
                    <m:ctrlPr>
                      <w:rPr>
                        <w:rFonts w:ascii="Cambria Math" w:hAnsi="Cambria Math" w:cs="Times New Roman"/>
                        <w:szCs w:val="24"/>
                      </w:rPr>
                    </m:ctrlPr>
                  </m:sSubPr>
                  <m:e>
                    <m:r>
                      <m:rPr>
                        <m:sty m:val="p"/>
                      </m:rPr>
                      <w:rPr>
                        <w:rFonts w:ascii="Cambria Math" w:cs="Times New Roman"/>
                        <w:szCs w:val="24"/>
                      </w:rPr>
                      <m:t>b</m:t>
                    </m:r>
                  </m:e>
                  <m:sub>
                    <m:r>
                      <m:rPr>
                        <m:sty m:val="p"/>
                      </m:rPr>
                      <w:rPr>
                        <w:rFonts w:ascii="Cambria Math" w:cs="Times New Roman"/>
                        <w:szCs w:val="24"/>
                      </w:rPr>
                      <m:t>3</m:t>
                    </m:r>
                  </m:sub>
                </m:sSub>
                <m:sSup>
                  <m:sSupPr>
                    <m:ctrlPr>
                      <w:rPr>
                        <w:rFonts w:ascii="Cambria Math" w:hAnsi="Cambria Math" w:cs="Times New Roman"/>
                        <w:szCs w:val="24"/>
                        <w:vertAlign w:val="subscript"/>
                      </w:rPr>
                    </m:ctrlPr>
                  </m:sSupPr>
                  <m:e>
                    <m:r>
                      <m:rPr>
                        <m:sty m:val="p"/>
                      </m:rPr>
                      <w:rPr>
                        <w:rFonts w:ascii="Cambria Math" w:cs="Times New Roman"/>
                        <w:szCs w:val="24"/>
                        <w:vertAlign w:val="subscript"/>
                      </w:rPr>
                      <m:t>x</m:t>
                    </m:r>
                  </m:e>
                  <m:sup>
                    <m:r>
                      <m:rPr>
                        <m:sty m:val="p"/>
                      </m:rPr>
                      <w:rPr>
                        <w:rFonts w:ascii="Cambria Math" w:cs="Times New Roman"/>
                        <w:szCs w:val="24"/>
                        <w:vertAlign w:val="subscript"/>
                      </w:rPr>
                      <m:t>2</m:t>
                    </m:r>
                  </m:sup>
                </m:sSup>
                <m:r>
                  <m:rPr>
                    <m:sty m:val="p"/>
                  </m:rPr>
                  <w:rPr>
                    <w:rFonts w:ascii="Cambria Math" w:cs="Times New Roman"/>
                    <w:szCs w:val="24"/>
                  </w:rPr>
                  <m:t xml:space="preserve"> + </m:t>
                </m:r>
                <m:sSub>
                  <m:sSubPr>
                    <m:ctrlPr>
                      <w:rPr>
                        <w:rFonts w:ascii="Cambria Math" w:hAnsi="Cambria Math" w:cs="Times New Roman"/>
                        <w:szCs w:val="24"/>
                      </w:rPr>
                    </m:ctrlPr>
                  </m:sSubPr>
                  <m:e>
                    <m:r>
                      <m:rPr>
                        <m:sty m:val="p"/>
                      </m:rPr>
                      <w:rPr>
                        <w:rFonts w:ascii="Cambria Math" w:cs="Times New Roman"/>
                        <w:szCs w:val="24"/>
                      </w:rPr>
                      <m:t>b</m:t>
                    </m:r>
                  </m:e>
                  <m:sub>
                    <m:r>
                      <m:rPr>
                        <m:sty m:val="p"/>
                      </m:rPr>
                      <w:rPr>
                        <w:rFonts w:ascii="Cambria Math" w:cs="Times New Roman"/>
                        <w:szCs w:val="24"/>
                      </w:rPr>
                      <m:t>4</m:t>
                    </m:r>
                  </m:sub>
                </m:sSub>
                <m:sSup>
                  <m:sSupPr>
                    <m:ctrlPr>
                      <w:rPr>
                        <w:rFonts w:ascii="Cambria Math" w:hAnsi="Cambria Math" w:cs="Times New Roman"/>
                        <w:szCs w:val="24"/>
                      </w:rPr>
                    </m:ctrlPr>
                  </m:sSupPr>
                  <m:e>
                    <m:r>
                      <m:rPr>
                        <m:sty m:val="p"/>
                      </m:rPr>
                      <w:rPr>
                        <w:rFonts w:ascii="Cambria Math" w:cs="Times New Roman"/>
                        <w:szCs w:val="24"/>
                      </w:rPr>
                      <m:t>y</m:t>
                    </m:r>
                  </m:e>
                  <m:sup>
                    <m:r>
                      <m:rPr>
                        <m:sty m:val="p"/>
                      </m:rPr>
                      <w:rPr>
                        <w:rFonts w:ascii="Cambria Math" w:cs="Times New Roman"/>
                        <w:szCs w:val="24"/>
                      </w:rPr>
                      <m:t>2</m:t>
                    </m:r>
                  </m:sup>
                </m:sSup>
                <m:r>
                  <m:rPr>
                    <m:sty m:val="p"/>
                  </m:rPr>
                  <w:rPr>
                    <w:rFonts w:ascii="Cambria Math" w:cs="Times New Roman"/>
                    <w:szCs w:val="24"/>
                  </w:rPr>
                  <m:t xml:space="preserve"> + </m:t>
                </m:r>
                <m:sSub>
                  <m:sSubPr>
                    <m:ctrlPr>
                      <w:rPr>
                        <w:rFonts w:ascii="Cambria Math" w:hAnsi="Cambria Math" w:cs="Times New Roman"/>
                        <w:szCs w:val="24"/>
                      </w:rPr>
                    </m:ctrlPr>
                  </m:sSubPr>
                  <m:e>
                    <m:r>
                      <m:rPr>
                        <m:sty m:val="p"/>
                      </m:rPr>
                      <w:rPr>
                        <w:rFonts w:ascii="Cambria Math" w:cs="Times New Roman"/>
                        <w:szCs w:val="24"/>
                      </w:rPr>
                      <m:t>b</m:t>
                    </m:r>
                  </m:e>
                  <m:sub>
                    <m:r>
                      <m:rPr>
                        <m:sty m:val="p"/>
                      </m:rPr>
                      <w:rPr>
                        <w:rFonts w:ascii="Cambria Math" w:cs="Times New Roman"/>
                        <w:szCs w:val="24"/>
                      </w:rPr>
                      <m:t>5</m:t>
                    </m:r>
                  </m:sub>
                </m:sSub>
                <m:r>
                  <m:rPr>
                    <m:sty m:val="p"/>
                  </m:rPr>
                  <w:rPr>
                    <w:rFonts w:ascii="Cambria Math" w:cs="Times New Roman"/>
                    <w:szCs w:val="24"/>
                  </w:rPr>
                  <m:t>xy</m:t>
                </m:r>
              </m:oMath>
            </m:oMathPara>
          </w:p>
        </w:tc>
        <w:tc>
          <w:tcPr>
            <w:tcW w:w="828" w:type="dxa"/>
          </w:tcPr>
          <w:p w:rsidR="002F3B63" w:rsidRPr="00826222" w:rsidRDefault="002F3B63" w:rsidP="002F3B63">
            <w:pPr>
              <w:spacing w:line="480" w:lineRule="auto"/>
              <w:jc w:val="right"/>
              <w:rPr>
                <w:rFonts w:cs="Times New Roman"/>
                <w:iCs/>
                <w:szCs w:val="24"/>
              </w:rPr>
            </w:pPr>
            <w:r w:rsidRPr="00826222">
              <w:rPr>
                <w:rFonts w:cs="Times New Roman"/>
                <w:iCs/>
                <w:szCs w:val="24"/>
              </w:rPr>
              <w:t>(</w:t>
            </w:r>
            <w:fldSimple w:instr=" SEQ Eq \* MERGEFORMAT ">
              <w:r w:rsidR="00885C9E" w:rsidRPr="00885C9E">
                <w:rPr>
                  <w:rFonts w:cs="Times New Roman"/>
                  <w:iCs/>
                  <w:noProof/>
                  <w:szCs w:val="24"/>
                </w:rPr>
                <w:t>2</w:t>
              </w:r>
            </w:fldSimple>
            <w:r w:rsidRPr="00826222">
              <w:rPr>
                <w:rFonts w:cs="Times New Roman"/>
                <w:iCs/>
                <w:szCs w:val="24"/>
              </w:rPr>
              <w:t>)</w:t>
            </w:r>
          </w:p>
        </w:tc>
      </w:tr>
    </w:tbl>
    <w:p w:rsidR="002F3B63" w:rsidRPr="00810A62" w:rsidRDefault="002F3B63" w:rsidP="002F3B63">
      <w:pPr>
        <w:spacing w:after="0" w:line="480" w:lineRule="auto"/>
        <w:rPr>
          <w:rFonts w:cs="Times New Roman"/>
          <w:szCs w:val="24"/>
        </w:rPr>
      </w:pPr>
      <w:r w:rsidRPr="00810A62">
        <w:rPr>
          <w:rFonts w:cs="Times New Roman"/>
          <w:szCs w:val="24"/>
        </w:rPr>
        <w:t xml:space="preserve">where </w:t>
      </w:r>
      <m:oMath>
        <m:sSub>
          <m:sSubPr>
            <m:ctrlPr>
              <w:rPr>
                <w:rFonts w:ascii="Cambria Math" w:hAnsi="Cambria Math" w:cs="Times New Roman"/>
                <w:i/>
                <w:szCs w:val="24"/>
              </w:rPr>
            </m:ctrlPr>
          </m:sSubPr>
          <m:e>
            <m:acc>
              <m:accPr>
                <m:ctrlPr>
                  <w:rPr>
                    <w:rFonts w:ascii="Cambria Math" w:hAnsi="Cambria Math" w:cs="Times New Roman"/>
                    <w:i/>
                    <w:szCs w:val="24"/>
                  </w:rPr>
                </m:ctrlPr>
              </m:accPr>
              <m:e>
                <m:r>
                  <w:rPr>
                    <w:rFonts w:ascii="Cambria Math" w:hAnsi="Cambria Math" w:cs="Times New Roman"/>
                    <w:szCs w:val="24"/>
                  </w:rPr>
                  <m:t>z</m:t>
                </m:r>
              </m:e>
            </m:acc>
          </m:e>
          <m:sub>
            <m:r>
              <w:rPr>
                <w:rFonts w:ascii="Cambria Math" w:hAnsi="Cambria Math" w:cs="Times New Roman"/>
                <w:szCs w:val="24"/>
              </w:rPr>
              <m:t>i</m:t>
            </m:r>
          </m:sub>
        </m:sSub>
      </m:oMath>
      <w:r w:rsidRPr="00810A62">
        <w:rPr>
          <w:rFonts w:cs="Times New Roman"/>
          <w:szCs w:val="24"/>
        </w:rPr>
        <w:t xml:space="preserve"> is the estimated Brooks and Corey parameter, b</w:t>
      </w:r>
      <w:r w:rsidRPr="00810A62">
        <w:rPr>
          <w:rFonts w:cs="Times New Roman"/>
          <w:szCs w:val="24"/>
          <w:vertAlign w:val="subscript"/>
        </w:rPr>
        <w:t>0</w:t>
      </w:r>
      <w:r w:rsidRPr="00810A62">
        <w:rPr>
          <w:rFonts w:cs="Times New Roman"/>
          <w:szCs w:val="24"/>
        </w:rPr>
        <w:t xml:space="preserve"> is the y-intercept, b</w:t>
      </w:r>
      <w:r w:rsidRPr="00810A62">
        <w:rPr>
          <w:rFonts w:cs="Times New Roman"/>
          <w:szCs w:val="24"/>
          <w:vertAlign w:val="subscript"/>
        </w:rPr>
        <w:t>1</w:t>
      </w:r>
      <w:r w:rsidRPr="00810A62">
        <w:rPr>
          <w:rFonts w:cs="Times New Roman"/>
          <w:szCs w:val="24"/>
        </w:rPr>
        <w:t xml:space="preserve"> and b</w:t>
      </w:r>
      <w:r w:rsidRPr="00810A62">
        <w:rPr>
          <w:rFonts w:cs="Times New Roman"/>
          <w:szCs w:val="24"/>
          <w:vertAlign w:val="subscript"/>
        </w:rPr>
        <w:t>2</w:t>
      </w:r>
      <w:r w:rsidRPr="00810A62">
        <w:rPr>
          <w:rFonts w:cs="Times New Roman"/>
          <w:szCs w:val="24"/>
        </w:rPr>
        <w:t xml:space="preserve"> are first degree coefficients of the slope of the x and y coordinates, b</w:t>
      </w:r>
      <w:r w:rsidRPr="00810A62">
        <w:rPr>
          <w:rFonts w:cs="Times New Roman"/>
          <w:szCs w:val="24"/>
          <w:vertAlign w:val="subscript"/>
        </w:rPr>
        <w:t>3</w:t>
      </w:r>
      <w:r>
        <w:rPr>
          <w:rFonts w:cs="Times New Roman"/>
          <w:szCs w:val="24"/>
        </w:rPr>
        <w:t xml:space="preserve"> and </w:t>
      </w:r>
      <w:r w:rsidRPr="00810A62">
        <w:rPr>
          <w:rFonts w:cs="Times New Roman"/>
          <w:szCs w:val="24"/>
        </w:rPr>
        <w:t>b</w:t>
      </w:r>
      <w:r w:rsidRPr="00810A62">
        <w:rPr>
          <w:rFonts w:cs="Times New Roman"/>
          <w:szCs w:val="24"/>
          <w:vertAlign w:val="subscript"/>
        </w:rPr>
        <w:t>4</w:t>
      </w:r>
      <w:r>
        <w:rPr>
          <w:rFonts w:cs="Times New Roman"/>
          <w:szCs w:val="24"/>
        </w:rPr>
        <w:t xml:space="preserve"> </w:t>
      </w:r>
      <w:r w:rsidRPr="00810A62">
        <w:rPr>
          <w:rFonts w:cs="Times New Roman"/>
          <w:szCs w:val="24"/>
        </w:rPr>
        <w:t>are second degree coefficients corresponding to the curvilinear trends of x</w:t>
      </w:r>
      <w:r w:rsidRPr="00810A62">
        <w:rPr>
          <w:rFonts w:cs="Times New Roman"/>
          <w:szCs w:val="24"/>
          <w:vertAlign w:val="superscript"/>
        </w:rPr>
        <w:t>2</w:t>
      </w:r>
      <w:r w:rsidRPr="00810A62">
        <w:rPr>
          <w:rFonts w:cs="Times New Roman"/>
          <w:szCs w:val="24"/>
        </w:rPr>
        <w:t xml:space="preserve"> and y</w:t>
      </w:r>
      <w:r w:rsidRPr="00810A62">
        <w:rPr>
          <w:rFonts w:cs="Times New Roman"/>
          <w:szCs w:val="24"/>
          <w:vertAlign w:val="superscript"/>
        </w:rPr>
        <w:t>2</w:t>
      </w:r>
      <w:r w:rsidRPr="00810A62">
        <w:rPr>
          <w:rFonts w:cs="Times New Roman"/>
          <w:szCs w:val="24"/>
        </w:rPr>
        <w:t xml:space="preserve">, and </w:t>
      </w:r>
      <w:r w:rsidRPr="002E4FE4">
        <w:rPr>
          <w:rFonts w:cs="Times New Roman"/>
          <w:szCs w:val="24"/>
        </w:rPr>
        <w:t>b</w:t>
      </w:r>
      <w:r w:rsidRPr="002E4FE4">
        <w:rPr>
          <w:rFonts w:cs="Times New Roman"/>
          <w:szCs w:val="24"/>
          <w:vertAlign w:val="subscript"/>
        </w:rPr>
        <w:t>5</w:t>
      </w:r>
      <w:r>
        <w:rPr>
          <w:rFonts w:cs="Times New Roman"/>
          <w:szCs w:val="24"/>
        </w:rPr>
        <w:t xml:space="preserve"> is </w:t>
      </w:r>
      <w:r w:rsidRPr="002E4FE4">
        <w:rPr>
          <w:rFonts w:cs="Times New Roman"/>
          <w:szCs w:val="24"/>
        </w:rPr>
        <w:t>the</w:t>
      </w:r>
      <w:r>
        <w:rPr>
          <w:rFonts w:cs="Times New Roman"/>
          <w:szCs w:val="24"/>
        </w:rPr>
        <w:t xml:space="preserve"> coefficient for the</w:t>
      </w:r>
      <w:r w:rsidRPr="00810A62">
        <w:rPr>
          <w:rFonts w:cs="Times New Roman"/>
          <w:szCs w:val="24"/>
        </w:rPr>
        <w:t xml:space="preserve"> cross product term, x </w:t>
      </w:r>
      <m:oMath>
        <m:r>
          <w:rPr>
            <w:rFonts w:ascii="Cambria Math" w:cs="Times New Roman"/>
            <w:szCs w:val="24"/>
          </w:rPr>
          <m:t>×</m:t>
        </m:r>
      </m:oMath>
      <w:r w:rsidRPr="00810A62">
        <w:rPr>
          <w:rFonts w:eastAsiaTheme="minorEastAsia" w:cs="Times New Roman"/>
          <w:szCs w:val="24"/>
        </w:rPr>
        <w:t xml:space="preserve"> </w:t>
      </w:r>
      <w:r>
        <w:rPr>
          <w:rFonts w:cs="Times New Roman"/>
          <w:szCs w:val="24"/>
        </w:rPr>
        <w:t>y. R uses Ordinary Least S</w:t>
      </w:r>
      <w:r w:rsidRPr="00810A62">
        <w:rPr>
          <w:rFonts w:cs="Times New Roman"/>
          <w:szCs w:val="24"/>
        </w:rPr>
        <w:t>quares (OLS) to estimate</w:t>
      </w:r>
      <w:r>
        <w:rPr>
          <w:rFonts w:cs="Times New Roman"/>
          <w:szCs w:val="24"/>
        </w:rPr>
        <w:t xml:space="preserve"> the</w:t>
      </w:r>
      <w:r w:rsidRPr="00810A62">
        <w:rPr>
          <w:rFonts w:cs="Times New Roman"/>
          <w:szCs w:val="24"/>
        </w:rPr>
        <w:t xml:space="preserve"> slope coefficients (b</w:t>
      </w:r>
      <w:r w:rsidRPr="00810A62">
        <w:rPr>
          <w:rFonts w:cs="Times New Roman"/>
          <w:szCs w:val="24"/>
          <w:vertAlign w:val="subscript"/>
        </w:rPr>
        <w:t>i</w:t>
      </w:r>
      <w:r w:rsidRPr="00810A62">
        <w:rPr>
          <w:rFonts w:cs="Times New Roman"/>
          <w:szCs w:val="24"/>
        </w:rPr>
        <w:t xml:space="preserve">), and fit the polynomial to the experimental data. Once the trend surface is fitted to the data the following statistics </w:t>
      </w:r>
      <w:r>
        <w:rPr>
          <w:rFonts w:cs="Times New Roman"/>
          <w:szCs w:val="24"/>
        </w:rPr>
        <w:t>are available</w:t>
      </w:r>
      <w:r w:rsidRPr="00810A62">
        <w:rPr>
          <w:rFonts w:cs="Times New Roman"/>
          <w:szCs w:val="24"/>
        </w:rPr>
        <w:t xml:space="preserve"> to determine</w:t>
      </w:r>
      <w:r>
        <w:rPr>
          <w:rFonts w:cs="Times New Roman"/>
          <w:szCs w:val="24"/>
        </w:rPr>
        <w:t xml:space="preserve"> goodness of</w:t>
      </w:r>
      <w:r w:rsidRPr="00810A62">
        <w:rPr>
          <w:rFonts w:cs="Times New Roman"/>
          <w:szCs w:val="24"/>
        </w:rPr>
        <w:t xml:space="preserve"> fit and significance of the trend surface: coefficient of determination (R</w:t>
      </w:r>
      <w:r w:rsidRPr="00810A62">
        <w:rPr>
          <w:rFonts w:cs="Times New Roman"/>
          <w:szCs w:val="24"/>
          <w:vertAlign w:val="superscript"/>
        </w:rPr>
        <w:t>2</w:t>
      </w:r>
      <w:r w:rsidRPr="00810A62">
        <w:rPr>
          <w:rFonts w:cs="Times New Roman"/>
          <w:szCs w:val="24"/>
        </w:rPr>
        <w:t>), F-statistic, probability associated with the F-statistic (p &gt; F), residual degrees of freedom (Residual DF), model degrees of freedom (Model DF), st</w:t>
      </w:r>
      <w:r>
        <w:rPr>
          <w:rFonts w:cs="Times New Roman"/>
          <w:szCs w:val="24"/>
        </w:rPr>
        <w:t>andard error (SE), t-value, and</w:t>
      </w:r>
      <w:r w:rsidRPr="00810A62">
        <w:rPr>
          <w:rFonts w:cs="Times New Roman"/>
          <w:szCs w:val="24"/>
        </w:rPr>
        <w:t xml:space="preserve"> probability associated with the t-value (p &gt; | t |). </w:t>
      </w:r>
    </w:p>
    <w:p w:rsidR="002F3B63" w:rsidRDefault="002F3B63" w:rsidP="002F3B63">
      <w:pPr>
        <w:spacing w:after="0" w:line="480" w:lineRule="auto"/>
        <w:ind w:firstLine="720"/>
        <w:rPr>
          <w:rFonts w:cs="Times New Roman"/>
          <w:szCs w:val="24"/>
        </w:rPr>
      </w:pPr>
      <w:r w:rsidRPr="00810A62">
        <w:rPr>
          <w:rFonts w:cs="Times New Roman"/>
          <w:szCs w:val="24"/>
        </w:rPr>
        <w:lastRenderedPageBreak/>
        <w:t>OLS fits a regression plane to the experimental data by minimizing the residuals (the vertical distances to the plane). In other words, OLS attempts to find a “best fit surface” that minimizes the distance between the experimental data points and the predicted surface. OLS fits the experimental data to the polynomial so that the sum of squared</w:t>
      </w:r>
      <w:r>
        <w:rPr>
          <w:rFonts w:cs="Times New Roman"/>
          <w:szCs w:val="24"/>
        </w:rPr>
        <w:t xml:space="preserve"> residuals (SSR) is minimized, i.e.</w:t>
      </w:r>
      <w:r w:rsidRPr="00810A62">
        <w:rPr>
          <w:rFonts w:cs="Times New Roman"/>
          <w:szCs w:val="24"/>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8"/>
        <w:gridCol w:w="7830"/>
        <w:gridCol w:w="828"/>
      </w:tblGrid>
      <w:tr w:rsidR="002F3B63" w:rsidTr="002F3B63">
        <w:tc>
          <w:tcPr>
            <w:tcW w:w="918" w:type="dxa"/>
          </w:tcPr>
          <w:p w:rsidR="002F3B63" w:rsidRPr="00826222" w:rsidRDefault="002F3B63" w:rsidP="002F3B63">
            <w:pPr>
              <w:spacing w:line="480" w:lineRule="auto"/>
              <w:jc w:val="both"/>
              <w:rPr>
                <w:rFonts w:cs="Times New Roman"/>
                <w:iCs/>
                <w:szCs w:val="24"/>
              </w:rPr>
            </w:pPr>
          </w:p>
        </w:tc>
        <w:tc>
          <w:tcPr>
            <w:tcW w:w="7830" w:type="dxa"/>
          </w:tcPr>
          <w:p w:rsidR="002F3B63" w:rsidRPr="00826222" w:rsidRDefault="002F3B63" w:rsidP="002F3B63">
            <w:pPr>
              <w:spacing w:line="480" w:lineRule="auto"/>
              <w:jc w:val="center"/>
              <w:rPr>
                <w:rFonts w:cs="Times New Roman"/>
                <w:iCs/>
                <w:szCs w:val="24"/>
              </w:rPr>
            </w:pPr>
            <m:oMathPara>
              <m:oMath>
                <m:r>
                  <w:rPr>
                    <w:rFonts w:ascii="Cambria Math" w:hAnsi="Cambria Math" w:cs="Times New Roman"/>
                    <w:szCs w:val="24"/>
                  </w:rPr>
                  <m:t>SSR</m:t>
                </m:r>
                <m:r>
                  <w:rPr>
                    <w:rFonts w:ascii="Cambria Math" w:cs="Times New Roman"/>
                    <w:szCs w:val="24"/>
                  </w:rPr>
                  <m:t xml:space="preserve">= </m:t>
                </m:r>
                <m:nary>
                  <m:naryPr>
                    <m:chr m:val="∑"/>
                    <m:limLoc m:val="undOvr"/>
                    <m:ctrlPr>
                      <w:rPr>
                        <w:rFonts w:ascii="Cambria Math" w:hAnsi="Cambria Math" w:cs="Times New Roman"/>
                        <w:i/>
                        <w:szCs w:val="24"/>
                      </w:rPr>
                    </m:ctrlPr>
                  </m:naryPr>
                  <m:sub>
                    <m:r>
                      <w:rPr>
                        <w:rFonts w:ascii="Cambria Math" w:hAnsi="Cambria Math" w:cs="Times New Roman"/>
                        <w:szCs w:val="24"/>
                      </w:rPr>
                      <m:t>i</m:t>
                    </m:r>
                    <m:r>
                      <w:rPr>
                        <w:rFonts w:ascii="Cambria Math" w:cs="Times New Roman"/>
                        <w:szCs w:val="24"/>
                      </w:rPr>
                      <m:t>=1</m:t>
                    </m:r>
                  </m:sub>
                  <m:sup>
                    <m:r>
                      <w:rPr>
                        <w:rFonts w:ascii="Cambria Math" w:hAnsi="Cambria Math" w:cs="Times New Roman"/>
                        <w:szCs w:val="24"/>
                      </w:rPr>
                      <m:t>n</m:t>
                    </m:r>
                  </m:sup>
                  <m:e>
                    <m:r>
                      <w:rPr>
                        <w:rFonts w:ascii="Cambria Math" w:cs="Times New Roman"/>
                        <w:szCs w:val="24"/>
                      </w:rPr>
                      <m:t xml:space="preserve">[ </m:t>
                    </m:r>
                    <m:sSub>
                      <m:sSubPr>
                        <m:ctrlPr>
                          <w:rPr>
                            <w:rFonts w:ascii="Cambria Math" w:hAnsi="Cambria Math" w:cs="Times New Roman"/>
                            <w:i/>
                            <w:szCs w:val="24"/>
                          </w:rPr>
                        </m:ctrlPr>
                      </m:sSubPr>
                      <m:e>
                        <m:r>
                          <w:rPr>
                            <w:rFonts w:ascii="Cambria Math" w:hAnsi="Cambria Math" w:cs="Times New Roman"/>
                            <w:szCs w:val="24"/>
                          </w:rPr>
                          <m:t>z</m:t>
                        </m:r>
                      </m:e>
                      <m:sub>
                        <m:r>
                          <w:rPr>
                            <w:rFonts w:ascii="Cambria Math" w:hAnsi="Cambria Math" w:cs="Times New Roman"/>
                            <w:szCs w:val="24"/>
                          </w:rPr>
                          <m:t>i</m:t>
                        </m:r>
                      </m:sub>
                    </m:sSub>
                    <m:r>
                      <w:rPr>
                        <w:rFonts w:cs="Times New Roman"/>
                        <w:szCs w:val="24"/>
                      </w:rPr>
                      <m:t>-</m:t>
                    </m:r>
                    <m:r>
                      <w:rPr>
                        <w:rFonts w:ascii="Cambria Math" w:cs="Times New Roman"/>
                        <w:szCs w:val="24"/>
                      </w:rPr>
                      <m:t xml:space="preserve"> </m:t>
                    </m:r>
                    <m:sSub>
                      <m:sSubPr>
                        <m:ctrlPr>
                          <w:rPr>
                            <w:rFonts w:ascii="Cambria Math" w:hAnsi="Cambria Math" w:cs="Times New Roman"/>
                            <w:i/>
                            <w:szCs w:val="24"/>
                          </w:rPr>
                        </m:ctrlPr>
                      </m:sSubPr>
                      <m:e>
                        <m:acc>
                          <m:accPr>
                            <m:ctrlPr>
                              <w:rPr>
                                <w:rFonts w:ascii="Cambria Math" w:hAnsi="Cambria Math" w:cs="Times New Roman"/>
                                <w:i/>
                                <w:szCs w:val="24"/>
                              </w:rPr>
                            </m:ctrlPr>
                          </m:accPr>
                          <m:e>
                            <m:r>
                              <w:rPr>
                                <w:rFonts w:ascii="Cambria Math" w:hAnsi="Cambria Math" w:cs="Times New Roman"/>
                                <w:szCs w:val="24"/>
                              </w:rPr>
                              <m:t>z</m:t>
                            </m:r>
                          </m:e>
                        </m:acc>
                      </m:e>
                      <m:sub>
                        <m:r>
                          <w:rPr>
                            <w:rFonts w:ascii="Cambria Math" w:hAnsi="Cambria Math" w:cs="Times New Roman"/>
                            <w:szCs w:val="24"/>
                          </w:rPr>
                          <m:t>i</m:t>
                        </m:r>
                      </m:sub>
                    </m:sSub>
                    <m:sSup>
                      <m:sSupPr>
                        <m:ctrlPr>
                          <w:rPr>
                            <w:rFonts w:ascii="Cambria Math" w:hAnsi="Cambria Math" w:cs="Times New Roman"/>
                            <w:i/>
                            <w:szCs w:val="24"/>
                          </w:rPr>
                        </m:ctrlPr>
                      </m:sSupPr>
                      <m:e>
                        <m:r>
                          <w:rPr>
                            <w:rFonts w:ascii="Cambria Math" w:cs="Times New Roman"/>
                            <w:szCs w:val="24"/>
                          </w:rPr>
                          <m:t>]</m:t>
                        </m:r>
                      </m:e>
                      <m:sup>
                        <m:r>
                          <w:rPr>
                            <w:rFonts w:ascii="Cambria Math" w:cs="Times New Roman"/>
                            <w:szCs w:val="24"/>
                          </w:rPr>
                          <m:t>2</m:t>
                        </m:r>
                      </m:sup>
                    </m:sSup>
                  </m:e>
                </m:nary>
              </m:oMath>
            </m:oMathPara>
          </w:p>
        </w:tc>
        <w:tc>
          <w:tcPr>
            <w:tcW w:w="828" w:type="dxa"/>
          </w:tcPr>
          <w:p w:rsidR="002F3B63" w:rsidRDefault="002F3B63" w:rsidP="002F3B63">
            <w:pPr>
              <w:jc w:val="right"/>
              <w:rPr>
                <w:rFonts w:cs="Times New Roman"/>
                <w:iCs/>
                <w:szCs w:val="24"/>
              </w:rPr>
            </w:pPr>
          </w:p>
          <w:p w:rsidR="002F3B63" w:rsidRPr="00826222" w:rsidRDefault="002F3B63" w:rsidP="002F3B63">
            <w:pPr>
              <w:jc w:val="right"/>
              <w:rPr>
                <w:rFonts w:cs="Times New Roman"/>
                <w:iCs/>
                <w:szCs w:val="24"/>
              </w:rPr>
            </w:pPr>
            <w:r w:rsidRPr="00826222">
              <w:rPr>
                <w:rFonts w:cs="Times New Roman"/>
                <w:iCs/>
                <w:szCs w:val="24"/>
              </w:rPr>
              <w:t>(</w:t>
            </w:r>
            <w:fldSimple w:instr=" SEQ Eq \* MERGEFORMAT ">
              <w:r w:rsidR="00885C9E" w:rsidRPr="00885C9E">
                <w:rPr>
                  <w:rFonts w:cs="Times New Roman"/>
                  <w:iCs/>
                  <w:noProof/>
                  <w:szCs w:val="24"/>
                </w:rPr>
                <w:t>3</w:t>
              </w:r>
            </w:fldSimple>
            <w:r w:rsidRPr="00826222">
              <w:rPr>
                <w:rFonts w:cs="Times New Roman"/>
                <w:iCs/>
                <w:szCs w:val="24"/>
              </w:rPr>
              <w:t>)</w:t>
            </w:r>
          </w:p>
        </w:tc>
      </w:tr>
    </w:tbl>
    <w:p w:rsidR="00FA386B" w:rsidRDefault="002F3B63" w:rsidP="002F3B63">
      <w:pPr>
        <w:spacing w:after="0" w:line="480" w:lineRule="auto"/>
        <w:rPr>
          <w:rFonts w:cs="Times New Roman"/>
          <w:bCs/>
          <w:szCs w:val="24"/>
        </w:rPr>
      </w:pPr>
      <w:r w:rsidRPr="00810A62">
        <w:rPr>
          <w:rFonts w:cs="Times New Roman"/>
          <w:szCs w:val="24"/>
        </w:rPr>
        <w:t xml:space="preserve">where </w:t>
      </w:r>
      <m:oMath>
        <m:sSub>
          <m:sSubPr>
            <m:ctrlPr>
              <w:rPr>
                <w:rFonts w:ascii="Cambria Math" w:hAnsi="Cambria Math" w:cs="Times New Roman"/>
                <w:i/>
                <w:szCs w:val="24"/>
              </w:rPr>
            </m:ctrlPr>
          </m:sSubPr>
          <m:e>
            <m:r>
              <w:rPr>
                <w:rFonts w:ascii="Cambria Math" w:hAnsi="Cambria Math" w:cs="Times New Roman"/>
                <w:szCs w:val="24"/>
              </w:rPr>
              <m:t>z</m:t>
            </m:r>
          </m:e>
          <m:sub>
            <m:r>
              <w:rPr>
                <w:rFonts w:ascii="Cambria Math" w:hAnsi="Cambria Math" w:cs="Times New Roman"/>
                <w:szCs w:val="24"/>
              </w:rPr>
              <m:t>i</m:t>
            </m:r>
          </m:sub>
        </m:sSub>
      </m:oMath>
      <w:r w:rsidRPr="00810A62">
        <w:rPr>
          <w:rFonts w:cs="Times New Roman"/>
          <w:szCs w:val="24"/>
        </w:rPr>
        <w:t xml:space="preserve"> is the actual value and </w:t>
      </w:r>
      <m:oMath>
        <m:sSub>
          <m:sSubPr>
            <m:ctrlPr>
              <w:rPr>
                <w:rFonts w:ascii="Cambria Math" w:hAnsi="Cambria Math" w:cs="Times New Roman"/>
                <w:i/>
                <w:szCs w:val="24"/>
              </w:rPr>
            </m:ctrlPr>
          </m:sSubPr>
          <m:e>
            <m:acc>
              <m:accPr>
                <m:ctrlPr>
                  <w:rPr>
                    <w:rFonts w:ascii="Cambria Math" w:hAnsi="Cambria Math" w:cs="Times New Roman"/>
                    <w:i/>
                    <w:szCs w:val="24"/>
                  </w:rPr>
                </m:ctrlPr>
              </m:accPr>
              <m:e>
                <m:r>
                  <w:rPr>
                    <w:rFonts w:ascii="Cambria Math" w:hAnsi="Cambria Math" w:cs="Times New Roman"/>
                    <w:szCs w:val="24"/>
                  </w:rPr>
                  <m:t>z</m:t>
                </m:r>
              </m:e>
            </m:acc>
          </m:e>
          <m:sub>
            <m:r>
              <w:rPr>
                <w:rFonts w:ascii="Cambria Math" w:hAnsi="Cambria Math" w:cs="Times New Roman"/>
                <w:szCs w:val="24"/>
              </w:rPr>
              <m:t>i</m:t>
            </m:r>
          </m:sub>
        </m:sSub>
      </m:oMath>
      <w:r w:rsidRPr="00810A62">
        <w:rPr>
          <w:rFonts w:eastAsiaTheme="minorEastAsia" w:cs="Times New Roman"/>
          <w:szCs w:val="24"/>
        </w:rPr>
        <w:t xml:space="preserve"> is the predicted value</w:t>
      </w:r>
      <w:r w:rsidRPr="00810A62">
        <w:rPr>
          <w:rFonts w:cs="Times New Roman"/>
          <w:szCs w:val="24"/>
        </w:rPr>
        <w:t xml:space="preserve">. </w:t>
      </w:r>
      <w:r w:rsidRPr="00810A62">
        <w:rPr>
          <w:rFonts w:cs="Times New Roman"/>
          <w:bCs/>
          <w:szCs w:val="24"/>
        </w:rPr>
        <w:t xml:space="preserve">OLS is an appropriate approach when trying to fit a polynomial trend to spatial data; however, it is not a good interpolation technique because it does not assume residuals are spatially correlated </w:t>
      </w:r>
      <w:r w:rsidR="00177749">
        <w:rPr>
          <w:rFonts w:cs="Times New Roman"/>
          <w:bCs/>
          <w:szCs w:val="24"/>
        </w:rPr>
        <w:fldChar w:fldCharType="begin"/>
      </w:r>
      <w:r>
        <w:rPr>
          <w:rFonts w:cs="Times New Roman"/>
          <w:bCs/>
          <w:szCs w:val="24"/>
        </w:rPr>
        <w:instrText xml:space="preserve"> ADDIN ZOTERO_ITEM CSL_CITATION {"citationID":"fbjqvlcfc","properties":{"formattedCitation":"(Dubrule, 2003)","plainCitation":"(Dubrule, 2003)"},"citationItems":[{"id":529,"uris":["http://zotero.org/users/1507390/items/GQ2QDXT2"],"uri":["http://zotero.org/users/1507390/items/GQ2QDXT2"],"itemData":{"id":529,"type":"book","title":"Geostatistics for Seismic Data Integration in Earth Models","publisher":"Society Of Exploration Geophysicists","publisher-place":"Tulsa, OK","number-of-pages":"279","source":"Amazon.com","event-place":"Tulsa, OK","abstract":"This book will help geoscientists to understand how geostatistics fits into their workflow, what tools and techniques they should use, and what added value may result. Geostatistics is now used not only in reservoir characterization but also in velocity analysis, time-to-depth conversion, seismic inversion, uncertainty quantification, and seismic data integration in earth models. The 279-page book, part of the 2003 'SEG/EAGE Distinguished Instructor Short Course' includes sections on covariance and the variogram, interpolation, heterogeneity modeling, uncertainty quantification, and geostatistical inversion.Also Available: Numerical Modeling of Seismic Wave Propagation - ISBN 1560800119 Seismic Filtering - ISBN 0931830044","ISBN":"9781560801214","language":"English","author":[{"family":"Dubrule","given":"Olivier"}],"issued":{"date-parts":[["2003",1,1]]}}}],"schema":"https://github.com/citation-style-language/schema/raw/master/csl-citation.json"} </w:instrText>
      </w:r>
      <w:r w:rsidR="00177749">
        <w:rPr>
          <w:rFonts w:cs="Times New Roman"/>
          <w:bCs/>
          <w:szCs w:val="24"/>
        </w:rPr>
        <w:fldChar w:fldCharType="separate"/>
      </w:r>
      <w:r w:rsidRPr="00E11965">
        <w:rPr>
          <w:rFonts w:ascii="Cambria" w:hAnsi="Cambria"/>
        </w:rPr>
        <w:t>(Dubrule, 2003)</w:t>
      </w:r>
      <w:r w:rsidR="00177749">
        <w:rPr>
          <w:rFonts w:cs="Times New Roman"/>
          <w:bCs/>
          <w:szCs w:val="24"/>
        </w:rPr>
        <w:fldChar w:fldCharType="end"/>
      </w:r>
      <w:r>
        <w:rPr>
          <w:rFonts w:cs="Times New Roman"/>
          <w:bCs/>
          <w:szCs w:val="24"/>
        </w:rPr>
        <w:t>.</w:t>
      </w:r>
      <w:r w:rsidRPr="00810A62">
        <w:rPr>
          <w:rFonts w:cs="Times New Roman"/>
          <w:bCs/>
          <w:szCs w:val="24"/>
        </w:rPr>
        <w:t xml:space="preserve"> </w:t>
      </w:r>
      <w:r w:rsidR="00607C05">
        <w:rPr>
          <w:rFonts w:cs="Times New Roman"/>
          <w:bCs/>
          <w:szCs w:val="24"/>
        </w:rPr>
        <w:t>Trend surface analysis is a global interpolator that uses polynomial regression to fit a single function to all points in the study area. Interpolation using geostatistics employs information provided from a local, spatially correlated neighborhood</w:t>
      </w:r>
      <w:r w:rsidR="005E6A4A">
        <w:rPr>
          <w:rFonts w:cs="Times New Roman"/>
          <w:bCs/>
          <w:szCs w:val="24"/>
        </w:rPr>
        <w:t xml:space="preserve">. </w:t>
      </w:r>
      <w:r w:rsidR="00FA386B">
        <w:rPr>
          <w:rFonts w:cs="Times New Roman"/>
          <w:bCs/>
          <w:szCs w:val="24"/>
        </w:rPr>
        <w:t xml:space="preserve"> The variogram (discussed in detail later) is used to describe the spatial structure within the neighborhood and assign weights to measured data to make predictions. To make a distinction between these interpolation techniques, trend surface analysis identifies a global spatial trend while geostatistics identifies local spatial trends based on autocorrelation.</w:t>
      </w:r>
    </w:p>
    <w:p w:rsidR="002F3B63" w:rsidRDefault="002F3B63" w:rsidP="005E6A4A">
      <w:pPr>
        <w:spacing w:after="0" w:line="480" w:lineRule="auto"/>
        <w:ind w:firstLine="720"/>
        <w:rPr>
          <w:rFonts w:cs="Times New Roman"/>
          <w:szCs w:val="24"/>
        </w:rPr>
      </w:pPr>
      <w:r w:rsidRPr="00810A62">
        <w:rPr>
          <w:rFonts w:cs="Times New Roman"/>
          <w:szCs w:val="24"/>
        </w:rPr>
        <w:t>There are two questions to pose when evaluating how well the model describes the experimental data. First, how well does the trend surface fit the experimental data? This is typically referred to as goodness of fit and is measured using R</w:t>
      </w:r>
      <w:r w:rsidRPr="00810A62">
        <w:rPr>
          <w:rFonts w:cs="Times New Roman"/>
          <w:szCs w:val="24"/>
          <w:vertAlign w:val="superscript"/>
        </w:rPr>
        <w:t>2</w:t>
      </w:r>
      <w:r w:rsidRPr="00810A62">
        <w:rPr>
          <w:rFonts w:cs="Times New Roman"/>
          <w:szCs w:val="24"/>
        </w:rPr>
        <w:t xml:space="preserve"> </w:t>
      </w:r>
      <w:r>
        <w:rPr>
          <w:rFonts w:cs="Times New Roman"/>
          <w:szCs w:val="24"/>
        </w:rPr>
        <w:t xml:space="preserve"> </w:t>
      </w:r>
      <w:r w:rsidR="00177749">
        <w:rPr>
          <w:rFonts w:cs="Times New Roman"/>
          <w:szCs w:val="24"/>
        </w:rPr>
        <w:fldChar w:fldCharType="begin"/>
      </w:r>
      <w:r>
        <w:rPr>
          <w:rFonts w:cs="Times New Roman"/>
          <w:szCs w:val="24"/>
        </w:rPr>
        <w:instrText xml:space="preserve"> ADDIN ZOTERO_ITEM CSL_CITATION {"citationID":"2mud8cegb4","properties":{"formattedCitation":"(Neiman, 2007)","plainCitation":"(Neiman, 2007)"},"citationItems":[{"id":532,"uris":["http://zotero.org/users/1507390/items/PPMDGGBM"],"uri":["http://zotero.org/users/1507390/items/PPMDGGBM"],"itemData":{"id":532,"type":"article","title":"Spatial Data Analysis in Archaeology","publisher":"University of Virginia","URL":"http://people.virginia.edu/~fn9r/anth589b/index.html","shortTitle":"Evaluation Goodness of Fit in Trend-Surface Analysis: r-square, sums of squares, mean squares, and F statistics","author":[{"family":"Neiman","given":"Fraser"}],"issued":{"date-parts":[["2007",2,18]]}}}],"schema":"https://github.com/citation-style-language/schema/raw/master/csl-citation.json"} </w:instrText>
      </w:r>
      <w:r w:rsidR="00177749">
        <w:rPr>
          <w:rFonts w:cs="Times New Roman"/>
          <w:szCs w:val="24"/>
        </w:rPr>
        <w:fldChar w:fldCharType="separate"/>
      </w:r>
      <w:r w:rsidRPr="009A5B4E">
        <w:rPr>
          <w:rFonts w:ascii="Cambria" w:hAnsi="Cambria"/>
        </w:rPr>
        <w:t>(Neiman, 2007)</w:t>
      </w:r>
      <w:r w:rsidR="00177749">
        <w:rPr>
          <w:rFonts w:cs="Times New Roman"/>
          <w:szCs w:val="24"/>
        </w:rPr>
        <w:fldChar w:fldCharType="end"/>
      </w:r>
      <w:r>
        <w:rPr>
          <w:rFonts w:cs="Times New Roman"/>
          <w:szCs w:val="24"/>
        </w:rPr>
        <w:t>.</w:t>
      </w:r>
      <w:r w:rsidRPr="00810A62">
        <w:rPr>
          <w:rFonts w:cs="Times New Roman"/>
          <w:b/>
          <w:szCs w:val="24"/>
        </w:rPr>
        <w:t xml:space="preserve"> </w:t>
      </w:r>
      <w:r w:rsidRPr="00810A62">
        <w:rPr>
          <w:rFonts w:cs="Times New Roman"/>
          <w:szCs w:val="24"/>
        </w:rPr>
        <w:t>There are three types of variation which are of interest when describing the goodness of fit: the aforementioned SSR, the total sum of squares (SST), and the model sum of squares (SSM). SST is the total variation in the experimental data, and is computed by:</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8"/>
        <w:gridCol w:w="7830"/>
        <w:gridCol w:w="828"/>
      </w:tblGrid>
      <w:tr w:rsidR="002F3B63" w:rsidTr="002F3B63">
        <w:tc>
          <w:tcPr>
            <w:tcW w:w="918" w:type="dxa"/>
          </w:tcPr>
          <w:p w:rsidR="002F3B63" w:rsidRPr="00826222" w:rsidRDefault="002F3B63" w:rsidP="002F3B63">
            <w:pPr>
              <w:spacing w:line="480" w:lineRule="auto"/>
              <w:jc w:val="both"/>
              <w:rPr>
                <w:rFonts w:cs="Times New Roman"/>
                <w:iCs/>
                <w:szCs w:val="24"/>
              </w:rPr>
            </w:pPr>
          </w:p>
        </w:tc>
        <w:tc>
          <w:tcPr>
            <w:tcW w:w="7830" w:type="dxa"/>
          </w:tcPr>
          <w:p w:rsidR="002F3B63" w:rsidRPr="00826222" w:rsidRDefault="002F3B63" w:rsidP="002F3B63">
            <w:pPr>
              <w:spacing w:line="480" w:lineRule="auto"/>
              <w:jc w:val="center"/>
              <w:rPr>
                <w:rFonts w:cs="Times New Roman"/>
                <w:iCs/>
                <w:szCs w:val="24"/>
              </w:rPr>
            </w:pPr>
            <m:oMathPara>
              <m:oMath>
                <m:r>
                  <w:rPr>
                    <w:rFonts w:ascii="Cambria Math" w:hAnsi="Cambria Math" w:cs="Times New Roman"/>
                    <w:szCs w:val="24"/>
                  </w:rPr>
                  <m:t>SST</m:t>
                </m:r>
                <m:r>
                  <w:rPr>
                    <w:rFonts w:ascii="Cambria Math" w:cs="Times New Roman"/>
                    <w:szCs w:val="24"/>
                  </w:rPr>
                  <m:t xml:space="preserve">= </m:t>
                </m:r>
                <m:nary>
                  <m:naryPr>
                    <m:chr m:val="∑"/>
                    <m:limLoc m:val="undOvr"/>
                    <m:ctrlPr>
                      <w:rPr>
                        <w:rFonts w:ascii="Cambria Math" w:hAnsi="Cambria Math" w:cs="Times New Roman"/>
                        <w:i/>
                        <w:szCs w:val="24"/>
                      </w:rPr>
                    </m:ctrlPr>
                  </m:naryPr>
                  <m:sub>
                    <m:r>
                      <w:rPr>
                        <w:rFonts w:ascii="Cambria Math" w:hAnsi="Cambria Math" w:cs="Times New Roman"/>
                        <w:szCs w:val="24"/>
                      </w:rPr>
                      <m:t>i</m:t>
                    </m:r>
                    <m:r>
                      <w:rPr>
                        <w:rFonts w:ascii="Cambria Math" w:cs="Times New Roman"/>
                        <w:szCs w:val="24"/>
                      </w:rPr>
                      <m:t>=1</m:t>
                    </m:r>
                  </m:sub>
                  <m:sup>
                    <m:r>
                      <w:rPr>
                        <w:rFonts w:ascii="Cambria Math" w:hAnsi="Cambria Math" w:cs="Times New Roman"/>
                        <w:szCs w:val="24"/>
                      </w:rPr>
                      <m:t>n</m:t>
                    </m:r>
                  </m:sup>
                  <m:e>
                    <m:r>
                      <w:rPr>
                        <w:rFonts w:ascii="Cambria Math" w:cs="Times New Roman"/>
                        <w:szCs w:val="24"/>
                      </w:rPr>
                      <m:t xml:space="preserve">[ </m:t>
                    </m:r>
                    <m:sSub>
                      <m:sSubPr>
                        <m:ctrlPr>
                          <w:rPr>
                            <w:rFonts w:ascii="Cambria Math" w:hAnsi="Cambria Math" w:cs="Times New Roman"/>
                            <w:i/>
                            <w:szCs w:val="24"/>
                          </w:rPr>
                        </m:ctrlPr>
                      </m:sSubPr>
                      <m:e>
                        <m:r>
                          <w:rPr>
                            <w:rFonts w:ascii="Cambria Math" w:hAnsi="Cambria Math" w:cs="Times New Roman"/>
                            <w:szCs w:val="24"/>
                          </w:rPr>
                          <m:t>z</m:t>
                        </m:r>
                      </m:e>
                      <m:sub>
                        <m:r>
                          <w:rPr>
                            <w:rFonts w:ascii="Cambria Math" w:hAnsi="Cambria Math" w:cs="Times New Roman"/>
                            <w:szCs w:val="24"/>
                          </w:rPr>
                          <m:t>i</m:t>
                        </m:r>
                      </m:sub>
                    </m:sSub>
                    <m:r>
                      <w:rPr>
                        <w:rFonts w:cs="Times New Roman"/>
                        <w:szCs w:val="24"/>
                      </w:rPr>
                      <m:t>-</m:t>
                    </m:r>
                    <m:r>
                      <w:rPr>
                        <w:rFonts w:ascii="Cambria Math" w:cs="Times New Roman"/>
                        <w:szCs w:val="24"/>
                      </w:rPr>
                      <m:t xml:space="preserve"> </m:t>
                    </m:r>
                    <m:sSub>
                      <m:sSubPr>
                        <m:ctrlPr>
                          <w:rPr>
                            <w:rFonts w:ascii="Cambria Math" w:hAnsi="Cambria Math" w:cs="Times New Roman"/>
                            <w:i/>
                            <w:szCs w:val="24"/>
                          </w:rPr>
                        </m:ctrlPr>
                      </m:sSubPr>
                      <m:e>
                        <m:acc>
                          <m:accPr>
                            <m:chr m:val="̅"/>
                            <m:ctrlPr>
                              <w:rPr>
                                <w:rFonts w:ascii="Cambria Math" w:hAnsi="Cambria Math" w:cs="Times New Roman"/>
                                <w:i/>
                                <w:szCs w:val="24"/>
                              </w:rPr>
                            </m:ctrlPr>
                          </m:accPr>
                          <m:e>
                            <m:r>
                              <w:rPr>
                                <w:rFonts w:ascii="Cambria Math" w:cs="Times New Roman"/>
                                <w:szCs w:val="24"/>
                              </w:rPr>
                              <m:t>z</m:t>
                            </m:r>
                          </m:e>
                        </m:acc>
                      </m:e>
                      <m:sub>
                        <m:r>
                          <w:rPr>
                            <w:rFonts w:ascii="Cambria Math" w:hAnsi="Cambria Math" w:cs="Times New Roman"/>
                            <w:szCs w:val="24"/>
                          </w:rPr>
                          <m:t>i</m:t>
                        </m:r>
                      </m:sub>
                    </m:sSub>
                    <m:sSup>
                      <m:sSupPr>
                        <m:ctrlPr>
                          <w:rPr>
                            <w:rFonts w:ascii="Cambria Math" w:hAnsi="Cambria Math" w:cs="Times New Roman"/>
                            <w:i/>
                            <w:szCs w:val="24"/>
                          </w:rPr>
                        </m:ctrlPr>
                      </m:sSupPr>
                      <m:e>
                        <m:r>
                          <w:rPr>
                            <w:rFonts w:ascii="Cambria Math" w:cs="Times New Roman"/>
                            <w:szCs w:val="24"/>
                          </w:rPr>
                          <m:t>]</m:t>
                        </m:r>
                      </m:e>
                      <m:sup>
                        <m:r>
                          <w:rPr>
                            <w:rFonts w:ascii="Cambria Math" w:cs="Times New Roman"/>
                            <w:szCs w:val="24"/>
                          </w:rPr>
                          <m:t>2</m:t>
                        </m:r>
                      </m:sup>
                    </m:sSup>
                  </m:e>
                </m:nary>
              </m:oMath>
            </m:oMathPara>
          </w:p>
        </w:tc>
        <w:tc>
          <w:tcPr>
            <w:tcW w:w="828" w:type="dxa"/>
          </w:tcPr>
          <w:p w:rsidR="002F3B63" w:rsidRDefault="002F3B63" w:rsidP="002F3B63">
            <w:pPr>
              <w:jc w:val="right"/>
              <w:rPr>
                <w:rFonts w:cs="Times New Roman"/>
                <w:iCs/>
                <w:szCs w:val="24"/>
              </w:rPr>
            </w:pPr>
          </w:p>
          <w:p w:rsidR="002F3B63" w:rsidRPr="00826222" w:rsidRDefault="002F3B63" w:rsidP="002F3B63">
            <w:pPr>
              <w:jc w:val="right"/>
              <w:rPr>
                <w:rFonts w:cs="Times New Roman"/>
                <w:iCs/>
                <w:szCs w:val="24"/>
              </w:rPr>
            </w:pPr>
            <w:r w:rsidRPr="00826222">
              <w:rPr>
                <w:rFonts w:cs="Times New Roman"/>
                <w:iCs/>
                <w:szCs w:val="24"/>
              </w:rPr>
              <w:t>(</w:t>
            </w:r>
            <w:fldSimple w:instr=" SEQ Eq \* MERGEFORMAT ">
              <w:r w:rsidR="00885C9E" w:rsidRPr="00885C9E">
                <w:rPr>
                  <w:rFonts w:cs="Times New Roman"/>
                  <w:iCs/>
                  <w:noProof/>
                  <w:szCs w:val="24"/>
                </w:rPr>
                <w:t>4</w:t>
              </w:r>
            </w:fldSimple>
            <w:r w:rsidRPr="00826222">
              <w:rPr>
                <w:rFonts w:cs="Times New Roman"/>
                <w:iCs/>
                <w:szCs w:val="24"/>
              </w:rPr>
              <w:t>)</w:t>
            </w:r>
          </w:p>
        </w:tc>
      </w:tr>
    </w:tbl>
    <w:p w:rsidR="002F3B63" w:rsidRDefault="002F3B63" w:rsidP="002F3B63">
      <w:pPr>
        <w:spacing w:after="0" w:line="480" w:lineRule="auto"/>
        <w:rPr>
          <w:rFonts w:cs="Times New Roman"/>
          <w:szCs w:val="24"/>
        </w:rPr>
      </w:pPr>
      <w:r>
        <w:rPr>
          <w:rFonts w:cs="Times New Roman"/>
          <w:szCs w:val="24"/>
        </w:rPr>
        <w:t>where</w:t>
      </w:r>
      <w:r w:rsidRPr="00810A62">
        <w:rPr>
          <w:rFonts w:cs="Times New Roman"/>
          <w:szCs w:val="24"/>
        </w:rPr>
        <w:t xml:space="preserve">, </w:t>
      </w:r>
      <m:oMath>
        <m:sSub>
          <m:sSubPr>
            <m:ctrlPr>
              <w:rPr>
                <w:rFonts w:ascii="Cambria Math" w:hAnsi="Cambria Math" w:cs="Times New Roman"/>
                <w:i/>
                <w:szCs w:val="24"/>
              </w:rPr>
            </m:ctrlPr>
          </m:sSubPr>
          <m:e>
            <m:acc>
              <m:accPr>
                <m:chr m:val="̅"/>
                <m:ctrlPr>
                  <w:rPr>
                    <w:rFonts w:ascii="Cambria Math" w:hAnsi="Cambria Math" w:cs="Times New Roman"/>
                    <w:i/>
                    <w:szCs w:val="24"/>
                  </w:rPr>
                </m:ctrlPr>
              </m:accPr>
              <m:e>
                <m:r>
                  <w:rPr>
                    <w:rFonts w:ascii="Cambria Math" w:hAnsi="Cambria Math" w:cs="Times New Roman"/>
                    <w:szCs w:val="24"/>
                  </w:rPr>
                  <m:t>z</m:t>
                </m:r>
              </m:e>
            </m:acc>
          </m:e>
          <m:sub>
            <m:r>
              <w:rPr>
                <w:rFonts w:ascii="Cambria Math" w:hAnsi="Cambria Math" w:cs="Times New Roman"/>
                <w:szCs w:val="24"/>
              </w:rPr>
              <m:t>i</m:t>
            </m:r>
          </m:sub>
        </m:sSub>
      </m:oMath>
      <w:r w:rsidRPr="00810A62">
        <w:rPr>
          <w:rFonts w:cs="Times New Roman"/>
          <w:szCs w:val="24"/>
        </w:rPr>
        <w:t>, is the mean of the experimental data. SSM is the amount of variation accounted for by the model, and is calculated by:</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8"/>
        <w:gridCol w:w="7830"/>
        <w:gridCol w:w="828"/>
      </w:tblGrid>
      <w:tr w:rsidR="002F3B63" w:rsidTr="002F3B63">
        <w:tc>
          <w:tcPr>
            <w:tcW w:w="918" w:type="dxa"/>
          </w:tcPr>
          <w:p w:rsidR="002F3B63" w:rsidRPr="00826222" w:rsidRDefault="002F3B63" w:rsidP="002F3B63">
            <w:pPr>
              <w:spacing w:line="480" w:lineRule="auto"/>
              <w:jc w:val="both"/>
              <w:rPr>
                <w:rFonts w:cs="Times New Roman"/>
                <w:iCs/>
                <w:szCs w:val="24"/>
              </w:rPr>
            </w:pPr>
          </w:p>
        </w:tc>
        <w:tc>
          <w:tcPr>
            <w:tcW w:w="7830" w:type="dxa"/>
          </w:tcPr>
          <w:p w:rsidR="002F3B63" w:rsidRPr="00826222" w:rsidRDefault="002F3B63" w:rsidP="002F3B63">
            <w:pPr>
              <w:spacing w:line="480" w:lineRule="auto"/>
              <w:jc w:val="center"/>
              <w:rPr>
                <w:rFonts w:cs="Times New Roman"/>
                <w:iCs/>
                <w:szCs w:val="24"/>
              </w:rPr>
            </w:pPr>
            <m:oMathPara>
              <m:oMath>
                <m:r>
                  <w:rPr>
                    <w:rFonts w:ascii="Cambria Math" w:hAnsi="Cambria Math" w:cs="Times New Roman"/>
                    <w:szCs w:val="24"/>
                  </w:rPr>
                  <m:t>SSM</m:t>
                </m:r>
                <m:r>
                  <w:rPr>
                    <w:rFonts w:ascii="Cambria Math" w:cs="Times New Roman"/>
                    <w:szCs w:val="24"/>
                  </w:rPr>
                  <m:t xml:space="preserve">= </m:t>
                </m:r>
                <m:nary>
                  <m:naryPr>
                    <m:chr m:val="∑"/>
                    <m:limLoc m:val="undOvr"/>
                    <m:ctrlPr>
                      <w:rPr>
                        <w:rFonts w:ascii="Cambria Math" w:hAnsi="Cambria Math" w:cs="Times New Roman"/>
                        <w:i/>
                        <w:szCs w:val="24"/>
                      </w:rPr>
                    </m:ctrlPr>
                  </m:naryPr>
                  <m:sub>
                    <m:r>
                      <w:rPr>
                        <w:rFonts w:ascii="Cambria Math" w:hAnsi="Cambria Math" w:cs="Times New Roman"/>
                        <w:szCs w:val="24"/>
                      </w:rPr>
                      <m:t>i</m:t>
                    </m:r>
                    <m:r>
                      <w:rPr>
                        <w:rFonts w:ascii="Cambria Math" w:cs="Times New Roman"/>
                        <w:szCs w:val="24"/>
                      </w:rPr>
                      <m:t>=1</m:t>
                    </m:r>
                  </m:sub>
                  <m:sup>
                    <m:r>
                      <w:rPr>
                        <w:rFonts w:ascii="Cambria Math" w:hAnsi="Cambria Math" w:cs="Times New Roman"/>
                        <w:szCs w:val="24"/>
                      </w:rPr>
                      <m:t>n</m:t>
                    </m:r>
                  </m:sup>
                  <m:e>
                    <m:r>
                      <w:rPr>
                        <w:rFonts w:ascii="Cambria Math" w:cs="Times New Roman"/>
                        <w:szCs w:val="24"/>
                      </w:rPr>
                      <m:t xml:space="preserve">[ </m:t>
                    </m:r>
                    <m:sSub>
                      <m:sSubPr>
                        <m:ctrlPr>
                          <w:rPr>
                            <w:rFonts w:ascii="Cambria Math" w:hAnsi="Cambria Math" w:cs="Times New Roman"/>
                            <w:i/>
                            <w:szCs w:val="24"/>
                          </w:rPr>
                        </m:ctrlPr>
                      </m:sSubPr>
                      <m:e>
                        <m:acc>
                          <m:accPr>
                            <m:ctrlPr>
                              <w:rPr>
                                <w:rFonts w:ascii="Cambria Math" w:hAnsi="Cambria Math" w:cs="Times New Roman"/>
                                <w:i/>
                                <w:szCs w:val="24"/>
                              </w:rPr>
                            </m:ctrlPr>
                          </m:accPr>
                          <m:e>
                            <m:r>
                              <w:rPr>
                                <w:rFonts w:ascii="Cambria Math" w:cs="Times New Roman"/>
                                <w:szCs w:val="24"/>
                              </w:rPr>
                              <m:t>z</m:t>
                            </m:r>
                          </m:e>
                        </m:acc>
                      </m:e>
                      <m:sub>
                        <m:r>
                          <w:rPr>
                            <w:rFonts w:ascii="Cambria Math" w:cs="Times New Roman"/>
                            <w:szCs w:val="24"/>
                          </w:rPr>
                          <m:t>i</m:t>
                        </m:r>
                      </m:sub>
                    </m:sSub>
                    <m:r>
                      <w:rPr>
                        <w:rFonts w:cs="Times New Roman"/>
                        <w:szCs w:val="24"/>
                      </w:rPr>
                      <m:t>-</m:t>
                    </m:r>
                    <m:r>
                      <w:rPr>
                        <w:rFonts w:ascii="Cambria Math" w:cs="Times New Roman"/>
                        <w:szCs w:val="24"/>
                      </w:rPr>
                      <m:t xml:space="preserve"> </m:t>
                    </m:r>
                    <m:sSub>
                      <m:sSubPr>
                        <m:ctrlPr>
                          <w:rPr>
                            <w:rFonts w:ascii="Cambria Math" w:hAnsi="Cambria Math" w:cs="Times New Roman"/>
                            <w:i/>
                            <w:szCs w:val="24"/>
                          </w:rPr>
                        </m:ctrlPr>
                      </m:sSubPr>
                      <m:e>
                        <m:acc>
                          <m:accPr>
                            <m:chr m:val="̅"/>
                            <m:ctrlPr>
                              <w:rPr>
                                <w:rFonts w:ascii="Cambria Math" w:hAnsi="Cambria Math" w:cs="Times New Roman"/>
                                <w:i/>
                                <w:szCs w:val="24"/>
                              </w:rPr>
                            </m:ctrlPr>
                          </m:accPr>
                          <m:e>
                            <m:r>
                              <w:rPr>
                                <w:rFonts w:ascii="Cambria Math" w:cs="Times New Roman"/>
                                <w:szCs w:val="24"/>
                              </w:rPr>
                              <m:t>z</m:t>
                            </m:r>
                          </m:e>
                        </m:acc>
                      </m:e>
                      <m:sub>
                        <m:r>
                          <w:rPr>
                            <w:rFonts w:ascii="Cambria Math" w:hAnsi="Cambria Math" w:cs="Times New Roman"/>
                            <w:szCs w:val="24"/>
                          </w:rPr>
                          <m:t>i</m:t>
                        </m:r>
                      </m:sub>
                    </m:sSub>
                    <m:sSup>
                      <m:sSupPr>
                        <m:ctrlPr>
                          <w:rPr>
                            <w:rFonts w:ascii="Cambria Math" w:hAnsi="Cambria Math" w:cs="Times New Roman"/>
                            <w:i/>
                            <w:szCs w:val="24"/>
                          </w:rPr>
                        </m:ctrlPr>
                      </m:sSupPr>
                      <m:e>
                        <m:r>
                          <w:rPr>
                            <w:rFonts w:ascii="Cambria Math" w:cs="Times New Roman"/>
                            <w:szCs w:val="24"/>
                          </w:rPr>
                          <m:t>]</m:t>
                        </m:r>
                      </m:e>
                      <m:sup>
                        <m:r>
                          <w:rPr>
                            <w:rFonts w:ascii="Cambria Math" w:cs="Times New Roman"/>
                            <w:szCs w:val="24"/>
                          </w:rPr>
                          <m:t>2</m:t>
                        </m:r>
                      </m:sup>
                    </m:sSup>
                  </m:e>
                </m:nary>
              </m:oMath>
            </m:oMathPara>
          </w:p>
        </w:tc>
        <w:tc>
          <w:tcPr>
            <w:tcW w:w="828" w:type="dxa"/>
          </w:tcPr>
          <w:p w:rsidR="002F3B63" w:rsidRDefault="002F3B63" w:rsidP="002F3B63">
            <w:pPr>
              <w:jc w:val="right"/>
              <w:rPr>
                <w:rFonts w:cs="Times New Roman"/>
                <w:iCs/>
                <w:szCs w:val="24"/>
              </w:rPr>
            </w:pPr>
          </w:p>
          <w:p w:rsidR="002F3B63" w:rsidRPr="00826222" w:rsidRDefault="002F3B63" w:rsidP="002F3B63">
            <w:pPr>
              <w:jc w:val="right"/>
              <w:rPr>
                <w:rFonts w:cs="Times New Roman"/>
                <w:iCs/>
                <w:szCs w:val="24"/>
              </w:rPr>
            </w:pPr>
            <w:r w:rsidRPr="00826222">
              <w:rPr>
                <w:rFonts w:cs="Times New Roman"/>
                <w:iCs/>
                <w:szCs w:val="24"/>
              </w:rPr>
              <w:t>(</w:t>
            </w:r>
            <w:fldSimple w:instr=" SEQ Eq \* MERGEFORMAT ">
              <w:r w:rsidR="00885C9E" w:rsidRPr="00885C9E">
                <w:rPr>
                  <w:rFonts w:cs="Times New Roman"/>
                  <w:iCs/>
                  <w:noProof/>
                  <w:szCs w:val="24"/>
                </w:rPr>
                <w:t>5</w:t>
              </w:r>
            </w:fldSimple>
            <w:r w:rsidRPr="00826222">
              <w:rPr>
                <w:rFonts w:cs="Times New Roman"/>
                <w:iCs/>
                <w:szCs w:val="24"/>
              </w:rPr>
              <w:t>)</w:t>
            </w:r>
          </w:p>
        </w:tc>
      </w:tr>
    </w:tbl>
    <w:p w:rsidR="002F3B63" w:rsidRDefault="002F3B63" w:rsidP="002F3B63">
      <w:pPr>
        <w:spacing w:after="0" w:line="480" w:lineRule="auto"/>
        <w:rPr>
          <w:rFonts w:cs="Times New Roman"/>
          <w:szCs w:val="24"/>
        </w:rPr>
      </w:pPr>
      <w:r w:rsidRPr="00810A62">
        <w:rPr>
          <w:rFonts w:cs="Times New Roman"/>
          <w:szCs w:val="24"/>
        </w:rPr>
        <w:t>The R</w:t>
      </w:r>
      <w:r w:rsidRPr="00810A62">
        <w:rPr>
          <w:rFonts w:cs="Times New Roman"/>
          <w:szCs w:val="24"/>
          <w:vertAlign w:val="superscript"/>
        </w:rPr>
        <w:t>2</w:t>
      </w:r>
      <w:r w:rsidRPr="00810A62">
        <w:rPr>
          <w:rFonts w:cs="Times New Roman"/>
          <w:szCs w:val="24"/>
        </w:rPr>
        <w:t xml:space="preserve"> statistic is used to summarize how well the experimental data predicted from the model match the actual values. It can be calculated as:</w:t>
      </w:r>
    </w:p>
    <w:p w:rsidR="002F3B63" w:rsidRDefault="002F3B63" w:rsidP="002F3B63">
      <w:pPr>
        <w:spacing w:after="0" w:line="480" w:lineRule="auto"/>
        <w:rPr>
          <w:rFonts w:cs="Times New Roman"/>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8"/>
        <w:gridCol w:w="7830"/>
        <w:gridCol w:w="828"/>
      </w:tblGrid>
      <w:tr w:rsidR="002F3B63" w:rsidTr="002F3B63">
        <w:tc>
          <w:tcPr>
            <w:tcW w:w="918" w:type="dxa"/>
          </w:tcPr>
          <w:p w:rsidR="002F3B63" w:rsidRPr="00826222" w:rsidRDefault="002F3B63" w:rsidP="002F3B63">
            <w:pPr>
              <w:spacing w:line="480" w:lineRule="auto"/>
              <w:jc w:val="both"/>
              <w:rPr>
                <w:rFonts w:cs="Times New Roman"/>
                <w:iCs/>
                <w:szCs w:val="24"/>
              </w:rPr>
            </w:pPr>
          </w:p>
        </w:tc>
        <w:tc>
          <w:tcPr>
            <w:tcW w:w="7830" w:type="dxa"/>
          </w:tcPr>
          <w:p w:rsidR="002F3B63" w:rsidRPr="00826222" w:rsidRDefault="00177749" w:rsidP="002F3B63">
            <w:pPr>
              <w:spacing w:line="480" w:lineRule="auto"/>
              <w:jc w:val="center"/>
              <w:rPr>
                <w:rFonts w:cs="Times New Roman"/>
                <w:iCs/>
                <w:szCs w:val="24"/>
              </w:rPr>
            </w:pPr>
            <m:oMathPara>
              <m:oMath>
                <m:sSup>
                  <m:sSupPr>
                    <m:ctrlPr>
                      <w:rPr>
                        <w:rFonts w:ascii="Cambria Math" w:hAnsi="Cambria Math" w:cs="Times New Roman"/>
                        <w:i/>
                        <w:szCs w:val="24"/>
                      </w:rPr>
                    </m:ctrlPr>
                  </m:sSupPr>
                  <m:e>
                    <m:r>
                      <w:rPr>
                        <w:rFonts w:ascii="Cambria Math" w:hAnsi="Cambria Math" w:cs="Times New Roman"/>
                        <w:szCs w:val="24"/>
                      </w:rPr>
                      <m:t>R</m:t>
                    </m:r>
                  </m:e>
                  <m:sup>
                    <m:r>
                      <w:rPr>
                        <w:rFonts w:ascii="Cambria Math" w:cs="Times New Roman"/>
                        <w:szCs w:val="24"/>
                      </w:rPr>
                      <m:t>2</m:t>
                    </m:r>
                  </m:sup>
                </m:sSup>
                <m:r>
                  <w:rPr>
                    <w:rFonts w:ascii="Cambria Math" w:cs="Times New Roman"/>
                    <w:szCs w:val="24"/>
                  </w:rPr>
                  <m:t>=1</m:t>
                </m:r>
                <m:r>
                  <w:rPr>
                    <w:rFonts w:cs="Times New Roman"/>
                    <w:szCs w:val="24"/>
                  </w:rPr>
                  <m:t>-</m:t>
                </m:r>
                <m:r>
                  <w:rPr>
                    <w:rFonts w:ascii="Cambria Math" w:cs="Times New Roman"/>
                    <w:szCs w:val="24"/>
                  </w:rPr>
                  <m:t xml:space="preserve"> </m:t>
                </m:r>
                <m:f>
                  <m:fPr>
                    <m:ctrlPr>
                      <w:rPr>
                        <w:rFonts w:ascii="Cambria Math" w:hAnsi="Cambria Math" w:cs="Times New Roman"/>
                        <w:i/>
                        <w:szCs w:val="24"/>
                      </w:rPr>
                    </m:ctrlPr>
                  </m:fPr>
                  <m:num>
                    <m:r>
                      <w:rPr>
                        <w:rFonts w:ascii="Cambria Math" w:hAnsi="Cambria Math" w:cs="Times New Roman"/>
                        <w:szCs w:val="24"/>
                      </w:rPr>
                      <m:t>SSR</m:t>
                    </m:r>
                  </m:num>
                  <m:den>
                    <m:r>
                      <w:rPr>
                        <w:rFonts w:ascii="Cambria Math" w:hAnsi="Cambria Math" w:cs="Times New Roman"/>
                        <w:szCs w:val="24"/>
                      </w:rPr>
                      <m:t>SST</m:t>
                    </m:r>
                  </m:den>
                </m:f>
              </m:oMath>
            </m:oMathPara>
          </w:p>
        </w:tc>
        <w:tc>
          <w:tcPr>
            <w:tcW w:w="828" w:type="dxa"/>
          </w:tcPr>
          <w:p w:rsidR="002F3B63" w:rsidRPr="00826222" w:rsidRDefault="002F3B63" w:rsidP="002F3B63">
            <w:pPr>
              <w:spacing w:line="480" w:lineRule="auto"/>
              <w:jc w:val="right"/>
              <w:rPr>
                <w:rFonts w:cs="Times New Roman"/>
                <w:iCs/>
                <w:szCs w:val="24"/>
              </w:rPr>
            </w:pPr>
            <w:r w:rsidRPr="00826222">
              <w:rPr>
                <w:rFonts w:cs="Times New Roman"/>
                <w:iCs/>
                <w:szCs w:val="24"/>
              </w:rPr>
              <w:t>(</w:t>
            </w:r>
            <w:fldSimple w:instr=" SEQ Eq \* MERGEFORMAT ">
              <w:r w:rsidR="00885C9E" w:rsidRPr="00885C9E">
                <w:rPr>
                  <w:rFonts w:cs="Times New Roman"/>
                  <w:iCs/>
                  <w:noProof/>
                  <w:szCs w:val="24"/>
                </w:rPr>
                <w:t>6</w:t>
              </w:r>
            </w:fldSimple>
            <w:r w:rsidRPr="00826222">
              <w:rPr>
                <w:rFonts w:cs="Times New Roman"/>
                <w:iCs/>
                <w:szCs w:val="24"/>
              </w:rPr>
              <w:t>)</w:t>
            </w:r>
          </w:p>
        </w:tc>
      </w:tr>
    </w:tbl>
    <w:p w:rsidR="002F3B63" w:rsidRDefault="002F3B63" w:rsidP="002F3B63">
      <w:pPr>
        <w:spacing w:after="0" w:line="480" w:lineRule="auto"/>
        <w:rPr>
          <w:rFonts w:cs="Times New Roman"/>
          <w:szCs w:val="24"/>
        </w:rPr>
      </w:pPr>
      <w:r w:rsidRPr="00810A62">
        <w:rPr>
          <w:rFonts w:cs="Times New Roman"/>
          <w:szCs w:val="24"/>
        </w:rPr>
        <w:t>Second, is the trend surface statistically significant (i.e. does the model account for more variation than can be expected by chance)? The statistical significance of the trend surface can be measured using the F-statistic, and</w:t>
      </w:r>
      <w:r>
        <w:rPr>
          <w:rFonts w:cs="Times New Roman"/>
          <w:szCs w:val="24"/>
        </w:rPr>
        <w:t xml:space="preserve"> its associated</w:t>
      </w:r>
      <w:r w:rsidRPr="00810A62">
        <w:rPr>
          <w:rFonts w:cs="Times New Roman"/>
          <w:szCs w:val="24"/>
        </w:rPr>
        <w:t xml:space="preserve"> p-value. The F-statistic is calculated by: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8"/>
        <w:gridCol w:w="7830"/>
        <w:gridCol w:w="828"/>
      </w:tblGrid>
      <w:tr w:rsidR="002F3B63" w:rsidTr="002F3B63">
        <w:tc>
          <w:tcPr>
            <w:tcW w:w="918" w:type="dxa"/>
          </w:tcPr>
          <w:p w:rsidR="002F3B63" w:rsidRPr="00826222" w:rsidRDefault="002F3B63" w:rsidP="002F3B63">
            <w:pPr>
              <w:spacing w:line="480" w:lineRule="auto"/>
              <w:jc w:val="both"/>
              <w:rPr>
                <w:rFonts w:cs="Times New Roman"/>
                <w:iCs/>
                <w:szCs w:val="24"/>
              </w:rPr>
            </w:pPr>
          </w:p>
        </w:tc>
        <w:tc>
          <w:tcPr>
            <w:tcW w:w="7830" w:type="dxa"/>
          </w:tcPr>
          <w:p w:rsidR="002F3B63" w:rsidRPr="00826222" w:rsidRDefault="002F3B63" w:rsidP="002F3B63">
            <w:pPr>
              <w:spacing w:line="480" w:lineRule="auto"/>
              <w:jc w:val="center"/>
              <w:rPr>
                <w:rFonts w:cs="Times New Roman"/>
                <w:iCs/>
                <w:szCs w:val="24"/>
              </w:rPr>
            </w:pPr>
            <m:oMathPara>
              <m:oMath>
                <m:r>
                  <w:rPr>
                    <w:rFonts w:ascii="Cambria Math" w:hAnsi="Cambria Math" w:cs="Times New Roman"/>
                    <w:szCs w:val="24"/>
                  </w:rPr>
                  <m:t>F</m:t>
                </m:r>
                <m:r>
                  <w:rPr>
                    <w:rFonts w:cs="Times New Roman"/>
                    <w:szCs w:val="24"/>
                  </w:rPr>
                  <m:t>-</m:t>
                </m:r>
                <m:r>
                  <w:rPr>
                    <w:rFonts w:ascii="Cambria Math" w:hAnsi="Cambria Math" w:cs="Times New Roman"/>
                    <w:szCs w:val="24"/>
                  </w:rPr>
                  <m:t>statistic</m:t>
                </m:r>
                <m:r>
                  <w:rPr>
                    <w:rFonts w:ascii="Cambria Math" w:cs="Times New Roman"/>
                    <w:szCs w:val="24"/>
                  </w:rPr>
                  <m:t xml:space="preserve">= </m:t>
                </m:r>
                <m:f>
                  <m:fPr>
                    <m:ctrlPr>
                      <w:rPr>
                        <w:rFonts w:ascii="Cambria Math" w:hAnsi="Cambria Math" w:cs="Times New Roman"/>
                        <w:i/>
                        <w:szCs w:val="24"/>
                      </w:rPr>
                    </m:ctrlPr>
                  </m:fPr>
                  <m:num>
                    <m:r>
                      <w:rPr>
                        <w:rFonts w:ascii="Cambria Math" w:hAnsi="Cambria Math" w:cs="Times New Roman"/>
                        <w:szCs w:val="24"/>
                      </w:rPr>
                      <m:t>Model</m:t>
                    </m:r>
                    <m:r>
                      <w:rPr>
                        <w:rFonts w:ascii="Cambria Math" w:cs="Times New Roman"/>
                        <w:szCs w:val="24"/>
                      </w:rPr>
                      <m:t xml:space="preserve"> </m:t>
                    </m:r>
                    <m:r>
                      <w:rPr>
                        <w:rFonts w:ascii="Cambria Math" w:hAnsi="Cambria Math" w:cs="Times New Roman"/>
                        <w:szCs w:val="24"/>
                      </w:rPr>
                      <m:t>variance</m:t>
                    </m:r>
                  </m:num>
                  <m:den>
                    <m:r>
                      <w:rPr>
                        <w:rFonts w:ascii="Cambria Math" w:hAnsi="Cambria Math" w:cs="Times New Roman"/>
                        <w:szCs w:val="24"/>
                      </w:rPr>
                      <m:t>Error</m:t>
                    </m:r>
                    <m:r>
                      <w:rPr>
                        <w:rFonts w:ascii="Cambria Math" w:cs="Times New Roman"/>
                        <w:szCs w:val="24"/>
                      </w:rPr>
                      <m:t xml:space="preserve"> </m:t>
                    </m:r>
                    <m:r>
                      <w:rPr>
                        <w:rFonts w:ascii="Cambria Math" w:hAnsi="Cambria Math" w:cs="Times New Roman"/>
                        <w:szCs w:val="24"/>
                      </w:rPr>
                      <m:t>variance</m:t>
                    </m:r>
                  </m:den>
                </m:f>
              </m:oMath>
            </m:oMathPara>
          </w:p>
        </w:tc>
        <w:tc>
          <w:tcPr>
            <w:tcW w:w="828" w:type="dxa"/>
          </w:tcPr>
          <w:p w:rsidR="002F3B63" w:rsidRPr="00826222" w:rsidRDefault="002F3B63" w:rsidP="002F3B63">
            <w:pPr>
              <w:spacing w:line="480" w:lineRule="auto"/>
              <w:jc w:val="right"/>
              <w:rPr>
                <w:rFonts w:cs="Times New Roman"/>
                <w:iCs/>
                <w:szCs w:val="24"/>
              </w:rPr>
            </w:pPr>
            <w:r w:rsidRPr="00826222">
              <w:rPr>
                <w:rFonts w:cs="Times New Roman"/>
                <w:iCs/>
                <w:szCs w:val="24"/>
              </w:rPr>
              <w:t>(</w:t>
            </w:r>
            <w:fldSimple w:instr=" SEQ Eq \* MERGEFORMAT ">
              <w:r w:rsidR="00885C9E" w:rsidRPr="00885C9E">
                <w:rPr>
                  <w:rFonts w:cs="Times New Roman"/>
                  <w:iCs/>
                  <w:noProof/>
                  <w:szCs w:val="24"/>
                </w:rPr>
                <w:t>7</w:t>
              </w:r>
            </w:fldSimple>
            <w:r w:rsidRPr="00826222">
              <w:rPr>
                <w:rFonts w:cs="Times New Roman"/>
                <w:iCs/>
                <w:szCs w:val="24"/>
              </w:rPr>
              <w:t>)</w:t>
            </w:r>
          </w:p>
        </w:tc>
      </w:tr>
    </w:tbl>
    <w:p w:rsidR="002F3B63" w:rsidRPr="00810A62" w:rsidRDefault="002F3B63" w:rsidP="002F3B63">
      <w:pPr>
        <w:spacing w:after="0" w:line="480" w:lineRule="auto"/>
        <w:rPr>
          <w:rFonts w:cs="Times New Roman"/>
          <w:szCs w:val="24"/>
        </w:rPr>
      </w:pPr>
      <w:r w:rsidRPr="00810A62">
        <w:rPr>
          <w:rFonts w:cs="Times New Roman"/>
          <w:szCs w:val="24"/>
        </w:rPr>
        <w:t>where Model variance is calculated by dividing SSM by</w:t>
      </w:r>
      <w:r>
        <w:rPr>
          <w:rFonts w:cs="Times New Roman"/>
          <w:szCs w:val="24"/>
        </w:rPr>
        <w:t xml:space="preserve"> the</w:t>
      </w:r>
      <w:r w:rsidRPr="00810A62">
        <w:rPr>
          <w:rFonts w:cs="Times New Roman"/>
          <w:szCs w:val="24"/>
        </w:rPr>
        <w:t xml:space="preserve"> Model</w:t>
      </w:r>
      <w:r>
        <w:rPr>
          <w:rFonts w:cs="Times New Roman"/>
          <w:szCs w:val="24"/>
        </w:rPr>
        <w:t xml:space="preserve"> degrees of freedom</w:t>
      </w:r>
      <w:r w:rsidRPr="00810A62">
        <w:rPr>
          <w:rFonts w:cs="Times New Roman"/>
          <w:szCs w:val="24"/>
        </w:rPr>
        <w:t xml:space="preserve"> </w:t>
      </w:r>
      <w:r>
        <w:rPr>
          <w:rFonts w:cs="Times New Roman"/>
          <w:szCs w:val="24"/>
        </w:rPr>
        <w:t>(</w:t>
      </w:r>
      <w:r w:rsidRPr="00810A62">
        <w:rPr>
          <w:rFonts w:cs="Times New Roman"/>
          <w:szCs w:val="24"/>
        </w:rPr>
        <w:t>DF</w:t>
      </w:r>
      <w:r>
        <w:rPr>
          <w:rFonts w:cs="Times New Roman"/>
          <w:szCs w:val="24"/>
        </w:rPr>
        <w:t>)</w:t>
      </w:r>
      <w:r w:rsidRPr="00810A62">
        <w:rPr>
          <w:rFonts w:cs="Times New Roman"/>
          <w:szCs w:val="24"/>
        </w:rPr>
        <w:t>, and</w:t>
      </w:r>
      <w:r>
        <w:rPr>
          <w:rFonts w:cs="Times New Roman"/>
          <w:szCs w:val="24"/>
        </w:rPr>
        <w:t xml:space="preserve"> the</w:t>
      </w:r>
      <w:r w:rsidRPr="00810A62">
        <w:rPr>
          <w:rFonts w:cs="Times New Roman"/>
          <w:szCs w:val="24"/>
        </w:rPr>
        <w:t xml:space="preserve"> Error variance is calculated by dividing SSR by </w:t>
      </w:r>
      <w:r>
        <w:rPr>
          <w:rFonts w:cs="Times New Roman"/>
          <w:szCs w:val="24"/>
        </w:rPr>
        <w:t xml:space="preserve">the </w:t>
      </w:r>
      <w:r w:rsidRPr="00810A62">
        <w:rPr>
          <w:rFonts w:cs="Times New Roman"/>
          <w:szCs w:val="24"/>
        </w:rPr>
        <w:t>Residual DF. If the achieved F-statistic is greater than or equal to the F-statistic obtained purely by chance, the model significantly predicts the underlying trends in the experimental data</w:t>
      </w:r>
      <w:r>
        <w:rPr>
          <w:rFonts w:cs="Times New Roman"/>
          <w:szCs w:val="24"/>
        </w:rPr>
        <w:t xml:space="preserve"> </w:t>
      </w:r>
      <w:r w:rsidR="00177749">
        <w:rPr>
          <w:rFonts w:cs="Times New Roman"/>
          <w:szCs w:val="24"/>
        </w:rPr>
        <w:fldChar w:fldCharType="begin"/>
      </w:r>
      <w:r>
        <w:rPr>
          <w:rFonts w:cs="Times New Roman"/>
          <w:szCs w:val="24"/>
        </w:rPr>
        <w:instrText xml:space="preserve"> ADDIN ZOTERO_ITEM CSL_CITATION {"citationID":"56t5m5k7t","properties":{"formattedCitation":"(Neiman, 2007)","plainCitation":"(Neiman, 2007)"},"citationItems":[{"id":532,"uris":["http://zotero.org/users/1507390/items/PPMDGGBM"],"uri":["http://zotero.org/users/1507390/items/PPMDGGBM"],"itemData":{"id":532,"type":"article","title":"Spatial Data Analysis in Archaeology","publisher":"University of Virginia","URL":"http://people.virginia.edu/~fn9r/anth589b/index.html","shortTitle":"Evaluation Goodness of Fit in Trend-Surface Analysis: r-square, sums of squares, mean squares, and F statistics","author":[{"family":"Neiman","given":"Fraser"}],"issued":{"date-parts":[["2007",2,18]]}}}],"schema":"https://github.com/citation-style-language/schema/raw/master/csl-citation.json"} </w:instrText>
      </w:r>
      <w:r w:rsidR="00177749">
        <w:rPr>
          <w:rFonts w:cs="Times New Roman"/>
          <w:szCs w:val="24"/>
        </w:rPr>
        <w:fldChar w:fldCharType="separate"/>
      </w:r>
      <w:r w:rsidRPr="009A5B4E">
        <w:rPr>
          <w:rFonts w:ascii="Cambria" w:hAnsi="Cambria"/>
        </w:rPr>
        <w:t>(Neiman, 2007)</w:t>
      </w:r>
      <w:r w:rsidR="00177749">
        <w:rPr>
          <w:rFonts w:cs="Times New Roman"/>
          <w:szCs w:val="24"/>
        </w:rPr>
        <w:fldChar w:fldCharType="end"/>
      </w:r>
      <w:r>
        <w:rPr>
          <w:rFonts w:cs="Times New Roman"/>
          <w:szCs w:val="24"/>
        </w:rPr>
        <w:t xml:space="preserve">. </w:t>
      </w:r>
      <w:r w:rsidRPr="00810A62">
        <w:rPr>
          <w:rFonts w:cs="Times New Roman"/>
          <w:szCs w:val="24"/>
        </w:rPr>
        <w:t xml:space="preserve">The significance level for the probability associated with the F-statistic was set at 0.05 (i.e. 95% confidence level) and was used to determine whether the achieved F-statistic, under the null hypothesis that all model coefficients are zero, could have arisen from sampling error </w:t>
      </w:r>
      <w:r w:rsidRPr="00810A62">
        <w:rPr>
          <w:rFonts w:cs="Times New Roman"/>
          <w:szCs w:val="24"/>
        </w:rPr>
        <w:lastRenderedPageBreak/>
        <w:t xml:space="preserve">alone </w:t>
      </w:r>
      <w:r w:rsidR="00177749">
        <w:rPr>
          <w:rFonts w:cs="Times New Roman"/>
          <w:szCs w:val="24"/>
        </w:rPr>
        <w:fldChar w:fldCharType="begin"/>
      </w:r>
      <w:r>
        <w:rPr>
          <w:rFonts w:cs="Times New Roman"/>
          <w:szCs w:val="24"/>
        </w:rPr>
        <w:instrText xml:space="preserve"> ADDIN ZOTERO_ITEM CSL_CITATION {"citationID":"SmZIHUQQ","properties":{"formattedCitation":"(Neiman, 2007)","plainCitation":"(Neiman, 2007)"},"citationItems":[{"id":532,"uris":["http://zotero.org/users/1507390/items/PPMDGGBM"],"uri":["http://zotero.org/users/1507390/items/PPMDGGBM"],"itemData":{"id":532,"type":"article","title":"Spatial Data Analysis in Archaeology","publisher":"University of Virginia","URL":"http://people.virginia.edu/~fn9r/anth589b/index.html","shortTitle":"Evaluation Goodness of Fit in Trend-Surface Analysis: r-square, sums of squares, mean squares, and F statistics","author":[{"family":"Neiman","given":"Fraser"}],"issued":{"date-parts":[["2007",2,18]]}}}],"schema":"https://github.com/citation-style-language/schema/raw/master/csl-citation.json"} </w:instrText>
      </w:r>
      <w:r w:rsidR="00177749">
        <w:rPr>
          <w:rFonts w:cs="Times New Roman"/>
          <w:szCs w:val="24"/>
        </w:rPr>
        <w:fldChar w:fldCharType="separate"/>
      </w:r>
      <w:r w:rsidRPr="009A5B4E">
        <w:rPr>
          <w:rFonts w:ascii="Cambria" w:hAnsi="Cambria"/>
        </w:rPr>
        <w:t>(Neiman, 2007)</w:t>
      </w:r>
      <w:r w:rsidR="00177749">
        <w:rPr>
          <w:rFonts w:cs="Times New Roman"/>
          <w:szCs w:val="24"/>
        </w:rPr>
        <w:fldChar w:fldCharType="end"/>
      </w:r>
      <w:r>
        <w:rPr>
          <w:rFonts w:cs="Times New Roman"/>
          <w:szCs w:val="24"/>
        </w:rPr>
        <w:t xml:space="preserve">. </w:t>
      </w:r>
      <w:r w:rsidRPr="00810A62">
        <w:rPr>
          <w:rFonts w:cs="Times New Roman"/>
          <w:szCs w:val="24"/>
        </w:rPr>
        <w:t>If the p-value associated with the F-statistic is less than or equal to 0.05 the null hypothesis is rejected.</w:t>
      </w:r>
    </w:p>
    <w:p w:rsidR="002F3B63" w:rsidRDefault="002F3B63" w:rsidP="002F3B63">
      <w:pPr>
        <w:spacing w:after="0" w:line="480" w:lineRule="auto"/>
        <w:ind w:firstLine="720"/>
        <w:rPr>
          <w:rFonts w:cs="Times New Roman"/>
          <w:szCs w:val="24"/>
        </w:rPr>
      </w:pPr>
      <w:r w:rsidRPr="00810A62">
        <w:rPr>
          <w:rFonts w:cs="Times New Roman"/>
          <w:szCs w:val="24"/>
        </w:rPr>
        <w:t>Once the F-statistic and associated probability confirm that the overall model has a significant trend the t-value is used to determine the significance of specific trend directions. The t-value is calculated by:</w:t>
      </w:r>
      <w:r>
        <w:rPr>
          <w:rFonts w:cs="Times New Roman"/>
          <w:szCs w:val="24"/>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8"/>
        <w:gridCol w:w="7830"/>
        <w:gridCol w:w="828"/>
      </w:tblGrid>
      <w:tr w:rsidR="002F3B63" w:rsidTr="002F3B63">
        <w:tc>
          <w:tcPr>
            <w:tcW w:w="918" w:type="dxa"/>
          </w:tcPr>
          <w:p w:rsidR="002F3B63" w:rsidRPr="00826222" w:rsidRDefault="002F3B63" w:rsidP="002F3B63">
            <w:pPr>
              <w:spacing w:line="480" w:lineRule="auto"/>
              <w:jc w:val="both"/>
              <w:rPr>
                <w:rFonts w:cs="Times New Roman"/>
                <w:iCs/>
                <w:szCs w:val="24"/>
              </w:rPr>
            </w:pPr>
          </w:p>
        </w:tc>
        <w:tc>
          <w:tcPr>
            <w:tcW w:w="7830" w:type="dxa"/>
          </w:tcPr>
          <w:p w:rsidR="002F3B63" w:rsidRPr="00826222" w:rsidRDefault="002F3B63" w:rsidP="002F3B63">
            <w:pPr>
              <w:spacing w:line="480" w:lineRule="auto"/>
              <w:jc w:val="center"/>
              <w:rPr>
                <w:rFonts w:cs="Times New Roman"/>
                <w:iCs/>
                <w:szCs w:val="24"/>
              </w:rPr>
            </w:pPr>
            <m:oMathPara>
              <m:oMath>
                <m:r>
                  <w:rPr>
                    <w:rFonts w:ascii="Cambria Math" w:hAnsi="Cambria Math" w:cs="Times New Roman"/>
                    <w:szCs w:val="24"/>
                  </w:rPr>
                  <m:t>t</m:t>
                </m:r>
                <m:r>
                  <w:rPr>
                    <w:rFonts w:cs="Times New Roman"/>
                    <w:szCs w:val="24"/>
                  </w:rPr>
                  <m:t>-</m:t>
                </m:r>
                <m:r>
                  <w:rPr>
                    <w:rFonts w:ascii="Cambria Math" w:hAnsi="Cambria Math" w:cs="Times New Roman"/>
                    <w:szCs w:val="24"/>
                  </w:rPr>
                  <m:t>value</m:t>
                </m:r>
                <m:r>
                  <w:rPr>
                    <w:rFonts w:ascii="Cambria Math" w:cs="Times New Roman"/>
                    <w:szCs w:val="24"/>
                  </w:rPr>
                  <m:t xml:space="preserve">= </m:t>
                </m:r>
                <m:f>
                  <m:fPr>
                    <m:ctrlPr>
                      <w:rPr>
                        <w:rFonts w:ascii="Cambria Math" w:hAnsi="Cambria Math" w:cs="Times New Roman"/>
                        <w:i/>
                        <w:szCs w:val="24"/>
                      </w:rPr>
                    </m:ctrlPr>
                  </m:fPr>
                  <m:num>
                    <m:sSub>
                      <m:sSubPr>
                        <m:ctrlPr>
                          <w:rPr>
                            <w:rFonts w:ascii="Cambria Math" w:hAnsi="Cambria Math" w:cs="Times New Roman"/>
                            <w:i/>
                            <w:szCs w:val="24"/>
                          </w:rPr>
                        </m:ctrlPr>
                      </m:sSubPr>
                      <m:e>
                        <m:r>
                          <w:rPr>
                            <w:rFonts w:ascii="Cambria Math" w:hAnsi="Cambria Math" w:cs="Times New Roman"/>
                            <w:szCs w:val="24"/>
                          </w:rPr>
                          <m:t>b</m:t>
                        </m:r>
                      </m:e>
                      <m:sub>
                        <m:r>
                          <w:rPr>
                            <w:rFonts w:ascii="Cambria Math" w:hAnsi="Cambria Math" w:cs="Times New Roman"/>
                            <w:szCs w:val="24"/>
                          </w:rPr>
                          <m:t>i</m:t>
                        </m:r>
                      </m:sub>
                    </m:sSub>
                  </m:num>
                  <m:den>
                    <m:r>
                      <w:rPr>
                        <w:rFonts w:ascii="Cambria Math" w:hAnsi="Cambria Math" w:cs="Times New Roman"/>
                        <w:szCs w:val="24"/>
                      </w:rPr>
                      <m:t>SE</m:t>
                    </m:r>
                  </m:den>
                </m:f>
              </m:oMath>
            </m:oMathPara>
          </w:p>
        </w:tc>
        <w:tc>
          <w:tcPr>
            <w:tcW w:w="828" w:type="dxa"/>
          </w:tcPr>
          <w:p w:rsidR="002F3B63" w:rsidRPr="00826222" w:rsidRDefault="002F3B63" w:rsidP="002F3B63">
            <w:pPr>
              <w:jc w:val="right"/>
              <w:rPr>
                <w:rFonts w:cs="Times New Roman"/>
                <w:iCs/>
                <w:szCs w:val="24"/>
              </w:rPr>
            </w:pPr>
            <w:r w:rsidRPr="00826222">
              <w:rPr>
                <w:rFonts w:cs="Times New Roman"/>
                <w:iCs/>
                <w:szCs w:val="24"/>
              </w:rPr>
              <w:t>(</w:t>
            </w:r>
            <w:fldSimple w:instr=" SEQ Eq \* MERGEFORMAT ">
              <w:r w:rsidR="00885C9E" w:rsidRPr="00885C9E">
                <w:rPr>
                  <w:rFonts w:cs="Times New Roman"/>
                  <w:iCs/>
                  <w:noProof/>
                  <w:szCs w:val="24"/>
                </w:rPr>
                <w:t>8</w:t>
              </w:r>
            </w:fldSimple>
            <w:r w:rsidRPr="00826222">
              <w:rPr>
                <w:rFonts w:cs="Times New Roman"/>
                <w:iCs/>
                <w:szCs w:val="24"/>
              </w:rPr>
              <w:t>)</w:t>
            </w:r>
          </w:p>
        </w:tc>
      </w:tr>
    </w:tbl>
    <w:p w:rsidR="002F3B63" w:rsidRPr="00810A62" w:rsidRDefault="002F3B63" w:rsidP="002F3B63">
      <w:pPr>
        <w:spacing w:after="0" w:line="480" w:lineRule="auto"/>
        <w:rPr>
          <w:rFonts w:cs="Times New Roman"/>
          <w:szCs w:val="24"/>
        </w:rPr>
      </w:pPr>
      <w:r>
        <w:rPr>
          <w:rFonts w:cs="Times New Roman"/>
          <w:szCs w:val="24"/>
        </w:rPr>
        <w:t xml:space="preserve">where </w:t>
      </w:r>
      <w:r w:rsidRPr="00540135">
        <w:rPr>
          <w:rFonts w:cs="Times New Roman"/>
          <w:i/>
          <w:szCs w:val="24"/>
        </w:rPr>
        <w:t>b</w:t>
      </w:r>
      <w:r w:rsidRPr="00540135">
        <w:rPr>
          <w:rFonts w:cs="Times New Roman"/>
          <w:i/>
          <w:szCs w:val="24"/>
          <w:vertAlign w:val="subscript"/>
        </w:rPr>
        <w:t>i</w:t>
      </w:r>
      <w:r>
        <w:rPr>
          <w:rFonts w:cs="Times New Roman"/>
          <w:szCs w:val="24"/>
        </w:rPr>
        <w:t xml:space="preserve"> is the slope coefficient and </w:t>
      </w:r>
      <w:r w:rsidRPr="00540135">
        <w:rPr>
          <w:rFonts w:cs="Times New Roman"/>
          <w:i/>
          <w:szCs w:val="24"/>
        </w:rPr>
        <w:t>SE</w:t>
      </w:r>
      <w:r>
        <w:rPr>
          <w:rFonts w:cs="Times New Roman"/>
          <w:szCs w:val="24"/>
        </w:rPr>
        <w:t xml:space="preserve"> is the standard error. </w:t>
      </w:r>
      <w:r w:rsidRPr="00810A62">
        <w:rPr>
          <w:rFonts w:cs="Times New Roman"/>
          <w:szCs w:val="24"/>
        </w:rPr>
        <w:t xml:space="preserve">The significance level for the probability associated with the t-value was also set at 0.05 and was used to determine whether </w:t>
      </w:r>
      <w:r>
        <w:rPr>
          <w:rFonts w:cs="Times New Roman"/>
          <w:szCs w:val="24"/>
        </w:rPr>
        <w:t>a particular slope coefficient is</w:t>
      </w:r>
      <w:r w:rsidRPr="00810A62">
        <w:rPr>
          <w:rFonts w:cs="Times New Roman"/>
          <w:szCs w:val="24"/>
        </w:rPr>
        <w:t xml:space="preserve"> significantly different from </w:t>
      </w:r>
      <w:r>
        <w:rPr>
          <w:rFonts w:cs="Times New Roman"/>
          <w:szCs w:val="24"/>
        </w:rPr>
        <w:t>zero</w:t>
      </w:r>
      <w:r w:rsidRPr="00810A62">
        <w:rPr>
          <w:rFonts w:cs="Times New Roman"/>
          <w:szCs w:val="24"/>
        </w:rPr>
        <w:t>. If the p-value associated with the t-value is less than or equal to 0.05 the specific trend direction</w:t>
      </w:r>
      <w:r>
        <w:rPr>
          <w:rFonts w:cs="Times New Roman"/>
          <w:szCs w:val="24"/>
        </w:rPr>
        <w:t>/component</w:t>
      </w:r>
      <w:r w:rsidRPr="00810A62">
        <w:rPr>
          <w:rFonts w:cs="Times New Roman"/>
          <w:szCs w:val="24"/>
        </w:rPr>
        <w:t xml:space="preserve"> is significant and contributes to the overall trend surface. The </w:t>
      </w:r>
      <w:r>
        <w:rPr>
          <w:rFonts w:cs="Times New Roman"/>
          <w:szCs w:val="24"/>
        </w:rPr>
        <w:t xml:space="preserve">identification </w:t>
      </w:r>
      <w:r w:rsidRPr="00810A62">
        <w:rPr>
          <w:rFonts w:cs="Times New Roman"/>
          <w:szCs w:val="24"/>
        </w:rPr>
        <w:t>of specific t</w:t>
      </w:r>
      <w:r>
        <w:rPr>
          <w:rFonts w:cs="Times New Roman"/>
          <w:szCs w:val="24"/>
        </w:rPr>
        <w:t>r</w:t>
      </w:r>
      <w:r w:rsidRPr="00810A62">
        <w:rPr>
          <w:rFonts w:cs="Times New Roman"/>
          <w:szCs w:val="24"/>
        </w:rPr>
        <w:t>end directions is necessary for a specific form of geostatistics, known as Universal Krig</w:t>
      </w:r>
      <w:r>
        <w:rPr>
          <w:rFonts w:cs="Times New Roman"/>
          <w:szCs w:val="24"/>
        </w:rPr>
        <w:t xml:space="preserve">ing, which will be discussed </w:t>
      </w:r>
      <w:r w:rsidRPr="00810A62">
        <w:rPr>
          <w:rFonts w:cs="Times New Roman"/>
          <w:szCs w:val="24"/>
        </w:rPr>
        <w:t>later.</w:t>
      </w:r>
    </w:p>
    <w:p w:rsidR="002F3B63" w:rsidRPr="00810A62" w:rsidRDefault="002F3B63" w:rsidP="002F3B63">
      <w:pPr>
        <w:pStyle w:val="Style2"/>
      </w:pPr>
      <w:bookmarkStart w:id="24" w:name="_Toc412485237"/>
      <w:bookmarkStart w:id="25" w:name="_Toc425427030"/>
      <w:r w:rsidRPr="00810A62">
        <w:t>3.4 Detrending</w:t>
      </w:r>
      <w:bookmarkEnd w:id="24"/>
      <w:bookmarkEnd w:id="25"/>
    </w:p>
    <w:p w:rsidR="002F3B63" w:rsidRDefault="002F3B63" w:rsidP="002F3B63">
      <w:pPr>
        <w:spacing w:after="0" w:line="480" w:lineRule="auto"/>
        <w:ind w:firstLine="720"/>
        <w:rPr>
          <w:rFonts w:cs="Times New Roman"/>
          <w:szCs w:val="24"/>
        </w:rPr>
      </w:pPr>
      <w:r w:rsidRPr="00810A62">
        <w:rPr>
          <w:rFonts w:cs="Times New Roman"/>
          <w:szCs w:val="24"/>
        </w:rPr>
        <w:t>Before the experimental data can be adequately analyzed using geostatistics the intrinsic hypothesis must be s</w:t>
      </w:r>
      <w:r>
        <w:rPr>
          <w:rFonts w:cs="Times New Roman"/>
          <w:szCs w:val="24"/>
        </w:rPr>
        <w:t xml:space="preserve">atisfied by trend removal </w:t>
      </w:r>
      <w:r w:rsidR="00177749">
        <w:rPr>
          <w:rFonts w:cs="Times New Roman"/>
          <w:szCs w:val="24"/>
        </w:rPr>
        <w:fldChar w:fldCharType="begin"/>
      </w:r>
      <w:r>
        <w:rPr>
          <w:rFonts w:cs="Times New Roman"/>
          <w:szCs w:val="24"/>
        </w:rPr>
        <w:instrText xml:space="preserve"> ADDIN ZOTERO_ITEM CSL_CITATION {"citationID":"4b0uh5foa","properties":{"formattedCitation":"(Vieira et al., 1983)","plainCitation":"(Vieira et al., 1983)"},"citationItems":[{"id":526,"uris":["http://zotero.org/users/1507390/items/VB2WWA9T"],"uri":["http://zotero.org/users/1507390/items/VB2WWA9T"],"itemData":{"id":526,"type":"article-journal","title":"Geostatistical theory and application to variability of some agronomical properties","container-title":"Hilgardia","page":"1-75","volume":"51","issue":"3","source":"CrossRef","DOI":"10.3733/hilg.v51n03p075","ISSN":"0073-2230","language":"en","author":[{"family":"Vieira","given":"S. R."},{"family":"Hatfield","given":"J. L."},{"family":"Nielsen","given":"D. R."},{"family":"Biggar","given":"J. W."}],"issued":{"date-parts":[["1983",6]]},"accessed":{"date-parts":[["2015",2,25]]}}}],"schema":"https://github.com/citation-style-language/schema/raw/master/csl-citation.json"} </w:instrText>
      </w:r>
      <w:r w:rsidR="00177749">
        <w:rPr>
          <w:rFonts w:cs="Times New Roman"/>
          <w:szCs w:val="24"/>
        </w:rPr>
        <w:fldChar w:fldCharType="separate"/>
      </w:r>
      <w:r w:rsidRPr="009A5B4E">
        <w:rPr>
          <w:rFonts w:ascii="Cambria" w:hAnsi="Cambria"/>
        </w:rPr>
        <w:t>(Vieira et al., 1983)</w:t>
      </w:r>
      <w:r w:rsidR="00177749">
        <w:rPr>
          <w:rFonts w:cs="Times New Roman"/>
          <w:szCs w:val="24"/>
        </w:rPr>
        <w:fldChar w:fldCharType="end"/>
      </w:r>
      <w:r>
        <w:rPr>
          <w:rFonts w:cs="Times New Roman"/>
          <w:szCs w:val="24"/>
        </w:rPr>
        <w:t xml:space="preserve">. </w:t>
      </w:r>
      <w:r w:rsidRPr="00810A62">
        <w:rPr>
          <w:rFonts w:cs="Times New Roman"/>
          <w:szCs w:val="24"/>
        </w:rPr>
        <w:t>Fortunately, there is a very simple and effective way of detrending the experimental data</w:t>
      </w:r>
      <w:r>
        <w:rPr>
          <w:rFonts w:cs="Times New Roman"/>
          <w:szCs w:val="24"/>
        </w:rPr>
        <w:t xml:space="preserve"> (Vieira et al., 2010)</w:t>
      </w:r>
      <w:r w:rsidRPr="00810A62">
        <w:rPr>
          <w:rFonts w:cs="Times New Roman"/>
          <w:szCs w:val="24"/>
        </w:rPr>
        <w:t xml:space="preserve">. As previously mentioned, </w:t>
      </w:r>
      <w:r>
        <w:rPr>
          <w:rFonts w:cs="Times New Roman"/>
          <w:szCs w:val="24"/>
        </w:rPr>
        <w:t>a</w:t>
      </w:r>
      <w:r w:rsidRPr="00810A62">
        <w:rPr>
          <w:rFonts w:cs="Times New Roman"/>
          <w:szCs w:val="24"/>
        </w:rPr>
        <w:t xml:space="preserve"> t</w:t>
      </w:r>
      <w:r>
        <w:rPr>
          <w:rFonts w:cs="Times New Roman"/>
          <w:szCs w:val="24"/>
        </w:rPr>
        <w:t>r</w:t>
      </w:r>
      <w:r w:rsidRPr="00810A62">
        <w:rPr>
          <w:rFonts w:cs="Times New Roman"/>
          <w:szCs w:val="24"/>
        </w:rPr>
        <w:t xml:space="preserve">end surface </w:t>
      </w:r>
      <w:r>
        <w:rPr>
          <w:rFonts w:cs="Times New Roman"/>
          <w:szCs w:val="24"/>
        </w:rPr>
        <w:t xml:space="preserve">is fitted </w:t>
      </w:r>
      <w:r w:rsidRPr="00810A62">
        <w:rPr>
          <w:rFonts w:cs="Times New Roman"/>
          <w:szCs w:val="24"/>
        </w:rPr>
        <w:t>to the data using OLS</w:t>
      </w:r>
      <w:r>
        <w:rPr>
          <w:rFonts w:cs="Times New Roman"/>
          <w:szCs w:val="24"/>
        </w:rPr>
        <w:t xml:space="preserve"> in order to</w:t>
      </w:r>
      <w:r w:rsidRPr="00810A62">
        <w:rPr>
          <w:rFonts w:cs="Times New Roman"/>
          <w:szCs w:val="24"/>
        </w:rPr>
        <w:t xml:space="preserve"> identify the trend directions that significantly contribute to the overall trend surface. Next, a new variable, known as the residual variable, is constructed by subtracting the value of the trend surface function from the </w:t>
      </w:r>
      <w:r>
        <w:rPr>
          <w:rFonts w:cs="Times New Roman"/>
          <w:szCs w:val="24"/>
        </w:rPr>
        <w:t xml:space="preserve">experimental data </w:t>
      </w:r>
      <w:r w:rsidR="00177749">
        <w:rPr>
          <w:rFonts w:cs="Times New Roman"/>
          <w:szCs w:val="24"/>
        </w:rPr>
        <w:fldChar w:fldCharType="begin"/>
      </w:r>
      <w:r>
        <w:rPr>
          <w:rFonts w:cs="Times New Roman"/>
          <w:szCs w:val="24"/>
        </w:rPr>
        <w:instrText xml:space="preserve"> ADDIN ZOTERO_ITEM CSL_CITATION {"citationID":"2irqeccdjc","properties":{"formattedCitation":"(Vieira et al., 2010)","plainCitation":"(Vieira et al., 2010)"},"citationItems":[{"id":462,"uris":["http://zotero.org/users/1507390/items/4GVWJW8R"],"uri":["http://zotero.org/users/1507390/items/4GVWJW8R"],"itemData":{"id":462,"type":"article-journal","title":"Detrending non stationary data for geostatistical applications","container-title":"Bragantia","page":"01-08","volume":"69","source":"SciELO","DOI":"10.1590/S0006-87052010000500002","ISSN":"0006-8705","author":[{"family":"Vieira","given":"Sidney Rosa"},{"family":"Carvalho","given":"José Ruy Porto de"},{"family":"Ceddia","given":"Marcos Bacis"},{"family":"González","given":"Antonio Paz"}],"issued":{"date-parts":[["2010",1]]},"accessed":{"date-parts":[["2014",9,9]]}}}],"schema":"https://github.com/citation-style-language/schema/raw/master/csl-citation.json"} </w:instrText>
      </w:r>
      <w:r w:rsidR="00177749">
        <w:rPr>
          <w:rFonts w:cs="Times New Roman"/>
          <w:szCs w:val="24"/>
        </w:rPr>
        <w:fldChar w:fldCharType="separate"/>
      </w:r>
      <w:r w:rsidRPr="009A5B4E">
        <w:rPr>
          <w:rFonts w:ascii="Cambria" w:hAnsi="Cambria"/>
        </w:rPr>
        <w:t>(Vieira et al., 2010)</w:t>
      </w:r>
      <w:r w:rsidR="00177749">
        <w:rPr>
          <w:rFonts w:cs="Times New Roman"/>
          <w:szCs w:val="24"/>
        </w:rPr>
        <w:fldChar w:fldCharType="end"/>
      </w:r>
      <w:r w:rsidRPr="00810A62">
        <w:rPr>
          <w:rFonts w:cs="Times New Roman"/>
          <w:szCs w:val="24"/>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8"/>
        <w:gridCol w:w="7830"/>
        <w:gridCol w:w="828"/>
      </w:tblGrid>
      <w:tr w:rsidR="002F3B63" w:rsidTr="002F3B63">
        <w:tc>
          <w:tcPr>
            <w:tcW w:w="918" w:type="dxa"/>
          </w:tcPr>
          <w:p w:rsidR="002F3B63" w:rsidRPr="00826222" w:rsidRDefault="002F3B63" w:rsidP="002F3B63">
            <w:pPr>
              <w:spacing w:line="480" w:lineRule="auto"/>
              <w:jc w:val="both"/>
              <w:rPr>
                <w:rFonts w:cs="Times New Roman"/>
                <w:iCs/>
                <w:szCs w:val="24"/>
              </w:rPr>
            </w:pPr>
          </w:p>
        </w:tc>
        <w:tc>
          <w:tcPr>
            <w:tcW w:w="7830" w:type="dxa"/>
          </w:tcPr>
          <w:p w:rsidR="002F3B63" w:rsidRPr="00826222" w:rsidRDefault="00177749" w:rsidP="002F3B63">
            <w:pPr>
              <w:spacing w:line="480" w:lineRule="auto"/>
              <w:jc w:val="center"/>
              <w:rPr>
                <w:rFonts w:cs="Times New Roman"/>
                <w:iCs/>
                <w:szCs w:val="24"/>
              </w:rPr>
            </w:pPr>
            <m:oMathPara>
              <m:oMath>
                <m:sSub>
                  <m:sSubPr>
                    <m:ctrlPr>
                      <w:rPr>
                        <w:rFonts w:ascii="Cambria Math" w:hAnsi="Cambria Math" w:cs="Times New Roman"/>
                        <w:i/>
                        <w:szCs w:val="24"/>
                      </w:rPr>
                    </m:ctrlPr>
                  </m:sSubPr>
                  <m:e>
                    <m:r>
                      <w:rPr>
                        <w:rFonts w:ascii="Cambria Math" w:hAnsi="Cambria Math" w:cs="Times New Roman"/>
                        <w:szCs w:val="24"/>
                      </w:rPr>
                      <m:t>z</m:t>
                    </m:r>
                  </m:e>
                  <m:sub>
                    <m:r>
                      <w:rPr>
                        <w:rFonts w:ascii="Cambria Math" w:hAnsi="Cambria Math" w:cs="Times New Roman"/>
                        <w:szCs w:val="24"/>
                      </w:rPr>
                      <m:t>res</m:t>
                    </m:r>
                  </m:sub>
                </m:sSub>
                <m:r>
                  <w:rPr>
                    <w:rFonts w:ascii="Cambria Math" w:cs="Times New Roman"/>
                    <w:szCs w:val="24"/>
                  </w:rPr>
                  <m:t xml:space="preserve">= </m:t>
                </m:r>
                <m:sSub>
                  <m:sSubPr>
                    <m:ctrlPr>
                      <w:rPr>
                        <w:rFonts w:ascii="Cambria Math" w:hAnsi="Cambria Math" w:cs="Times New Roman"/>
                        <w:i/>
                        <w:szCs w:val="24"/>
                      </w:rPr>
                    </m:ctrlPr>
                  </m:sSubPr>
                  <m:e>
                    <m:r>
                      <w:rPr>
                        <w:rFonts w:ascii="Cambria Math" w:hAnsi="Cambria Math" w:cs="Times New Roman"/>
                        <w:szCs w:val="24"/>
                      </w:rPr>
                      <m:t>z</m:t>
                    </m:r>
                  </m:e>
                  <m:sub>
                    <m:r>
                      <w:rPr>
                        <w:rFonts w:ascii="Cambria Math" w:hAnsi="Cambria Math" w:cs="Times New Roman"/>
                        <w:szCs w:val="24"/>
                      </w:rPr>
                      <m:t>i</m:t>
                    </m:r>
                  </m:sub>
                </m:sSub>
                <m:r>
                  <w:rPr>
                    <w:rFonts w:cs="Times New Roman"/>
                    <w:szCs w:val="24"/>
                  </w:rPr>
                  <m:t>-</m:t>
                </m:r>
                <m:r>
                  <w:rPr>
                    <w:rFonts w:ascii="Cambria Math" w:cs="Times New Roman"/>
                    <w:szCs w:val="24"/>
                  </w:rPr>
                  <m:t xml:space="preserve"> </m:t>
                </m:r>
                <m:sSub>
                  <m:sSubPr>
                    <m:ctrlPr>
                      <w:rPr>
                        <w:rFonts w:ascii="Cambria Math" w:hAnsi="Cambria Math" w:cs="Times New Roman"/>
                        <w:i/>
                        <w:szCs w:val="24"/>
                      </w:rPr>
                    </m:ctrlPr>
                  </m:sSubPr>
                  <m:e>
                    <m:acc>
                      <m:accPr>
                        <m:ctrlPr>
                          <w:rPr>
                            <w:rFonts w:ascii="Cambria Math" w:hAnsi="Cambria Math" w:cs="Times New Roman"/>
                            <w:i/>
                            <w:szCs w:val="24"/>
                          </w:rPr>
                        </m:ctrlPr>
                      </m:accPr>
                      <m:e>
                        <m:r>
                          <w:rPr>
                            <w:rFonts w:ascii="Cambria Math" w:hAnsi="Cambria Math" w:cs="Times New Roman"/>
                            <w:szCs w:val="24"/>
                          </w:rPr>
                          <m:t>z</m:t>
                        </m:r>
                      </m:e>
                    </m:acc>
                  </m:e>
                  <m:sub>
                    <m:r>
                      <w:rPr>
                        <w:rFonts w:ascii="Cambria Math" w:hAnsi="Cambria Math" w:cs="Times New Roman"/>
                        <w:szCs w:val="24"/>
                      </w:rPr>
                      <m:t>i</m:t>
                    </m:r>
                  </m:sub>
                </m:sSub>
              </m:oMath>
            </m:oMathPara>
          </w:p>
        </w:tc>
        <w:tc>
          <w:tcPr>
            <w:tcW w:w="828" w:type="dxa"/>
          </w:tcPr>
          <w:p w:rsidR="002F3B63" w:rsidRPr="00826222" w:rsidRDefault="002F3B63" w:rsidP="002F3B63">
            <w:pPr>
              <w:spacing w:line="480" w:lineRule="auto"/>
              <w:jc w:val="right"/>
              <w:rPr>
                <w:rFonts w:cs="Times New Roman"/>
                <w:iCs/>
                <w:szCs w:val="24"/>
              </w:rPr>
            </w:pPr>
            <w:r w:rsidRPr="00826222">
              <w:rPr>
                <w:rFonts w:cs="Times New Roman"/>
                <w:iCs/>
                <w:szCs w:val="24"/>
              </w:rPr>
              <w:t>(</w:t>
            </w:r>
            <w:fldSimple w:instr=" SEQ Eq \* MERGEFORMAT ">
              <w:r w:rsidR="00885C9E" w:rsidRPr="00885C9E">
                <w:rPr>
                  <w:rFonts w:cs="Times New Roman"/>
                  <w:iCs/>
                  <w:noProof/>
                  <w:szCs w:val="24"/>
                </w:rPr>
                <w:t>9</w:t>
              </w:r>
            </w:fldSimple>
            <w:r w:rsidRPr="00826222">
              <w:rPr>
                <w:rFonts w:cs="Times New Roman"/>
                <w:iCs/>
                <w:szCs w:val="24"/>
              </w:rPr>
              <w:t>)</w:t>
            </w:r>
          </w:p>
        </w:tc>
      </w:tr>
    </w:tbl>
    <w:p w:rsidR="002F3B63" w:rsidRPr="00810A62" w:rsidRDefault="002F3B63" w:rsidP="002F3B63">
      <w:pPr>
        <w:spacing w:after="0" w:line="480" w:lineRule="auto"/>
        <w:rPr>
          <w:rFonts w:cs="Times New Roman"/>
          <w:szCs w:val="24"/>
        </w:rPr>
      </w:pPr>
      <w:r w:rsidRPr="00810A62">
        <w:rPr>
          <w:rFonts w:cs="Times New Roman"/>
          <w:szCs w:val="24"/>
        </w:rPr>
        <w:lastRenderedPageBreak/>
        <w:t xml:space="preserve">The newly calculated </w:t>
      </w:r>
      <m:oMath>
        <m:sSub>
          <m:sSubPr>
            <m:ctrlPr>
              <w:rPr>
                <w:rFonts w:ascii="Cambria Math" w:hAnsi="Cambria Math" w:cs="Times New Roman"/>
                <w:i/>
                <w:szCs w:val="24"/>
              </w:rPr>
            </m:ctrlPr>
          </m:sSubPr>
          <m:e>
            <m:r>
              <w:rPr>
                <w:rFonts w:ascii="Cambria Math" w:hAnsi="Cambria Math" w:cs="Times New Roman"/>
                <w:szCs w:val="24"/>
              </w:rPr>
              <m:t>z</m:t>
            </m:r>
          </m:e>
          <m:sub>
            <m:r>
              <w:rPr>
                <w:rFonts w:ascii="Cambria Math" w:hAnsi="Cambria Math" w:cs="Times New Roman"/>
                <w:szCs w:val="24"/>
              </w:rPr>
              <m:t>res</m:t>
            </m:r>
          </m:sub>
        </m:sSub>
      </m:oMath>
      <w:r w:rsidRPr="00810A62">
        <w:rPr>
          <w:rFonts w:cs="Times New Roman"/>
          <w:szCs w:val="24"/>
        </w:rPr>
        <w:t xml:space="preserve"> is then analyzed again to ensure that the trend removal was successful.</w:t>
      </w:r>
      <w:r w:rsidRPr="00810A62">
        <w:rPr>
          <w:rFonts w:cs="Times New Roman"/>
          <w:szCs w:val="24"/>
        </w:rPr>
        <w:tab/>
      </w:r>
    </w:p>
    <w:p w:rsidR="002F3B63" w:rsidRDefault="002F3B63" w:rsidP="002F3B63">
      <w:pPr>
        <w:spacing w:after="0" w:line="480" w:lineRule="auto"/>
        <w:ind w:firstLine="720"/>
        <w:rPr>
          <w:rFonts w:cs="Times New Roman"/>
          <w:szCs w:val="24"/>
        </w:rPr>
      </w:pPr>
      <w:r w:rsidRPr="00810A62">
        <w:rPr>
          <w:rFonts w:cs="Times New Roman"/>
          <w:szCs w:val="24"/>
        </w:rPr>
        <w:t xml:space="preserve">By removing the trend there is a change in scale for the data. Because the trend surface describes the overall spatial variation for the variable, </w:t>
      </w:r>
      <m:oMath>
        <m:r>
          <w:rPr>
            <w:rFonts w:ascii="Cambria Math" w:cs="Times New Roman"/>
            <w:szCs w:val="24"/>
          </w:rPr>
          <m:t xml:space="preserve"> </m:t>
        </m:r>
        <m:sSub>
          <m:sSubPr>
            <m:ctrlPr>
              <w:rPr>
                <w:rFonts w:ascii="Cambria Math" w:hAnsi="Cambria Math" w:cs="Times New Roman"/>
                <w:i/>
                <w:szCs w:val="24"/>
              </w:rPr>
            </m:ctrlPr>
          </m:sSubPr>
          <m:e>
            <m:r>
              <w:rPr>
                <w:rFonts w:ascii="Cambria Math" w:hAnsi="Cambria Math" w:cs="Times New Roman"/>
                <w:szCs w:val="24"/>
              </w:rPr>
              <m:t>z</m:t>
            </m:r>
          </m:e>
          <m:sub>
            <m:r>
              <w:rPr>
                <w:rFonts w:ascii="Cambria Math" w:hAnsi="Cambria Math" w:cs="Times New Roman"/>
                <w:szCs w:val="24"/>
              </w:rPr>
              <m:t>res</m:t>
            </m:r>
          </m:sub>
        </m:sSub>
      </m:oMath>
      <w:r w:rsidRPr="00810A62">
        <w:rPr>
          <w:rFonts w:cs="Times New Roman"/>
          <w:szCs w:val="24"/>
        </w:rPr>
        <w:t xml:space="preserve"> will produce a new surface which will contain simply the remaining surface roughness and its values will </w:t>
      </w:r>
      <w:r>
        <w:rPr>
          <w:rFonts w:cs="Times New Roman"/>
          <w:szCs w:val="24"/>
        </w:rPr>
        <w:t xml:space="preserve">fluctuate </w:t>
      </w:r>
      <w:r w:rsidRPr="00810A62">
        <w:rPr>
          <w:rFonts w:cs="Times New Roman"/>
          <w:szCs w:val="24"/>
        </w:rPr>
        <w:t>above and below zero (Vieira</w:t>
      </w:r>
      <w:r>
        <w:rPr>
          <w:rFonts w:cs="Times New Roman"/>
          <w:szCs w:val="24"/>
        </w:rPr>
        <w:t xml:space="preserve"> et al.</w:t>
      </w:r>
      <w:r w:rsidRPr="00810A62">
        <w:rPr>
          <w:rFonts w:cs="Times New Roman"/>
          <w:szCs w:val="24"/>
        </w:rPr>
        <w:t xml:space="preserve">, 2010). </w:t>
      </w:r>
      <w:r>
        <w:rPr>
          <w:rFonts w:cs="Times New Roman"/>
          <w:szCs w:val="24"/>
        </w:rPr>
        <w:t xml:space="preserve">If the degree of the trend surface sufficiently describes the underlying trend of the parameter the mean value of the residuals should be zero </w:t>
      </w:r>
      <w:r w:rsidRPr="00810A62">
        <w:rPr>
          <w:rFonts w:cs="Times New Roman"/>
          <w:szCs w:val="24"/>
        </w:rPr>
        <w:t xml:space="preserve">(Vieira et al., 1983). After detrending, the geostatistical analysis will be performed on the residual variable; the trend surface should be added back for the final steps in the geostatistical process. </w:t>
      </w:r>
      <w:bookmarkStart w:id="26" w:name="_Toc412485238"/>
    </w:p>
    <w:p w:rsidR="002F3B63" w:rsidRDefault="002F3B63" w:rsidP="002F3B63">
      <w:pPr>
        <w:pStyle w:val="Style2"/>
      </w:pPr>
      <w:bookmarkStart w:id="27" w:name="_Toc425427031"/>
      <w:r>
        <w:t>3.5 Spatial Interpolation</w:t>
      </w:r>
      <w:bookmarkEnd w:id="26"/>
      <w:bookmarkEnd w:id="27"/>
    </w:p>
    <w:p w:rsidR="002F3B63" w:rsidRDefault="002F3B63" w:rsidP="002F3B63">
      <w:pPr>
        <w:pStyle w:val="Style3"/>
      </w:pPr>
      <w:bookmarkStart w:id="28" w:name="_Toc425427032"/>
      <w:r>
        <w:t>3.5.1 Introduction</w:t>
      </w:r>
      <w:bookmarkEnd w:id="28"/>
    </w:p>
    <w:p w:rsidR="002F3B63" w:rsidRDefault="002F3B63" w:rsidP="002F3B63">
      <w:pPr>
        <w:spacing w:after="0" w:line="480" w:lineRule="auto"/>
        <w:ind w:firstLine="720"/>
        <w:rPr>
          <w:rFonts w:cs="Times New Roman"/>
          <w:szCs w:val="24"/>
        </w:rPr>
      </w:pPr>
      <w:r w:rsidRPr="00810A62">
        <w:rPr>
          <w:rFonts w:cs="Times New Roman"/>
          <w:szCs w:val="24"/>
        </w:rPr>
        <w:t>Geostatistical methods are well documented (</w:t>
      </w:r>
      <w:r w:rsidR="00177749">
        <w:rPr>
          <w:rFonts w:cs="Times New Roman"/>
          <w:szCs w:val="24"/>
        </w:rPr>
        <w:fldChar w:fldCharType="begin"/>
      </w:r>
      <w:r>
        <w:rPr>
          <w:rFonts w:cs="Times New Roman"/>
          <w:szCs w:val="24"/>
        </w:rPr>
        <w:instrText xml:space="preserve"> ADDIN ZOTERO_ITEM CSL_CITATION {"citationID":"1pptt9otqe","properties":{"formattedCitation":"(Isaaks and Srivastava, 1989)","plainCitation":"(Isaaks and Srivastava, 1989)"},"citationItems":[{"id":33,"uris":["http://zotero.org/users/1507390/items/5293ITPV"],"uri":["http://zotero.org/users/1507390/items/5293ITPV"],"itemData":{"id":33,"type":"book","title":"Applied Geostatistics","publisher":"Oxford University Press","publisher-place":"New York","number-of-pages":"561","source":"Open WorldCat","event-place":"New York","ISBN":"0195050126  9780195050127  0195050134  9780195050134","language":"English","author":[{"family":"Isaaks","given":"Edward H"},{"family":"Srivastava","given":"R. Mohan"}],"issued":{"date-parts":[["1989"]]}}}],"schema":"https://github.com/citation-style-language/schema/raw/master/csl-citation.json"} </w:instrText>
      </w:r>
      <w:r w:rsidR="00177749">
        <w:rPr>
          <w:rFonts w:cs="Times New Roman"/>
          <w:szCs w:val="24"/>
        </w:rPr>
        <w:fldChar w:fldCharType="separate"/>
      </w:r>
      <w:r w:rsidRPr="00922232">
        <w:rPr>
          <w:rFonts w:ascii="Cambria" w:hAnsi="Cambria"/>
        </w:rPr>
        <w:t>Isaaks and Srivastava, 1989</w:t>
      </w:r>
      <w:r w:rsidR="00177749">
        <w:rPr>
          <w:rFonts w:cs="Times New Roman"/>
          <w:szCs w:val="24"/>
        </w:rPr>
        <w:fldChar w:fldCharType="end"/>
      </w:r>
      <w:r w:rsidRPr="00810A62">
        <w:rPr>
          <w:rFonts w:cs="Times New Roman"/>
          <w:szCs w:val="24"/>
        </w:rPr>
        <w:t>;</w:t>
      </w:r>
      <w:r w:rsidR="00177749">
        <w:rPr>
          <w:rFonts w:cs="Times New Roman"/>
          <w:szCs w:val="24"/>
        </w:rPr>
        <w:fldChar w:fldCharType="begin"/>
      </w:r>
      <w:r>
        <w:rPr>
          <w:rFonts w:cs="Times New Roman"/>
          <w:szCs w:val="24"/>
        </w:rPr>
        <w:instrText xml:space="preserve"> ADDIN ZOTERO_ITEM CSL_CITATION {"citationID":"oo12obtdm","properties":{"formattedCitation":"(Cressie, 1993)","plainCitation":"(Cressie, 1993)"},"citationItems":[{"id":116,"uris":["http://zotero.org/users/1507390/items/GPM2F6SK"],"uri":["http://zotero.org/users/1507390/items/GPM2F6SK"],"itemData":{"id":116,"type":"book","title":"Statistics for Spatial Data","publisher":"Wiley","publisher-place":"New York","number-of-pages":"928","source":"Open WorldCat","event-place":"New York","ISBN":"0471002550 9780471002550","language":"English","author":[{"family":"Cressie","given":"Noel A. C"}],"issued":{"date-parts":[["1993"]]}}}],"schema":"https://github.com/citation-style-language/schema/raw/master/csl-citation.json"} </w:instrText>
      </w:r>
      <w:r w:rsidR="00177749">
        <w:rPr>
          <w:rFonts w:cs="Times New Roman"/>
          <w:szCs w:val="24"/>
        </w:rPr>
        <w:fldChar w:fldCharType="separate"/>
      </w:r>
      <w:r>
        <w:rPr>
          <w:rFonts w:ascii="Cambria" w:hAnsi="Cambria"/>
        </w:rPr>
        <w:t xml:space="preserve"> </w:t>
      </w:r>
      <w:r w:rsidRPr="00922232">
        <w:rPr>
          <w:rFonts w:ascii="Cambria" w:hAnsi="Cambria"/>
        </w:rPr>
        <w:t>Cressie, 1993</w:t>
      </w:r>
      <w:r w:rsidR="00177749">
        <w:rPr>
          <w:rFonts w:cs="Times New Roman"/>
          <w:szCs w:val="24"/>
        </w:rPr>
        <w:fldChar w:fldCharType="end"/>
      </w:r>
      <w:r w:rsidRPr="00810A62">
        <w:rPr>
          <w:rFonts w:cs="Times New Roman"/>
          <w:szCs w:val="24"/>
        </w:rPr>
        <w:t xml:space="preserve">; Goovaerts, 1997), but for the purpose of better understanding the spatial </w:t>
      </w:r>
      <w:r>
        <w:rPr>
          <w:rFonts w:cs="Times New Roman"/>
          <w:szCs w:val="24"/>
        </w:rPr>
        <w:t xml:space="preserve">interpolation </w:t>
      </w:r>
      <w:r w:rsidRPr="00810A62">
        <w:rPr>
          <w:rFonts w:cs="Times New Roman"/>
          <w:szCs w:val="24"/>
        </w:rPr>
        <w:t>techniques to be used in this study</w:t>
      </w:r>
      <w:r>
        <w:rPr>
          <w:rFonts w:cs="Times New Roman"/>
          <w:szCs w:val="24"/>
        </w:rPr>
        <w:t>,</w:t>
      </w:r>
      <w:r w:rsidRPr="00810A62">
        <w:rPr>
          <w:rFonts w:cs="Times New Roman"/>
          <w:szCs w:val="24"/>
        </w:rPr>
        <w:t xml:space="preserve"> a brief account of the relevant methods </w:t>
      </w:r>
      <w:r w:rsidR="00177749">
        <w:rPr>
          <w:rFonts w:cs="Times New Roman"/>
          <w:szCs w:val="24"/>
        </w:rPr>
        <w:fldChar w:fldCharType="begin"/>
      </w:r>
      <w:r>
        <w:rPr>
          <w:rFonts w:cs="Times New Roman"/>
          <w:szCs w:val="24"/>
        </w:rPr>
        <w:instrText xml:space="preserve"> ADDIN ZOTERO_ITEM CSL_CITATION {"citationID":"1us4cun3kh","properties":{"formattedCitation":"(Kumar and Remadevi, 2006)","plainCitation":"(Kumar and Remadevi, 2006)"},"citationItems":[{"id":55,"uris":["http://zotero.org/users/1507390/items/8I5HIV36"],"uri":["http://zotero.org/users/1507390/items/8I5HIV36"],"itemData":{"id":55,"type":"article-journal","title":"Kriging of Groundwater Levels – A Case Study","container-title":"Journal of Spatial Hydrology","page":"81-94","volume":"6","issue":"1","source":"www.spatialhydrology.net","abstract":"In this paper, application of the spatial statistical technique, kriging, for the spatial analysis of groundwater levels is shown. The data set consists of groundwater levels measured at about 60 points (the number of points vary from year to year) twice in a year (June and September) for six years (1985-1990) in an area of 2100 sq km in part of the canal command area of Indira Gandhi Nahar Pariyojana (IGNP) in Rajasthan, India. With the use of measured elevations of the water table, experimental semivariograms were constructed that characterises the spatial variability of the measured groundwater levels. Spherical, exponential and gaussian semivariogram models were fitted to the experimental semivariograms. The finally selected models were used to estimate the groundwater levels and estimation variance (which express the accuracy of the estimated groundwater levels) at the nodes of a square grid of 5km x 5km and to develop corresponding contour maps. Groundwater levels were also interpolated by generally used Inverse Square Distance (ISD) method and it was found that ISD method resulted in higher errors as compared to kriging method. The kriged groundwater table maps were compared with the groundwater table maps prepared using the ISD method.","ISSN":"1530-4736","language":"en","author":[{"family":"Kumar","given":"Vijay"},{"family":"Remadevi","given":"Dr"}],"issued":{"date-parts":[["2006",5,20]]},"accessed":{"date-parts":[["2014",4,2]]}}}],"schema":"https://github.com/citation-style-language/schema/raw/master/csl-citation.json"} </w:instrText>
      </w:r>
      <w:r w:rsidR="00177749">
        <w:rPr>
          <w:rFonts w:cs="Times New Roman"/>
          <w:szCs w:val="24"/>
        </w:rPr>
        <w:fldChar w:fldCharType="separate"/>
      </w:r>
      <w:r w:rsidRPr="00B547BF">
        <w:rPr>
          <w:rFonts w:ascii="Cambria" w:hAnsi="Cambria"/>
        </w:rPr>
        <w:t>(Kumar and Remadevi, 2006)</w:t>
      </w:r>
      <w:r w:rsidR="00177749">
        <w:rPr>
          <w:rFonts w:cs="Times New Roman"/>
          <w:szCs w:val="24"/>
        </w:rPr>
        <w:fldChar w:fldCharType="end"/>
      </w:r>
      <w:r>
        <w:rPr>
          <w:rFonts w:cs="Times New Roman"/>
          <w:szCs w:val="24"/>
        </w:rPr>
        <w:t xml:space="preserve"> will be given here</w:t>
      </w:r>
      <w:r w:rsidRPr="00810A62">
        <w:rPr>
          <w:rFonts w:cs="Times New Roman"/>
          <w:szCs w:val="24"/>
        </w:rPr>
        <w:t xml:space="preserve">. </w:t>
      </w:r>
      <w:r>
        <w:rPr>
          <w:rFonts w:cs="Times New Roman"/>
          <w:szCs w:val="24"/>
        </w:rPr>
        <w:t xml:space="preserve">Geostatistics is based on the theory of the regionalized variable, defined by </w:t>
      </w:r>
      <w:r w:rsidR="00177749">
        <w:rPr>
          <w:rFonts w:cs="Times New Roman"/>
          <w:szCs w:val="24"/>
        </w:rPr>
        <w:fldChar w:fldCharType="begin"/>
      </w:r>
      <w:r>
        <w:rPr>
          <w:rFonts w:cs="Times New Roman"/>
          <w:szCs w:val="24"/>
        </w:rPr>
        <w:instrText xml:space="preserve"> ADDIN ZOTERO_ITEM CSL_CITATION {"citationID":"1p5glkvesp","properties":{"formattedCitation":"(Materon, 1971)","plainCitation":"(Materon, 1971)"},"citationItems":[{"id":192,"uris":["http://zotero.org/users/1507390/items/SQTX9U9N"],"uri":["http://zotero.org/users/1507390/items/SQTX9U9N"],"itemData":{"id":192,"type":"article","title":"The Theory of Regionalized Variables and Its Applications","publisher":"The Ecole Nationale Superieure des Mines De Paris","author":[{"family":"Materon","given":"G"}],"issued":{"date-parts":[["1971"]]}}}],"schema":"https://github.com/citation-style-language/schema/raw/master/csl-citation.json"} </w:instrText>
      </w:r>
      <w:r w:rsidR="00177749">
        <w:rPr>
          <w:rFonts w:cs="Times New Roman"/>
          <w:szCs w:val="24"/>
        </w:rPr>
        <w:fldChar w:fldCharType="separate"/>
      </w:r>
      <w:r>
        <w:rPr>
          <w:rFonts w:ascii="Cambria" w:hAnsi="Cambria"/>
        </w:rPr>
        <w:t>Materon (</w:t>
      </w:r>
      <w:r w:rsidRPr="00922232">
        <w:rPr>
          <w:rFonts w:ascii="Cambria" w:hAnsi="Cambria"/>
        </w:rPr>
        <w:t>1971)</w:t>
      </w:r>
      <w:r w:rsidR="00177749">
        <w:rPr>
          <w:rFonts w:cs="Times New Roman"/>
          <w:szCs w:val="24"/>
        </w:rPr>
        <w:fldChar w:fldCharType="end"/>
      </w:r>
      <w:r>
        <w:rPr>
          <w:rFonts w:cs="Times New Roman"/>
          <w:szCs w:val="24"/>
        </w:rPr>
        <w:t xml:space="preserve"> as a property or process that spreads in space and exhibits a certain spatial structure. In order to make interpolations and adequately describe the processes controlling the regionalized variable, geostatistics is employed. </w:t>
      </w:r>
      <w:r w:rsidRPr="00810A62">
        <w:rPr>
          <w:rFonts w:cs="Times New Roman"/>
          <w:szCs w:val="24"/>
        </w:rPr>
        <w:t xml:space="preserve">Geostatistics uses </w:t>
      </w:r>
      <w:r>
        <w:rPr>
          <w:rFonts w:cs="Times New Roman"/>
          <w:szCs w:val="24"/>
        </w:rPr>
        <w:t>the empirical semivariogram to create a model for</w:t>
      </w:r>
      <w:r w:rsidRPr="00810A62">
        <w:rPr>
          <w:rFonts w:cs="Times New Roman"/>
          <w:szCs w:val="24"/>
        </w:rPr>
        <w:t xml:space="preserve"> spatially correlated variables to interpolate unsampled locations using a technique known as kriging (Hartkamp et al., 1999). </w:t>
      </w:r>
      <w:r>
        <w:rPr>
          <w:rFonts w:cs="Times New Roman"/>
          <w:szCs w:val="24"/>
        </w:rPr>
        <w:t xml:space="preserve">The gstat package in R </w:t>
      </w:r>
      <w:r w:rsidR="00177749">
        <w:rPr>
          <w:rFonts w:cs="Times New Roman"/>
          <w:szCs w:val="24"/>
        </w:rPr>
        <w:fldChar w:fldCharType="begin"/>
      </w:r>
      <w:r>
        <w:rPr>
          <w:rFonts w:cs="Times New Roman"/>
          <w:szCs w:val="24"/>
        </w:rPr>
        <w:instrText xml:space="preserve"> ADDIN ZOTERO_ITEM CSL_CITATION {"citationID":"1uqphm3cg4","properties":{"formattedCitation":"(Pebesma, 2004)","plainCitation":"(Pebesma, 2004)"},"citationItems":[{"id":223,"uris":["http://zotero.org/users/1507390/items/XAHXIGPN"],"uri":["http://zotero.org/users/1507390/items/XAHXIGPN"],"itemData":{"id":223,"type":"article-journal","title":"Multivariable Geostatistics in S: The Gstat Package","container-title":"Computers &amp; Geosciences","page":"683-691","volume":"30","issue":"7","source":"ScienceDirect","abstract":"This paper discusses advantages and shortcomings of the S environment for multivariable geostatistics, in particular when extended with the gstat package, an extension package for the S environments (R, S-Plus). The gstat S package provides multivariable geostatistical modelling, prediction and simulation, as well as several visualisation functions. In particular, it makes the calculation, simultaneous fitting, and visualisation of a large number of direct and cross (residual) variograms very easy. Gstat was started 10 years ago and was released under the GPL in 1996; gstat.org was started in 1998. Gstat was not initially written for teaching purposes, but for research purposes, emphasising flexibility, scalability and portability. It can deal with a large number of practical issues in geostatistics, including change of support (block kriging), simple/ordinary/universal (co)kriging, fast local neighbourhood selection, flexible trend modelling, variables with different sampling configurations, and efficient simulation of large spatially correlated random fields, indicator kriging and simulation, and (directional) variogram and cross variogram modelling. The formula/models interface of the S language is used to define multivariable geostatistical models. This paper introduces the gstat S package, and discusses a number of design and implementation issues. It also draws attention to a number of papers on integration of spatial statistics software, GIS and the S environment that were presented on the spatial statistics workshop and sessions during the conference Distributed Statistical Computing 2003.","DOI":"10.1016/j.cageo.2004.03.012","ISSN":"0098-3004","shortTitle":"Multivariable geostatistics in S","journalAbbreviation":"Computers &amp; Geosciences","author":[{"family":"Pebesma","given":"Edzer J"}],"issued":{"date-parts":[["2004",8]]},"accessed":{"date-parts":[["2014",4,2]]}}}],"schema":"https://github.com/citation-style-language/schema/raw/master/csl-citation.json"} </w:instrText>
      </w:r>
      <w:r w:rsidR="00177749">
        <w:rPr>
          <w:rFonts w:cs="Times New Roman"/>
          <w:szCs w:val="24"/>
        </w:rPr>
        <w:fldChar w:fldCharType="separate"/>
      </w:r>
      <w:r w:rsidRPr="00146E90">
        <w:rPr>
          <w:rFonts w:ascii="Cambria" w:hAnsi="Cambria"/>
        </w:rPr>
        <w:t>(Pebesma, 2004)</w:t>
      </w:r>
      <w:r w:rsidR="00177749">
        <w:rPr>
          <w:rFonts w:cs="Times New Roman"/>
          <w:szCs w:val="24"/>
        </w:rPr>
        <w:fldChar w:fldCharType="end"/>
      </w:r>
      <w:r>
        <w:rPr>
          <w:rFonts w:cs="Times New Roman"/>
          <w:szCs w:val="24"/>
        </w:rPr>
        <w:t xml:space="preserve"> was used to conduct the </w:t>
      </w:r>
      <w:r>
        <w:rPr>
          <w:rFonts w:cs="Times New Roman"/>
          <w:szCs w:val="24"/>
        </w:rPr>
        <w:lastRenderedPageBreak/>
        <w:t>geostatistical analysis in this study. The program can compute an empirical semivariogram, fit the semivariogram with a theoretical model, estimate values at unmeasured locations using several forms of the kriging equation (i.e. simple, ordinary, universal, co-kriging), and validate the kriging results using “leave-one-out” cross-validation.</w:t>
      </w:r>
    </w:p>
    <w:p w:rsidR="002F3B63" w:rsidRPr="006D42CF" w:rsidRDefault="002F3B63" w:rsidP="002F3B63">
      <w:pPr>
        <w:pStyle w:val="Style3"/>
      </w:pPr>
      <w:bookmarkStart w:id="29" w:name="_Toc425427033"/>
      <w:r>
        <w:t>3.5.2 Empirical Semivariogram and Cross - Variogram</w:t>
      </w:r>
      <w:bookmarkEnd w:id="29"/>
    </w:p>
    <w:p w:rsidR="002F3B63" w:rsidRDefault="002F3B63" w:rsidP="002F3B63">
      <w:pPr>
        <w:spacing w:after="0" w:line="480" w:lineRule="auto"/>
        <w:ind w:firstLine="720"/>
        <w:rPr>
          <w:rFonts w:cs="Times New Roman"/>
          <w:szCs w:val="24"/>
        </w:rPr>
      </w:pPr>
      <w:r w:rsidRPr="00810A62">
        <w:rPr>
          <w:rFonts w:cs="Times New Roman"/>
          <w:szCs w:val="24"/>
        </w:rPr>
        <w:t xml:space="preserve">The </w:t>
      </w:r>
      <w:r>
        <w:rPr>
          <w:rFonts w:cs="Times New Roman"/>
          <w:szCs w:val="24"/>
        </w:rPr>
        <w:t xml:space="preserve">empirical </w:t>
      </w:r>
      <w:r w:rsidRPr="00810A62">
        <w:rPr>
          <w:rFonts w:cs="Times New Roman"/>
          <w:szCs w:val="24"/>
        </w:rPr>
        <w:t xml:space="preserve">semivariogram </w:t>
      </w:r>
      <w:r>
        <w:rPr>
          <w:rFonts w:cs="Times New Roman"/>
          <w:szCs w:val="24"/>
        </w:rPr>
        <w:t>is a central concept in geostatistics. It models the spatial structure of the regionalized variable and provides weighting information to the kriging algorithm for interpolation. The semi</w:t>
      </w:r>
      <w:r w:rsidRPr="00810A62">
        <w:rPr>
          <w:rFonts w:cs="Times New Roman"/>
          <w:szCs w:val="24"/>
        </w:rPr>
        <w:t xml:space="preserve">variogram is of the form: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8"/>
        <w:gridCol w:w="7830"/>
        <w:gridCol w:w="828"/>
      </w:tblGrid>
      <w:tr w:rsidR="002F3B63" w:rsidTr="002F3B63">
        <w:tc>
          <w:tcPr>
            <w:tcW w:w="918" w:type="dxa"/>
          </w:tcPr>
          <w:p w:rsidR="002F3B63" w:rsidRPr="00826222" w:rsidRDefault="002F3B63" w:rsidP="002F3B63">
            <w:pPr>
              <w:spacing w:line="480" w:lineRule="auto"/>
              <w:jc w:val="both"/>
              <w:rPr>
                <w:rFonts w:cs="Times New Roman"/>
                <w:iCs/>
                <w:szCs w:val="24"/>
              </w:rPr>
            </w:pPr>
          </w:p>
        </w:tc>
        <w:tc>
          <w:tcPr>
            <w:tcW w:w="7830" w:type="dxa"/>
          </w:tcPr>
          <w:p w:rsidR="002F3B63" w:rsidRPr="00826222" w:rsidRDefault="002F3B63" w:rsidP="002F3B63">
            <w:pPr>
              <w:spacing w:line="480" w:lineRule="auto"/>
              <w:jc w:val="center"/>
              <w:rPr>
                <w:rFonts w:cs="Times New Roman"/>
                <w:iCs/>
                <w:szCs w:val="24"/>
              </w:rPr>
            </w:pPr>
            <m:oMathPara>
              <m:oMath>
                <m:r>
                  <w:rPr>
                    <w:rFonts w:ascii="Cambria Math" w:hAnsi="Cambria Math" w:cs="Times New Roman"/>
                    <w:szCs w:val="24"/>
                  </w:rPr>
                  <m:t>γ</m:t>
                </m:r>
                <m:d>
                  <m:dPr>
                    <m:ctrlPr>
                      <w:rPr>
                        <w:rFonts w:ascii="Cambria Math" w:hAnsi="Cambria Math" w:cs="Times New Roman"/>
                        <w:i/>
                        <w:szCs w:val="24"/>
                      </w:rPr>
                    </m:ctrlPr>
                  </m:dPr>
                  <m:e>
                    <m:r>
                      <w:rPr>
                        <w:rFonts w:hAnsi="Cambria Math" w:cs="Times New Roman"/>
                        <w:szCs w:val="24"/>
                      </w:rPr>
                      <m:t>h</m:t>
                    </m:r>
                  </m:e>
                </m:d>
                <m:r>
                  <w:rPr>
                    <w:rFonts w:ascii="Cambria Math" w:cs="Times New Roman"/>
                    <w:szCs w:val="24"/>
                  </w:rPr>
                  <m:t>=</m:t>
                </m:r>
                <m:f>
                  <m:fPr>
                    <m:ctrlPr>
                      <w:rPr>
                        <w:rFonts w:ascii="Cambria Math" w:hAnsi="Cambria Math" w:cs="Times New Roman"/>
                        <w:i/>
                        <w:szCs w:val="24"/>
                      </w:rPr>
                    </m:ctrlPr>
                  </m:fPr>
                  <m:num>
                    <m:r>
                      <w:rPr>
                        <w:rFonts w:ascii="Cambria Math" w:cs="Times New Roman"/>
                        <w:szCs w:val="24"/>
                      </w:rPr>
                      <m:t>1</m:t>
                    </m:r>
                  </m:num>
                  <m:den>
                    <m:r>
                      <w:rPr>
                        <w:rFonts w:ascii="Cambria Math" w:cs="Times New Roman"/>
                        <w:szCs w:val="24"/>
                      </w:rPr>
                      <m:t>2</m:t>
                    </m:r>
                    <m:r>
                      <w:rPr>
                        <w:rFonts w:ascii="Cambria Math" w:hAnsi="Cambria Math" w:cs="Times New Roman"/>
                        <w:szCs w:val="24"/>
                      </w:rPr>
                      <m:t>N</m:t>
                    </m:r>
                    <m:d>
                      <m:dPr>
                        <m:ctrlPr>
                          <w:rPr>
                            <w:rFonts w:ascii="Cambria Math" w:hAnsi="Cambria Math" w:cs="Times New Roman"/>
                            <w:i/>
                            <w:szCs w:val="24"/>
                          </w:rPr>
                        </m:ctrlPr>
                      </m:dPr>
                      <m:e>
                        <m:r>
                          <w:rPr>
                            <w:rFonts w:hAnsi="Cambria Math" w:cs="Times New Roman"/>
                            <w:szCs w:val="24"/>
                          </w:rPr>
                          <m:t>h</m:t>
                        </m:r>
                      </m:e>
                    </m:d>
                  </m:den>
                </m:f>
                <m:nary>
                  <m:naryPr>
                    <m:chr m:val="∑"/>
                    <m:limLoc m:val="undOvr"/>
                    <m:ctrlPr>
                      <w:rPr>
                        <w:rFonts w:ascii="Cambria Math" w:hAnsi="Cambria Math" w:cs="Times New Roman"/>
                        <w:i/>
                        <w:szCs w:val="24"/>
                      </w:rPr>
                    </m:ctrlPr>
                  </m:naryPr>
                  <m:sub>
                    <m:r>
                      <w:rPr>
                        <w:rFonts w:ascii="Cambria Math" w:hAnsi="Cambria Math" w:cs="Times New Roman"/>
                        <w:szCs w:val="24"/>
                      </w:rPr>
                      <m:t>i</m:t>
                    </m:r>
                    <m:r>
                      <w:rPr>
                        <w:rFonts w:ascii="Cambria Math" w:cs="Times New Roman"/>
                        <w:szCs w:val="24"/>
                      </w:rPr>
                      <m:t>=1</m:t>
                    </m:r>
                  </m:sub>
                  <m:sup>
                    <m:r>
                      <w:rPr>
                        <w:rFonts w:ascii="Cambria Math" w:hAnsi="Cambria Math" w:cs="Times New Roman"/>
                        <w:szCs w:val="24"/>
                      </w:rPr>
                      <m:t>N</m:t>
                    </m:r>
                    <m:r>
                      <w:rPr>
                        <w:rFonts w:ascii="Cambria Math" w:cs="Times New Roman"/>
                        <w:szCs w:val="24"/>
                      </w:rPr>
                      <m:t>(</m:t>
                    </m:r>
                    <m:r>
                      <w:rPr>
                        <w:rFonts w:ascii="Cambria Math" w:hAnsi="Cambria Math" w:cs="Times New Roman"/>
                        <w:szCs w:val="24"/>
                      </w:rPr>
                      <m:t>h</m:t>
                    </m:r>
                    <m:r>
                      <w:rPr>
                        <w:rFonts w:ascii="Cambria Math" w:cs="Times New Roman"/>
                        <w:szCs w:val="24"/>
                      </w:rPr>
                      <m:t>)</m:t>
                    </m:r>
                  </m:sup>
                  <m:e>
                    <m:d>
                      <m:dPr>
                        <m:begChr m:val="["/>
                        <m:endChr m:val="]"/>
                        <m:ctrlPr>
                          <w:rPr>
                            <w:rFonts w:ascii="Cambria Math" w:hAnsi="Cambria Math" w:cs="Times New Roman"/>
                            <w:i/>
                            <w:szCs w:val="24"/>
                          </w:rPr>
                        </m:ctrlPr>
                      </m:dPr>
                      <m:e>
                        <m:r>
                          <w:rPr>
                            <w:rFonts w:ascii="Cambria Math" w:hAnsi="Cambria Math" w:cs="Times New Roman"/>
                            <w:szCs w:val="24"/>
                          </w:rPr>
                          <m:t>z</m:t>
                        </m:r>
                        <m:d>
                          <m:dPr>
                            <m:ctrlPr>
                              <w:rPr>
                                <w:rFonts w:ascii="Cambria Math" w:hAnsi="Cambria Math" w:cs="Times New Roman"/>
                                <w:i/>
                                <w:szCs w:val="24"/>
                              </w:rPr>
                            </m:ctrlPr>
                          </m:dPr>
                          <m:e>
                            <m:sSub>
                              <m:sSubPr>
                                <m:ctrlPr>
                                  <w:rPr>
                                    <w:rFonts w:ascii="Cambria Math" w:hAnsi="Cambria Math" w:cs="Times New Roman"/>
                                    <w:i/>
                                    <w:szCs w:val="24"/>
                                  </w:rPr>
                                </m:ctrlPr>
                              </m:sSubPr>
                              <m:e>
                                <m:r>
                                  <w:rPr>
                                    <w:rFonts w:ascii="Cambria Math" w:hAnsi="Cambria Math" w:cs="Times New Roman"/>
                                    <w:szCs w:val="24"/>
                                  </w:rPr>
                                  <m:t>x</m:t>
                                </m:r>
                              </m:e>
                              <m:sub>
                                <m:r>
                                  <w:rPr>
                                    <w:rFonts w:ascii="Cambria Math" w:hAnsi="Cambria Math" w:cs="Times New Roman"/>
                                    <w:szCs w:val="24"/>
                                  </w:rPr>
                                  <m:t>i</m:t>
                                </m:r>
                              </m:sub>
                            </m:sSub>
                          </m:e>
                        </m:d>
                        <m:r>
                          <w:rPr>
                            <w:rFonts w:cs="Times New Roman"/>
                            <w:szCs w:val="24"/>
                          </w:rPr>
                          <m:t>-</m:t>
                        </m:r>
                        <m:r>
                          <w:rPr>
                            <w:rFonts w:ascii="Cambria Math" w:cs="Times New Roman"/>
                            <w:szCs w:val="24"/>
                          </w:rPr>
                          <m:t xml:space="preserve"> </m:t>
                        </m:r>
                        <m:r>
                          <w:rPr>
                            <w:rFonts w:ascii="Cambria Math" w:hAnsi="Cambria Math" w:cs="Times New Roman"/>
                            <w:szCs w:val="24"/>
                          </w:rPr>
                          <m:t>z</m:t>
                        </m:r>
                        <m:d>
                          <m:dPr>
                            <m:ctrlPr>
                              <w:rPr>
                                <w:rFonts w:ascii="Cambria Math" w:hAnsi="Cambria Math" w:cs="Times New Roman"/>
                                <w:i/>
                                <w:szCs w:val="24"/>
                              </w:rPr>
                            </m:ctrlPr>
                          </m:dPr>
                          <m:e>
                            <m:sSub>
                              <m:sSubPr>
                                <m:ctrlPr>
                                  <w:rPr>
                                    <w:rFonts w:ascii="Cambria Math" w:hAnsi="Cambria Math" w:cs="Times New Roman"/>
                                    <w:i/>
                                    <w:szCs w:val="24"/>
                                  </w:rPr>
                                </m:ctrlPr>
                              </m:sSubPr>
                              <m:e>
                                <m:r>
                                  <w:rPr>
                                    <w:rFonts w:ascii="Cambria Math" w:hAnsi="Cambria Math" w:cs="Times New Roman"/>
                                    <w:szCs w:val="24"/>
                                  </w:rPr>
                                  <m:t>x</m:t>
                                </m:r>
                              </m:e>
                              <m:sub>
                                <m:r>
                                  <w:rPr>
                                    <w:rFonts w:ascii="Cambria Math" w:hAnsi="Cambria Math" w:cs="Times New Roman"/>
                                    <w:szCs w:val="24"/>
                                  </w:rPr>
                                  <m:t>i</m:t>
                                </m:r>
                              </m:sub>
                            </m:sSub>
                            <m:r>
                              <w:rPr>
                                <w:rFonts w:ascii="Cambria Math" w:cs="Times New Roman"/>
                                <w:szCs w:val="24"/>
                              </w:rPr>
                              <m:t>+</m:t>
                            </m:r>
                            <m:r>
                              <w:rPr>
                                <w:rFonts w:ascii="Cambria Math" w:hAnsi="Cambria Math" w:cs="Times New Roman"/>
                                <w:szCs w:val="24"/>
                              </w:rPr>
                              <m:t>h</m:t>
                            </m:r>
                          </m:e>
                        </m:d>
                      </m:e>
                    </m:d>
                    <m:r>
                      <w:rPr>
                        <w:rFonts w:ascii="Cambria Math" w:cs="Times New Roman"/>
                        <w:szCs w:val="24"/>
                      </w:rPr>
                      <m:t>²</m:t>
                    </m:r>
                  </m:e>
                </m:nary>
                <m:r>
                  <w:rPr>
                    <w:rFonts w:ascii="Cambria Math" w:cs="Times New Roman"/>
                    <w:szCs w:val="24"/>
                  </w:rPr>
                  <m:t xml:space="preserve"> </m:t>
                </m:r>
              </m:oMath>
            </m:oMathPara>
          </w:p>
        </w:tc>
        <w:tc>
          <w:tcPr>
            <w:tcW w:w="828" w:type="dxa"/>
          </w:tcPr>
          <w:p w:rsidR="002F3B63" w:rsidRDefault="002F3B63" w:rsidP="002F3B63">
            <w:pPr>
              <w:jc w:val="right"/>
              <w:rPr>
                <w:rFonts w:cs="Times New Roman"/>
                <w:iCs/>
                <w:szCs w:val="24"/>
              </w:rPr>
            </w:pPr>
          </w:p>
          <w:p w:rsidR="002F3B63" w:rsidRPr="00826222" w:rsidRDefault="002F3B63" w:rsidP="002F3B63">
            <w:pPr>
              <w:jc w:val="right"/>
              <w:rPr>
                <w:rFonts w:cs="Times New Roman"/>
                <w:iCs/>
                <w:szCs w:val="24"/>
              </w:rPr>
            </w:pPr>
            <w:r w:rsidRPr="00826222">
              <w:rPr>
                <w:rFonts w:cs="Times New Roman"/>
                <w:iCs/>
                <w:szCs w:val="24"/>
              </w:rPr>
              <w:t>(</w:t>
            </w:r>
            <w:fldSimple w:instr=" SEQ Eq \* MERGEFORMAT ">
              <w:r w:rsidR="00885C9E" w:rsidRPr="00885C9E">
                <w:rPr>
                  <w:rFonts w:cs="Times New Roman"/>
                  <w:iCs/>
                  <w:noProof/>
                  <w:szCs w:val="24"/>
                </w:rPr>
                <w:t>10</w:t>
              </w:r>
            </w:fldSimple>
            <w:r w:rsidRPr="00826222">
              <w:rPr>
                <w:rFonts w:cs="Times New Roman"/>
                <w:iCs/>
                <w:szCs w:val="24"/>
              </w:rPr>
              <w:t>)</w:t>
            </w:r>
          </w:p>
        </w:tc>
      </w:tr>
    </w:tbl>
    <w:p w:rsidR="002F3B63" w:rsidRDefault="002F3B63" w:rsidP="002F3B63">
      <w:pPr>
        <w:spacing w:after="0" w:line="480" w:lineRule="auto"/>
        <w:rPr>
          <w:rFonts w:cs="Times New Roman"/>
          <w:szCs w:val="24"/>
        </w:rPr>
      </w:pPr>
      <w:r w:rsidRPr="00810A62">
        <w:rPr>
          <w:rFonts w:cs="Times New Roman"/>
          <w:szCs w:val="24"/>
        </w:rPr>
        <w:t xml:space="preserve">where </w:t>
      </w:r>
      <m:oMath>
        <m:r>
          <w:rPr>
            <w:rFonts w:ascii="Cambria Math" w:hAnsi="Cambria Math" w:cs="Times New Roman"/>
            <w:szCs w:val="24"/>
          </w:rPr>
          <m:t>γ</m:t>
        </m:r>
        <m:d>
          <m:dPr>
            <m:ctrlPr>
              <w:rPr>
                <w:rFonts w:ascii="Cambria Math" w:hAnsi="Cambria Math" w:cs="Times New Roman"/>
                <w:i/>
                <w:szCs w:val="24"/>
              </w:rPr>
            </m:ctrlPr>
          </m:dPr>
          <m:e>
            <m:r>
              <w:rPr>
                <w:rFonts w:hAnsi="Cambria Math" w:cs="Times New Roman"/>
                <w:szCs w:val="24"/>
              </w:rPr>
              <m:t>h</m:t>
            </m:r>
          </m:e>
        </m:d>
      </m:oMath>
      <w:r w:rsidRPr="00810A62">
        <w:rPr>
          <w:rFonts w:cs="Times New Roman"/>
          <w:szCs w:val="24"/>
        </w:rPr>
        <w:t xml:space="preserve"> is the</w:t>
      </w:r>
      <w:r>
        <w:rPr>
          <w:rFonts w:cs="Times New Roman"/>
          <w:szCs w:val="24"/>
        </w:rPr>
        <w:t xml:space="preserve"> estimated</w:t>
      </w:r>
      <w:r w:rsidRPr="00810A62">
        <w:rPr>
          <w:rFonts w:cs="Times New Roman"/>
          <w:szCs w:val="24"/>
        </w:rPr>
        <w:t xml:space="preserve"> </w:t>
      </w:r>
      <w:r>
        <w:rPr>
          <w:rFonts w:cs="Times New Roman"/>
          <w:szCs w:val="24"/>
        </w:rPr>
        <w:t>semivariance for the lag distance</w:t>
      </w:r>
      <w:r w:rsidRPr="00810A62">
        <w:rPr>
          <w:rFonts w:cs="Times New Roman"/>
          <w:szCs w:val="24"/>
        </w:rPr>
        <w:t xml:space="preserve"> </w:t>
      </w:r>
      <w:r w:rsidRPr="00810A62">
        <w:rPr>
          <w:rFonts w:cs="Times New Roman"/>
          <w:i/>
          <w:szCs w:val="24"/>
        </w:rPr>
        <w:t>h</w:t>
      </w:r>
      <w:r w:rsidRPr="00810A62">
        <w:rPr>
          <w:rFonts w:cs="Times New Roman"/>
          <w:szCs w:val="24"/>
        </w:rPr>
        <w:t xml:space="preserve">; </w:t>
      </w:r>
      <m:oMath>
        <m:r>
          <w:rPr>
            <w:rFonts w:ascii="Cambria Math" w:cs="Times New Roman"/>
            <w:szCs w:val="24"/>
          </w:rPr>
          <m:t xml:space="preserve"> </m:t>
        </m:r>
        <m:r>
          <w:rPr>
            <w:rFonts w:ascii="Cambria Math" w:hAnsi="Cambria Math" w:cs="Times New Roman"/>
            <w:szCs w:val="24"/>
          </w:rPr>
          <m:t>N</m:t>
        </m:r>
        <m:d>
          <m:dPr>
            <m:ctrlPr>
              <w:rPr>
                <w:rFonts w:ascii="Cambria Math" w:hAnsi="Cambria Math" w:cs="Times New Roman"/>
                <w:i/>
                <w:szCs w:val="24"/>
              </w:rPr>
            </m:ctrlPr>
          </m:dPr>
          <m:e>
            <m:r>
              <w:rPr>
                <w:rFonts w:hAnsi="Cambria Math" w:cs="Times New Roman"/>
                <w:szCs w:val="24"/>
              </w:rPr>
              <m:t>h</m:t>
            </m:r>
          </m:e>
        </m:d>
      </m:oMath>
      <w:r w:rsidRPr="00810A62">
        <w:rPr>
          <w:rFonts w:cs="Times New Roman"/>
          <w:szCs w:val="24"/>
        </w:rPr>
        <w:t xml:space="preserve"> is the number of experimental pairs separated by vector </w:t>
      </w:r>
      <w:r w:rsidRPr="00810A62">
        <w:rPr>
          <w:rFonts w:cs="Times New Roman"/>
          <w:i/>
          <w:szCs w:val="24"/>
        </w:rPr>
        <w:t>h</w:t>
      </w:r>
      <w:r w:rsidRPr="00810A62">
        <w:rPr>
          <w:rFonts w:cs="Times New Roman"/>
          <w:szCs w:val="24"/>
        </w:rPr>
        <w:t xml:space="preserve">; and </w:t>
      </w:r>
      <m:oMath>
        <m:r>
          <w:rPr>
            <w:rFonts w:ascii="Cambria Math" w:hAnsi="Cambria Math" w:cs="Times New Roman"/>
            <w:szCs w:val="24"/>
          </w:rPr>
          <m:t>z</m:t>
        </m:r>
        <m:d>
          <m:dPr>
            <m:ctrlPr>
              <w:rPr>
                <w:rFonts w:ascii="Cambria Math" w:hAnsi="Cambria Math" w:cs="Times New Roman"/>
                <w:i/>
                <w:szCs w:val="24"/>
              </w:rPr>
            </m:ctrlPr>
          </m:dPr>
          <m:e>
            <m:sSub>
              <m:sSubPr>
                <m:ctrlPr>
                  <w:rPr>
                    <w:rFonts w:ascii="Cambria Math" w:hAnsi="Cambria Math" w:cs="Times New Roman"/>
                    <w:i/>
                    <w:szCs w:val="24"/>
                  </w:rPr>
                </m:ctrlPr>
              </m:sSubPr>
              <m:e>
                <m:r>
                  <w:rPr>
                    <w:rFonts w:ascii="Cambria Math" w:hAnsi="Cambria Math" w:cs="Times New Roman"/>
                    <w:szCs w:val="24"/>
                  </w:rPr>
                  <m:t>x</m:t>
                </m:r>
              </m:e>
              <m:sub>
                <m:r>
                  <w:rPr>
                    <w:rFonts w:ascii="Cambria Math" w:hAnsi="Cambria Math" w:cs="Times New Roman"/>
                    <w:szCs w:val="24"/>
                  </w:rPr>
                  <m:t>i</m:t>
                </m:r>
              </m:sub>
            </m:sSub>
          </m:e>
        </m:d>
      </m:oMath>
      <w:r w:rsidRPr="00810A62">
        <w:rPr>
          <w:rFonts w:cs="Times New Roman"/>
          <w:szCs w:val="24"/>
        </w:rPr>
        <w:t xml:space="preserve"> and </w:t>
      </w:r>
      <m:oMath>
        <m:r>
          <w:rPr>
            <w:rFonts w:ascii="Cambria Math" w:hAnsi="Cambria Math" w:cs="Times New Roman"/>
            <w:szCs w:val="24"/>
          </w:rPr>
          <m:t>z</m:t>
        </m:r>
        <m:d>
          <m:dPr>
            <m:ctrlPr>
              <w:rPr>
                <w:rFonts w:ascii="Cambria Math" w:hAnsi="Cambria Math" w:cs="Times New Roman"/>
                <w:i/>
                <w:szCs w:val="24"/>
              </w:rPr>
            </m:ctrlPr>
          </m:dPr>
          <m:e>
            <m:sSub>
              <m:sSubPr>
                <m:ctrlPr>
                  <w:rPr>
                    <w:rFonts w:ascii="Cambria Math" w:hAnsi="Cambria Math" w:cs="Times New Roman"/>
                    <w:i/>
                    <w:szCs w:val="24"/>
                  </w:rPr>
                </m:ctrlPr>
              </m:sSubPr>
              <m:e>
                <m:r>
                  <w:rPr>
                    <w:rFonts w:ascii="Cambria Math" w:hAnsi="Cambria Math" w:cs="Times New Roman"/>
                    <w:szCs w:val="24"/>
                  </w:rPr>
                  <m:t>x</m:t>
                </m:r>
              </m:e>
              <m:sub>
                <m:r>
                  <w:rPr>
                    <w:rFonts w:ascii="Cambria Math" w:hAnsi="Cambria Math" w:cs="Times New Roman"/>
                    <w:szCs w:val="24"/>
                  </w:rPr>
                  <m:t>i</m:t>
                </m:r>
              </m:sub>
            </m:sSub>
            <m:r>
              <w:rPr>
                <w:rFonts w:ascii="Cambria Math" w:cs="Times New Roman"/>
                <w:szCs w:val="24"/>
              </w:rPr>
              <m:t>+</m:t>
            </m:r>
            <m:r>
              <w:rPr>
                <w:rFonts w:ascii="Cambria Math" w:hAnsi="Cambria Math" w:cs="Times New Roman"/>
                <w:szCs w:val="24"/>
              </w:rPr>
              <m:t>h</m:t>
            </m:r>
          </m:e>
        </m:d>
      </m:oMath>
      <w:r w:rsidRPr="00810A62">
        <w:rPr>
          <w:rFonts w:cs="Times New Roman"/>
          <w:szCs w:val="24"/>
        </w:rPr>
        <w:t xml:space="preserve"> are the values of variable  </w:t>
      </w:r>
      <m:oMath>
        <m:r>
          <w:rPr>
            <w:rFonts w:ascii="Cambria Math" w:hAnsi="Cambria Math" w:cs="Times New Roman"/>
            <w:szCs w:val="24"/>
          </w:rPr>
          <m:t>z</m:t>
        </m:r>
      </m:oMath>
      <w:r w:rsidRPr="00810A62">
        <w:rPr>
          <w:rFonts w:cs="Times New Roman"/>
          <w:szCs w:val="24"/>
        </w:rPr>
        <w:t xml:space="preserve">  at positions </w:t>
      </w:r>
      <m:oMath>
        <m:sSub>
          <m:sSubPr>
            <m:ctrlPr>
              <w:rPr>
                <w:rFonts w:ascii="Cambria Math" w:hAnsi="Cambria Math" w:cs="Times New Roman"/>
                <w:i/>
                <w:szCs w:val="24"/>
              </w:rPr>
            </m:ctrlPr>
          </m:sSubPr>
          <m:e>
            <m:r>
              <w:rPr>
                <w:rFonts w:ascii="Cambria Math" w:hAnsi="Cambria Math" w:cs="Times New Roman"/>
                <w:szCs w:val="24"/>
              </w:rPr>
              <m:t>x</m:t>
            </m:r>
          </m:e>
          <m:sub>
            <m:r>
              <w:rPr>
                <w:rFonts w:ascii="Cambria Math" w:hAnsi="Cambria Math" w:cs="Times New Roman"/>
                <w:szCs w:val="24"/>
              </w:rPr>
              <m:t>i</m:t>
            </m:r>
          </m:sub>
        </m:sSub>
      </m:oMath>
      <w:r w:rsidRPr="00810A62">
        <w:rPr>
          <w:rFonts w:cs="Times New Roman"/>
          <w:szCs w:val="24"/>
        </w:rPr>
        <w:t xml:space="preserve"> and</w:t>
      </w:r>
      <m:oMath>
        <m:r>
          <w:rPr>
            <w:rFonts w:ascii="Cambria Math" w:cs="Times New Roman"/>
            <w:szCs w:val="24"/>
          </w:rPr>
          <m:t xml:space="preserve"> </m:t>
        </m:r>
        <m:sSub>
          <m:sSubPr>
            <m:ctrlPr>
              <w:rPr>
                <w:rFonts w:ascii="Cambria Math" w:hAnsi="Cambria Math" w:cs="Times New Roman"/>
                <w:i/>
                <w:szCs w:val="24"/>
              </w:rPr>
            </m:ctrlPr>
          </m:sSubPr>
          <m:e>
            <m:r>
              <w:rPr>
                <w:rFonts w:ascii="Cambria Math" w:hAnsi="Cambria Math" w:cs="Times New Roman"/>
                <w:szCs w:val="24"/>
              </w:rPr>
              <m:t>x</m:t>
            </m:r>
          </m:e>
          <m:sub>
            <m:r>
              <w:rPr>
                <w:rFonts w:ascii="Cambria Math" w:hAnsi="Cambria Math" w:cs="Times New Roman"/>
                <w:szCs w:val="24"/>
              </w:rPr>
              <m:t>i</m:t>
            </m:r>
          </m:sub>
        </m:sSub>
        <m:r>
          <w:rPr>
            <w:rFonts w:ascii="Cambria Math" w:cs="Times New Roman"/>
            <w:szCs w:val="24"/>
          </w:rPr>
          <m:t>+</m:t>
        </m:r>
        <m:r>
          <w:rPr>
            <w:rFonts w:ascii="Cambria Math" w:hAnsi="Cambria Math" w:cs="Times New Roman"/>
            <w:szCs w:val="24"/>
          </w:rPr>
          <m:t>h</m:t>
        </m:r>
      </m:oMath>
      <w:r w:rsidR="00675717">
        <w:rPr>
          <w:rFonts w:eastAsiaTheme="minorEastAsia" w:cs="Times New Roman"/>
          <w:szCs w:val="24"/>
        </w:rPr>
        <w:t>,</w:t>
      </w:r>
      <w:r w:rsidRPr="00810A62">
        <w:rPr>
          <w:rFonts w:cs="Times New Roman"/>
          <w:szCs w:val="24"/>
        </w:rPr>
        <w:t xml:space="preserve"> respectively. </w:t>
      </w:r>
      <w:r w:rsidR="00177749">
        <w:rPr>
          <w:rFonts w:cs="Times New Roman"/>
          <w:szCs w:val="24"/>
        </w:rPr>
        <w:fldChar w:fldCharType="begin"/>
      </w:r>
      <w:r>
        <w:rPr>
          <w:rFonts w:cs="Times New Roman"/>
          <w:szCs w:val="24"/>
        </w:rPr>
        <w:instrText xml:space="preserve"> ADDIN ZOTERO_ITEM CSL_CITATION {"citationID":"r6gbab4gj","properties":{"formattedCitation":"(Huysmans and Dassargues, 2006)","plainCitation":"(Huysmans and Dassargues, 2006)"},"citationItems":[{"id":144,"uris":["http://zotero.org/users/1507390/items/JF3QDT4B"],"uri":["http://zotero.org/users/1507390/items/JF3QDT4B"],"itemData":{"id":144,"type":"article-journal","title":"Stochastic analysis of the effect of spatial variability of diffusion parameters on radionuclide transport in a low permeability clay layer","container-title":"Hydrogeology Journal","page":"1094-1106","volume":"14","issue":"7","source":"link.springer.com","abstract":"Most studies that incorporate subsurface heterogeneity in groundwater flow and transport models only analyze and simulate the spatial variability of hydraulic conductivity. Heterogeneity of the other flow and transport parameters are usually neglected. This approach is often justified, but there are, however, cases in which disregarding the heterogeneity of the other flow and transport parameters can be questionable. In low permeability media, for instance, diffusion is often the dominant transport mechanism. It therefore seems logical to incorporate the spatial variability of the diffusion parameters in the transport model. This study therefore analyses and simulates the spatial variability of the effective diffusion coefficient and the diffusion accessible porosity with geostatistical techniques and incorporates their heterogeneity in the transport model of a low permeability formation. The formation studied was Boom clay (Belgium), a candidate host rock for the deep geological disposal of high-level radioactive waste. The calculated output radionuclide fluxes of this model are compared with the fluxes calculated with a homogeneous model and a model with a heterogeneous hydraulic conductivity distribution. This analysis shows that the heterogeneity of the diffusion parameters has a much larger effect on the calculated output radionuclide fluxes than the heterogeneity of hydraulic conductivity in the low permeability medium under study.","DOI":"10.1007/s10040-006-0035-2","ISSN":"1431-2174, 1435-0157","journalAbbreviation":"Hydrogeol J","language":"en","author":[{"family":"Huysmans","given":"Marijke"},{"family":"Dassargues","given":"Alain"}],"issued":{"date-parts":[["2006",11,1]]},"accessed":{"date-parts":[["2014",4,17]]}}}],"schema":"https://github.com/citation-style-language/schema/raw/master/csl-citation.json"} </w:instrText>
      </w:r>
      <w:r w:rsidR="00177749">
        <w:rPr>
          <w:rFonts w:cs="Times New Roman"/>
          <w:szCs w:val="24"/>
        </w:rPr>
        <w:fldChar w:fldCharType="separate"/>
      </w:r>
      <w:r>
        <w:rPr>
          <w:rFonts w:ascii="Cambria" w:hAnsi="Cambria"/>
        </w:rPr>
        <w:t>Huysmans and Dassargues (</w:t>
      </w:r>
      <w:r w:rsidRPr="00E35C8D">
        <w:rPr>
          <w:rFonts w:ascii="Cambria" w:hAnsi="Cambria"/>
        </w:rPr>
        <w:t>2006)</w:t>
      </w:r>
      <w:r w:rsidR="00177749">
        <w:rPr>
          <w:rFonts w:cs="Times New Roman"/>
          <w:szCs w:val="24"/>
        </w:rPr>
        <w:fldChar w:fldCharType="end"/>
      </w:r>
      <w:r>
        <w:rPr>
          <w:rFonts w:cs="Times New Roman"/>
          <w:szCs w:val="24"/>
        </w:rPr>
        <w:t xml:space="preserve"> provide a simple explanation of the semivariogram, “as the sample semivariance described as a function of spatial separation.” Small semivariance values indicate a high degree of spatial correlation between parameter values separated by the lag vector; whereas, large semivariance values indicate a low degree of spatial correlation </w:t>
      </w:r>
      <w:r w:rsidR="00177749">
        <w:rPr>
          <w:rFonts w:cs="Times New Roman"/>
          <w:szCs w:val="24"/>
        </w:rPr>
        <w:fldChar w:fldCharType="begin"/>
      </w:r>
      <w:r>
        <w:rPr>
          <w:rFonts w:cs="Times New Roman"/>
          <w:szCs w:val="24"/>
        </w:rPr>
        <w:instrText xml:space="preserve"> ADDIN ZOTERO_ITEM CSL_CITATION {"citationID":"1uq02i5ai0","properties":{"formattedCitation":"(Huysmans and Dassargues, 2006)","plainCitation":"(Huysmans and Dassargues, 2006)"},"citationItems":[{"id":144,"uris":["http://zotero.org/users/1507390/items/JF3QDT4B"],"uri":["http://zotero.org/users/1507390/items/JF3QDT4B"],"itemData":{"id":144,"type":"article-journal","title":"Stochastic analysis of the effect of spatial variability of diffusion parameters on radionuclide transport in a low permeability clay layer","container-title":"Hydrogeology Journal","page":"1094-1106","volume":"14","issue":"7","source":"link.springer.com","abstract":"Most studies that incorporate subsurface heterogeneity in groundwater flow and transport models only analyze and simulate the spatial variability of hydraulic conductivity. Heterogeneity of the other flow and transport parameters are usually neglected. This approach is often justified, but there are, however, cases in which disregarding the heterogeneity of the other flow and transport parameters can be questionable. In low permeability media, for instance, diffusion is often the dominant transport mechanism. It therefore seems logical to incorporate the spatial variability of the diffusion parameters in the transport model. This study therefore analyses and simulates the spatial variability of the effective diffusion coefficient and the diffusion accessible porosity with geostatistical techniques and incorporates their heterogeneity in the transport model of a low permeability formation. The formation studied was Boom clay (Belgium), a candidate host rock for the deep geological disposal of high-level radioactive waste. The calculated output radionuclide fluxes of this model are compared with the fluxes calculated with a homogeneous model and a model with a heterogeneous hydraulic conductivity distribution. This analysis shows that the heterogeneity of the diffusion parameters has a much larger effect on the calculated output radionuclide fluxes than the heterogeneity of hydraulic conductivity in the low permeability medium under study.","DOI":"10.1007/s10040-006-0035-2","ISSN":"1431-2174, 1435-0157","journalAbbreviation":"Hydrogeol J","language":"en","author":[{"family":"Huysmans","given":"Marijke"},{"family":"Dassargues","given":"Alain"}],"issued":{"date-parts":[["2006",11,1]]},"accessed":{"date-parts":[["2014",4,17]]}}}],"schema":"https://github.com/citation-style-language/schema/raw/master/csl-citation.json"} </w:instrText>
      </w:r>
      <w:r w:rsidR="00177749">
        <w:rPr>
          <w:rFonts w:cs="Times New Roman"/>
          <w:szCs w:val="24"/>
        </w:rPr>
        <w:fldChar w:fldCharType="separate"/>
      </w:r>
      <w:r w:rsidRPr="008833DB">
        <w:rPr>
          <w:rFonts w:ascii="Cambria" w:hAnsi="Cambria"/>
        </w:rPr>
        <w:t>(Huysmans and Dassargues, 2006)</w:t>
      </w:r>
      <w:r w:rsidR="00177749">
        <w:rPr>
          <w:rFonts w:cs="Times New Roman"/>
          <w:szCs w:val="24"/>
        </w:rPr>
        <w:fldChar w:fldCharType="end"/>
      </w:r>
      <w:r>
        <w:rPr>
          <w:rFonts w:cs="Times New Roman"/>
          <w:szCs w:val="24"/>
        </w:rPr>
        <w:t xml:space="preserve">. </w:t>
      </w:r>
    </w:p>
    <w:p w:rsidR="002F3B63" w:rsidRDefault="002F3B63" w:rsidP="002F3B63">
      <w:pPr>
        <w:spacing w:after="0" w:line="480" w:lineRule="auto"/>
        <w:ind w:firstLine="720"/>
        <w:rPr>
          <w:rFonts w:cs="Times New Roman"/>
          <w:szCs w:val="24"/>
        </w:rPr>
      </w:pPr>
      <w:r w:rsidRPr="00810A62">
        <w:rPr>
          <w:rFonts w:cs="Times New Roman"/>
          <w:szCs w:val="24"/>
        </w:rPr>
        <w:t>In order to describe spatial relationships between parameters</w:t>
      </w:r>
      <w:r>
        <w:rPr>
          <w:rFonts w:cs="Times New Roman"/>
          <w:szCs w:val="24"/>
        </w:rPr>
        <w:t>, the cross-variogram is used</w:t>
      </w:r>
      <w:r w:rsidRPr="00810A62">
        <w:rPr>
          <w:rFonts w:cs="Times New Roman"/>
          <w:szCs w:val="24"/>
        </w:rPr>
        <w:t>. The cross-variogram enables the characterization of spatial dependency between two variables. For locations where measurements of two parameters</w:t>
      </w:r>
      <w:r w:rsidRPr="00810A62">
        <w:rPr>
          <w:rFonts w:cs="Times New Roman"/>
          <w:i/>
          <w:szCs w:val="24"/>
        </w:rPr>
        <w:t xml:space="preserve"> u</w:t>
      </w:r>
      <w:r w:rsidRPr="00810A62">
        <w:rPr>
          <w:rFonts w:cs="Times New Roman"/>
          <w:szCs w:val="24"/>
        </w:rPr>
        <w:t xml:space="preserve"> and </w:t>
      </w:r>
      <w:r w:rsidRPr="00810A62">
        <w:rPr>
          <w:rFonts w:cs="Times New Roman"/>
          <w:i/>
          <w:szCs w:val="24"/>
        </w:rPr>
        <w:t>v</w:t>
      </w:r>
      <w:r w:rsidRPr="00810A62">
        <w:rPr>
          <w:rFonts w:cs="Times New Roman"/>
          <w:szCs w:val="24"/>
        </w:rPr>
        <w:t xml:space="preserve"> have been made, the cross variogram can be calculated using the following equation (Oliver, 2010):</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8"/>
        <w:gridCol w:w="7830"/>
        <w:gridCol w:w="828"/>
      </w:tblGrid>
      <w:tr w:rsidR="002F3B63" w:rsidTr="002F3B63">
        <w:tc>
          <w:tcPr>
            <w:tcW w:w="918" w:type="dxa"/>
          </w:tcPr>
          <w:p w:rsidR="002F3B63" w:rsidRPr="00826222" w:rsidRDefault="002F3B63" w:rsidP="002F3B63">
            <w:pPr>
              <w:spacing w:line="480" w:lineRule="auto"/>
              <w:jc w:val="both"/>
              <w:rPr>
                <w:rFonts w:cs="Times New Roman"/>
                <w:iCs/>
                <w:szCs w:val="24"/>
              </w:rPr>
            </w:pPr>
          </w:p>
        </w:tc>
        <w:tc>
          <w:tcPr>
            <w:tcW w:w="7830" w:type="dxa"/>
          </w:tcPr>
          <w:p w:rsidR="002F3B63" w:rsidRPr="00826222" w:rsidRDefault="00177749" w:rsidP="002F3B63">
            <w:pPr>
              <w:spacing w:line="480" w:lineRule="auto"/>
              <w:jc w:val="center"/>
              <w:rPr>
                <w:rFonts w:cs="Times New Roman"/>
                <w:iCs/>
                <w:szCs w:val="24"/>
              </w:rPr>
            </w:pPr>
            <m:oMathPara>
              <m:oMath>
                <m:sSub>
                  <m:sSubPr>
                    <m:ctrlPr>
                      <w:rPr>
                        <w:rFonts w:ascii="Cambria Math" w:hAnsi="Cambria Math" w:cs="Times New Roman"/>
                        <w:i/>
                        <w:szCs w:val="24"/>
                      </w:rPr>
                    </m:ctrlPr>
                  </m:sSubPr>
                  <m:e>
                    <m:r>
                      <w:rPr>
                        <w:rFonts w:ascii="Cambria Math" w:hAnsi="Cambria Math" w:cs="Times New Roman"/>
                        <w:szCs w:val="24"/>
                      </w:rPr>
                      <m:t>γ</m:t>
                    </m:r>
                  </m:e>
                  <m:sub>
                    <m:r>
                      <w:rPr>
                        <w:rFonts w:ascii="Cambria Math" w:hAnsi="Cambria Math" w:cs="Times New Roman"/>
                        <w:szCs w:val="24"/>
                      </w:rPr>
                      <m:t>uv</m:t>
                    </m:r>
                  </m:sub>
                </m:sSub>
                <m:d>
                  <m:dPr>
                    <m:ctrlPr>
                      <w:rPr>
                        <w:rFonts w:ascii="Cambria Math" w:hAnsi="Cambria Math" w:cs="Times New Roman"/>
                        <w:i/>
                        <w:szCs w:val="24"/>
                      </w:rPr>
                    </m:ctrlPr>
                  </m:dPr>
                  <m:e>
                    <m:r>
                      <w:rPr>
                        <w:rFonts w:ascii="Cambria Math" w:hAnsi="Cambria Math" w:cs="Times New Roman"/>
                        <w:szCs w:val="24"/>
                      </w:rPr>
                      <m:t>h</m:t>
                    </m:r>
                  </m:e>
                </m:d>
                <m:r>
                  <w:rPr>
                    <w:rFonts w:ascii="Cambria Math" w:cs="Times New Roman"/>
                    <w:szCs w:val="24"/>
                  </w:rPr>
                  <m:t xml:space="preserve">= </m:t>
                </m:r>
                <m:f>
                  <m:fPr>
                    <m:ctrlPr>
                      <w:rPr>
                        <w:rFonts w:ascii="Cambria Math" w:hAnsi="Cambria Math" w:cs="Times New Roman"/>
                        <w:i/>
                        <w:szCs w:val="24"/>
                      </w:rPr>
                    </m:ctrlPr>
                  </m:fPr>
                  <m:num>
                    <m:r>
                      <w:rPr>
                        <w:rFonts w:ascii="Cambria Math" w:cs="Times New Roman"/>
                        <w:szCs w:val="24"/>
                      </w:rPr>
                      <m:t>1</m:t>
                    </m:r>
                  </m:num>
                  <m:den>
                    <m:r>
                      <w:rPr>
                        <w:rFonts w:ascii="Cambria Math" w:cs="Times New Roman"/>
                        <w:szCs w:val="24"/>
                      </w:rPr>
                      <m:t>2</m:t>
                    </m:r>
                    <m:r>
                      <w:rPr>
                        <w:rFonts w:ascii="Cambria Math" w:hAnsi="Cambria Math" w:cs="Times New Roman"/>
                        <w:szCs w:val="24"/>
                      </w:rPr>
                      <m:t>N</m:t>
                    </m:r>
                    <m:d>
                      <m:dPr>
                        <m:ctrlPr>
                          <w:rPr>
                            <w:rFonts w:ascii="Cambria Math" w:hAnsi="Cambria Math" w:cs="Times New Roman"/>
                            <w:i/>
                            <w:szCs w:val="24"/>
                          </w:rPr>
                        </m:ctrlPr>
                      </m:dPr>
                      <m:e>
                        <m:r>
                          <w:rPr>
                            <w:rFonts w:ascii="Cambria Math" w:hAnsi="Cambria Math" w:cs="Times New Roman"/>
                            <w:szCs w:val="24"/>
                          </w:rPr>
                          <m:t>h</m:t>
                        </m:r>
                      </m:e>
                    </m:d>
                  </m:den>
                </m:f>
                <m:r>
                  <w:rPr>
                    <w:rFonts w:ascii="Cambria Math" w:cs="Times New Roman"/>
                    <w:szCs w:val="24"/>
                  </w:rPr>
                  <m:t xml:space="preserve"> </m:t>
                </m:r>
                <m:nary>
                  <m:naryPr>
                    <m:chr m:val="∑"/>
                    <m:limLoc m:val="undOvr"/>
                    <m:ctrlPr>
                      <w:rPr>
                        <w:rFonts w:ascii="Cambria Math" w:hAnsi="Cambria Math" w:cs="Times New Roman"/>
                        <w:i/>
                        <w:szCs w:val="24"/>
                      </w:rPr>
                    </m:ctrlPr>
                  </m:naryPr>
                  <m:sub>
                    <m:r>
                      <w:rPr>
                        <w:rFonts w:ascii="Cambria Math" w:hAnsi="Cambria Math" w:cs="Times New Roman"/>
                        <w:szCs w:val="24"/>
                      </w:rPr>
                      <m:t>i</m:t>
                    </m:r>
                    <m:r>
                      <w:rPr>
                        <w:rFonts w:ascii="Cambria Math" w:cs="Times New Roman"/>
                        <w:szCs w:val="24"/>
                      </w:rPr>
                      <m:t>=1</m:t>
                    </m:r>
                  </m:sub>
                  <m:sup>
                    <m:r>
                      <w:rPr>
                        <w:rFonts w:ascii="Cambria Math" w:hAnsi="Cambria Math" w:cs="Times New Roman"/>
                        <w:szCs w:val="24"/>
                      </w:rPr>
                      <m:t>N</m:t>
                    </m:r>
                    <m:r>
                      <w:rPr>
                        <w:rFonts w:ascii="Cambria Math" w:cs="Times New Roman"/>
                        <w:szCs w:val="24"/>
                      </w:rPr>
                      <m:t>(</m:t>
                    </m:r>
                    <m:r>
                      <w:rPr>
                        <w:rFonts w:ascii="Cambria Math" w:hAnsi="Cambria Math" w:cs="Times New Roman"/>
                        <w:szCs w:val="24"/>
                      </w:rPr>
                      <m:t>h</m:t>
                    </m:r>
                    <m:r>
                      <w:rPr>
                        <w:rFonts w:ascii="Cambria Math" w:cs="Times New Roman"/>
                        <w:szCs w:val="24"/>
                      </w:rPr>
                      <m:t>)</m:t>
                    </m:r>
                  </m:sup>
                  <m:e>
                    <m:r>
                      <w:rPr>
                        <w:rFonts w:ascii="Cambria Math" w:cs="Times New Roman"/>
                        <w:szCs w:val="24"/>
                      </w:rPr>
                      <m:t xml:space="preserve">[ </m:t>
                    </m:r>
                    <m:sSub>
                      <m:sSubPr>
                        <m:ctrlPr>
                          <w:rPr>
                            <w:rFonts w:ascii="Cambria Math" w:hAnsi="Cambria Math" w:cs="Times New Roman"/>
                            <w:i/>
                            <w:szCs w:val="24"/>
                          </w:rPr>
                        </m:ctrlPr>
                      </m:sSubPr>
                      <m:e>
                        <m:r>
                          <w:rPr>
                            <w:rFonts w:ascii="Cambria Math" w:hAnsi="Cambria Math" w:cs="Times New Roman"/>
                            <w:szCs w:val="24"/>
                          </w:rPr>
                          <m:t>z</m:t>
                        </m:r>
                      </m:e>
                      <m:sub>
                        <m:r>
                          <w:rPr>
                            <w:rFonts w:ascii="Cambria Math" w:hAnsi="Cambria Math" w:cs="Times New Roman"/>
                            <w:szCs w:val="24"/>
                          </w:rPr>
                          <m:t>u</m:t>
                        </m:r>
                      </m:sub>
                    </m:sSub>
                    <m:r>
                      <w:rPr>
                        <w:rFonts w:ascii="Cambria Math" w:cs="Times New Roman"/>
                        <w:szCs w:val="24"/>
                      </w:rPr>
                      <m:t>(</m:t>
                    </m:r>
                    <m:sSub>
                      <m:sSubPr>
                        <m:ctrlPr>
                          <w:rPr>
                            <w:rFonts w:ascii="Cambria Math" w:hAnsi="Cambria Math" w:cs="Times New Roman"/>
                            <w:i/>
                            <w:szCs w:val="24"/>
                          </w:rPr>
                        </m:ctrlPr>
                      </m:sSubPr>
                      <m:e>
                        <m:r>
                          <w:rPr>
                            <w:rFonts w:ascii="Cambria Math" w:hAnsi="Cambria Math" w:cs="Times New Roman"/>
                            <w:szCs w:val="24"/>
                          </w:rPr>
                          <m:t>x</m:t>
                        </m:r>
                      </m:e>
                      <m:sub>
                        <m:r>
                          <w:rPr>
                            <w:rFonts w:ascii="Cambria Math" w:hAnsi="Cambria Math" w:cs="Times New Roman"/>
                            <w:szCs w:val="24"/>
                          </w:rPr>
                          <m:t>i</m:t>
                        </m:r>
                      </m:sub>
                    </m:sSub>
                  </m:e>
                </m:nary>
                <m:r>
                  <w:rPr>
                    <w:rFonts w:ascii="Cambria Math" w:cs="Times New Roman"/>
                    <w:szCs w:val="24"/>
                  </w:rPr>
                  <m:t>)</m:t>
                </m:r>
                <m:r>
                  <w:rPr>
                    <w:rFonts w:ascii="Cambria Math" w:cs="Times New Roman"/>
                    <w:szCs w:val="24"/>
                  </w:rPr>
                  <m:t>-</m:t>
                </m:r>
                <m:r>
                  <w:rPr>
                    <w:rFonts w:ascii="Cambria Math" w:cs="Times New Roman"/>
                    <w:szCs w:val="24"/>
                  </w:rPr>
                  <m:t xml:space="preserve"> </m:t>
                </m:r>
                <m:sSub>
                  <m:sSubPr>
                    <m:ctrlPr>
                      <w:rPr>
                        <w:rFonts w:ascii="Cambria Math" w:hAnsi="Cambria Math" w:cs="Times New Roman"/>
                        <w:i/>
                        <w:szCs w:val="24"/>
                      </w:rPr>
                    </m:ctrlPr>
                  </m:sSubPr>
                  <m:e>
                    <m:r>
                      <w:rPr>
                        <w:rFonts w:ascii="Cambria Math" w:hAnsi="Cambria Math" w:cs="Times New Roman"/>
                        <w:szCs w:val="24"/>
                      </w:rPr>
                      <m:t>z</m:t>
                    </m:r>
                  </m:e>
                  <m:sub>
                    <m:r>
                      <w:rPr>
                        <w:rFonts w:ascii="Cambria Math" w:hAnsi="Cambria Math" w:cs="Times New Roman"/>
                        <w:szCs w:val="24"/>
                      </w:rPr>
                      <m:t>u</m:t>
                    </m:r>
                  </m:sub>
                </m:sSub>
                <m:r>
                  <w:rPr>
                    <w:rFonts w:ascii="Cambria Math" w:cs="Times New Roman"/>
                    <w:szCs w:val="24"/>
                  </w:rPr>
                  <m:t>(</m:t>
                </m:r>
                <m:sSub>
                  <m:sSubPr>
                    <m:ctrlPr>
                      <w:rPr>
                        <w:rFonts w:ascii="Cambria Math" w:hAnsi="Cambria Math" w:cs="Times New Roman"/>
                        <w:i/>
                        <w:szCs w:val="24"/>
                      </w:rPr>
                    </m:ctrlPr>
                  </m:sSubPr>
                  <m:e>
                    <m:r>
                      <w:rPr>
                        <w:rFonts w:ascii="Cambria Math" w:hAnsi="Cambria Math" w:cs="Times New Roman"/>
                        <w:szCs w:val="24"/>
                      </w:rPr>
                      <m:t>x</m:t>
                    </m:r>
                  </m:e>
                  <m:sub>
                    <m:r>
                      <w:rPr>
                        <w:rFonts w:ascii="Cambria Math" w:hAnsi="Cambria Math" w:cs="Times New Roman"/>
                        <w:szCs w:val="24"/>
                      </w:rPr>
                      <m:t>i</m:t>
                    </m:r>
                  </m:sub>
                </m:sSub>
                <m:r>
                  <w:rPr>
                    <w:rFonts w:ascii="Cambria Math" w:cs="Times New Roman"/>
                    <w:szCs w:val="24"/>
                  </w:rPr>
                  <m:t xml:space="preserve">+ </m:t>
                </m:r>
                <m:r>
                  <w:rPr>
                    <w:rFonts w:ascii="Cambria Math" w:hAnsi="Cambria Math" w:cs="Times New Roman"/>
                    <w:szCs w:val="24"/>
                  </w:rPr>
                  <m:t>h</m:t>
                </m:r>
                <m:r>
                  <w:rPr>
                    <w:rFonts w:ascii="Cambria Math" w:cs="Times New Roman"/>
                    <w:szCs w:val="24"/>
                  </w:rPr>
                  <m:t>)] [</m:t>
                </m:r>
                <m:sSub>
                  <m:sSubPr>
                    <m:ctrlPr>
                      <w:rPr>
                        <w:rFonts w:ascii="Cambria Math" w:hAnsi="Cambria Math" w:cs="Times New Roman"/>
                        <w:i/>
                        <w:szCs w:val="24"/>
                      </w:rPr>
                    </m:ctrlPr>
                  </m:sSubPr>
                  <m:e>
                    <m:r>
                      <w:rPr>
                        <w:rFonts w:ascii="Cambria Math" w:hAnsi="Cambria Math" w:cs="Times New Roman"/>
                        <w:szCs w:val="24"/>
                      </w:rPr>
                      <m:t>z</m:t>
                    </m:r>
                  </m:e>
                  <m:sub>
                    <m:r>
                      <w:rPr>
                        <w:rFonts w:ascii="Cambria Math" w:hAnsi="Cambria Math" w:cs="Times New Roman"/>
                        <w:szCs w:val="24"/>
                      </w:rPr>
                      <m:t>v</m:t>
                    </m:r>
                  </m:sub>
                </m:sSub>
                <m:d>
                  <m:dPr>
                    <m:ctrlPr>
                      <w:rPr>
                        <w:rFonts w:ascii="Cambria Math" w:hAnsi="Cambria Math" w:cs="Times New Roman"/>
                        <w:i/>
                        <w:szCs w:val="24"/>
                      </w:rPr>
                    </m:ctrlPr>
                  </m:dPr>
                  <m:e>
                    <m:sSub>
                      <m:sSubPr>
                        <m:ctrlPr>
                          <w:rPr>
                            <w:rFonts w:ascii="Cambria Math" w:hAnsi="Cambria Math" w:cs="Times New Roman"/>
                            <w:i/>
                            <w:szCs w:val="24"/>
                          </w:rPr>
                        </m:ctrlPr>
                      </m:sSubPr>
                      <m:e>
                        <m:r>
                          <w:rPr>
                            <w:rFonts w:ascii="Cambria Math" w:hAnsi="Cambria Math" w:cs="Times New Roman"/>
                            <w:szCs w:val="24"/>
                          </w:rPr>
                          <m:t>x</m:t>
                        </m:r>
                      </m:e>
                      <m:sub>
                        <m:r>
                          <w:rPr>
                            <w:rFonts w:ascii="Cambria Math" w:hAnsi="Cambria Math" w:cs="Times New Roman"/>
                            <w:szCs w:val="24"/>
                          </w:rPr>
                          <m:t>i</m:t>
                        </m:r>
                      </m:sub>
                    </m:sSub>
                  </m:e>
                </m:d>
                <m:r>
                  <w:rPr>
                    <w:rFonts w:ascii="Cambria Math" w:hAnsi="Cambria Math" w:cs="Times New Roman"/>
                    <w:szCs w:val="24"/>
                  </w:rPr>
                  <m:t>-</m:t>
                </m:r>
                <m:r>
                  <w:rPr>
                    <w:rFonts w:ascii="Cambria Math" w:cs="Times New Roman"/>
                    <w:szCs w:val="24"/>
                  </w:rPr>
                  <m:t xml:space="preserve"> </m:t>
                </m:r>
                <m:sSub>
                  <m:sSubPr>
                    <m:ctrlPr>
                      <w:rPr>
                        <w:rFonts w:ascii="Cambria Math" w:hAnsi="Cambria Math" w:cs="Times New Roman"/>
                        <w:i/>
                        <w:szCs w:val="24"/>
                      </w:rPr>
                    </m:ctrlPr>
                  </m:sSubPr>
                  <m:e>
                    <m:r>
                      <w:rPr>
                        <w:rFonts w:ascii="Cambria Math" w:hAnsi="Cambria Math" w:cs="Times New Roman"/>
                        <w:szCs w:val="24"/>
                      </w:rPr>
                      <m:t>z</m:t>
                    </m:r>
                  </m:e>
                  <m:sub>
                    <m:r>
                      <w:rPr>
                        <w:rFonts w:ascii="Cambria Math" w:hAnsi="Cambria Math" w:cs="Times New Roman"/>
                        <w:szCs w:val="24"/>
                      </w:rPr>
                      <m:t>v</m:t>
                    </m:r>
                  </m:sub>
                </m:sSub>
                <m:r>
                  <w:rPr>
                    <w:rFonts w:ascii="Cambria Math" w:cs="Times New Roman"/>
                    <w:szCs w:val="24"/>
                  </w:rPr>
                  <m:t>(</m:t>
                </m:r>
                <m:sSub>
                  <m:sSubPr>
                    <m:ctrlPr>
                      <w:rPr>
                        <w:rFonts w:ascii="Cambria Math" w:hAnsi="Cambria Math" w:cs="Times New Roman"/>
                        <w:i/>
                        <w:szCs w:val="24"/>
                      </w:rPr>
                    </m:ctrlPr>
                  </m:sSubPr>
                  <m:e>
                    <m:r>
                      <w:rPr>
                        <w:rFonts w:ascii="Cambria Math" w:hAnsi="Cambria Math" w:cs="Times New Roman"/>
                        <w:szCs w:val="24"/>
                      </w:rPr>
                      <m:t>x</m:t>
                    </m:r>
                  </m:e>
                  <m:sub>
                    <m:r>
                      <w:rPr>
                        <w:rFonts w:ascii="Cambria Math" w:hAnsi="Cambria Math" w:cs="Times New Roman"/>
                        <w:szCs w:val="24"/>
                      </w:rPr>
                      <m:t>i</m:t>
                    </m:r>
                  </m:sub>
                </m:sSub>
                <m:r>
                  <w:rPr>
                    <w:rFonts w:ascii="Cambria Math" w:cs="Times New Roman"/>
                    <w:szCs w:val="24"/>
                  </w:rPr>
                  <m:t xml:space="preserve">+ </m:t>
                </m:r>
                <m:r>
                  <w:rPr>
                    <w:rFonts w:ascii="Cambria Math" w:hAnsi="Cambria Math" w:cs="Times New Roman"/>
                    <w:szCs w:val="24"/>
                  </w:rPr>
                  <m:t>h</m:t>
                </m:r>
                <m:r>
                  <w:rPr>
                    <w:rFonts w:ascii="Cambria Math" w:cs="Times New Roman"/>
                    <w:szCs w:val="24"/>
                  </w:rPr>
                  <m:t>)]</m:t>
                </m:r>
              </m:oMath>
            </m:oMathPara>
          </w:p>
        </w:tc>
        <w:tc>
          <w:tcPr>
            <w:tcW w:w="828" w:type="dxa"/>
          </w:tcPr>
          <w:p w:rsidR="002F3B63" w:rsidRDefault="002F3B63" w:rsidP="002F3B63">
            <w:pPr>
              <w:rPr>
                <w:rFonts w:cs="Times New Roman"/>
                <w:iCs/>
                <w:szCs w:val="24"/>
              </w:rPr>
            </w:pPr>
          </w:p>
          <w:p w:rsidR="002F3B63" w:rsidRPr="00826222" w:rsidRDefault="002F3B63" w:rsidP="002F3B63">
            <w:pPr>
              <w:rPr>
                <w:rFonts w:cs="Times New Roman"/>
                <w:iCs/>
                <w:szCs w:val="24"/>
              </w:rPr>
            </w:pPr>
            <w:r w:rsidRPr="00826222">
              <w:rPr>
                <w:rFonts w:cs="Times New Roman"/>
                <w:iCs/>
                <w:szCs w:val="24"/>
              </w:rPr>
              <w:t>(</w:t>
            </w:r>
            <w:fldSimple w:instr=" SEQ Eq \* MERGEFORMAT ">
              <w:r w:rsidR="00885C9E" w:rsidRPr="00885C9E">
                <w:rPr>
                  <w:rFonts w:cs="Times New Roman"/>
                  <w:iCs/>
                  <w:noProof/>
                  <w:szCs w:val="24"/>
                </w:rPr>
                <w:t>11</w:t>
              </w:r>
            </w:fldSimple>
            <w:r w:rsidRPr="00826222">
              <w:rPr>
                <w:rFonts w:cs="Times New Roman"/>
                <w:iCs/>
                <w:szCs w:val="24"/>
              </w:rPr>
              <w:t>)</w:t>
            </w:r>
          </w:p>
        </w:tc>
      </w:tr>
    </w:tbl>
    <w:p w:rsidR="002F3B63" w:rsidRDefault="002F3B63" w:rsidP="002F3B63">
      <w:pPr>
        <w:spacing w:after="0" w:line="480" w:lineRule="auto"/>
        <w:rPr>
          <w:rFonts w:cs="Times New Roman"/>
          <w:szCs w:val="24"/>
        </w:rPr>
      </w:pPr>
      <w:r w:rsidRPr="00810A62">
        <w:rPr>
          <w:rFonts w:cs="Times New Roman"/>
          <w:szCs w:val="24"/>
        </w:rPr>
        <w:t xml:space="preserve">where </w:t>
      </w:r>
      <m:oMath>
        <m:sSub>
          <m:sSubPr>
            <m:ctrlPr>
              <w:rPr>
                <w:rFonts w:ascii="Cambria Math" w:hAnsi="Cambria Math" w:cs="Times New Roman"/>
                <w:i/>
                <w:szCs w:val="24"/>
              </w:rPr>
            </m:ctrlPr>
          </m:sSubPr>
          <m:e>
            <m:r>
              <w:rPr>
                <w:rFonts w:ascii="Cambria Math" w:hAnsi="Cambria Math" w:cs="Times New Roman"/>
                <w:szCs w:val="24"/>
              </w:rPr>
              <m:t>γ</m:t>
            </m:r>
          </m:e>
          <m:sub>
            <m:r>
              <w:rPr>
                <w:rFonts w:ascii="Cambria Math" w:hAnsi="Cambria Math" w:cs="Times New Roman"/>
                <w:szCs w:val="24"/>
              </w:rPr>
              <m:t>uv</m:t>
            </m:r>
          </m:sub>
        </m:sSub>
        <m:d>
          <m:dPr>
            <m:ctrlPr>
              <w:rPr>
                <w:rFonts w:ascii="Cambria Math" w:hAnsi="Cambria Math" w:cs="Times New Roman"/>
                <w:i/>
                <w:szCs w:val="24"/>
              </w:rPr>
            </m:ctrlPr>
          </m:dPr>
          <m:e>
            <m:r>
              <w:rPr>
                <w:rFonts w:ascii="Cambria Math" w:hAnsi="Cambria Math" w:cs="Times New Roman"/>
                <w:szCs w:val="24"/>
              </w:rPr>
              <m:t>h</m:t>
            </m:r>
          </m:e>
        </m:d>
      </m:oMath>
      <w:r w:rsidRPr="00810A62">
        <w:rPr>
          <w:rFonts w:cs="Times New Roman"/>
          <w:szCs w:val="24"/>
        </w:rPr>
        <w:t xml:space="preserve"> is the cross variogram comparing parameters</w:t>
      </w:r>
      <w:r w:rsidRPr="00810A62">
        <w:rPr>
          <w:rFonts w:cs="Times New Roman"/>
          <w:i/>
          <w:szCs w:val="24"/>
        </w:rPr>
        <w:t xml:space="preserve"> u</w:t>
      </w:r>
      <w:r w:rsidRPr="00810A62">
        <w:rPr>
          <w:rFonts w:cs="Times New Roman"/>
          <w:szCs w:val="24"/>
        </w:rPr>
        <w:t xml:space="preserve"> and </w:t>
      </w:r>
      <w:r w:rsidRPr="00810A62">
        <w:rPr>
          <w:rFonts w:cs="Times New Roman"/>
          <w:i/>
          <w:szCs w:val="24"/>
        </w:rPr>
        <w:t>v,</w:t>
      </w:r>
      <w:r w:rsidRPr="00810A62">
        <w:rPr>
          <w:rFonts w:cs="Times New Roman"/>
          <w:szCs w:val="24"/>
        </w:rPr>
        <w:t xml:space="preserve"> and</w:t>
      </w:r>
      <w:r w:rsidRPr="00810A62">
        <w:rPr>
          <w:rFonts w:cs="Times New Roman"/>
          <w:i/>
          <w:szCs w:val="24"/>
        </w:rPr>
        <w:t xml:space="preserve"> h</w:t>
      </w:r>
      <w:r w:rsidRPr="00810A62">
        <w:rPr>
          <w:rFonts w:cs="Times New Roman"/>
          <w:szCs w:val="24"/>
        </w:rPr>
        <w:t xml:space="preserve"> is a lag distance separating two locations </w:t>
      </w:r>
      <m:oMath>
        <m:sSub>
          <m:sSubPr>
            <m:ctrlPr>
              <w:rPr>
                <w:rFonts w:ascii="Cambria Math" w:hAnsi="Cambria Math" w:cs="Times New Roman"/>
                <w:i/>
                <w:szCs w:val="24"/>
              </w:rPr>
            </m:ctrlPr>
          </m:sSubPr>
          <m:e>
            <m:r>
              <w:rPr>
                <w:rFonts w:ascii="Cambria Math" w:hAnsi="Cambria Math" w:cs="Times New Roman"/>
                <w:szCs w:val="24"/>
              </w:rPr>
              <m:t>x</m:t>
            </m:r>
          </m:e>
          <m:sub>
            <m:r>
              <w:rPr>
                <w:rFonts w:ascii="Cambria Math" w:hAnsi="Cambria Math" w:cs="Times New Roman"/>
                <w:szCs w:val="24"/>
              </w:rPr>
              <m:t>i</m:t>
            </m:r>
          </m:sub>
        </m:sSub>
      </m:oMath>
      <w:r w:rsidRPr="00810A62">
        <w:rPr>
          <w:rFonts w:cs="Times New Roman"/>
          <w:szCs w:val="24"/>
        </w:rPr>
        <w:t xml:space="preserve"> and  </w:t>
      </w:r>
      <m:oMath>
        <m:sSub>
          <m:sSubPr>
            <m:ctrlPr>
              <w:rPr>
                <w:rFonts w:ascii="Cambria Math" w:hAnsi="Cambria Math" w:cs="Times New Roman"/>
                <w:i/>
                <w:szCs w:val="24"/>
              </w:rPr>
            </m:ctrlPr>
          </m:sSubPr>
          <m:e>
            <m:r>
              <w:rPr>
                <w:rFonts w:ascii="Cambria Math" w:hAnsi="Cambria Math" w:cs="Times New Roman"/>
                <w:szCs w:val="24"/>
              </w:rPr>
              <m:t>x</m:t>
            </m:r>
          </m:e>
          <m:sub>
            <m:r>
              <w:rPr>
                <w:rFonts w:ascii="Cambria Math" w:hAnsi="Cambria Math" w:cs="Times New Roman"/>
                <w:szCs w:val="24"/>
              </w:rPr>
              <m:t>i</m:t>
            </m:r>
          </m:sub>
        </m:sSub>
        <m:r>
          <w:rPr>
            <w:rFonts w:ascii="Cambria Math" w:cs="Times New Roman"/>
            <w:szCs w:val="24"/>
          </w:rPr>
          <m:t xml:space="preserve">+ </m:t>
        </m:r>
        <m:r>
          <w:rPr>
            <w:rFonts w:ascii="Cambria Math" w:hAnsi="Cambria Math" w:cs="Times New Roman"/>
            <w:szCs w:val="24"/>
          </w:rPr>
          <m:t>h</m:t>
        </m:r>
      </m:oMath>
      <w:r w:rsidRPr="00810A62">
        <w:rPr>
          <w:rFonts w:cs="Times New Roman"/>
          <w:szCs w:val="24"/>
        </w:rPr>
        <w:t xml:space="preserve"> </w:t>
      </w:r>
      <w:r w:rsidR="00177749">
        <w:rPr>
          <w:rFonts w:cs="Times New Roman"/>
          <w:szCs w:val="24"/>
        </w:rPr>
        <w:fldChar w:fldCharType="begin"/>
      </w:r>
      <w:r>
        <w:rPr>
          <w:rFonts w:cs="Times New Roman"/>
          <w:szCs w:val="24"/>
        </w:rPr>
        <w:instrText xml:space="preserve"> ADDIN ZOTERO_ITEM CSL_CITATION {"citationID":"mon5rf46e","properties":{"formattedCitation":"(Papritz et al., 1993)","plainCitation":"(Papritz et al., 1993)"},"citationItems":[{"id":73,"uris":["http://zotero.org/users/1507390/items/BGUQEDXJ"],"uri":["http://zotero.org/users/1507390/items/BGUQEDXJ"],"itemData":{"id":73,"type":"article-journal","title":"On the Pseudo Cross-Variogram","container-title":"Mathematical Geology","page":"1015-1026","volume":"25","issue":"8","source":"link.springer.com","abstract":"Normal cross-variograms cannot be estimated from data in the usual way when there are only a few points where both variables have been measured. But the experimental pseudo cross-variogram can be computed even where there are no matching sampling points, and this appears as its principal advantage. The pseudo cross-variogram may be unbounded, though for its existence the intrinsic hypothesis alone is not a sufficient stationarity condition. In addition the differences between the two random processes must be second order stationary. Modeling the function by linear coregionalization reflects the more restrictive stationarity condition: the pseudo cross-variogram can be unbounded only if the unbounded correlation structures are the same in all variograms. As an alternative to using the pseudo cross-variogram a new method is presented that allows estimating the normal cross variogram from data where only one variable has been measured at a point.","DOI":"10.1007/BF00911547","ISSN":"0882-8121, 1573-8868","journalAbbreviation":"Math Geol","language":"en","author":[{"family":"Papritz","given":"A."},{"family":"Künsch","given":"H. R."},{"family":"Webster","given":"R."}],"issued":{"date-parts":[["1993",11,1]]},"accessed":{"date-parts":[["2014",4,2]]}}}],"schema":"https://github.com/citation-style-language/schema/raw/master/csl-citation.json"} </w:instrText>
      </w:r>
      <w:r w:rsidR="00177749">
        <w:rPr>
          <w:rFonts w:cs="Times New Roman"/>
          <w:szCs w:val="24"/>
        </w:rPr>
        <w:fldChar w:fldCharType="separate"/>
      </w:r>
      <w:r w:rsidRPr="00C92C86">
        <w:rPr>
          <w:rFonts w:ascii="Cambria" w:hAnsi="Cambria"/>
        </w:rPr>
        <w:t>(Papritz et al., 1993)</w:t>
      </w:r>
      <w:r w:rsidR="00177749">
        <w:rPr>
          <w:rFonts w:cs="Times New Roman"/>
          <w:szCs w:val="24"/>
        </w:rPr>
        <w:fldChar w:fldCharType="end"/>
      </w:r>
      <w:r w:rsidRPr="00810A62">
        <w:rPr>
          <w:rFonts w:cs="Times New Roman"/>
          <w:szCs w:val="24"/>
        </w:rPr>
        <w:t>. The cross vario</w:t>
      </w:r>
      <w:r>
        <w:rPr>
          <w:rFonts w:cs="Times New Roman"/>
          <w:szCs w:val="24"/>
        </w:rPr>
        <w:t>gram is a measure of cross variability between two different parameters</w:t>
      </w:r>
      <w:r w:rsidR="00675717">
        <w:rPr>
          <w:rFonts w:cs="Times New Roman"/>
          <w:szCs w:val="24"/>
        </w:rPr>
        <w:t>,</w:t>
      </w:r>
      <w:r w:rsidRPr="00810A62">
        <w:rPr>
          <w:rFonts w:cs="Times New Roman"/>
          <w:szCs w:val="24"/>
        </w:rPr>
        <w:t xml:space="preserve"> </w:t>
      </w:r>
      <w:r>
        <w:rPr>
          <w:rFonts w:cs="Times New Roman"/>
          <w:szCs w:val="24"/>
        </w:rPr>
        <w:t xml:space="preserve">and it addresses whether the change in one parameter is spatially similar to another </w:t>
      </w:r>
      <w:r w:rsidR="00177749">
        <w:rPr>
          <w:rFonts w:cs="Times New Roman"/>
          <w:szCs w:val="24"/>
        </w:rPr>
        <w:fldChar w:fldCharType="begin"/>
      </w:r>
      <w:r>
        <w:rPr>
          <w:rFonts w:cs="Times New Roman"/>
          <w:szCs w:val="24"/>
        </w:rPr>
        <w:instrText xml:space="preserve"> ADDIN ZOTERO_ITEM CSL_CITATION {"citationID":"1p1a81dil4","properties":{"formattedCitation":"(Lloyd, 2014)","plainCitation":"(Lloyd, 2014)"},"citationItems":[{"id":78,"uris":["http://zotero.org/users/1507390/items/CBEQ2IQD"],"uri":["http://zotero.org/users/1507390/items/CBEQ2IQD"],"itemData":{"id":78,"type":"book","title":"Exploring Spatial Scale in Geography","publisher":"John Wiley &amp; Sons","publisher-place":"New York","number-of-pages":"275","source":"Google Books","event-place":"New York","abstract":"Exploring Spatial Scale in Geography provides a conceptual and practical guide to issues of spatial scale in all areas of the physical and social sciences.  Scale is at the heart of geography and other spatial sciences. Whether dealing with geomorphological processes, population movements or meteorology, a consideration of spatial scale is vital.Exploring Spatial Scale in Geography takes a practical approach with a core focus on real world problems and potential solutions. Links are made to appropriate software environments with an associated website providing access to guidance material which outlines how particular problems can be approached using popular GIS and spatial data analysis software.This book offers alternative definitions of spatial scale, presents approaches for exploring spatial scale and makes use of a wide variety of case studies in the physical and social sciences to demonstrate key concepts, making it a key resource for anyone who makes use of geographical information.","ISBN":"9781118526798","language":"en","author":[{"family":"Lloyd","given":"Christopher D."}],"issued":{"date-parts":[["2014",2,24]]}}}],"schema":"https://github.com/citation-style-language/schema/raw/master/csl-citation.json"} </w:instrText>
      </w:r>
      <w:r w:rsidR="00177749">
        <w:rPr>
          <w:rFonts w:cs="Times New Roman"/>
          <w:szCs w:val="24"/>
        </w:rPr>
        <w:fldChar w:fldCharType="separate"/>
      </w:r>
      <w:r w:rsidRPr="00C92C86">
        <w:rPr>
          <w:rFonts w:ascii="Cambria" w:hAnsi="Cambria"/>
        </w:rPr>
        <w:t>(Lloyd, 2014)</w:t>
      </w:r>
      <w:r w:rsidR="00177749">
        <w:rPr>
          <w:rFonts w:cs="Times New Roman"/>
          <w:szCs w:val="24"/>
        </w:rPr>
        <w:fldChar w:fldCharType="end"/>
      </w:r>
      <w:r>
        <w:rPr>
          <w:rFonts w:cs="Times New Roman"/>
          <w:szCs w:val="24"/>
        </w:rPr>
        <w:t xml:space="preserve">. </w:t>
      </w:r>
      <w:r w:rsidRPr="00810A62">
        <w:rPr>
          <w:rFonts w:cs="Times New Roman"/>
          <w:szCs w:val="24"/>
        </w:rPr>
        <w:t>To compute the cross-variogram</w:t>
      </w:r>
      <w:r>
        <w:rPr>
          <w:rFonts w:cs="Times New Roman"/>
          <w:szCs w:val="24"/>
        </w:rPr>
        <w:t xml:space="preserve"> both parameters must be correlated and have common measurement locations </w:t>
      </w:r>
      <w:r w:rsidR="00177749">
        <w:rPr>
          <w:rFonts w:cs="Times New Roman"/>
          <w:szCs w:val="24"/>
        </w:rPr>
        <w:fldChar w:fldCharType="begin"/>
      </w:r>
      <w:r>
        <w:rPr>
          <w:rFonts w:cs="Times New Roman"/>
          <w:szCs w:val="24"/>
        </w:rPr>
        <w:instrText xml:space="preserve"> ADDIN ZOTERO_ITEM CSL_CITATION {"citationID":"2ko2ut063v","properties":{"formattedCitation":"(Oliver, 2010)","plainCitation":"(Oliver, 2010)"},"citationItems":[{"id":64,"uris":["http://zotero.org/users/1507390/items/9UFND63I"],"uri":["http://zotero.org/users/1507390/items/9UFND63I"],"itemData":{"id":64,"type":"book","title":"Geostatistical Applications for Precision Agriculture","publisher":"Springer","publisher-place":"Dordrecht; New York","number-of-pages":"259","edition":"2010","source":"www.springer.com","event-place":"Dordrecht; New York","abstract":"This book brings together in one place two dynamic subjects, precision agriculture and geostatistics, that have spatial variation at their core. Geostatistics is applied in precision agriculture (PA) to sampling, prediction, ...","URL":"http://www.springer.com/life+sciences/agriculture/book/978-90-481-9132-1","ISBN":"9789048191338 9048191335","author":[{"family":"Oliver","given":"Margaret"}],"issued":{"date-parts":[["2010"]]},"accessed":{"date-parts":[["2014",4,2]]}}}],"schema":"https://github.com/citation-style-language/schema/raw/master/csl-citation.json"} </w:instrText>
      </w:r>
      <w:r w:rsidR="00177749">
        <w:rPr>
          <w:rFonts w:cs="Times New Roman"/>
          <w:szCs w:val="24"/>
        </w:rPr>
        <w:fldChar w:fldCharType="separate"/>
      </w:r>
      <w:r w:rsidRPr="00C92C86">
        <w:rPr>
          <w:rFonts w:ascii="Cambria" w:hAnsi="Cambria"/>
        </w:rPr>
        <w:t>(Oliver, 2010)</w:t>
      </w:r>
      <w:r w:rsidR="00177749">
        <w:rPr>
          <w:rFonts w:cs="Times New Roman"/>
          <w:szCs w:val="24"/>
        </w:rPr>
        <w:fldChar w:fldCharType="end"/>
      </w:r>
      <w:r w:rsidRPr="00810A62">
        <w:rPr>
          <w:rFonts w:cs="Times New Roman"/>
          <w:szCs w:val="24"/>
        </w:rPr>
        <w:t xml:space="preserve">. </w:t>
      </w:r>
      <w:r>
        <w:rPr>
          <w:rFonts w:cs="Times New Roman"/>
          <w:szCs w:val="24"/>
        </w:rPr>
        <w:t xml:space="preserve"> In this study</w:t>
      </w:r>
      <w:r w:rsidR="00675717">
        <w:rPr>
          <w:rFonts w:cs="Times New Roman"/>
          <w:szCs w:val="24"/>
        </w:rPr>
        <w:t>,</w:t>
      </w:r>
      <w:r>
        <w:rPr>
          <w:rFonts w:cs="Times New Roman"/>
          <w:szCs w:val="24"/>
        </w:rPr>
        <w:t xml:space="preserve"> </w:t>
      </w:r>
      <w:r w:rsidRPr="00810A62">
        <w:rPr>
          <w:rFonts w:cs="Times New Roman"/>
          <w:szCs w:val="24"/>
        </w:rPr>
        <w:t xml:space="preserve">all </w:t>
      </w:r>
      <w:r>
        <w:rPr>
          <w:rFonts w:cs="Times New Roman"/>
          <w:szCs w:val="24"/>
        </w:rPr>
        <w:t>BC parameter values</w:t>
      </w:r>
      <w:r w:rsidRPr="00810A62">
        <w:rPr>
          <w:rFonts w:cs="Times New Roman"/>
          <w:szCs w:val="24"/>
        </w:rPr>
        <w:t xml:space="preserve"> were</w:t>
      </w:r>
      <w:r>
        <w:rPr>
          <w:rFonts w:cs="Times New Roman"/>
          <w:szCs w:val="24"/>
        </w:rPr>
        <w:t xml:space="preserve"> calculated</w:t>
      </w:r>
      <w:r w:rsidRPr="00810A62">
        <w:rPr>
          <w:rFonts w:cs="Times New Roman"/>
          <w:szCs w:val="24"/>
        </w:rPr>
        <w:t xml:space="preserve"> at the same locations using a superimposed grid on the neutron radiographic images.</w:t>
      </w:r>
    </w:p>
    <w:p w:rsidR="002F3B63" w:rsidRDefault="002F3B63" w:rsidP="002F3B63">
      <w:pPr>
        <w:pStyle w:val="Style3"/>
      </w:pPr>
      <w:bookmarkStart w:id="30" w:name="_Toc425427034"/>
      <w:r>
        <w:t>3.5.3 Semivariogram Model</w:t>
      </w:r>
      <w:bookmarkEnd w:id="30"/>
    </w:p>
    <w:p w:rsidR="002F3B63" w:rsidRDefault="002F3B63" w:rsidP="002F3B63">
      <w:pPr>
        <w:spacing w:line="480" w:lineRule="auto"/>
        <w:ind w:firstLine="720"/>
      </w:pPr>
      <w:r>
        <w:t xml:space="preserve">Fitting an appropriate theoretical model to the empirical semivariogram is another important step in geostatistical analysis. </w:t>
      </w:r>
      <w:r w:rsidR="00675717">
        <w:t>Three of the most commonly used models</w:t>
      </w:r>
      <w:r>
        <w:t xml:space="preserve">, spherical, exponential, and Gaussian, were fitted to the empirical semivariogram of each BC parameter. These theoretical models take the following mathematical form </w:t>
      </w:r>
      <w:r w:rsidR="00177749" w:rsidRPr="00C1479B">
        <w:fldChar w:fldCharType="begin"/>
      </w:r>
      <w:r w:rsidRPr="00C1479B">
        <w:instrText xml:space="preserve"> ADDIN ZOTERO_ITEM CSL_CITATION {"citationID":"1fsmqojp4f","properties":{"formattedCitation":"(Orjuela-Matta et al., 2012)","plainCitation":"(Orjuela-Matta et al., 2012)"},"citationItems":[{"id":600,"uris":["http://zotero.org/users/1507390/items/8RCPMXIT"],"uri":["http://zotero.org/users/1507390/items/8RCPMXIT"],"itemData":{"id":600,"type":"article-journal","title":"Análisis Espacial de la Infiltración en un Oxisol de los Llanos Orientales de Colombia","container-title":"Chilean journal of agricultural research","page":"404-410","volume":"72","issue":"3","source":"SciELO","DOI":"10.4067/S0718-58392012000300015","ISSN":"0718-5839","author":[{"family":"Orjuela-Matta","given":"Helber Milton"},{"family":"Rubiano Sanabria","given":"Yolanda"},{"family":"Camacho-Tamayo","given":"Jesus H."}],"issued":{"date-parts":[["2012",9]]},"accessed":{"date-parts":[["2015",4,29]]}}}],"schema":"https://github.com/citation-style-language/schema/raw/master/csl-citation.json"} </w:instrText>
      </w:r>
      <w:r w:rsidR="00177749" w:rsidRPr="00C1479B">
        <w:fldChar w:fldCharType="separate"/>
      </w:r>
      <w:r w:rsidRPr="00C1479B">
        <w:t>(Orjuela-Matta et al., 2012)</w:t>
      </w:r>
      <w:r w:rsidR="00177749" w:rsidRPr="00C1479B">
        <w:fldChar w:fldCharType="end"/>
      </w:r>
      <w:r>
        <w:t xml:space="preserve"> :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8"/>
        <w:gridCol w:w="7830"/>
        <w:gridCol w:w="828"/>
      </w:tblGrid>
      <w:tr w:rsidR="002F3B63" w:rsidTr="002F3B63">
        <w:tc>
          <w:tcPr>
            <w:tcW w:w="918" w:type="dxa"/>
          </w:tcPr>
          <w:p w:rsidR="002F3B63" w:rsidRPr="00826222" w:rsidRDefault="002F3B63" w:rsidP="002F3B63">
            <w:pPr>
              <w:spacing w:line="360" w:lineRule="auto"/>
              <w:rPr>
                <w:iCs/>
              </w:rPr>
            </w:pPr>
          </w:p>
        </w:tc>
        <w:tc>
          <w:tcPr>
            <w:tcW w:w="7830" w:type="dxa"/>
          </w:tcPr>
          <w:p w:rsidR="002F3B63" w:rsidRPr="00826222" w:rsidRDefault="002F3B63" w:rsidP="002F3B63">
            <w:pPr>
              <w:spacing w:line="360" w:lineRule="auto"/>
              <w:rPr>
                <w:iCs/>
              </w:rPr>
            </w:pPr>
            <m:oMathPara>
              <m:oMath>
                <m:r>
                  <m:rPr>
                    <m:sty m:val="p"/>
                  </m:rPr>
                  <w:rPr>
                    <w:rFonts w:ascii="Cambria Math" w:hAnsi="Cambria Math"/>
                  </w:rPr>
                  <m:t xml:space="preserve">Spherical: </m:t>
                </m:r>
                <m:r>
                  <w:rPr>
                    <w:rFonts w:ascii="Cambria Math" w:hAnsi="Cambria Math"/>
                  </w:rPr>
                  <m:t>γ</m:t>
                </m:r>
                <m:d>
                  <m:dPr>
                    <m:ctrlPr>
                      <w:rPr>
                        <w:rFonts w:ascii="Cambria Math" w:hAnsi="Cambria Math"/>
                        <w:i/>
                      </w:rPr>
                    </m:ctrlPr>
                  </m:dPr>
                  <m:e>
                    <m:r>
                      <w:rPr>
                        <w:rFonts w:ascii="Cambria Math" w:hAnsi="Cambria Math"/>
                      </w:rPr>
                      <m:t>h</m:t>
                    </m:r>
                  </m:e>
                </m:d>
                <m:r>
                  <w:rPr>
                    <w:rFonts w:ascii="Cambria Math"/>
                  </w:rPr>
                  <m:t xml:space="preserve">= </m:t>
                </m:r>
                <m:d>
                  <m:dPr>
                    <m:begChr m:val="{"/>
                    <m:endChr m:val=""/>
                    <m:ctrlPr>
                      <w:rPr>
                        <w:rFonts w:ascii="Cambria Math" w:hAnsi="Cambria Math"/>
                        <w:i/>
                      </w:rPr>
                    </m:ctrlPr>
                  </m:dPr>
                  <m:e>
                    <m:eqArr>
                      <m:eqArrPr>
                        <m:ctrlPr>
                          <w:rPr>
                            <w:rFonts w:ascii="Cambria Math" w:hAnsi="Cambria Math"/>
                            <w:i/>
                          </w:rPr>
                        </m:ctrlPr>
                      </m:eqArrPr>
                      <m:e>
                        <m:sSub>
                          <m:sSubPr>
                            <m:ctrlPr>
                              <w:rPr>
                                <w:rFonts w:ascii="Cambria Math" w:hAnsi="Cambria Math"/>
                                <w:i/>
                              </w:rPr>
                            </m:ctrlPr>
                          </m:sSubPr>
                          <m:e>
                            <m:r>
                              <w:rPr>
                                <w:rFonts w:ascii="Cambria Math" w:hAnsi="Cambria Math"/>
                              </w:rPr>
                              <m:t>c</m:t>
                            </m:r>
                          </m:e>
                          <m:sub>
                            <m:r>
                              <w:rPr>
                                <w:rFonts w:ascii="Cambria Math" w:hAnsi="Cambria Math"/>
                              </w:rPr>
                              <m:t>o</m:t>
                            </m:r>
                          </m:sub>
                        </m:sSub>
                        <m:r>
                          <w:rPr>
                            <w:rFonts w:ascii="Cambria Math" w:hAnsi="Cambria Math"/>
                          </w:rPr>
                          <m:t xml:space="preserve">+ </m:t>
                        </m:r>
                        <m:sSub>
                          <m:sSubPr>
                            <m:ctrlPr>
                              <w:rPr>
                                <w:rFonts w:ascii="Cambria Math" w:hAnsi="Cambria Math"/>
                                <w:i/>
                              </w:rPr>
                            </m:ctrlPr>
                          </m:sSubPr>
                          <m:e>
                            <m:r>
                              <w:rPr>
                                <w:rFonts w:ascii="Cambria Math" w:hAnsi="Cambria Math"/>
                              </w:rPr>
                              <m:t>c</m:t>
                            </m:r>
                          </m:e>
                          <m:sub>
                            <m:r>
                              <w:rPr>
                                <w:rFonts w:ascii="Cambria Math" w:hAnsi="Cambria Math"/>
                              </w:rPr>
                              <m:t>1</m:t>
                            </m:r>
                          </m:sub>
                        </m:sSub>
                        <m:r>
                          <w:rPr>
                            <w:rFonts w:ascii="Cambria Math" w:hAnsi="Cambria Math"/>
                          </w:rPr>
                          <m:t>*</m:t>
                        </m:r>
                        <m:r>
                          <w:rPr>
                            <w:rFonts w:ascii="Cambria Math"/>
                          </w:rPr>
                          <m:t xml:space="preserve"> </m:t>
                        </m:r>
                        <m:d>
                          <m:dPr>
                            <m:ctrlPr>
                              <w:rPr>
                                <w:rFonts w:ascii="Cambria Math" w:hAnsi="Cambria Math"/>
                                <w:i/>
                              </w:rPr>
                            </m:ctrlPr>
                          </m:dPr>
                          <m:e>
                            <m:f>
                              <m:fPr>
                                <m:ctrlPr>
                                  <w:rPr>
                                    <w:rFonts w:ascii="Cambria Math" w:hAnsi="Cambria Math"/>
                                    <w:i/>
                                  </w:rPr>
                                </m:ctrlPr>
                              </m:fPr>
                              <m:num>
                                <m:r>
                                  <w:rPr>
                                    <w:rFonts w:ascii="Cambria Math"/>
                                  </w:rPr>
                                  <m:t>3</m:t>
                                </m:r>
                              </m:num>
                              <m:den>
                                <m:r>
                                  <w:rPr>
                                    <w:rFonts w:ascii="Cambria Math"/>
                                  </w:rPr>
                                  <m:t>2</m:t>
                                </m:r>
                              </m:den>
                            </m:f>
                            <m:d>
                              <m:dPr>
                                <m:ctrlPr>
                                  <w:rPr>
                                    <w:rFonts w:ascii="Cambria Math" w:hAnsi="Cambria Math"/>
                                    <w:i/>
                                  </w:rPr>
                                </m:ctrlPr>
                              </m:dPr>
                              <m:e>
                                <m:f>
                                  <m:fPr>
                                    <m:ctrlPr>
                                      <w:rPr>
                                        <w:rFonts w:ascii="Cambria Math" w:hAnsi="Cambria Math"/>
                                        <w:i/>
                                      </w:rPr>
                                    </m:ctrlPr>
                                  </m:fPr>
                                  <m:num>
                                    <m:r>
                                      <w:rPr>
                                        <w:rFonts w:ascii="Cambria Math" w:hAnsi="Cambria Math"/>
                                      </w:rPr>
                                      <m:t>h</m:t>
                                    </m:r>
                                  </m:num>
                                  <m:den>
                                    <m:r>
                                      <w:rPr>
                                        <w:rFonts w:ascii="Cambria Math" w:hAnsi="Cambria Math"/>
                                      </w:rPr>
                                      <m:t>a</m:t>
                                    </m:r>
                                  </m:den>
                                </m:f>
                              </m:e>
                            </m:d>
                            <m:r>
                              <w:rPr>
                                <w:rFonts w:ascii="Cambria Math" w:hAnsi="Cambria Math"/>
                              </w:rPr>
                              <m:t>-</m:t>
                            </m:r>
                            <m:r>
                              <w:rPr>
                                <w:rFonts w:ascii="Cambria Math"/>
                              </w:rPr>
                              <m:t xml:space="preserve"> </m:t>
                            </m:r>
                            <m:f>
                              <m:fPr>
                                <m:ctrlPr>
                                  <w:rPr>
                                    <w:rFonts w:ascii="Cambria Math" w:hAnsi="Cambria Math"/>
                                    <w:i/>
                                  </w:rPr>
                                </m:ctrlPr>
                              </m:fPr>
                              <m:num>
                                <m:r>
                                  <w:rPr>
                                    <w:rFonts w:ascii="Cambria Math"/>
                                  </w:rPr>
                                  <m:t xml:space="preserve">1 </m:t>
                                </m:r>
                              </m:num>
                              <m:den>
                                <m:r>
                                  <w:rPr>
                                    <w:rFonts w:ascii="Cambria Math"/>
                                  </w:rPr>
                                  <m:t>2</m:t>
                                </m:r>
                              </m:den>
                            </m:f>
                            <m:r>
                              <w:rPr>
                                <w:rFonts w:ascii="Cambria Math"/>
                              </w:rPr>
                              <m:t xml:space="preserve"> </m:t>
                            </m:r>
                            <m:sSup>
                              <m:sSupPr>
                                <m:ctrlPr>
                                  <w:rPr>
                                    <w:rFonts w:ascii="Cambria Math" w:hAnsi="Cambria Math"/>
                                    <w:i/>
                                  </w:rPr>
                                </m:ctrlPr>
                              </m:sSupPr>
                              <m:e>
                                <m:d>
                                  <m:dPr>
                                    <m:ctrlPr>
                                      <w:rPr>
                                        <w:rFonts w:ascii="Cambria Math" w:hAnsi="Cambria Math"/>
                                        <w:i/>
                                      </w:rPr>
                                    </m:ctrlPr>
                                  </m:dPr>
                                  <m:e>
                                    <m:f>
                                      <m:fPr>
                                        <m:ctrlPr>
                                          <w:rPr>
                                            <w:rFonts w:ascii="Cambria Math" w:hAnsi="Cambria Math"/>
                                            <w:i/>
                                          </w:rPr>
                                        </m:ctrlPr>
                                      </m:fPr>
                                      <m:num>
                                        <m:r>
                                          <w:rPr>
                                            <w:rFonts w:ascii="Cambria Math" w:hAnsi="Cambria Math"/>
                                          </w:rPr>
                                          <m:t>h</m:t>
                                        </m:r>
                                      </m:num>
                                      <m:den>
                                        <m:r>
                                          <w:rPr>
                                            <w:rFonts w:ascii="Cambria Math" w:hAnsi="Cambria Math"/>
                                          </w:rPr>
                                          <m:t>a</m:t>
                                        </m:r>
                                      </m:den>
                                    </m:f>
                                  </m:e>
                                </m:d>
                              </m:e>
                              <m:sup>
                                <m:r>
                                  <w:rPr>
                                    <w:rFonts w:ascii="Cambria Math"/>
                                  </w:rPr>
                                  <m:t>3</m:t>
                                </m:r>
                              </m:sup>
                            </m:sSup>
                            <m:r>
                              <w:rPr>
                                <w:rFonts w:ascii="Cambria Math"/>
                              </w:rPr>
                              <m:t xml:space="preserve"> </m:t>
                            </m:r>
                          </m:e>
                        </m:d>
                        <m:r>
                          <w:rPr>
                            <w:rFonts w:ascii="Cambria Math"/>
                          </w:rPr>
                          <m:t xml:space="preserve"> </m:t>
                        </m:r>
                        <m:r>
                          <w:rPr>
                            <w:rFonts w:ascii="Cambria Math" w:hAnsi="Cambria Math"/>
                          </w:rPr>
                          <m:t>h</m:t>
                        </m:r>
                        <m:r>
                          <w:rPr>
                            <w:rFonts w:ascii="Cambria Math"/>
                          </w:rPr>
                          <m:t xml:space="preserve"> </m:t>
                        </m:r>
                        <m:r>
                          <w:rPr>
                            <w:rFonts w:ascii="Cambria Math"/>
                          </w:rPr>
                          <m:t>≤</m:t>
                        </m:r>
                        <m:r>
                          <w:rPr>
                            <w:rFonts w:ascii="Cambria Math" w:hAnsi="Cambria Math"/>
                          </w:rPr>
                          <m:t>a</m:t>
                        </m:r>
                      </m:e>
                      <m:e>
                        <m:sSub>
                          <m:sSubPr>
                            <m:ctrlPr>
                              <w:rPr>
                                <w:rFonts w:ascii="Cambria Math" w:hAnsi="Cambria Math"/>
                                <w:i/>
                              </w:rPr>
                            </m:ctrlPr>
                          </m:sSubPr>
                          <m:e>
                            <m:r>
                              <w:rPr>
                                <w:rFonts w:ascii="Cambria Math" w:hAnsi="Cambria Math"/>
                              </w:rPr>
                              <m:t>c</m:t>
                            </m:r>
                          </m:e>
                          <m:sub>
                            <m:r>
                              <w:rPr>
                                <w:rFonts w:ascii="Cambria Math" w:hAnsi="Cambria Math"/>
                              </w:rPr>
                              <m:t>o</m:t>
                            </m:r>
                          </m:sub>
                        </m:sSub>
                        <m:r>
                          <w:rPr>
                            <w:rFonts w:ascii="Cambria Math" w:hAnsi="Cambria Math"/>
                          </w:rPr>
                          <m:t xml:space="preserve">+ </m:t>
                        </m:r>
                        <m:sSub>
                          <m:sSubPr>
                            <m:ctrlPr>
                              <w:rPr>
                                <w:rFonts w:ascii="Cambria Math" w:hAnsi="Cambria Math"/>
                                <w:i/>
                              </w:rPr>
                            </m:ctrlPr>
                          </m:sSubPr>
                          <m:e>
                            <m:r>
                              <w:rPr>
                                <w:rFonts w:ascii="Cambria Math" w:hAnsi="Cambria Math"/>
                              </w:rPr>
                              <m:t>c</m:t>
                            </m:r>
                          </m:e>
                          <m:sub>
                            <m:r>
                              <w:rPr>
                                <w:rFonts w:ascii="Cambria Math" w:hAnsi="Cambria Math"/>
                              </w:rPr>
                              <m:t>1</m:t>
                            </m:r>
                          </m:sub>
                        </m:sSub>
                        <m:r>
                          <w:rPr>
                            <w:rFonts w:ascii="Cambria Math"/>
                          </w:rPr>
                          <m:t xml:space="preserve">       </m:t>
                        </m:r>
                        <m:r>
                          <w:rPr>
                            <w:rFonts w:ascii="Cambria Math" w:hAnsi="Cambria Math"/>
                          </w:rPr>
                          <m:t>h</m:t>
                        </m:r>
                        <m:r>
                          <w:rPr>
                            <w:rFonts w:ascii="Cambria Math"/>
                          </w:rPr>
                          <m:t>&gt;</m:t>
                        </m:r>
                        <m:r>
                          <w:rPr>
                            <w:rFonts w:ascii="Cambria Math" w:hAnsi="Cambria Math"/>
                          </w:rPr>
                          <m:t>a</m:t>
                        </m:r>
                        <m:r>
                          <w:rPr>
                            <w:rFonts w:ascii="Cambria Math"/>
                          </w:rPr>
                          <m:t xml:space="preserve">                                   </m:t>
                        </m:r>
                      </m:e>
                    </m:eqArr>
                  </m:e>
                </m:d>
              </m:oMath>
            </m:oMathPara>
          </w:p>
        </w:tc>
        <w:tc>
          <w:tcPr>
            <w:tcW w:w="828" w:type="dxa"/>
          </w:tcPr>
          <w:p w:rsidR="002F3B63" w:rsidRDefault="002F3B63" w:rsidP="002F3B63">
            <w:pPr>
              <w:spacing w:line="360" w:lineRule="auto"/>
              <w:rPr>
                <w:iCs/>
              </w:rPr>
            </w:pPr>
          </w:p>
          <w:p w:rsidR="002F3B63" w:rsidRPr="00826222" w:rsidRDefault="002F3B63" w:rsidP="002F3B63">
            <w:pPr>
              <w:spacing w:line="360" w:lineRule="auto"/>
              <w:rPr>
                <w:iCs/>
              </w:rPr>
            </w:pPr>
            <w:r w:rsidRPr="00826222">
              <w:rPr>
                <w:iCs/>
              </w:rPr>
              <w:t>(</w:t>
            </w:r>
            <w:fldSimple w:instr=" SEQ Eq \* MERGEFORMAT ">
              <w:r w:rsidR="00885C9E" w:rsidRPr="00885C9E">
                <w:rPr>
                  <w:iCs/>
                  <w:noProof/>
                </w:rPr>
                <w:t>12</w:t>
              </w:r>
            </w:fldSimple>
            <w:r w:rsidRPr="00826222">
              <w:rPr>
                <w:iCs/>
              </w:rPr>
              <w:t>)</w:t>
            </w:r>
          </w:p>
        </w:tc>
      </w:tr>
      <w:tr w:rsidR="002F3B63" w:rsidTr="002F3B63">
        <w:tc>
          <w:tcPr>
            <w:tcW w:w="918" w:type="dxa"/>
          </w:tcPr>
          <w:p w:rsidR="002F3B63" w:rsidRPr="00826222" w:rsidRDefault="002F3B63" w:rsidP="002F3B63">
            <w:pPr>
              <w:spacing w:line="360" w:lineRule="auto"/>
              <w:rPr>
                <w:iCs/>
              </w:rPr>
            </w:pPr>
          </w:p>
        </w:tc>
        <w:tc>
          <w:tcPr>
            <w:tcW w:w="7830" w:type="dxa"/>
          </w:tcPr>
          <w:p w:rsidR="002F3B63" w:rsidRPr="00826222" w:rsidRDefault="002F3B63" w:rsidP="002F3B63">
            <w:pPr>
              <w:spacing w:line="360" w:lineRule="auto"/>
              <w:rPr>
                <w:iCs/>
              </w:rPr>
            </w:pPr>
            <m:oMathPara>
              <m:oMath>
                <m:r>
                  <m:rPr>
                    <m:sty m:val="p"/>
                  </m:rPr>
                  <w:rPr>
                    <w:rFonts w:ascii="Cambria Math" w:hAnsi="Cambria Math"/>
                  </w:rPr>
                  <m:t xml:space="preserve">Exponential: </m:t>
                </m:r>
                <m:r>
                  <w:rPr>
                    <w:rFonts w:ascii="Cambria Math" w:hAnsi="Cambria Math"/>
                  </w:rPr>
                  <m:t>γ</m:t>
                </m:r>
                <m:d>
                  <m:dPr>
                    <m:ctrlPr>
                      <w:rPr>
                        <w:rFonts w:ascii="Cambria Math" w:hAnsi="Cambria Math"/>
                        <w:i/>
                      </w:rPr>
                    </m:ctrlPr>
                  </m:dPr>
                  <m:e>
                    <m:r>
                      <w:rPr>
                        <w:rFonts w:ascii="Cambria Math" w:hAnsi="Cambria Math"/>
                      </w:rPr>
                      <m:t>h</m:t>
                    </m:r>
                  </m:e>
                </m:d>
                <m:r>
                  <w:rPr>
                    <w:rFonts w:ascii="Cambria Math"/>
                  </w:rPr>
                  <m:t>=</m:t>
                </m:r>
                <m:sSub>
                  <m:sSubPr>
                    <m:ctrlPr>
                      <w:rPr>
                        <w:rFonts w:ascii="Cambria Math" w:hAnsi="Cambria Math"/>
                        <w:i/>
                      </w:rPr>
                    </m:ctrlPr>
                  </m:sSubPr>
                  <m:e>
                    <m:r>
                      <w:rPr>
                        <w:rFonts w:ascii="Cambria Math" w:hAnsi="Cambria Math"/>
                      </w:rPr>
                      <m:t>c</m:t>
                    </m:r>
                  </m:e>
                  <m:sub>
                    <m:r>
                      <w:rPr>
                        <w:rFonts w:ascii="Cambria Math" w:hAnsi="Cambria Math"/>
                      </w:rPr>
                      <m:t>o</m:t>
                    </m:r>
                  </m:sub>
                </m:sSub>
                <m:r>
                  <w:rPr>
                    <w:rFonts w:ascii="Cambria Math"/>
                  </w:rPr>
                  <m:t xml:space="preserve">+ </m:t>
                </m:r>
                <m:sSub>
                  <m:sSubPr>
                    <m:ctrlPr>
                      <w:rPr>
                        <w:rFonts w:ascii="Cambria Math" w:hAnsi="Cambria Math"/>
                        <w:i/>
                      </w:rPr>
                    </m:ctrlPr>
                  </m:sSubPr>
                  <m:e>
                    <m:r>
                      <w:rPr>
                        <w:rFonts w:ascii="Cambria Math" w:hAnsi="Cambria Math"/>
                      </w:rPr>
                      <m:t>c</m:t>
                    </m:r>
                  </m:e>
                  <m:sub>
                    <m:r>
                      <w:rPr>
                        <w:rFonts w:ascii="Cambria Math" w:hAnsi="Cambria Math"/>
                      </w:rPr>
                      <m:t>1</m:t>
                    </m:r>
                  </m:sub>
                </m:sSub>
                <m:r>
                  <w:rPr>
                    <w:rFonts w:ascii="Cambria Math" w:hAnsi="Cambria Math"/>
                  </w:rPr>
                  <m:t>*</m:t>
                </m:r>
                <m:r>
                  <w:rPr>
                    <w:rFonts w:ascii="Cambria Math"/>
                  </w:rPr>
                  <m:t xml:space="preserve"> </m:t>
                </m:r>
                <m:d>
                  <m:dPr>
                    <m:ctrlPr>
                      <w:rPr>
                        <w:rFonts w:ascii="Cambria Math" w:hAnsi="Cambria Math"/>
                        <w:i/>
                      </w:rPr>
                    </m:ctrlPr>
                  </m:dPr>
                  <m:e>
                    <m:r>
                      <w:rPr>
                        <w:rFonts w:ascii="Cambria Math"/>
                      </w:rPr>
                      <m:t>1</m:t>
                    </m:r>
                    <m:r>
                      <w:rPr>
                        <w:rFonts w:ascii="Cambria Math"/>
                      </w:rPr>
                      <m:t>-</m:t>
                    </m:r>
                    <m:func>
                      <m:funcPr>
                        <m:ctrlPr>
                          <w:rPr>
                            <w:rFonts w:ascii="Cambria Math" w:hAnsi="Cambria Math"/>
                            <w:i/>
                          </w:rPr>
                        </m:ctrlPr>
                      </m:funcPr>
                      <m:fName>
                        <m:r>
                          <m:rPr>
                            <m:sty m:val="p"/>
                          </m:rPr>
                          <w:rPr>
                            <w:rFonts w:ascii="Cambria Math"/>
                          </w:rPr>
                          <m:t>exp</m:t>
                        </m:r>
                      </m:fName>
                      <m:e>
                        <m:d>
                          <m:dPr>
                            <m:ctrlPr>
                              <w:rPr>
                                <w:rFonts w:ascii="Cambria Math" w:hAnsi="Cambria Math"/>
                                <w:i/>
                              </w:rPr>
                            </m:ctrlPr>
                          </m:dPr>
                          <m:e>
                            <m:f>
                              <m:fPr>
                                <m:ctrlPr>
                                  <w:rPr>
                                    <w:rFonts w:ascii="Cambria Math" w:hAnsi="Cambria Math"/>
                                    <w:i/>
                                  </w:rPr>
                                </m:ctrlPr>
                              </m:fPr>
                              <m:num>
                                <m:r>
                                  <w:rPr>
                                    <w:rFonts w:ascii="Cambria Math" w:hAnsi="Cambria Math"/>
                                  </w:rPr>
                                  <m:t>-</m:t>
                                </m:r>
                                <m:r>
                                  <w:rPr>
                                    <w:rFonts w:ascii="Cambria Math"/>
                                  </w:rPr>
                                  <m:t>3</m:t>
                                </m:r>
                                <m:r>
                                  <w:rPr>
                                    <w:rFonts w:ascii="Cambria Math" w:hAnsi="Cambria Math"/>
                                  </w:rPr>
                                  <m:t>h</m:t>
                                </m:r>
                              </m:num>
                              <m:den>
                                <m:r>
                                  <w:rPr>
                                    <w:rFonts w:ascii="Cambria Math" w:hAnsi="Cambria Math"/>
                                  </w:rPr>
                                  <m:t>a</m:t>
                                </m:r>
                              </m:den>
                            </m:f>
                          </m:e>
                        </m:d>
                      </m:e>
                    </m:func>
                  </m:e>
                </m:d>
                <m:r>
                  <m:rPr>
                    <m:sty m:val="p"/>
                  </m:rPr>
                  <w:rPr>
                    <w:rFonts w:ascii="Cambria Math" w:hAnsi="Cambria Math"/>
                  </w:rPr>
                  <m:t xml:space="preserve"> </m:t>
                </m:r>
              </m:oMath>
            </m:oMathPara>
          </w:p>
        </w:tc>
        <w:tc>
          <w:tcPr>
            <w:tcW w:w="828" w:type="dxa"/>
          </w:tcPr>
          <w:p w:rsidR="002F3B63" w:rsidRPr="00826222" w:rsidRDefault="002F3B63" w:rsidP="002F3B63">
            <w:pPr>
              <w:spacing w:line="360" w:lineRule="auto"/>
              <w:rPr>
                <w:iCs/>
              </w:rPr>
            </w:pPr>
            <w:r w:rsidRPr="00826222">
              <w:rPr>
                <w:iCs/>
              </w:rPr>
              <w:t>(</w:t>
            </w:r>
            <w:fldSimple w:instr=" SEQ Eq \* MERGEFORMAT ">
              <w:r w:rsidR="00885C9E" w:rsidRPr="00885C9E">
                <w:rPr>
                  <w:iCs/>
                  <w:noProof/>
                </w:rPr>
                <w:t>13</w:t>
              </w:r>
            </w:fldSimple>
            <w:r w:rsidRPr="00826222">
              <w:rPr>
                <w:iCs/>
              </w:rPr>
              <w:t>)</w:t>
            </w:r>
          </w:p>
        </w:tc>
      </w:tr>
      <w:tr w:rsidR="002F3B63" w:rsidTr="002F3B63">
        <w:tc>
          <w:tcPr>
            <w:tcW w:w="918" w:type="dxa"/>
          </w:tcPr>
          <w:p w:rsidR="002F3B63" w:rsidRPr="00826222" w:rsidRDefault="002F3B63" w:rsidP="002F3B63">
            <w:pPr>
              <w:spacing w:line="360" w:lineRule="auto"/>
              <w:rPr>
                <w:iCs/>
              </w:rPr>
            </w:pPr>
          </w:p>
        </w:tc>
        <w:tc>
          <w:tcPr>
            <w:tcW w:w="7830" w:type="dxa"/>
          </w:tcPr>
          <w:p w:rsidR="002F3B63" w:rsidRPr="00826222" w:rsidRDefault="002F3B63" w:rsidP="002F3B63">
            <w:pPr>
              <w:spacing w:line="360" w:lineRule="auto"/>
              <w:rPr>
                <w:iCs/>
              </w:rPr>
            </w:pPr>
            <m:oMathPara>
              <m:oMath>
                <m:r>
                  <m:rPr>
                    <m:sty m:val="p"/>
                  </m:rPr>
                  <w:rPr>
                    <w:rFonts w:ascii="Cambria Math" w:hAnsi="Cambria Math"/>
                  </w:rPr>
                  <m:t xml:space="preserve">Gaussian: </m:t>
                </m:r>
                <m:r>
                  <w:rPr>
                    <w:rFonts w:ascii="Cambria Math" w:hAnsi="Cambria Math"/>
                  </w:rPr>
                  <m:t>γ</m:t>
                </m:r>
                <m:d>
                  <m:dPr>
                    <m:ctrlPr>
                      <w:rPr>
                        <w:rFonts w:ascii="Cambria Math" w:hAnsi="Cambria Math"/>
                        <w:i/>
                      </w:rPr>
                    </m:ctrlPr>
                  </m:dPr>
                  <m:e>
                    <m:r>
                      <w:rPr>
                        <w:rFonts w:ascii="Cambria Math" w:hAnsi="Cambria Math"/>
                      </w:rPr>
                      <m:t>h</m:t>
                    </m:r>
                  </m:e>
                </m:d>
                <m:r>
                  <w:rPr>
                    <w:rFonts w:ascii="Cambria Math"/>
                  </w:rPr>
                  <m:t xml:space="preserve">= </m:t>
                </m:r>
                <m:sSub>
                  <m:sSubPr>
                    <m:ctrlPr>
                      <w:rPr>
                        <w:rFonts w:ascii="Cambria Math" w:hAnsi="Cambria Math"/>
                        <w:i/>
                      </w:rPr>
                    </m:ctrlPr>
                  </m:sSubPr>
                  <m:e>
                    <m:r>
                      <w:rPr>
                        <w:rFonts w:ascii="Cambria Math" w:hAnsi="Cambria Math"/>
                      </w:rPr>
                      <m:t>c</m:t>
                    </m:r>
                  </m:e>
                  <m:sub>
                    <m:r>
                      <w:rPr>
                        <w:rFonts w:ascii="Cambria Math" w:hAnsi="Cambria Math"/>
                      </w:rPr>
                      <m:t>o</m:t>
                    </m:r>
                  </m:sub>
                </m:sSub>
                <m:r>
                  <w:rPr>
                    <w:rFonts w:ascii="Cambria Math" w:hAnsi="Cambria Math"/>
                  </w:rPr>
                  <m:t xml:space="preserve">+ </m:t>
                </m:r>
                <m:sSub>
                  <m:sSubPr>
                    <m:ctrlPr>
                      <w:rPr>
                        <w:rFonts w:ascii="Cambria Math" w:hAnsi="Cambria Math"/>
                        <w:i/>
                      </w:rPr>
                    </m:ctrlPr>
                  </m:sSubPr>
                  <m:e>
                    <m:r>
                      <w:rPr>
                        <w:rFonts w:ascii="Cambria Math" w:hAnsi="Cambria Math"/>
                      </w:rPr>
                      <m:t>c</m:t>
                    </m:r>
                  </m:e>
                  <m:sub>
                    <m:r>
                      <w:rPr>
                        <w:rFonts w:ascii="Cambria Math" w:hAnsi="Cambria Math"/>
                      </w:rPr>
                      <m:t>1</m:t>
                    </m:r>
                  </m:sub>
                </m:sSub>
                <m:r>
                  <w:rPr>
                    <w:rFonts w:ascii="Cambria Math" w:hAnsi="Cambria Math"/>
                  </w:rPr>
                  <m:t>*</m:t>
                </m:r>
                <m:r>
                  <w:rPr>
                    <w:rFonts w:ascii="Cambria Math"/>
                  </w:rPr>
                  <m:t xml:space="preserve"> </m:t>
                </m:r>
                <m:d>
                  <m:dPr>
                    <m:ctrlPr>
                      <w:rPr>
                        <w:rFonts w:ascii="Cambria Math" w:hAnsi="Cambria Math"/>
                        <w:i/>
                      </w:rPr>
                    </m:ctrlPr>
                  </m:dPr>
                  <m:e>
                    <m:r>
                      <w:rPr>
                        <w:rFonts w:ascii="Cambria Math"/>
                      </w:rPr>
                      <m:t>1</m:t>
                    </m:r>
                    <m:r>
                      <w:rPr>
                        <w:rFonts w:ascii="Cambria Math"/>
                      </w:rPr>
                      <m:t>-</m:t>
                    </m:r>
                    <m:func>
                      <m:funcPr>
                        <m:ctrlPr>
                          <w:rPr>
                            <w:rFonts w:ascii="Cambria Math" w:hAnsi="Cambria Math"/>
                            <w:i/>
                          </w:rPr>
                        </m:ctrlPr>
                      </m:funcPr>
                      <m:fName>
                        <m:r>
                          <m:rPr>
                            <m:sty m:val="p"/>
                          </m:rPr>
                          <w:rPr>
                            <w:rFonts w:ascii="Cambria Math"/>
                          </w:rPr>
                          <m:t>exp</m:t>
                        </m:r>
                      </m:fName>
                      <m:e>
                        <m:d>
                          <m:dPr>
                            <m:ctrlPr>
                              <w:rPr>
                                <w:rFonts w:ascii="Cambria Math" w:hAnsi="Cambria Math"/>
                                <w:i/>
                              </w:rPr>
                            </m:ctrlPr>
                          </m:dPr>
                          <m:e>
                            <m:f>
                              <m:fPr>
                                <m:ctrlPr>
                                  <w:rPr>
                                    <w:rFonts w:ascii="Cambria Math" w:hAnsi="Cambria Math"/>
                                    <w:i/>
                                  </w:rPr>
                                </m:ctrlPr>
                              </m:fPr>
                              <m:num>
                                <m:sSup>
                                  <m:sSupPr>
                                    <m:ctrlPr>
                                      <w:rPr>
                                        <w:rFonts w:ascii="Cambria Math" w:hAnsi="Cambria Math"/>
                                        <w:i/>
                                      </w:rPr>
                                    </m:ctrlPr>
                                  </m:sSupPr>
                                  <m:e>
                                    <m:r>
                                      <w:rPr>
                                        <w:rFonts w:ascii="Cambria Math" w:hAnsi="Cambria Math"/>
                                      </w:rPr>
                                      <m:t>-</m:t>
                                    </m:r>
                                    <m:r>
                                      <w:rPr>
                                        <w:rFonts w:ascii="Cambria Math"/>
                                      </w:rPr>
                                      <m:t>3</m:t>
                                    </m:r>
                                    <m:r>
                                      <w:rPr>
                                        <w:rFonts w:ascii="Cambria Math" w:hAnsi="Cambria Math"/>
                                      </w:rPr>
                                      <m:t>h</m:t>
                                    </m:r>
                                  </m:e>
                                  <m:sup>
                                    <m:r>
                                      <w:rPr>
                                        <w:rFonts w:ascii="Cambria Math"/>
                                      </w:rPr>
                                      <m:t>2</m:t>
                                    </m:r>
                                  </m:sup>
                                </m:sSup>
                              </m:num>
                              <m:den>
                                <m:sSup>
                                  <m:sSupPr>
                                    <m:ctrlPr>
                                      <w:rPr>
                                        <w:rFonts w:ascii="Cambria Math" w:hAnsi="Cambria Math"/>
                                        <w:i/>
                                      </w:rPr>
                                    </m:ctrlPr>
                                  </m:sSupPr>
                                  <m:e>
                                    <m:r>
                                      <w:rPr>
                                        <w:rFonts w:ascii="Cambria Math" w:hAnsi="Cambria Math"/>
                                      </w:rPr>
                                      <m:t>a</m:t>
                                    </m:r>
                                  </m:e>
                                  <m:sup>
                                    <m:r>
                                      <w:rPr>
                                        <w:rFonts w:ascii="Cambria Math"/>
                                      </w:rPr>
                                      <m:t>2</m:t>
                                    </m:r>
                                  </m:sup>
                                </m:sSup>
                              </m:den>
                            </m:f>
                          </m:e>
                        </m:d>
                      </m:e>
                    </m:func>
                  </m:e>
                </m:d>
              </m:oMath>
            </m:oMathPara>
          </w:p>
        </w:tc>
        <w:tc>
          <w:tcPr>
            <w:tcW w:w="828" w:type="dxa"/>
          </w:tcPr>
          <w:p w:rsidR="002F3B63" w:rsidRPr="00826222" w:rsidRDefault="002F3B63" w:rsidP="002F3B63">
            <w:pPr>
              <w:spacing w:line="360" w:lineRule="auto"/>
              <w:rPr>
                <w:iCs/>
              </w:rPr>
            </w:pPr>
            <w:r w:rsidRPr="00826222">
              <w:rPr>
                <w:iCs/>
              </w:rPr>
              <w:t>(</w:t>
            </w:r>
            <w:fldSimple w:instr=" SEQ Eq \* MERGEFORMAT ">
              <w:r w:rsidR="00885C9E" w:rsidRPr="00885C9E">
                <w:rPr>
                  <w:iCs/>
                  <w:noProof/>
                </w:rPr>
                <w:t>14</w:t>
              </w:r>
            </w:fldSimple>
            <w:r w:rsidRPr="00826222">
              <w:rPr>
                <w:iCs/>
              </w:rPr>
              <w:t>)</w:t>
            </w:r>
          </w:p>
        </w:tc>
      </w:tr>
    </w:tbl>
    <w:p w:rsidR="002F3B63" w:rsidRDefault="002F3B63" w:rsidP="002F3B63">
      <w:pPr>
        <w:spacing w:after="0" w:line="480" w:lineRule="auto"/>
        <w:rPr>
          <w:rFonts w:cs="Times New Roman"/>
          <w:szCs w:val="24"/>
        </w:rPr>
      </w:pPr>
      <w:r>
        <w:t xml:space="preserve">where </w:t>
      </w:r>
      <m:oMath>
        <m:r>
          <w:rPr>
            <w:rFonts w:ascii="Cambria Math" w:hAnsi="Cambria Math"/>
          </w:rPr>
          <m:t>γ</m:t>
        </m:r>
        <m:r>
          <w:rPr>
            <w:rFonts w:ascii="Cambria Math"/>
          </w:rPr>
          <m:t>(</m:t>
        </m:r>
        <m:r>
          <w:rPr>
            <w:rFonts w:ascii="Cambria Math" w:hAnsi="Cambria Math"/>
          </w:rPr>
          <m:t>h</m:t>
        </m:r>
        <m:r>
          <w:rPr>
            <w:rFonts w:ascii="Cambria Math"/>
          </w:rPr>
          <m:t>)</m:t>
        </m:r>
      </m:oMath>
      <w:r>
        <w:t xml:space="preserve"> </w:t>
      </w:r>
      <w:r w:rsidRPr="00810A62">
        <w:t>represent</w:t>
      </w:r>
      <w:r>
        <w:t>s</w:t>
      </w:r>
      <w:r w:rsidRPr="00810A62">
        <w:t xml:space="preserve"> the theoretical semivariogram dependent on the lag distance</w:t>
      </w:r>
      <m:oMath>
        <m:r>
          <w:rPr>
            <w:rFonts w:ascii="Cambria Math" w:hAnsi="Cambria Math"/>
          </w:rPr>
          <m:t xml:space="preserve"> h</m:t>
        </m:r>
      </m:oMath>
      <w:r w:rsidRPr="00810A62">
        <w:t xml:space="preserve">, </w:t>
      </w:r>
      <w:r w:rsidRPr="00810A62">
        <w:rPr>
          <w:i/>
          <w:iCs/>
        </w:rPr>
        <w:t xml:space="preserve">a </w:t>
      </w:r>
      <w:r>
        <w:t xml:space="preserve">represents the range or decorrelation length, </w:t>
      </w:r>
      <m:oMath>
        <m:sSub>
          <m:sSubPr>
            <m:ctrlPr>
              <w:rPr>
                <w:rFonts w:ascii="Cambria Math" w:hAnsi="Cambria Math"/>
                <w:i/>
                <w:sz w:val="22"/>
              </w:rPr>
            </m:ctrlPr>
          </m:sSubPr>
          <m:e>
            <m:r>
              <w:rPr>
                <w:rFonts w:ascii="Cambria Math" w:hAnsi="Cambria Math"/>
              </w:rPr>
              <m:t>c</m:t>
            </m:r>
          </m:e>
          <m:sub>
            <m:r>
              <w:rPr>
                <w:rFonts w:ascii="Cambria Math" w:hAnsi="Cambria Math"/>
              </w:rPr>
              <m:t>1</m:t>
            </m:r>
          </m:sub>
        </m:sSub>
      </m:oMath>
      <w:r>
        <w:rPr>
          <w:rFonts w:eastAsiaTheme="minorEastAsia"/>
          <w:sz w:val="22"/>
        </w:rPr>
        <w:t xml:space="preserve"> </w:t>
      </w:r>
      <w:r w:rsidRPr="00C1479B">
        <w:rPr>
          <w:iCs/>
        </w:rPr>
        <w:t xml:space="preserve">and </w:t>
      </w:r>
      <w:r w:rsidRPr="00810A62">
        <w:rPr>
          <w:i/>
          <w:iCs/>
        </w:rPr>
        <w:t xml:space="preserve"> </w:t>
      </w:r>
      <m:oMath>
        <m:sSub>
          <m:sSubPr>
            <m:ctrlPr>
              <w:rPr>
                <w:rFonts w:ascii="Cambria Math" w:hAnsi="Cambria Math"/>
                <w:i/>
                <w:sz w:val="22"/>
              </w:rPr>
            </m:ctrlPr>
          </m:sSubPr>
          <m:e>
            <m:r>
              <w:rPr>
                <w:rFonts w:ascii="Cambria Math" w:hAnsi="Cambria Math"/>
              </w:rPr>
              <m:t>c</m:t>
            </m:r>
          </m:e>
          <m:sub>
            <m:r>
              <w:rPr>
                <w:rFonts w:ascii="Cambria Math" w:hAnsi="Cambria Math"/>
              </w:rPr>
              <m:t>o</m:t>
            </m:r>
          </m:sub>
        </m:sSub>
      </m:oMath>
      <w:r w:rsidRPr="00810A62">
        <w:t xml:space="preserve"> represent</w:t>
      </w:r>
      <w:r>
        <w:t xml:space="preserve"> the</w:t>
      </w:r>
      <w:r w:rsidRPr="00810A62">
        <w:t xml:space="preserve"> </w:t>
      </w:r>
      <w:r>
        <w:t xml:space="preserve">partial </w:t>
      </w:r>
      <w:r w:rsidRPr="00810A62">
        <w:t>sill</w:t>
      </w:r>
      <w:r>
        <w:t xml:space="preserve"> and nugget, respectively.</w:t>
      </w:r>
      <w:r w:rsidRPr="007E553A">
        <w:rPr>
          <w:rFonts w:cs="Times New Roman"/>
          <w:szCs w:val="24"/>
        </w:rPr>
        <w:t xml:space="preserve"> </w:t>
      </w:r>
      <w:r>
        <w:rPr>
          <w:rFonts w:cs="Times New Roman"/>
          <w:szCs w:val="24"/>
        </w:rPr>
        <w:t>T</w:t>
      </w:r>
      <w:r w:rsidRPr="00523447">
        <w:rPr>
          <w:rFonts w:cs="Times New Roman"/>
          <w:szCs w:val="24"/>
        </w:rPr>
        <w:t xml:space="preserve">he </w:t>
      </w:r>
      <w:r>
        <w:rPr>
          <w:rFonts w:cs="Times New Roman"/>
          <w:szCs w:val="24"/>
        </w:rPr>
        <w:t xml:space="preserve">gstat package in </w:t>
      </w:r>
      <w:r w:rsidRPr="00523447">
        <w:rPr>
          <w:rFonts w:cs="Times New Roman"/>
          <w:szCs w:val="24"/>
        </w:rPr>
        <w:t xml:space="preserve">R </w:t>
      </w:r>
      <w:r w:rsidR="00177749" w:rsidRPr="00523447">
        <w:rPr>
          <w:rFonts w:cs="Times New Roman"/>
          <w:szCs w:val="24"/>
        </w:rPr>
        <w:fldChar w:fldCharType="begin"/>
      </w:r>
      <w:r w:rsidRPr="00523447">
        <w:rPr>
          <w:rFonts w:cs="Times New Roman"/>
          <w:szCs w:val="24"/>
        </w:rPr>
        <w:instrText xml:space="preserve"> ADDIN ZOTERO_ITEM CSL_CITATION {"citationID":"2l2trlbg98","properties":{"formattedCitation":"(Pebesma, 2004)","plainCitation":"(Pebesma, 2004)"},"citationItems":[{"id":223,"uris":["http://zotero.org/users/1507390/items/XAHXIGPN"],"uri":["http://zotero.org/users/1507390/items/XAHXIGPN"],"itemData":{"id":223,"type":"article-journal","title":"Multivariable Geostatistics in S: The Gstat Package","container-title":"Computers &amp; Geosciences","page":"683-691","volume":"30","issue":"7","source":"ScienceDirect","abstract":"This paper discusses advantages and shortcomings of the S environment for multivariable geostatistics, in particular when extended with the gstat package, an extension package for the S environments (R, S-Plus). The gstat S package provides multivariable geostatistical modelling, prediction and simulation, as well as several visualisation functions. In particular, it makes the calculation, simultaneous fitting, and visualisation of a large number of direct and cross (residual) variograms very easy. Gstat was started 10 years ago and was released under the GPL in 1996; gstat.org was started in 1998. Gstat was not initially written for teaching purposes, but for research purposes, emphasising flexibility, scalability and portability. It can deal with a large number of practical issues in geostatistics, including change of support (block kriging), simple/ordinary/universal (co)kriging, fast local neighbourhood selection, flexible trend modelling, variables with different sampling configurations, and efficient simulation of large spatially correlated random fields, indicator kriging and simulation, and (directional) variogram and cross variogram modelling. The formula/models interface of the S language is used to define multivariable geostatistical models. This paper introduces the gstat S package, and discusses a number of design and implementation issues. It also draws attention to a number of papers on integration of spatial statistics software, GIS and the S environment that were presented on the spatial statistics workshop and sessions during the conference Distributed Statistical Computing 2003.","DOI":"10.1016/j.cageo.2004.03.012","ISSN":"0098-3004","shortTitle":"Multivariable geostatistics in S","journalAbbreviation":"Computers &amp; Geosciences","author":[{"family":"Pebesma","given":"Edzer J"}],"issued":{"date-parts":[["2004",8]]},"accessed":{"date-parts":[["2014",4,2]]}}}],"schema":"https://github.com/citation-style-language/schema/raw/master/csl-citation.json"} </w:instrText>
      </w:r>
      <w:r w:rsidR="00177749" w:rsidRPr="00523447">
        <w:rPr>
          <w:rFonts w:cs="Times New Roman"/>
          <w:szCs w:val="24"/>
        </w:rPr>
        <w:fldChar w:fldCharType="separate"/>
      </w:r>
      <w:r w:rsidRPr="00523447">
        <w:rPr>
          <w:rFonts w:cs="Times New Roman"/>
          <w:szCs w:val="24"/>
        </w:rPr>
        <w:t>(Pebesma, 2004)</w:t>
      </w:r>
      <w:r w:rsidR="00177749" w:rsidRPr="00523447">
        <w:rPr>
          <w:rFonts w:cs="Times New Roman"/>
          <w:szCs w:val="24"/>
        </w:rPr>
        <w:fldChar w:fldCharType="end"/>
      </w:r>
      <w:r>
        <w:rPr>
          <w:rFonts w:cs="Times New Roman"/>
          <w:szCs w:val="24"/>
        </w:rPr>
        <w:t xml:space="preserve"> uses non-linear regression in </w:t>
      </w:r>
      <w:r>
        <w:rPr>
          <w:rFonts w:cs="Times New Roman"/>
          <w:szCs w:val="24"/>
        </w:rPr>
        <w:lastRenderedPageBreak/>
        <w:t>OLS to fit the theoretical model to the empirical semivariogram using an iterative process where the range, partial sill, and nugget are determined.</w:t>
      </w:r>
      <w:r w:rsidRPr="007E553A">
        <w:rPr>
          <w:rFonts w:cs="Times New Roman"/>
          <w:szCs w:val="24"/>
        </w:rPr>
        <w:t xml:space="preserve"> </w:t>
      </w:r>
      <w:r>
        <w:rPr>
          <w:sz w:val="23"/>
          <w:szCs w:val="23"/>
        </w:rPr>
        <w:t xml:space="preserve">The range measures the limit of spatial dependence for each BC parameter and is the distance at which the variogram reaches its sill </w:t>
      </w:r>
      <w:r>
        <w:rPr>
          <w:rFonts w:eastAsiaTheme="minorEastAsia"/>
          <w:sz w:val="23"/>
          <w:szCs w:val="23"/>
        </w:rPr>
        <w:t>(</w:t>
      </w:r>
      <m:oMath>
        <m:sSub>
          <m:sSubPr>
            <m:ctrlPr>
              <w:rPr>
                <w:rFonts w:ascii="Cambria Math" w:hAnsi="Cambria Math"/>
                <w:i/>
                <w:sz w:val="22"/>
              </w:rPr>
            </m:ctrlPr>
          </m:sSubPr>
          <m:e>
            <m:r>
              <w:rPr>
                <w:rFonts w:ascii="Cambria Math" w:hAnsi="Cambria Math"/>
              </w:rPr>
              <m:t>c</m:t>
            </m:r>
          </m:e>
          <m:sub>
            <m:r>
              <w:rPr>
                <w:rFonts w:ascii="Cambria Math" w:hAnsi="Cambria Math"/>
              </w:rPr>
              <m:t>o</m:t>
            </m:r>
          </m:sub>
        </m:sSub>
      </m:oMath>
      <w:r>
        <w:rPr>
          <w:rFonts w:eastAsiaTheme="minorEastAsia"/>
          <w:sz w:val="22"/>
        </w:rPr>
        <w:t xml:space="preserve">+ </w:t>
      </w:r>
      <m:oMath>
        <m:sSub>
          <m:sSubPr>
            <m:ctrlPr>
              <w:rPr>
                <w:rFonts w:ascii="Cambria Math" w:hAnsi="Cambria Math"/>
                <w:i/>
                <w:sz w:val="22"/>
              </w:rPr>
            </m:ctrlPr>
          </m:sSubPr>
          <m:e>
            <m:r>
              <w:rPr>
                <w:rFonts w:ascii="Cambria Math" w:hAnsi="Cambria Math"/>
              </w:rPr>
              <m:t>c</m:t>
            </m:r>
          </m:e>
          <m:sub>
            <m:r>
              <w:rPr>
                <w:rFonts w:ascii="Cambria Math" w:hAnsi="Cambria Math"/>
              </w:rPr>
              <m:t>1</m:t>
            </m:r>
          </m:sub>
        </m:sSub>
      </m:oMath>
      <w:r>
        <w:rPr>
          <w:rFonts w:eastAsiaTheme="minorEastAsia"/>
          <w:sz w:val="22"/>
        </w:rPr>
        <w:t xml:space="preserve">). </w:t>
      </w:r>
      <w:r>
        <w:rPr>
          <w:sz w:val="23"/>
          <w:szCs w:val="23"/>
        </w:rPr>
        <w:t xml:space="preserve">The sill represents the point at which the semivariogram levels-off. This plateau occurs because at some lag distance points being compared are so far apart they are no longer related to one another; at this point their squared differences are equal to the variance around the average value </w:t>
      </w:r>
      <w:r w:rsidR="00177749">
        <w:rPr>
          <w:sz w:val="23"/>
          <w:szCs w:val="23"/>
        </w:rPr>
        <w:fldChar w:fldCharType="begin"/>
      </w:r>
      <w:r>
        <w:rPr>
          <w:sz w:val="23"/>
          <w:szCs w:val="23"/>
        </w:rPr>
        <w:instrText xml:space="preserve"> ADDIN ZOTERO_ITEM CSL_CITATION {"citationID":"2b0sfrgbuh","properties":{"formattedCitation":"(Davis, 2002)","plainCitation":"(Davis, 2002)"},"citationItems":[{"id":22,"uris":["http://zotero.org/users/1507390/items/3KXFXQXS"],"uri":["http://zotero.org/users/1507390/items/3KXFXQXS"],"itemData":{"id":22,"type":"book","title":"Statistics and Data Analysis in Geology","publisher":"John Wiley &amp; Sons","publisher-place":"New York","number-of-pages":"638","edition":"3","source":"Open WorldCat","event-place":"New York","ISBN":"0471172758 9780471172758","language":"English","author":[{"family":"Davis","given":"John C"}],"issued":{"date-parts":[["2002"]]}}}],"schema":"https://github.com/citation-style-language/schema/raw/master/csl-citation.json"} </w:instrText>
      </w:r>
      <w:r w:rsidR="00177749">
        <w:rPr>
          <w:sz w:val="23"/>
          <w:szCs w:val="23"/>
        </w:rPr>
        <w:fldChar w:fldCharType="separate"/>
      </w:r>
      <w:r w:rsidRPr="00957537">
        <w:rPr>
          <w:rFonts w:ascii="Cambria" w:hAnsi="Cambria"/>
          <w:sz w:val="23"/>
        </w:rPr>
        <w:t>(Davis, 2002)</w:t>
      </w:r>
      <w:r w:rsidR="00177749">
        <w:rPr>
          <w:sz w:val="23"/>
          <w:szCs w:val="23"/>
        </w:rPr>
        <w:fldChar w:fldCharType="end"/>
      </w:r>
      <w:r>
        <w:rPr>
          <w:sz w:val="23"/>
          <w:szCs w:val="23"/>
        </w:rPr>
        <w:t>.</w:t>
      </w:r>
      <w:r w:rsidRPr="00957537">
        <w:rPr>
          <w:rFonts w:cs="Times New Roman"/>
          <w:szCs w:val="24"/>
        </w:rPr>
        <w:t xml:space="preserve"> </w:t>
      </w:r>
      <w:r w:rsidRPr="00810A62">
        <w:rPr>
          <w:rFonts w:cs="Times New Roman"/>
          <w:szCs w:val="24"/>
        </w:rPr>
        <w:t xml:space="preserve">The nugget is the y-intercept of the variogram </w:t>
      </w:r>
      <w:r w:rsidR="00177749">
        <w:rPr>
          <w:rFonts w:cs="Times New Roman"/>
          <w:szCs w:val="24"/>
        </w:rPr>
        <w:fldChar w:fldCharType="begin"/>
      </w:r>
      <w:r>
        <w:rPr>
          <w:rFonts w:cs="Times New Roman"/>
          <w:szCs w:val="24"/>
        </w:rPr>
        <w:instrText xml:space="preserve"> ADDIN ZOTERO_ITEM CSL_CITATION {"citationID":"1nr3bnpeaq","properties":{"formattedCitation":"(Lakhankar et al., 2010)","plainCitation":"(Lakhankar et al., 2010)"},"citationItems":[{"id":98,"uris":["http://zotero.org/users/1507390/items/EZCCRBKC"],"uri":["http://zotero.org/users/1507390/items/EZCCRBKC"],"itemData":{"id":98,"type":"article-journal","title":"Analysis of Large Scale Spatial Variability of Soil Moisture Using a Geostatistical Method","container-title":"Sensors","page":"913-932","volume":"10","issue":"1","source":"www.mdpi.com","abstract":"Spatial and temporal soil moisture dynamics are critically needed to improve the parameterization for hydrological and meteorological modeling processes. This study evaluates the statistical spatial structure of large-scale observed and simulated estimates of soil moisture under pre- and post-precipitation event conditions. This large scale variability is a crucial in calibration and validation of large-scale satellite based data assimilation systems. Spatial analysis using geostatistical approaches was used to validate modeled soil moisture by the Agriculture Meteorological (AGRMET) model using in situ measurements of soil moisture from a state-wide environmental monitoring network (Oklahoma Mesonet). The results show that AGRMET data produces larger spatial decorrelation compared to in situ based soil moisture data. The precipitation storms drive the soil moisture spatial structures at large scale, found smaller decorrelation length after precipitation. This study also evaluates the geostatistical approach for mitigation for quality control issues within in situ soil moisture network to estimates at soil moisture at unsampled stations.","DOI":"10.3390/s100100913","language":"en","author":[{"family":"Lakhankar","given":"Tarendra"},{"family":"Jones","given":"Andrew S."},{"family":"Combs","given":"Cynthia L."},{"family":"Sengupta","given":"Manajit"},{"family":"Vonder Haar","given":"Thomas H."},{"family":"Khanbilvardi","given":"Reza"}],"issued":{"date-parts":[["2010",1,25]]},"accessed":{"date-parts":[["2014",4,2]]}}}],"schema":"https://github.com/citation-style-language/schema/raw/master/csl-citation.json"} </w:instrText>
      </w:r>
      <w:r w:rsidR="00177749">
        <w:rPr>
          <w:rFonts w:cs="Times New Roman"/>
          <w:szCs w:val="24"/>
        </w:rPr>
        <w:fldChar w:fldCharType="separate"/>
      </w:r>
      <w:r w:rsidRPr="00957537">
        <w:rPr>
          <w:rFonts w:ascii="Cambria" w:hAnsi="Cambria"/>
        </w:rPr>
        <w:t>(Lakhankar et al., 2010)</w:t>
      </w:r>
      <w:r w:rsidR="00177749">
        <w:rPr>
          <w:rFonts w:cs="Times New Roman"/>
          <w:szCs w:val="24"/>
        </w:rPr>
        <w:fldChar w:fldCharType="end"/>
      </w:r>
      <w:r w:rsidRPr="00810A62">
        <w:rPr>
          <w:rFonts w:cs="Times New Roman"/>
          <w:szCs w:val="24"/>
        </w:rPr>
        <w:t xml:space="preserve">. </w:t>
      </w:r>
      <w:r w:rsidR="00856831">
        <w:rPr>
          <w:rFonts w:cs="Times New Roman"/>
          <w:szCs w:val="24"/>
        </w:rPr>
        <w:t>It</w:t>
      </w:r>
      <w:r w:rsidRPr="00810A62">
        <w:rPr>
          <w:rFonts w:cs="Times New Roman"/>
          <w:szCs w:val="24"/>
        </w:rPr>
        <w:t xml:space="preserve"> can be caused by variability at very short distances for which no pairs of observations are available, sampling inaccuracy, or inaccuracy in the instruments used for measurement</w:t>
      </w:r>
      <w:r>
        <w:rPr>
          <w:rFonts w:cs="Times New Roman"/>
          <w:szCs w:val="24"/>
        </w:rPr>
        <w:t xml:space="preserve"> </w:t>
      </w:r>
      <w:r w:rsidR="00177749">
        <w:rPr>
          <w:rFonts w:cs="Times New Roman"/>
          <w:szCs w:val="24"/>
        </w:rPr>
        <w:fldChar w:fldCharType="begin"/>
      </w:r>
      <w:r>
        <w:rPr>
          <w:rFonts w:cs="Times New Roman"/>
          <w:szCs w:val="24"/>
        </w:rPr>
        <w:instrText xml:space="preserve"> ADDIN ZOTERO_ITEM CSL_CITATION {"citationID":"lg1b4nkav","properties":{"formattedCitation":"(Hartkanmp et al., 1999)","plainCitation":"(Hartkanmp et al., 1999)"},"citationItems":[{"id":167,"uris":["http://zotero.org/users/1507390/items/NXQCWFRM"],"uri":["http://zotero.org/users/1507390/items/NXQCWFRM"],"itemData":{"id":167,"type":"article-journal","title":"Interpolation Techniques for Climate Variables","container-title":"Natural Resource Group","ISSN":"1405-7484","author":[{"family":"Hartkanmp","given":"Dewi"},{"family":"De Beurs","given":"Kristen"},{"family":"Stein","given":"Alfred"},{"family":"White","given":"Jeffrey"}],"issued":{"date-parts":[["1999"]]}}}],"schema":"https://github.com/citation-style-language/schema/raw/master/csl-citation.json"} </w:instrText>
      </w:r>
      <w:r w:rsidR="00177749">
        <w:rPr>
          <w:rFonts w:cs="Times New Roman"/>
          <w:szCs w:val="24"/>
        </w:rPr>
        <w:fldChar w:fldCharType="separate"/>
      </w:r>
      <w:r w:rsidRPr="00957537">
        <w:rPr>
          <w:rFonts w:ascii="Cambria" w:hAnsi="Cambria"/>
        </w:rPr>
        <w:t>(Hartkanmp et al., 1999)</w:t>
      </w:r>
      <w:r w:rsidR="00177749">
        <w:rPr>
          <w:rFonts w:cs="Times New Roman"/>
          <w:szCs w:val="24"/>
        </w:rPr>
        <w:fldChar w:fldCharType="end"/>
      </w:r>
      <w:r>
        <w:rPr>
          <w:rFonts w:cs="Times New Roman"/>
          <w:szCs w:val="24"/>
        </w:rPr>
        <w:t xml:space="preserve">. </w:t>
      </w:r>
    </w:p>
    <w:p w:rsidR="002F3B63" w:rsidRDefault="002F3B63" w:rsidP="002F3B63">
      <w:pPr>
        <w:spacing w:line="480" w:lineRule="auto"/>
        <w:ind w:firstLine="720"/>
        <w:rPr>
          <w:rFonts w:cs="Times New Roman"/>
          <w:szCs w:val="24"/>
        </w:rPr>
      </w:pPr>
      <w:r>
        <w:rPr>
          <w:rFonts w:cs="Times New Roman"/>
          <w:szCs w:val="24"/>
        </w:rPr>
        <w:t>The goodness of fit of the theoretical model to the empirical data is determined using R</w:t>
      </w:r>
      <w:r w:rsidRPr="00CD57D1">
        <w:rPr>
          <w:rFonts w:cs="Times New Roman"/>
          <w:szCs w:val="24"/>
          <w:vertAlign w:val="superscript"/>
        </w:rPr>
        <w:t>2</w:t>
      </w:r>
      <w:r>
        <w:rPr>
          <w:rFonts w:cs="Times New Roman"/>
          <w:szCs w:val="24"/>
        </w:rPr>
        <w:t xml:space="preserve"> and Normalized Root Mean Square Error (NRMSE). The NRMSE is a non-dimensional form of the Root Mean Square Error (RMSE), and is computed by dividing the RMSE by the range of the observed data. The NRMSE is useful for comparing goodness of fit for parameters with different units. The theoretical model with the highest R</w:t>
      </w:r>
      <w:r w:rsidRPr="00323859">
        <w:rPr>
          <w:rFonts w:cs="Times New Roman"/>
          <w:szCs w:val="24"/>
          <w:vertAlign w:val="superscript"/>
        </w:rPr>
        <w:t>2</w:t>
      </w:r>
      <w:r>
        <w:rPr>
          <w:rFonts w:cs="Times New Roman"/>
          <w:szCs w:val="24"/>
        </w:rPr>
        <w:t xml:space="preserve"> and lowest NRMSE was said to be the most appropriate model to represent the empirical semivariogram; this is referred to as the “best fit model.” Later in the study, cross-validation will be performed to validate the best fit model selection by testing the predictive ability of each model. An optimal theoretical model will be chosen based on a collection of information gathered from this section and the cross-validation section. </w:t>
      </w:r>
    </w:p>
    <w:p w:rsidR="002F3B63" w:rsidRPr="00FE4544" w:rsidRDefault="002F3B63" w:rsidP="002F3B63">
      <w:pPr>
        <w:spacing w:line="480" w:lineRule="auto"/>
        <w:ind w:firstLine="720"/>
        <w:rPr>
          <w:rFonts w:cs="Times New Roman"/>
          <w:szCs w:val="24"/>
        </w:rPr>
      </w:pPr>
      <w:r>
        <w:rPr>
          <w:rFonts w:cs="Times New Roman"/>
          <w:szCs w:val="24"/>
        </w:rPr>
        <w:t xml:space="preserve">Fitting of the semivariogram with a theoretical model is necessary for several reasons. First, the kriging algorithm requires input for all distances and directions, while the empirical semivariogram was calculated for specific distances and directions. Second, a </w:t>
      </w:r>
      <w:r>
        <w:rPr>
          <w:rFonts w:cs="Times New Roman"/>
          <w:szCs w:val="24"/>
        </w:rPr>
        <w:lastRenderedPageBreak/>
        <w:t xml:space="preserve">model provides a convenient parametric form of the semivariogram. Finally, an appropriate model is needed to ensure a positive definite covariance matrix, which is a requirement of kriging </w:t>
      </w:r>
      <w:r w:rsidR="00177749">
        <w:rPr>
          <w:rFonts w:cs="Times New Roman"/>
          <w:szCs w:val="24"/>
        </w:rPr>
        <w:fldChar w:fldCharType="begin"/>
      </w:r>
      <w:r>
        <w:rPr>
          <w:rFonts w:cs="Times New Roman"/>
          <w:szCs w:val="24"/>
        </w:rPr>
        <w:instrText xml:space="preserve"> ADDIN ZOTERO_ITEM CSL_CITATION {"citationID":"ui0f50f7q","properties":{"formattedCitation":"(Tang, 2005)","plainCitation":"(Tang, 2005)"},"citationItems":[{"id":29,"uris":["http://zotero.org/users/1507390/items/UXRM3F2Q"],"uri":["http://zotero.org/users/1507390/items/UXRM3F2Q"],"itemData":{"id":29,"type":"webpage","title":"Geostatistical Integration of Geophysical, Well Bore and Outcrop Data for Flow Modeling of a Deltaic Reservoir Analogue","abstract":"Significant world oil and gas reserves occur in deltaic reservoirs.  Characterization of deltaic reservoirs requires understanding sedimentary and diagenetic heterogeneity at the submeter scale in three dimensions. However, deltaic facies architecture is complex and poorly understood. Moreover, precipitation of extensive calcite cement during diagenesis can modify the depositional permeability of sandstone reservoir and affect fluid flow. Heterogeneity contributes to trapping a significant portion of mobile oil in deltaic reservoirs analogous of Cretaceous Frontier Formation, Powder River Basin, Wyoming.  \n\n\nThis dissertation focuses on 3D characterization of an ancient deltaic lobe.  The Turonian Wall Creek Member in central Wyoming has been selected for the present study, which integrates outcrop digitized image analysis, 2D and 3D interpreted ground penetrating radar surveys, outcrop gamma ray measurements, well logs, permeameter logs and transects, and other data for 3D reservoir characterization and flow modeling. Well log data are used to predict the geological facies using beta-Bayes method and classic multivariate statistic methods, and predictions are compared with the outcrop description. Geostatistical models are constructed for the size, orientation, and shape of the concretions using interpreted GPR, well, and outcrop data. The spatial continuity of concretions is quantified using photomosaic derived variogram analysis. \n\n\nRelationships among GRP attributes, well data, and outcrop data are investigated, including calcite concretion occurrence and permeability measurements from outcrop. A combination of truncated Gaussian simulation and Bayes rule predicts 3D concretion distributions. Comparisons between 2D flow simulations based on outcrop observations and an ensemble of geostatistical models indicates that the proposed approach can reproduce essential aspects of flow behavior in this system. \n\n\nExperimental design, analysis of variance, and flow simulations examine the effects of geological variability on breakthrough time, sweep efficiency and upscaled permeability. The proposed geostatistical and statistical methods can improve prediction of flow behavior even if conditioning data are sparse and radar data are noisy.  The derived geostatistical models of stratigraphy, facies and diagenesis are appropriate for analogous deltaic reservoirs. Furthermore, the results can guide data acquisition, improve performance prediction, and help to upscale models.","URL":"http://etd.lsu.edu/docs/available/etd-07032005-090208/","author":[{"family":"Tang","given":"Hong"}],"issued":{"date-parts":[["2005",7,6]]},"accessed":{"date-parts":[["2015",4,13]]}}}],"schema":"https://github.com/citation-style-language/schema/raw/master/csl-citation.json"} </w:instrText>
      </w:r>
      <w:r w:rsidR="00177749">
        <w:rPr>
          <w:rFonts w:cs="Times New Roman"/>
          <w:szCs w:val="24"/>
        </w:rPr>
        <w:fldChar w:fldCharType="separate"/>
      </w:r>
      <w:r w:rsidRPr="00DD2984">
        <w:rPr>
          <w:rFonts w:ascii="Cambria" w:hAnsi="Cambria"/>
        </w:rPr>
        <w:t>(Tang, 2005)</w:t>
      </w:r>
      <w:r w:rsidR="00177749">
        <w:rPr>
          <w:rFonts w:cs="Times New Roman"/>
          <w:szCs w:val="24"/>
        </w:rPr>
        <w:fldChar w:fldCharType="end"/>
      </w:r>
      <w:r>
        <w:rPr>
          <w:rFonts w:cs="Times New Roman"/>
          <w:szCs w:val="24"/>
        </w:rPr>
        <w:t>.</w:t>
      </w:r>
    </w:p>
    <w:p w:rsidR="002F3B63" w:rsidRDefault="002F3B63" w:rsidP="002F3B63">
      <w:pPr>
        <w:pStyle w:val="Style3"/>
      </w:pPr>
      <w:bookmarkStart w:id="31" w:name="_Toc425427035"/>
      <w:r>
        <w:t>3.5.4 Kriging</w:t>
      </w:r>
      <w:bookmarkEnd w:id="31"/>
    </w:p>
    <w:p w:rsidR="002F3B63" w:rsidRPr="003A2333" w:rsidRDefault="002F3B63" w:rsidP="002F3B63">
      <w:pPr>
        <w:spacing w:line="480" w:lineRule="auto"/>
        <w:ind w:firstLine="720"/>
      </w:pPr>
      <w:r w:rsidRPr="00E71302">
        <w:t xml:space="preserve">After fitting a theoretical model to each empirical semivariogram, kriging is performed to interpolate BC parameter values at unmeasured locations using the gstat R package </w:t>
      </w:r>
      <w:r w:rsidR="00177749" w:rsidRPr="00E71302">
        <w:fldChar w:fldCharType="begin"/>
      </w:r>
      <w:r w:rsidRPr="00E71302">
        <w:instrText xml:space="preserve"> ADDIN ZOTERO_ITEM CSL_CITATION {"citationID":"2d7qi49033","properties":{"formattedCitation":"(Pebesma, 2004)","plainCitation":"(Pebesma, 2004)"},"citationItems":[{"id":223,"uris":["http://zotero.org/users/1507390/items/XAHXIGPN"],"uri":["http://zotero.org/users/1507390/items/XAHXIGPN"],"itemData":{"id":223,"type":"article-journal","title":"Multivariable Geostatistics in S: The Gstat Package","container-title":"Computers &amp; Geosciences","page":"683-691","volume":"30","issue":"7","source":"ScienceDirect","abstract":"This paper discusses advantages and shortcomings of the S environment for multivariable geostatistics, in particular when extended with the gstat package, an extension package for the S environments (R, S-Plus). The gstat S package provides multivariable geostatistical modelling, prediction and simulation, as well as several visualisation functions. In particular, it makes the calculation, simultaneous fitting, and visualisation of a large number of direct and cross (residual) variograms very easy. Gstat was started 10 years ago and was released under the GPL in 1996; gstat.org was started in 1998. Gstat was not initially written for teaching purposes, but for research purposes, emphasising flexibility, scalability and portability. It can deal with a large number of practical issues in geostatistics, including change of support (block kriging), simple/ordinary/universal (co)kriging, fast local neighbourhood selection, flexible trend modelling, variables with different sampling configurations, and efficient simulation of large spatially correlated random fields, indicator kriging and simulation, and (directional) variogram and cross variogram modelling. The formula/models interface of the S language is used to define multivariable geostatistical models. This paper introduces the gstat S package, and discusses a number of design and implementation issues. It also draws attention to a number of papers on integration of spatial statistics software, GIS and the S environment that were presented on the spatial statistics workshop and sessions during the conference Distributed Statistical Computing 2003.","DOI":"10.1016/j.cageo.2004.03.012","ISSN":"0098-3004","shortTitle":"Multivariable geostatistics in S","journalAbbreviation":"Computers &amp; Geosciences","author":[{"family":"Pebesma","given":"Edzer J"}],"issued":{"date-parts":[["2004",8]]},"accessed":{"date-parts":[["2014",4,2]]}}}],"schema":"https://github.com/citation-style-language/schema/raw/master/csl-citation.json"} </w:instrText>
      </w:r>
      <w:r w:rsidR="00177749" w:rsidRPr="00E71302">
        <w:fldChar w:fldCharType="separate"/>
      </w:r>
      <w:r w:rsidRPr="00E71302">
        <w:rPr>
          <w:rFonts w:cs="Calibri"/>
        </w:rPr>
        <w:t>(Pebesma, 2004)</w:t>
      </w:r>
      <w:r w:rsidR="00177749" w:rsidRPr="00E71302">
        <w:fldChar w:fldCharType="end"/>
      </w:r>
      <w:r w:rsidRPr="00E71302">
        <w:t xml:space="preserve">. </w:t>
      </w:r>
      <w:r>
        <w:t xml:space="preserve">Kriging is a generic term for several techniques (e.g. simple, ordinary, universal, and co-kriging) used to estimate spatially dependent data at unsampled locations based on a weighted linear sum of measured data </w:t>
      </w:r>
      <w:r w:rsidR="00177749">
        <w:fldChar w:fldCharType="begin"/>
      </w:r>
      <w:r>
        <w:instrText xml:space="preserve"> ADDIN ZOTERO_ITEM CSL_CITATION {"citationID":"1uisd7931l","properties":{"formattedCitation":"(Majani, 2007)","plainCitation":"(Majani, 2007)"},"citationItems":[{"id":606,"uris":["http://zotero.org/users/1507390/items/FT5C53FN"],"uri":["http://zotero.org/users/1507390/items/FT5C53FN"],"itemData":{"id":606,"type":"article-journal","title":"Analysis of External Drift Kriging Algorithm with application to precipitation estimation in complex orography.","container-title":"International Institute for Geo-Information Science and Earth Observation, Enschede, the Netherlands","journalAbbreviation":"International Institute for Geo-Information Science and Earth Observation, Enschede, the Netherlands","author":[{"family":"Majani","given":"Bernard Sharon"}],"issued":{"date-parts":[["2007"]]}}}],"schema":"https://github.com/citation-style-language/schema/raw/master/csl-citation.json"} </w:instrText>
      </w:r>
      <w:r w:rsidR="00177749">
        <w:fldChar w:fldCharType="separate"/>
      </w:r>
      <w:r w:rsidRPr="003A2333">
        <w:rPr>
          <w:rFonts w:ascii="Cambria" w:hAnsi="Cambria"/>
        </w:rPr>
        <w:t>(Majani, 2007)</w:t>
      </w:r>
      <w:r w:rsidR="00177749">
        <w:fldChar w:fldCharType="end"/>
      </w:r>
      <w:r>
        <w:t xml:space="preserve">. The weights used in the kriging algorithm are derived from the modeled semivariogram. Goovaerts (1997) states that, “all kriging estimators are but variants of the basic linear regression estimator </w:t>
      </w:r>
      <w:r w:rsidRPr="006E206C">
        <w:rPr>
          <w:i/>
        </w:rPr>
        <w:t>Z*(x)</w:t>
      </w:r>
      <w:r>
        <w:t xml:space="preserve"> defined as:”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8"/>
        <w:gridCol w:w="7830"/>
        <w:gridCol w:w="828"/>
      </w:tblGrid>
      <w:tr w:rsidR="002F3B63" w:rsidTr="002F3B63">
        <w:tc>
          <w:tcPr>
            <w:tcW w:w="918" w:type="dxa"/>
          </w:tcPr>
          <w:p w:rsidR="002F3B63" w:rsidRPr="00826222" w:rsidRDefault="002F3B63" w:rsidP="002F3B63">
            <w:pPr>
              <w:spacing w:line="480" w:lineRule="auto"/>
              <w:rPr>
                <w:rFonts w:cs="Times New Roman"/>
                <w:iCs/>
              </w:rPr>
            </w:pPr>
          </w:p>
        </w:tc>
        <w:tc>
          <w:tcPr>
            <w:tcW w:w="7830" w:type="dxa"/>
          </w:tcPr>
          <w:p w:rsidR="002F3B63" w:rsidRPr="00826222" w:rsidRDefault="00177749" w:rsidP="002F3B63">
            <w:pPr>
              <w:spacing w:line="480" w:lineRule="auto"/>
              <w:rPr>
                <w:rFonts w:cs="Times New Roman"/>
                <w:iCs/>
              </w:rPr>
            </w:pPr>
            <m:oMathPara>
              <m:oMath>
                <m:sSup>
                  <m:sSupPr>
                    <m:ctrlPr>
                      <w:rPr>
                        <w:rFonts w:ascii="Cambria Math" w:hAnsi="Cambria Math" w:cs="Times New Roman"/>
                        <w:i/>
                      </w:rPr>
                    </m:ctrlPr>
                  </m:sSupPr>
                  <m:e>
                    <m:r>
                      <w:rPr>
                        <w:rFonts w:ascii="Cambria Math" w:hAnsi="Cambria Math" w:cs="Times New Roman"/>
                      </w:rPr>
                      <m:t>Z</m:t>
                    </m:r>
                  </m:e>
                  <m:sup>
                    <m:r>
                      <w:rPr>
                        <w:rFonts w:ascii="Cambria Math" w:hAnsi="Cambria Math" w:cs="Times New Roman"/>
                      </w:rPr>
                      <m:t>*</m:t>
                    </m:r>
                  </m:sup>
                </m:sSup>
                <m:d>
                  <m:dPr>
                    <m:ctrlPr>
                      <w:rPr>
                        <w:rFonts w:ascii="Cambria Math" w:hAnsi="Cambria Math" w:cs="Times New Roman"/>
                        <w:i/>
                      </w:rPr>
                    </m:ctrlPr>
                  </m:dPr>
                  <m:e>
                    <m:r>
                      <w:rPr>
                        <w:rFonts w:ascii="Cambria Math" w:hAnsi="Cambria Math" w:cs="Times New Roman"/>
                      </w:rPr>
                      <m:t>x</m:t>
                    </m:r>
                  </m:e>
                </m:d>
                <m:r>
                  <w:rPr>
                    <w:rFonts w:ascii="Cambria Math" w:cs="Times New Roman"/>
                  </w:rPr>
                  <m:t>-</m:t>
                </m:r>
                <m:r>
                  <w:rPr>
                    <w:rFonts w:ascii="Cambria Math" w:cs="Times New Roman"/>
                  </w:rPr>
                  <m:t xml:space="preserve"> m(x)= </m:t>
                </m:r>
                <m:nary>
                  <m:naryPr>
                    <m:chr m:val="∑"/>
                    <m:limLoc m:val="undOvr"/>
                    <m:ctrlPr>
                      <w:rPr>
                        <w:rFonts w:ascii="Cambria Math" w:hAnsi="Cambria Math" w:cs="Times New Roman"/>
                        <w:i/>
                      </w:rPr>
                    </m:ctrlPr>
                  </m:naryPr>
                  <m:sub>
                    <m:r>
                      <w:rPr>
                        <w:rFonts w:ascii="Cambria Math" w:hAnsi="Cambria Math" w:cs="Times New Roman"/>
                      </w:rPr>
                      <m:t>i</m:t>
                    </m:r>
                    <m:r>
                      <w:rPr>
                        <w:rFonts w:ascii="Cambria Math" w:cs="Times New Roman"/>
                      </w:rPr>
                      <m:t xml:space="preserve">=1 </m:t>
                    </m:r>
                  </m:sub>
                  <m:sup>
                    <m:r>
                      <w:rPr>
                        <w:rFonts w:ascii="Cambria Math" w:hAnsi="Cambria Math" w:cs="Times New Roman"/>
                      </w:rPr>
                      <m:t>n(x)</m:t>
                    </m:r>
                  </m:sup>
                  <m:e>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i</m:t>
                        </m:r>
                      </m:sub>
                    </m:sSub>
                    <m:d>
                      <m:dPr>
                        <m:ctrlPr>
                          <w:rPr>
                            <w:rFonts w:ascii="Cambria Math" w:hAnsi="Cambria Math" w:cs="Times New Roman"/>
                            <w:i/>
                          </w:rPr>
                        </m:ctrlPr>
                      </m:dPr>
                      <m:e>
                        <m:r>
                          <w:rPr>
                            <w:rFonts w:ascii="Cambria Math" w:hAnsi="Cambria Math" w:cs="Times New Roman"/>
                          </w:rPr>
                          <m:t>x</m:t>
                        </m:r>
                      </m:e>
                    </m:d>
                    <m:r>
                      <w:rPr>
                        <w:rFonts w:ascii="Cambria Math" w:hAnsi="Cambria Math" w:cs="Times New Roman"/>
                      </w:rPr>
                      <m:t xml:space="preserve"> </m:t>
                    </m:r>
                    <m:d>
                      <m:dPr>
                        <m:begChr m:val="["/>
                        <m:endChr m:val="]"/>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Z</m:t>
                            </m:r>
                            <m:r>
                              <w:rPr>
                                <w:rFonts w:ascii="Cambria Math" w:cs="Times New Roman"/>
                              </w:rPr>
                              <m:t>(</m:t>
                            </m:r>
                            <m:r>
                              <w:rPr>
                                <w:rFonts w:ascii="Cambria Math" w:hAnsi="Cambria Math" w:cs="Times New Roman"/>
                              </w:rPr>
                              <m:t>x</m:t>
                            </m:r>
                          </m:e>
                          <m:sub>
                            <m:r>
                              <w:rPr>
                                <w:rFonts w:ascii="Cambria Math" w:hAnsi="Cambria Math" w:cs="Times New Roman"/>
                              </w:rPr>
                              <m:t>i</m:t>
                            </m:r>
                          </m:sub>
                        </m:sSub>
                        <m:r>
                          <w:rPr>
                            <w:rFonts w:ascii="Cambria Math" w:cs="Times New Roman"/>
                          </w:rPr>
                          <m:t>)</m:t>
                        </m:r>
                        <m:r>
                          <w:rPr>
                            <w:rFonts w:ascii="Cambria Math" w:cs="Times New Roman"/>
                          </w:rPr>
                          <m:t>-</m:t>
                        </m:r>
                        <m:r>
                          <w:rPr>
                            <w:rFonts w:ascii="Cambria Math" w:cs="Times New Roman"/>
                          </w:rPr>
                          <m:t>m(</m:t>
                        </m:r>
                        <m:sSub>
                          <m:sSubPr>
                            <m:ctrlPr>
                              <w:rPr>
                                <w:rFonts w:ascii="Cambria Math" w:hAnsi="Cambria Math" w:cs="Times New Roman"/>
                                <w:i/>
                              </w:rPr>
                            </m:ctrlPr>
                          </m:sSubPr>
                          <m:e>
                            <m:r>
                              <w:rPr>
                                <w:rFonts w:ascii="Cambria Math" w:cs="Times New Roman"/>
                              </w:rPr>
                              <m:t>x</m:t>
                            </m:r>
                          </m:e>
                          <m:sub>
                            <m:r>
                              <w:rPr>
                                <w:rFonts w:ascii="Cambria Math" w:cs="Times New Roman"/>
                              </w:rPr>
                              <m:t>i</m:t>
                            </m:r>
                          </m:sub>
                        </m:sSub>
                        <m:r>
                          <w:rPr>
                            <w:rFonts w:ascii="Cambria Math" w:cs="Times New Roman"/>
                          </w:rPr>
                          <m:t>)</m:t>
                        </m:r>
                      </m:e>
                    </m:d>
                  </m:e>
                </m:nary>
                <m:r>
                  <w:rPr>
                    <w:rFonts w:ascii="Cambria Math" w:cs="Times New Roman"/>
                  </w:rPr>
                  <m:t xml:space="preserve"> </m:t>
                </m:r>
              </m:oMath>
            </m:oMathPara>
          </w:p>
        </w:tc>
        <w:tc>
          <w:tcPr>
            <w:tcW w:w="828" w:type="dxa"/>
          </w:tcPr>
          <w:p w:rsidR="002F3B63" w:rsidRDefault="002F3B63" w:rsidP="002F3B63">
            <w:pPr>
              <w:spacing w:line="480" w:lineRule="auto"/>
              <w:rPr>
                <w:rFonts w:cs="Times New Roman"/>
                <w:iCs/>
              </w:rPr>
            </w:pPr>
          </w:p>
          <w:p w:rsidR="002F3B63" w:rsidRPr="00826222" w:rsidRDefault="002F3B63" w:rsidP="002F3B63">
            <w:pPr>
              <w:spacing w:line="480" w:lineRule="auto"/>
              <w:rPr>
                <w:rFonts w:cs="Times New Roman"/>
                <w:iCs/>
              </w:rPr>
            </w:pPr>
            <w:r w:rsidRPr="00826222">
              <w:rPr>
                <w:rFonts w:cs="Times New Roman"/>
                <w:iCs/>
              </w:rPr>
              <w:t>(</w:t>
            </w:r>
            <w:fldSimple w:instr=" SEQ Eq \* MERGEFORMAT ">
              <w:r w:rsidR="00885C9E" w:rsidRPr="00885C9E">
                <w:rPr>
                  <w:rFonts w:cs="Times New Roman"/>
                  <w:iCs/>
                  <w:noProof/>
                </w:rPr>
                <w:t>15</w:t>
              </w:r>
            </w:fldSimple>
            <w:r w:rsidRPr="00826222">
              <w:rPr>
                <w:rFonts w:cs="Times New Roman"/>
                <w:iCs/>
              </w:rPr>
              <w:t>)</w:t>
            </w:r>
          </w:p>
        </w:tc>
      </w:tr>
    </w:tbl>
    <w:p w:rsidR="002F3B63" w:rsidRDefault="002F3B63" w:rsidP="002F3B63">
      <w:pPr>
        <w:spacing w:line="480" w:lineRule="auto"/>
        <w:rPr>
          <w:rFonts w:eastAsiaTheme="minorEastAsia"/>
        </w:rPr>
      </w:pPr>
      <w:r>
        <w:t xml:space="preserve">where </w:t>
      </w:r>
      <m:oMath>
        <m:r>
          <w:rPr>
            <w:rFonts w:ascii="Cambria Math" w:cs="Times New Roman"/>
          </w:rPr>
          <m:t xml:space="preserve">x </m:t>
        </m:r>
      </m:oMath>
      <w:r>
        <w:rPr>
          <w:rFonts w:eastAsiaTheme="minorEastAsia"/>
        </w:rPr>
        <w:t>is a measured value inside a spatially related neighborhood around the estimation location</w:t>
      </w:r>
      <m:oMath>
        <m:sSub>
          <m:sSubPr>
            <m:ctrlPr>
              <w:rPr>
                <w:rFonts w:ascii="Cambria Math" w:hAnsi="Cambria Math" w:cs="Times New Roman"/>
                <w:i/>
              </w:rPr>
            </m:ctrlPr>
          </m:sSubPr>
          <m:e>
            <m:r>
              <w:rPr>
                <w:rFonts w:ascii="Cambria Math" w:hAnsi="Cambria Math" w:cs="Times New Roman"/>
              </w:rPr>
              <m:t xml:space="preserve"> x</m:t>
            </m:r>
          </m:e>
          <m:sub>
            <m:r>
              <w:rPr>
                <w:rFonts w:ascii="Cambria Math" w:hAnsi="Cambria Math" w:cs="Times New Roman"/>
              </w:rPr>
              <m:t>i</m:t>
            </m:r>
          </m:sub>
        </m:sSub>
      </m:oMath>
      <w:r>
        <w:rPr>
          <w:rFonts w:eastAsiaTheme="minorEastAsia"/>
        </w:rPr>
        <w:t xml:space="preserve">; </w:t>
      </w:r>
      <m:oMath>
        <m:r>
          <w:rPr>
            <w:rFonts w:ascii="Cambria Math" w:hAnsi="Cambria Math" w:cs="Times New Roman"/>
          </w:rPr>
          <m:t>n(x)</m:t>
        </m:r>
      </m:oMath>
      <w:r>
        <w:rPr>
          <w:rFonts w:eastAsiaTheme="minorEastAsia"/>
        </w:rPr>
        <w:t xml:space="preserve"> is the number of data points located inside the spatially related neighborhood used to make an estimation of  </w:t>
      </w:r>
      <m:oMath>
        <m:sSup>
          <m:sSupPr>
            <m:ctrlPr>
              <w:rPr>
                <w:rFonts w:ascii="Cambria Math" w:hAnsi="Cambria Math" w:cs="Times New Roman"/>
                <w:i/>
              </w:rPr>
            </m:ctrlPr>
          </m:sSupPr>
          <m:e>
            <m:r>
              <w:rPr>
                <w:rFonts w:ascii="Cambria Math" w:hAnsi="Cambria Math" w:cs="Times New Roman"/>
              </w:rPr>
              <m:t>Z</m:t>
            </m:r>
          </m:e>
          <m:sup>
            <m:r>
              <w:rPr>
                <w:rFonts w:ascii="Cambria Math" w:hAnsi="Cambria Math" w:cs="Times New Roman"/>
              </w:rPr>
              <m:t>*</m:t>
            </m:r>
          </m:sup>
        </m:sSup>
        <m:d>
          <m:dPr>
            <m:ctrlPr>
              <w:rPr>
                <w:rFonts w:ascii="Cambria Math" w:hAnsi="Cambria Math" w:cs="Times New Roman"/>
                <w:i/>
              </w:rPr>
            </m:ctrlPr>
          </m:dPr>
          <m:e>
            <m:r>
              <w:rPr>
                <w:rFonts w:ascii="Cambria Math" w:hAnsi="Cambria Math" w:cs="Times New Roman"/>
              </w:rPr>
              <m:t>x</m:t>
            </m:r>
          </m:e>
        </m:d>
      </m:oMath>
      <w:r>
        <w:rPr>
          <w:rFonts w:eastAsiaTheme="minorEastAsia"/>
        </w:rPr>
        <w:t xml:space="preserve">, i.e. only the closest points are significantly important; </w:t>
      </w:r>
      <m:oMath>
        <m:r>
          <w:rPr>
            <w:rFonts w:ascii="Cambria Math" w:cs="Times New Roman"/>
          </w:rPr>
          <m:t>m</m:t>
        </m:r>
        <m:d>
          <m:dPr>
            <m:ctrlPr>
              <w:rPr>
                <w:rFonts w:ascii="Cambria Math" w:hAnsi="Cambria Math" w:cs="Times New Roman"/>
                <w:i/>
              </w:rPr>
            </m:ctrlPr>
          </m:dPr>
          <m:e>
            <m:r>
              <w:rPr>
                <w:rFonts w:ascii="Cambria Math" w:cs="Times New Roman"/>
              </w:rPr>
              <m:t>x</m:t>
            </m:r>
          </m:e>
        </m:d>
        <m:r>
          <w:rPr>
            <w:rFonts w:ascii="Cambria Math" w:cs="Times New Roman"/>
          </w:rPr>
          <m:t>, m(</m:t>
        </m:r>
        <m:sSub>
          <m:sSubPr>
            <m:ctrlPr>
              <w:rPr>
                <w:rFonts w:ascii="Cambria Math" w:hAnsi="Cambria Math" w:cs="Times New Roman"/>
                <w:i/>
              </w:rPr>
            </m:ctrlPr>
          </m:sSubPr>
          <m:e>
            <m:r>
              <w:rPr>
                <w:rFonts w:ascii="Cambria Math" w:cs="Times New Roman"/>
              </w:rPr>
              <m:t>x</m:t>
            </m:r>
          </m:e>
          <m:sub>
            <m:r>
              <w:rPr>
                <w:rFonts w:ascii="Cambria Math" w:cs="Times New Roman"/>
              </w:rPr>
              <m:t>i</m:t>
            </m:r>
          </m:sub>
        </m:sSub>
        <m:r>
          <w:rPr>
            <w:rFonts w:ascii="Cambria Math" w:cs="Times New Roman"/>
          </w:rPr>
          <m:t>)</m:t>
        </m:r>
      </m:oMath>
      <w:r>
        <w:rPr>
          <w:rFonts w:eastAsiaTheme="minorEastAsia"/>
        </w:rPr>
        <w:t xml:space="preserve"> are the expected mean values of </w:t>
      </w:r>
      <m:oMath>
        <m:sSup>
          <m:sSupPr>
            <m:ctrlPr>
              <w:rPr>
                <w:rFonts w:ascii="Cambria Math" w:hAnsi="Cambria Math" w:cs="Times New Roman"/>
                <w:i/>
              </w:rPr>
            </m:ctrlPr>
          </m:sSupPr>
          <m:e>
            <m:r>
              <w:rPr>
                <w:rFonts w:ascii="Cambria Math" w:hAnsi="Cambria Math" w:cs="Times New Roman"/>
              </w:rPr>
              <m:t xml:space="preserve"> Z</m:t>
            </m:r>
          </m:e>
          <m:sup>
            <m:r>
              <w:rPr>
                <w:rFonts w:ascii="Cambria Math" w:hAnsi="Cambria Math" w:cs="Times New Roman"/>
              </w:rPr>
              <m:t>*</m:t>
            </m:r>
          </m:sup>
        </m:sSup>
        <m:d>
          <m:dPr>
            <m:ctrlPr>
              <w:rPr>
                <w:rFonts w:ascii="Cambria Math" w:hAnsi="Cambria Math" w:cs="Times New Roman"/>
                <w:i/>
              </w:rPr>
            </m:ctrlPr>
          </m:dPr>
          <m:e>
            <m:r>
              <w:rPr>
                <w:rFonts w:ascii="Cambria Math" w:hAnsi="Cambria Math" w:cs="Times New Roman"/>
              </w:rPr>
              <m:t>x</m:t>
            </m:r>
          </m:e>
        </m:d>
      </m:oMath>
      <w:r>
        <w:rPr>
          <w:rFonts w:eastAsiaTheme="minorEastAsia"/>
        </w:rPr>
        <w:t xml:space="preserve"> and </w:t>
      </w:r>
      <m:oMath>
        <m:sSub>
          <m:sSubPr>
            <m:ctrlPr>
              <w:rPr>
                <w:rFonts w:ascii="Cambria Math" w:hAnsi="Cambria Math" w:cs="Times New Roman"/>
                <w:i/>
              </w:rPr>
            </m:ctrlPr>
          </m:sSubPr>
          <m:e>
            <m:r>
              <w:rPr>
                <w:rFonts w:ascii="Cambria Math" w:hAnsi="Cambria Math" w:cs="Times New Roman"/>
              </w:rPr>
              <m:t>Z</m:t>
            </m:r>
            <m:r>
              <w:rPr>
                <w:rFonts w:ascii="Cambria Math" w:cs="Times New Roman"/>
              </w:rPr>
              <m:t>(</m:t>
            </m:r>
            <m:r>
              <w:rPr>
                <w:rFonts w:ascii="Cambria Math" w:hAnsi="Cambria Math" w:cs="Times New Roman"/>
              </w:rPr>
              <m:t>x</m:t>
            </m:r>
          </m:e>
          <m:sub>
            <m:r>
              <w:rPr>
                <w:rFonts w:ascii="Cambria Math" w:hAnsi="Cambria Math" w:cs="Times New Roman"/>
              </w:rPr>
              <m:t>i</m:t>
            </m:r>
          </m:sub>
        </m:sSub>
        <m:r>
          <w:rPr>
            <w:rFonts w:ascii="Cambria Math" w:hAnsi="Cambria Math" w:cs="Times New Roman"/>
          </w:rPr>
          <m:t>)</m:t>
        </m:r>
      </m:oMath>
      <w:r>
        <w:rPr>
          <w:rFonts w:eastAsiaTheme="minorEastAsia"/>
        </w:rPr>
        <w:t xml:space="preserve">, respectively; and </w:t>
      </w:r>
      <m:oMath>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i</m:t>
            </m:r>
          </m:sub>
        </m:sSub>
        <m:r>
          <w:rPr>
            <w:rFonts w:ascii="Cambria Math" w:hAnsi="Cambria Math" w:cs="Times New Roman"/>
          </w:rPr>
          <m:t xml:space="preserve"> (x)</m:t>
        </m:r>
      </m:oMath>
      <w:r>
        <w:rPr>
          <w:rFonts w:eastAsiaTheme="minorEastAsia"/>
        </w:rPr>
        <w:t xml:space="preserve"> is the kriging weight assigned to </w:t>
      </w:r>
      <m:oMath>
        <m:sSub>
          <m:sSubPr>
            <m:ctrlPr>
              <w:rPr>
                <w:rFonts w:ascii="Cambria Math" w:hAnsi="Cambria Math" w:cs="Times New Roman"/>
                <w:i/>
              </w:rPr>
            </m:ctrlPr>
          </m:sSubPr>
          <m:e>
            <m:r>
              <w:rPr>
                <w:rFonts w:ascii="Cambria Math" w:hAnsi="Cambria Math" w:cs="Times New Roman"/>
              </w:rPr>
              <m:t>z</m:t>
            </m:r>
            <m:r>
              <w:rPr>
                <w:rFonts w:ascii="Cambria Math" w:cs="Times New Roman"/>
              </w:rPr>
              <m:t>(</m:t>
            </m:r>
            <m:r>
              <w:rPr>
                <w:rFonts w:ascii="Cambria Math" w:hAnsi="Cambria Math" w:cs="Times New Roman"/>
              </w:rPr>
              <m:t>x</m:t>
            </m:r>
          </m:e>
          <m:sub>
            <m:r>
              <w:rPr>
                <w:rFonts w:ascii="Cambria Math" w:hAnsi="Cambria Math" w:cs="Times New Roman"/>
              </w:rPr>
              <m:t>i</m:t>
            </m:r>
          </m:sub>
        </m:sSub>
        <m:r>
          <w:rPr>
            <w:rFonts w:ascii="Cambria Math" w:hAnsi="Cambria Math" w:cs="Times New Roman"/>
          </w:rPr>
          <m:t>)</m:t>
        </m:r>
      </m:oMath>
      <w:r>
        <w:rPr>
          <w:rFonts w:eastAsiaTheme="minorEastAsia"/>
        </w:rPr>
        <w:t xml:space="preserve">, a realization of the regionalized variable </w:t>
      </w:r>
      <m:oMath>
        <m:sSub>
          <m:sSubPr>
            <m:ctrlPr>
              <w:rPr>
                <w:rFonts w:ascii="Cambria Math" w:hAnsi="Cambria Math" w:cs="Times New Roman"/>
                <w:i/>
              </w:rPr>
            </m:ctrlPr>
          </m:sSubPr>
          <m:e>
            <m:r>
              <w:rPr>
                <w:rFonts w:ascii="Cambria Math" w:hAnsi="Cambria Math" w:cs="Times New Roman"/>
              </w:rPr>
              <m:t>Z</m:t>
            </m:r>
            <m:r>
              <w:rPr>
                <w:rFonts w:ascii="Cambria Math" w:cs="Times New Roman"/>
              </w:rPr>
              <m:t>(</m:t>
            </m:r>
            <m:r>
              <w:rPr>
                <w:rFonts w:ascii="Cambria Math" w:hAnsi="Cambria Math" w:cs="Times New Roman"/>
              </w:rPr>
              <m:t>x</m:t>
            </m:r>
          </m:e>
          <m:sub>
            <m:r>
              <w:rPr>
                <w:rFonts w:ascii="Cambria Math" w:hAnsi="Cambria Math" w:cs="Times New Roman"/>
              </w:rPr>
              <m:t>i</m:t>
            </m:r>
          </m:sub>
        </m:sSub>
        <m:r>
          <w:rPr>
            <w:rFonts w:ascii="Cambria Math" w:hAnsi="Cambria Math" w:cs="Times New Roman"/>
          </w:rPr>
          <m:t>)</m:t>
        </m:r>
      </m:oMath>
      <w:r>
        <w:rPr>
          <w:rFonts w:eastAsiaTheme="minorEastAsia"/>
        </w:rPr>
        <w:t xml:space="preserve"> (Davis, 2002; Goovaerts, 1997).</w:t>
      </w:r>
    </w:p>
    <w:p w:rsidR="002F3B63" w:rsidRDefault="002F3B63" w:rsidP="002F3B63">
      <w:pPr>
        <w:spacing w:line="480" w:lineRule="auto"/>
        <w:ind w:firstLine="720"/>
        <w:rPr>
          <w:rFonts w:eastAsiaTheme="minorEastAsia"/>
        </w:rPr>
      </w:pPr>
      <w:r>
        <w:rPr>
          <w:rFonts w:eastAsiaTheme="minorEastAsia"/>
        </w:rPr>
        <w:lastRenderedPageBreak/>
        <w:t xml:space="preserve">All forms of kriging share the same objective, namely to determine the weights,  </w:t>
      </w:r>
      <m:oMath>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i</m:t>
            </m:r>
          </m:sub>
        </m:sSub>
      </m:oMath>
      <w:r>
        <w:rPr>
          <w:rFonts w:eastAsiaTheme="minorEastAsia"/>
        </w:rPr>
        <w:t xml:space="preserve">, that minimize estimation variance under the unbiasedness constraint </w:t>
      </w:r>
      <w:r w:rsidR="00177749">
        <w:rPr>
          <w:rFonts w:eastAsiaTheme="minorEastAsia"/>
        </w:rPr>
        <w:fldChar w:fldCharType="begin"/>
      </w:r>
      <w:r>
        <w:rPr>
          <w:rFonts w:eastAsiaTheme="minorEastAsia"/>
        </w:rPr>
        <w:instrText xml:space="preserve"> ADDIN ZOTERO_ITEM CSL_CITATION {"citationID":"3bog2iibh","properties":{"formattedCitation":"(Goovaerts, 1997)","plainCitation":"(Goovaerts, 1997)"},"citationItems":[{"id":220,"uris":["http://zotero.org/users/1507390/items/WUD8ZFWW"],"uri":["http://zotero.org/users/1507390/items/WUD8ZFWW"],"itemData":{"id":220,"type":"book","title":"Geostatistics for Natural Resources Evaluation","publisher":"Oxford University Press","publisher-place":"Oxford, NY","number-of-pages":"502","source":"Google Books","event-place":"Oxford, NY","abstract":"This text fulfills a need for an advanced-level work covering both the theory and application of geostatistics. It covers the most important areas of geostatistical methodology, introducing tools for description, quantitative modeling of spatial continuity, spatial prediction, and assessment of local uncertainty and stochastic simulation. It also details the theoretical background underlying most GSLIB programs. The tools are applied to an environmental data set, but the book includes a general presentation of algorithms intended for students and practitioners in such diverse fields as soil science, mining, petroleum, remote sensing, hydrogeology, and the environmental sciences.","ISBN":"9780195115383","language":"en","author":[{"family":"Goovaerts","given":"Pierre"}],"issued":{"date-parts":[["1997"]]}}}],"schema":"https://github.com/citation-style-language/schema/raw/master/csl-citation.json"} </w:instrText>
      </w:r>
      <w:r w:rsidR="00177749">
        <w:rPr>
          <w:rFonts w:eastAsiaTheme="minorEastAsia"/>
        </w:rPr>
        <w:fldChar w:fldCharType="separate"/>
      </w:r>
      <w:r w:rsidRPr="009D2E67">
        <w:rPr>
          <w:rFonts w:ascii="Cambria" w:hAnsi="Cambria"/>
        </w:rPr>
        <w:t>(Goovaerts, 1997)</w:t>
      </w:r>
      <w:r w:rsidR="00177749">
        <w:rPr>
          <w:rFonts w:eastAsiaTheme="minorEastAsia"/>
        </w:rPr>
        <w:fldChar w:fldCharType="end"/>
      </w:r>
      <w:r>
        <w:rPr>
          <w:rFonts w:eastAsiaTheme="minorEastAsia"/>
        </w:rPr>
        <w:t>. Shown mathematically as: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8"/>
        <w:gridCol w:w="7830"/>
        <w:gridCol w:w="828"/>
      </w:tblGrid>
      <w:tr w:rsidR="002F3B63" w:rsidTr="002F3B63">
        <w:tc>
          <w:tcPr>
            <w:tcW w:w="918" w:type="dxa"/>
          </w:tcPr>
          <w:p w:rsidR="002F3B63" w:rsidRPr="00826222" w:rsidRDefault="002F3B63" w:rsidP="002F3B63">
            <w:pPr>
              <w:spacing w:line="480" w:lineRule="auto"/>
              <w:rPr>
                <w:rFonts w:cs="Times New Roman"/>
                <w:iCs/>
              </w:rPr>
            </w:pPr>
          </w:p>
        </w:tc>
        <w:tc>
          <w:tcPr>
            <w:tcW w:w="7830" w:type="dxa"/>
          </w:tcPr>
          <w:p w:rsidR="002F3B63" w:rsidRPr="006957F0" w:rsidRDefault="00177749" w:rsidP="002F3B63">
            <w:pPr>
              <w:spacing w:line="480" w:lineRule="auto"/>
              <w:rPr>
                <w:rFonts w:cs="Times New Roman"/>
                <w:iCs/>
              </w:rPr>
            </w:pPr>
            <m:oMathPara>
              <m:oMath>
                <m:sSubSup>
                  <m:sSubSupPr>
                    <m:ctrlPr>
                      <w:rPr>
                        <w:rFonts w:ascii="Cambria Math" w:hAnsi="Cambria Math" w:cs="Times New Roman"/>
                        <w:i/>
                      </w:rPr>
                    </m:ctrlPr>
                  </m:sSubSupPr>
                  <m:e>
                    <m:r>
                      <w:rPr>
                        <w:rFonts w:ascii="Cambria Math" w:hAnsi="Cambria Math" w:cs="Times New Roman"/>
                      </w:rPr>
                      <m:t>σ</m:t>
                    </m:r>
                  </m:e>
                  <m:sub>
                    <m:r>
                      <w:rPr>
                        <w:rFonts w:ascii="Cambria Math" w:hAnsi="Cambria Math" w:cs="Times New Roman"/>
                      </w:rPr>
                      <m:t>E</m:t>
                    </m:r>
                    <m:r>
                      <w:rPr>
                        <w:rFonts w:ascii="Cambria Math" w:cs="Times New Roman"/>
                      </w:rPr>
                      <m:t xml:space="preserve"> </m:t>
                    </m:r>
                  </m:sub>
                  <m:sup>
                    <m:r>
                      <w:rPr>
                        <w:rFonts w:ascii="Cambria Math" w:cs="Times New Roman"/>
                      </w:rPr>
                      <m:t>2</m:t>
                    </m:r>
                  </m:sup>
                </m:sSubSup>
                <m:d>
                  <m:dPr>
                    <m:ctrlPr>
                      <w:rPr>
                        <w:rFonts w:ascii="Cambria Math" w:hAnsi="Cambria Math" w:cs="Times New Roman"/>
                        <w:i/>
                      </w:rPr>
                    </m:ctrlPr>
                  </m:dPr>
                  <m:e>
                    <m:r>
                      <w:rPr>
                        <w:rFonts w:ascii="Cambria Math" w:hAnsi="Cambria Math" w:cs="Times New Roman"/>
                      </w:rPr>
                      <m:t>x</m:t>
                    </m:r>
                  </m:e>
                </m:d>
                <m:r>
                  <w:rPr>
                    <w:rFonts w:ascii="Cambria Math" w:cs="Times New Roman"/>
                  </w:rPr>
                  <m:t>=</m:t>
                </m:r>
                <m:r>
                  <w:rPr>
                    <w:rFonts w:ascii="Cambria Math" w:hAnsi="Cambria Math" w:cs="Times New Roman"/>
                  </w:rPr>
                  <m:t>Var</m:t>
                </m:r>
                <m:d>
                  <m:dPr>
                    <m:begChr m:val="{"/>
                    <m:endChr m:val="}"/>
                    <m:ctrlPr>
                      <w:rPr>
                        <w:rFonts w:ascii="Cambria Math" w:hAnsi="Cambria Math" w:cs="Times New Roman"/>
                        <w:i/>
                      </w:rPr>
                    </m:ctrlPr>
                  </m:dPr>
                  <m:e>
                    <m:sSup>
                      <m:sSupPr>
                        <m:ctrlPr>
                          <w:rPr>
                            <w:rFonts w:ascii="Cambria Math" w:hAnsi="Cambria Math" w:cs="Times New Roman"/>
                            <w:i/>
                          </w:rPr>
                        </m:ctrlPr>
                      </m:sSupPr>
                      <m:e>
                        <m:r>
                          <w:rPr>
                            <w:rFonts w:ascii="Cambria Math" w:hAnsi="Cambria Math" w:cs="Times New Roman"/>
                          </w:rPr>
                          <m:t>Z</m:t>
                        </m:r>
                      </m:e>
                      <m:sup>
                        <m:r>
                          <w:rPr>
                            <w:rFonts w:ascii="Cambria Math" w:hAnsi="Cambria Math" w:cs="Times New Roman"/>
                          </w:rPr>
                          <m:t>*</m:t>
                        </m:r>
                      </m:sup>
                    </m:sSup>
                    <m:d>
                      <m:dPr>
                        <m:ctrlPr>
                          <w:rPr>
                            <w:rFonts w:ascii="Cambria Math" w:hAnsi="Cambria Math" w:cs="Times New Roman"/>
                            <w:i/>
                          </w:rPr>
                        </m:ctrlPr>
                      </m:dPr>
                      <m:e>
                        <m:r>
                          <w:rPr>
                            <w:rFonts w:ascii="Cambria Math" w:hAnsi="Cambria Math" w:cs="Times New Roman"/>
                          </w:rPr>
                          <m:t>x</m:t>
                        </m:r>
                      </m:e>
                    </m:d>
                    <m:r>
                      <w:rPr>
                        <w:rFonts w:ascii="Cambria Math" w:hAnsi="Cambria Math" w:cs="Times New Roman"/>
                      </w:rPr>
                      <m:t>-</m:t>
                    </m:r>
                    <m:r>
                      <w:rPr>
                        <w:rFonts w:ascii="Cambria Math" w:cs="Times New Roman"/>
                      </w:rPr>
                      <m:t xml:space="preserve"> </m:t>
                    </m:r>
                    <m:r>
                      <w:rPr>
                        <w:rFonts w:ascii="Cambria Math" w:hAnsi="Cambria Math" w:cs="Times New Roman"/>
                      </w:rPr>
                      <m:t>Z</m:t>
                    </m:r>
                    <m:r>
                      <w:rPr>
                        <w:rFonts w:ascii="Cambria Math" w:cs="Times New Roman"/>
                      </w:rPr>
                      <m:t>(</m:t>
                    </m:r>
                    <m:r>
                      <w:rPr>
                        <w:rFonts w:ascii="Cambria Math" w:hAnsi="Cambria Math" w:cs="Times New Roman"/>
                      </w:rPr>
                      <m:t>x</m:t>
                    </m:r>
                    <m:r>
                      <w:rPr>
                        <w:rFonts w:ascii="Cambria Math" w:cs="Times New Roman"/>
                      </w:rPr>
                      <m:t>)</m:t>
                    </m:r>
                  </m:e>
                </m:d>
                <m:r>
                  <w:rPr>
                    <w:rFonts w:ascii="Cambria Math" w:cs="Times New Roman"/>
                  </w:rPr>
                  <m:t xml:space="preserve"> </m:t>
                </m:r>
              </m:oMath>
            </m:oMathPara>
          </w:p>
        </w:tc>
        <w:tc>
          <w:tcPr>
            <w:tcW w:w="828" w:type="dxa"/>
          </w:tcPr>
          <w:p w:rsidR="002F3B63" w:rsidRPr="006957F0" w:rsidRDefault="002F3B63" w:rsidP="002F3B63">
            <w:pPr>
              <w:spacing w:line="480" w:lineRule="auto"/>
              <w:rPr>
                <w:rFonts w:cs="Times New Roman"/>
                <w:iCs/>
              </w:rPr>
            </w:pPr>
            <w:r w:rsidRPr="006957F0">
              <w:rPr>
                <w:rFonts w:cs="Times New Roman"/>
                <w:iCs/>
              </w:rPr>
              <w:t>(16)</w:t>
            </w:r>
          </w:p>
        </w:tc>
      </w:tr>
    </w:tbl>
    <w:p w:rsidR="002F3B63" w:rsidRDefault="002F3B63" w:rsidP="002F3B63">
      <w:pPr>
        <w:spacing w:line="480" w:lineRule="auto"/>
        <w:rPr>
          <w:rFonts w:eastAsiaTheme="minorEastAsia"/>
        </w:rPr>
      </w:pPr>
      <w:r>
        <w:rPr>
          <w:rFonts w:eastAsiaTheme="minorEastAsia"/>
        </w:rPr>
        <w:t>minimized under the unbiasedness constraint,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8"/>
        <w:gridCol w:w="7830"/>
        <w:gridCol w:w="828"/>
      </w:tblGrid>
      <w:tr w:rsidR="002F3B63" w:rsidTr="002F3B63">
        <w:tc>
          <w:tcPr>
            <w:tcW w:w="918" w:type="dxa"/>
          </w:tcPr>
          <w:p w:rsidR="002F3B63" w:rsidRPr="00826222" w:rsidRDefault="002F3B63" w:rsidP="002F3B63">
            <w:pPr>
              <w:spacing w:line="480" w:lineRule="auto"/>
              <w:rPr>
                <w:rFonts w:cs="Times New Roman"/>
                <w:iCs/>
              </w:rPr>
            </w:pPr>
          </w:p>
        </w:tc>
        <w:tc>
          <w:tcPr>
            <w:tcW w:w="7830" w:type="dxa"/>
          </w:tcPr>
          <w:p w:rsidR="002F3B63" w:rsidRPr="006957F0" w:rsidRDefault="002F3B63" w:rsidP="002F3B63">
            <w:pPr>
              <w:spacing w:line="480" w:lineRule="auto"/>
              <w:rPr>
                <w:rFonts w:cs="Times New Roman"/>
                <w:iCs/>
              </w:rPr>
            </w:pPr>
            <m:oMathPara>
              <m:oMath>
                <m:r>
                  <w:rPr>
                    <w:rFonts w:ascii="Cambria Math" w:hAnsi="Cambria Math" w:cs="Times New Roman"/>
                  </w:rPr>
                  <m:t>E</m:t>
                </m:r>
                <m:d>
                  <m:dPr>
                    <m:begChr m:val="{"/>
                    <m:endChr m:val="}"/>
                    <m:ctrlPr>
                      <w:rPr>
                        <w:rFonts w:ascii="Cambria Math" w:hAnsi="Cambria Math" w:cs="Times New Roman"/>
                        <w:i/>
                      </w:rPr>
                    </m:ctrlPr>
                  </m:dPr>
                  <m:e>
                    <m:sSup>
                      <m:sSupPr>
                        <m:ctrlPr>
                          <w:rPr>
                            <w:rFonts w:ascii="Cambria Math" w:hAnsi="Cambria Math" w:cs="Times New Roman"/>
                            <w:i/>
                          </w:rPr>
                        </m:ctrlPr>
                      </m:sSupPr>
                      <m:e>
                        <m:r>
                          <w:rPr>
                            <w:rFonts w:ascii="Cambria Math" w:hAnsi="Cambria Math" w:cs="Times New Roman"/>
                          </w:rPr>
                          <m:t>Z</m:t>
                        </m:r>
                      </m:e>
                      <m:sup>
                        <m:r>
                          <w:rPr>
                            <w:rFonts w:ascii="Cambria Math" w:hAnsi="Cambria Math" w:cs="Times New Roman"/>
                          </w:rPr>
                          <m:t>*</m:t>
                        </m:r>
                      </m:sup>
                    </m:sSup>
                    <m:d>
                      <m:dPr>
                        <m:ctrlPr>
                          <w:rPr>
                            <w:rFonts w:ascii="Cambria Math" w:hAnsi="Cambria Math" w:cs="Times New Roman"/>
                            <w:i/>
                          </w:rPr>
                        </m:ctrlPr>
                      </m:dPr>
                      <m:e>
                        <m:r>
                          <w:rPr>
                            <w:rFonts w:ascii="Cambria Math" w:hAnsi="Cambria Math" w:cs="Times New Roman"/>
                          </w:rPr>
                          <m:t>x</m:t>
                        </m:r>
                      </m:e>
                    </m:d>
                    <m:r>
                      <w:rPr>
                        <w:rFonts w:ascii="Cambria Math" w:hAnsi="Cambria Math" w:cs="Times New Roman"/>
                      </w:rPr>
                      <m:t>-</m:t>
                    </m:r>
                    <m:r>
                      <w:rPr>
                        <w:rFonts w:ascii="Cambria Math" w:cs="Times New Roman"/>
                      </w:rPr>
                      <m:t xml:space="preserve"> </m:t>
                    </m:r>
                    <m:r>
                      <w:rPr>
                        <w:rFonts w:ascii="Cambria Math" w:hAnsi="Cambria Math" w:cs="Times New Roman"/>
                      </w:rPr>
                      <m:t>Z</m:t>
                    </m:r>
                    <m:r>
                      <w:rPr>
                        <w:rFonts w:ascii="Cambria Math" w:cs="Times New Roman"/>
                      </w:rPr>
                      <m:t>(</m:t>
                    </m:r>
                    <m:r>
                      <w:rPr>
                        <w:rFonts w:ascii="Cambria Math" w:hAnsi="Cambria Math" w:cs="Times New Roman"/>
                      </w:rPr>
                      <m:t>x</m:t>
                    </m:r>
                    <m:r>
                      <w:rPr>
                        <w:rFonts w:ascii="Cambria Math" w:cs="Times New Roman"/>
                      </w:rPr>
                      <m:t>)</m:t>
                    </m:r>
                  </m:e>
                </m:d>
                <m:r>
                  <w:rPr>
                    <w:rFonts w:ascii="Cambria Math" w:cs="Times New Roman"/>
                  </w:rPr>
                  <m:t xml:space="preserve">=0 </m:t>
                </m:r>
              </m:oMath>
            </m:oMathPara>
          </w:p>
        </w:tc>
        <w:tc>
          <w:tcPr>
            <w:tcW w:w="828" w:type="dxa"/>
          </w:tcPr>
          <w:p w:rsidR="002F3B63" w:rsidRPr="006957F0" w:rsidRDefault="002F3B63" w:rsidP="002F3B63">
            <w:pPr>
              <w:spacing w:line="480" w:lineRule="auto"/>
              <w:rPr>
                <w:rFonts w:cs="Times New Roman"/>
                <w:iCs/>
              </w:rPr>
            </w:pPr>
            <w:r>
              <w:rPr>
                <w:rFonts w:cs="Times New Roman"/>
                <w:iCs/>
              </w:rPr>
              <w:t>(17</w:t>
            </w:r>
            <w:r w:rsidRPr="006957F0">
              <w:rPr>
                <w:rFonts w:cs="Times New Roman"/>
                <w:iCs/>
              </w:rPr>
              <w:t>)</w:t>
            </w:r>
          </w:p>
        </w:tc>
      </w:tr>
    </w:tbl>
    <w:p w:rsidR="002F3B63" w:rsidRDefault="002F3B63" w:rsidP="002F3B63">
      <w:pPr>
        <w:spacing w:line="480" w:lineRule="auto"/>
        <w:ind w:firstLine="720"/>
        <w:rPr>
          <w:rFonts w:eastAsiaTheme="minorEastAsia"/>
        </w:rPr>
      </w:pPr>
      <w:r>
        <w:rPr>
          <w:rFonts w:eastAsiaTheme="minorEastAsia"/>
        </w:rPr>
        <w:t xml:space="preserve">The kriging form will differ based on the model adopted for the random function (RF) </w:t>
      </w:r>
      <m:oMath>
        <m:r>
          <w:rPr>
            <w:rFonts w:ascii="Cambria Math" w:hAnsi="Cambria Math" w:cs="Times New Roman"/>
          </w:rPr>
          <m:t>Z</m:t>
        </m:r>
        <m:d>
          <m:dPr>
            <m:ctrlPr>
              <w:rPr>
                <w:rFonts w:ascii="Cambria Math" w:hAnsi="Cambria Math" w:cs="Times New Roman"/>
                <w:i/>
              </w:rPr>
            </m:ctrlPr>
          </m:dPr>
          <m:e>
            <m:r>
              <w:rPr>
                <w:rFonts w:ascii="Cambria Math" w:hAnsi="Cambria Math" w:cs="Times New Roman"/>
              </w:rPr>
              <m:t>x</m:t>
            </m:r>
          </m:e>
        </m:d>
      </m:oMath>
      <w:r>
        <w:rPr>
          <w:rFonts w:eastAsiaTheme="minorEastAsia"/>
        </w:rPr>
        <w:t xml:space="preserve">, which can be broken down into a trend component, </w:t>
      </w:r>
      <m:oMath>
        <m:r>
          <w:rPr>
            <w:rFonts w:ascii="Cambria Math" w:cs="Times New Roman"/>
          </w:rPr>
          <m:t>T</m:t>
        </m:r>
        <m:d>
          <m:dPr>
            <m:ctrlPr>
              <w:rPr>
                <w:rFonts w:ascii="Cambria Math" w:hAnsi="Cambria Math" w:cs="Times New Roman"/>
                <w:i/>
              </w:rPr>
            </m:ctrlPr>
          </m:dPr>
          <m:e>
            <m:r>
              <w:rPr>
                <w:rFonts w:ascii="Cambria Math" w:cs="Times New Roman"/>
              </w:rPr>
              <m:t>x</m:t>
            </m:r>
          </m:e>
        </m:d>
        <m:r>
          <w:rPr>
            <w:rFonts w:ascii="Cambria Math" w:cs="Times New Roman"/>
          </w:rPr>
          <m:t xml:space="preserve">, </m:t>
        </m:r>
      </m:oMath>
      <w:r>
        <w:rPr>
          <w:rFonts w:eastAsiaTheme="minorEastAsia"/>
        </w:rPr>
        <w:t xml:space="preserve"> and a residual component </w:t>
      </w:r>
      <m:oMath>
        <m:r>
          <w:rPr>
            <w:rFonts w:ascii="Cambria Math" w:cs="Times New Roman"/>
          </w:rPr>
          <m:t>R(x)</m:t>
        </m:r>
      </m:oMath>
      <w:r>
        <w:rPr>
          <w:rFonts w:eastAsiaTheme="minorEastAsia"/>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8"/>
        <w:gridCol w:w="7830"/>
        <w:gridCol w:w="828"/>
      </w:tblGrid>
      <w:tr w:rsidR="002F3B63" w:rsidTr="002F3B63">
        <w:tc>
          <w:tcPr>
            <w:tcW w:w="918" w:type="dxa"/>
          </w:tcPr>
          <w:p w:rsidR="002F3B63" w:rsidRPr="00826222" w:rsidRDefault="002F3B63" w:rsidP="002F3B63">
            <w:pPr>
              <w:spacing w:line="480" w:lineRule="auto"/>
              <w:rPr>
                <w:rFonts w:cs="Times New Roman"/>
                <w:iCs/>
              </w:rPr>
            </w:pPr>
          </w:p>
        </w:tc>
        <w:tc>
          <w:tcPr>
            <w:tcW w:w="7830" w:type="dxa"/>
          </w:tcPr>
          <w:p w:rsidR="002F3B63" w:rsidRPr="00826222" w:rsidRDefault="002F3B63" w:rsidP="002F3B63">
            <w:pPr>
              <w:spacing w:line="480" w:lineRule="auto"/>
              <w:rPr>
                <w:rFonts w:cs="Times New Roman"/>
                <w:iCs/>
              </w:rPr>
            </w:pPr>
            <m:oMathPara>
              <m:oMath>
                <m:r>
                  <w:rPr>
                    <w:rFonts w:ascii="Cambria Math" w:hAnsi="Cambria Math" w:cs="Times New Roman"/>
                  </w:rPr>
                  <m:t>Z</m:t>
                </m:r>
                <m:d>
                  <m:dPr>
                    <m:ctrlPr>
                      <w:rPr>
                        <w:rFonts w:ascii="Cambria Math" w:hAnsi="Cambria Math" w:cs="Times New Roman"/>
                        <w:i/>
                      </w:rPr>
                    </m:ctrlPr>
                  </m:dPr>
                  <m:e>
                    <m:r>
                      <w:rPr>
                        <w:rFonts w:ascii="Cambria Math" w:hAnsi="Cambria Math" w:cs="Times New Roman"/>
                      </w:rPr>
                      <m:t>x</m:t>
                    </m:r>
                  </m:e>
                </m:d>
                <m:r>
                  <w:rPr>
                    <w:rFonts w:ascii="Cambria Math" w:hAnsi="Cambria Math" w:cs="Times New Roman"/>
                  </w:rPr>
                  <m:t>=R</m:t>
                </m:r>
                <m:d>
                  <m:dPr>
                    <m:ctrlPr>
                      <w:rPr>
                        <w:rFonts w:ascii="Cambria Math" w:hAnsi="Cambria Math" w:cs="Times New Roman"/>
                        <w:i/>
                      </w:rPr>
                    </m:ctrlPr>
                  </m:dPr>
                  <m:e>
                    <m:r>
                      <w:rPr>
                        <w:rFonts w:ascii="Cambria Math" w:hAnsi="Cambria Math" w:cs="Times New Roman"/>
                      </w:rPr>
                      <m:t>x</m:t>
                    </m:r>
                  </m:e>
                </m:d>
                <m:r>
                  <w:rPr>
                    <w:rFonts w:ascii="Cambria Math" w:hAnsi="Cambria Math" w:cs="Times New Roman"/>
                  </w:rPr>
                  <m:t>+ T</m:t>
                </m:r>
                <m:d>
                  <m:dPr>
                    <m:ctrlPr>
                      <w:rPr>
                        <w:rFonts w:ascii="Cambria Math" w:hAnsi="Cambria Math" w:cs="Times New Roman"/>
                        <w:i/>
                      </w:rPr>
                    </m:ctrlPr>
                  </m:dPr>
                  <m:e>
                    <m:r>
                      <w:rPr>
                        <w:rFonts w:ascii="Cambria Math" w:hAnsi="Cambria Math" w:cs="Times New Roman"/>
                      </w:rPr>
                      <m:t>x</m:t>
                    </m:r>
                  </m:e>
                </m:d>
                <m:r>
                  <w:rPr>
                    <w:rFonts w:ascii="Cambria Math" w:cs="Times New Roman"/>
                  </w:rPr>
                  <m:t xml:space="preserve"> </m:t>
                </m:r>
              </m:oMath>
            </m:oMathPara>
          </w:p>
        </w:tc>
        <w:tc>
          <w:tcPr>
            <w:tcW w:w="828" w:type="dxa"/>
          </w:tcPr>
          <w:p w:rsidR="002F3B63" w:rsidRPr="006957F0" w:rsidRDefault="002F3B63" w:rsidP="002F3B63">
            <w:pPr>
              <w:spacing w:line="480" w:lineRule="auto"/>
              <w:rPr>
                <w:rFonts w:cs="Times New Roman"/>
                <w:iCs/>
              </w:rPr>
            </w:pPr>
            <w:r w:rsidRPr="006957F0">
              <w:rPr>
                <w:rFonts w:cs="Times New Roman"/>
                <w:iCs/>
              </w:rPr>
              <w:t>(18)</w:t>
            </w:r>
          </w:p>
        </w:tc>
      </w:tr>
    </w:tbl>
    <w:p w:rsidR="002F3B63" w:rsidRDefault="002F3B63" w:rsidP="002F3B63">
      <w:pPr>
        <w:spacing w:line="480" w:lineRule="auto"/>
        <w:rPr>
          <w:rFonts w:eastAsiaTheme="minorEastAsia"/>
        </w:rPr>
      </w:pPr>
      <w:r>
        <w:rPr>
          <w:rFonts w:eastAsiaTheme="minorEastAsia"/>
        </w:rPr>
        <w:t xml:space="preserve">The residual component is modeled as a stationary RF with mean equal to zero and covariance function that depends only on lag, </w:t>
      </w:r>
      <w:r w:rsidRPr="006422A8">
        <w:rPr>
          <w:rFonts w:eastAsiaTheme="minorEastAsia"/>
          <w:i/>
        </w:rPr>
        <w:t>h</w:t>
      </w:r>
      <w:r>
        <w:rPr>
          <w:rFonts w:eastAsiaTheme="minorEastAsia"/>
        </w:rPr>
        <w:t xml:space="preserve">, not position, </w:t>
      </w:r>
      <w:r w:rsidRPr="006422A8">
        <w:rPr>
          <w:rFonts w:eastAsiaTheme="minorEastAsia"/>
          <w:i/>
        </w:rPr>
        <w:t>x</w:t>
      </w:r>
      <w:r>
        <w:rPr>
          <w:rFonts w:eastAsiaTheme="minorEastAsia"/>
        </w:rPr>
        <w:t xml:space="preserve"> </w:t>
      </w:r>
      <w:r w:rsidR="00177749">
        <w:rPr>
          <w:rFonts w:eastAsiaTheme="minorEastAsia"/>
        </w:rPr>
        <w:fldChar w:fldCharType="begin"/>
      </w:r>
      <w:r>
        <w:rPr>
          <w:rFonts w:eastAsiaTheme="minorEastAsia"/>
        </w:rPr>
        <w:instrText xml:space="preserve"> ADDIN ZOTERO_ITEM CSL_CITATION {"citationID":"29iiqb5b7u","properties":{"formattedCitation":"(Bohling, 2005)","plainCitation":"(Bohling, 2005)"},"citationItems":[{"id":106,"uris":["http://zotero.org/users/1507390/items/G2IGH5XJ"],"uri":["http://zotero.org/users/1507390/items/G2IGH5XJ"],"itemData":{"id":106,"type":"article-journal","title":"Introduction to Geostatistics and Variogram Analysis","container-title":"Kansas geological survey","page":"20","journalAbbreviation":"Kansas geological survey","author":[{"family":"Bohling","given":"Geoff"}],"issued":{"date-parts":[["2005",10]]}}}],"schema":"https://github.com/citation-style-language/schema/raw/master/csl-citation.json"} </w:instrText>
      </w:r>
      <w:r w:rsidR="00177749">
        <w:rPr>
          <w:rFonts w:eastAsiaTheme="minorEastAsia"/>
        </w:rPr>
        <w:fldChar w:fldCharType="separate"/>
      </w:r>
      <w:r w:rsidRPr="000B6679">
        <w:rPr>
          <w:rFonts w:ascii="Cambria" w:hAnsi="Cambria"/>
        </w:rPr>
        <w:t>(Bohling, 2005)</w:t>
      </w:r>
      <w:r w:rsidR="00177749">
        <w:rPr>
          <w:rFonts w:eastAsiaTheme="minorEastAsia"/>
        </w:rPr>
        <w:fldChar w:fldCharType="end"/>
      </w:r>
      <w:r>
        <w:rPr>
          <w:rFonts w:eastAsiaTheme="minorEastAsia"/>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8"/>
        <w:gridCol w:w="7830"/>
        <w:gridCol w:w="828"/>
      </w:tblGrid>
      <w:tr w:rsidR="002F3B63" w:rsidTr="002F3B63">
        <w:tc>
          <w:tcPr>
            <w:tcW w:w="918" w:type="dxa"/>
          </w:tcPr>
          <w:p w:rsidR="002F3B63" w:rsidRPr="00826222" w:rsidRDefault="002F3B63" w:rsidP="002F3B63">
            <w:pPr>
              <w:spacing w:line="480" w:lineRule="auto"/>
              <w:rPr>
                <w:rFonts w:cs="Times New Roman"/>
                <w:iCs/>
              </w:rPr>
            </w:pPr>
          </w:p>
        </w:tc>
        <w:tc>
          <w:tcPr>
            <w:tcW w:w="7830" w:type="dxa"/>
          </w:tcPr>
          <w:p w:rsidR="002F3B63" w:rsidRPr="00826222" w:rsidRDefault="002F3B63" w:rsidP="002F3B63">
            <w:pPr>
              <w:spacing w:line="480" w:lineRule="auto"/>
              <w:rPr>
                <w:rFonts w:cs="Times New Roman"/>
                <w:iCs/>
              </w:rPr>
            </w:pPr>
            <m:oMathPara>
              <m:oMath>
                <m:r>
                  <w:rPr>
                    <w:rFonts w:ascii="Cambria Math" w:hAnsi="Cambria Math" w:cs="Times New Roman"/>
                  </w:rPr>
                  <m:t>E</m:t>
                </m:r>
                <m:d>
                  <m:dPr>
                    <m:begChr m:val="{"/>
                    <m:endChr m:val="}"/>
                    <m:ctrlPr>
                      <w:rPr>
                        <w:rFonts w:ascii="Cambria Math" w:hAnsi="Cambria Math" w:cs="Times New Roman"/>
                        <w:i/>
                      </w:rPr>
                    </m:ctrlPr>
                  </m:dPr>
                  <m:e>
                    <m:r>
                      <w:rPr>
                        <w:rFonts w:ascii="Cambria Math" w:hAnsi="Cambria Math" w:cs="Times New Roman"/>
                      </w:rPr>
                      <m:t>R(x)</m:t>
                    </m:r>
                  </m:e>
                </m:d>
                <m:r>
                  <w:rPr>
                    <w:rFonts w:ascii="Cambria Math" w:hAnsi="Cambria Math" w:cs="Times New Roman"/>
                  </w:rPr>
                  <m:t>=0</m:t>
                </m:r>
                <m:r>
                  <w:rPr>
                    <w:rFonts w:ascii="Cambria Math" w:cs="Times New Roman"/>
                  </w:rPr>
                  <m:t xml:space="preserve"> </m:t>
                </m:r>
              </m:oMath>
            </m:oMathPara>
          </w:p>
        </w:tc>
        <w:tc>
          <w:tcPr>
            <w:tcW w:w="828" w:type="dxa"/>
            <w:vMerge w:val="restart"/>
            <w:vAlign w:val="center"/>
          </w:tcPr>
          <w:p w:rsidR="002F3B63" w:rsidRPr="006957F0" w:rsidRDefault="002F3B63" w:rsidP="002F3B63">
            <w:pPr>
              <w:spacing w:line="480" w:lineRule="auto"/>
              <w:rPr>
                <w:rFonts w:cs="Times New Roman"/>
                <w:iCs/>
              </w:rPr>
            </w:pPr>
            <w:r>
              <w:rPr>
                <w:rFonts w:cs="Times New Roman"/>
                <w:iCs/>
              </w:rPr>
              <w:t>(19</w:t>
            </w:r>
            <w:r w:rsidRPr="006957F0">
              <w:rPr>
                <w:rFonts w:cs="Times New Roman"/>
                <w:iCs/>
              </w:rPr>
              <w:t>)</w:t>
            </w:r>
          </w:p>
        </w:tc>
      </w:tr>
      <w:tr w:rsidR="002F3B63" w:rsidTr="002F3B63">
        <w:tc>
          <w:tcPr>
            <w:tcW w:w="918" w:type="dxa"/>
          </w:tcPr>
          <w:p w:rsidR="002F3B63" w:rsidRPr="00826222" w:rsidRDefault="002F3B63" w:rsidP="002F3B63">
            <w:pPr>
              <w:spacing w:line="480" w:lineRule="auto"/>
              <w:rPr>
                <w:rFonts w:cs="Times New Roman"/>
                <w:iCs/>
              </w:rPr>
            </w:pPr>
          </w:p>
        </w:tc>
        <w:tc>
          <w:tcPr>
            <w:tcW w:w="7830" w:type="dxa"/>
          </w:tcPr>
          <w:p w:rsidR="002F3B63" w:rsidRPr="00826222" w:rsidRDefault="002F3B63" w:rsidP="002F3B63">
            <w:pPr>
              <w:spacing w:line="480" w:lineRule="auto"/>
              <w:rPr>
                <w:rFonts w:cs="Times New Roman"/>
                <w:iCs/>
              </w:rPr>
            </w:pPr>
            <m:oMathPara>
              <m:oMath>
                <m:r>
                  <w:rPr>
                    <w:rFonts w:ascii="Cambria Math" w:hAnsi="Cambria Math" w:cs="Times New Roman"/>
                  </w:rPr>
                  <m:t>Cov</m:t>
                </m:r>
                <m:d>
                  <m:dPr>
                    <m:begChr m:val="{"/>
                    <m:endChr m:val="}"/>
                    <m:ctrlPr>
                      <w:rPr>
                        <w:rFonts w:ascii="Cambria Math" w:hAnsi="Cambria Math" w:cs="Times New Roman"/>
                        <w:i/>
                      </w:rPr>
                    </m:ctrlPr>
                  </m:dPr>
                  <m:e>
                    <m:r>
                      <w:rPr>
                        <w:rFonts w:ascii="Cambria Math" w:hAnsi="Cambria Math" w:cs="Times New Roman"/>
                      </w:rPr>
                      <m:t>R</m:t>
                    </m:r>
                    <m:d>
                      <m:dPr>
                        <m:ctrlPr>
                          <w:rPr>
                            <w:rFonts w:ascii="Cambria Math" w:hAnsi="Cambria Math" w:cs="Times New Roman"/>
                            <w:i/>
                          </w:rPr>
                        </m:ctrlPr>
                      </m:dPr>
                      <m:e>
                        <m:r>
                          <w:rPr>
                            <w:rFonts w:ascii="Cambria Math" w:hAnsi="Cambria Math" w:cs="Times New Roman"/>
                          </w:rPr>
                          <m:t>x</m:t>
                        </m:r>
                      </m:e>
                    </m:d>
                    <m:r>
                      <w:rPr>
                        <w:rFonts w:ascii="Cambria Math" w:hAnsi="Cambria Math" w:cs="Times New Roman"/>
                      </w:rPr>
                      <m:t>, R(x+h)</m:t>
                    </m:r>
                  </m:e>
                </m:d>
                <m:r>
                  <w:rPr>
                    <w:rFonts w:ascii="Cambria Math" w:hAnsi="Cambria Math" w:cs="Times New Roman"/>
                  </w:rPr>
                  <m:t>=E</m:t>
                </m:r>
                <m:d>
                  <m:dPr>
                    <m:begChr m:val="{"/>
                    <m:endChr m:val="}"/>
                    <m:ctrlPr>
                      <w:rPr>
                        <w:rFonts w:ascii="Cambria Math" w:hAnsi="Cambria Math" w:cs="Times New Roman"/>
                        <w:i/>
                      </w:rPr>
                    </m:ctrlPr>
                  </m:dPr>
                  <m:e>
                    <m:r>
                      <w:rPr>
                        <w:rFonts w:ascii="Cambria Math" w:hAnsi="Cambria Math" w:cs="Times New Roman"/>
                      </w:rPr>
                      <m:t>R</m:t>
                    </m:r>
                    <m:d>
                      <m:dPr>
                        <m:ctrlPr>
                          <w:rPr>
                            <w:rFonts w:ascii="Cambria Math" w:hAnsi="Cambria Math" w:cs="Times New Roman"/>
                            <w:i/>
                          </w:rPr>
                        </m:ctrlPr>
                      </m:dPr>
                      <m:e>
                        <m:r>
                          <w:rPr>
                            <w:rFonts w:ascii="Cambria Math" w:hAnsi="Cambria Math" w:cs="Times New Roman"/>
                          </w:rPr>
                          <m:t>x</m:t>
                        </m:r>
                      </m:e>
                    </m:d>
                    <m:r>
                      <w:rPr>
                        <w:rFonts w:ascii="Cambria Math" w:hAnsi="Cambria Math" w:cs="Times New Roman"/>
                      </w:rPr>
                      <m:t>*R(x+h)</m:t>
                    </m:r>
                  </m:e>
                </m:d>
                <m:r>
                  <w:rPr>
                    <w:rFonts w:ascii="Cambria Math" w:hAnsi="Cambria Math" w:cs="Times New Roman"/>
                  </w:rPr>
                  <m:t>=</m:t>
                </m:r>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R</m:t>
                    </m:r>
                  </m:sub>
                </m:sSub>
                <m:r>
                  <w:rPr>
                    <w:rFonts w:ascii="Cambria Math" w:hAnsi="Cambria Math" w:cs="Times New Roman"/>
                  </w:rPr>
                  <m:t>(h)</m:t>
                </m:r>
                <m:r>
                  <w:rPr>
                    <w:rFonts w:ascii="Cambria Math" w:cs="Times New Roman"/>
                  </w:rPr>
                  <m:t xml:space="preserve"> </m:t>
                </m:r>
              </m:oMath>
            </m:oMathPara>
          </w:p>
        </w:tc>
        <w:tc>
          <w:tcPr>
            <w:tcW w:w="828" w:type="dxa"/>
            <w:vMerge/>
          </w:tcPr>
          <w:p w:rsidR="002F3B63" w:rsidRPr="006957F0" w:rsidRDefault="002F3B63" w:rsidP="002F3B63">
            <w:pPr>
              <w:spacing w:line="480" w:lineRule="auto"/>
              <w:rPr>
                <w:rFonts w:cs="Times New Roman"/>
                <w:iCs/>
              </w:rPr>
            </w:pPr>
          </w:p>
        </w:tc>
      </w:tr>
    </w:tbl>
    <w:p w:rsidR="002F3B63" w:rsidRDefault="002F3B63" w:rsidP="002F3B63">
      <w:pPr>
        <w:spacing w:line="480" w:lineRule="auto"/>
        <w:rPr>
          <w:rFonts w:eastAsiaTheme="minorEastAsia"/>
        </w:rPr>
      </w:pPr>
      <w:r>
        <w:rPr>
          <w:rFonts w:eastAsiaTheme="minorEastAsia"/>
        </w:rPr>
        <w:t xml:space="preserve">The residual covariance function, </w:t>
      </w:r>
      <w:r w:rsidRPr="006422A8">
        <w:rPr>
          <w:rFonts w:eastAsiaTheme="minorEastAsia"/>
          <w:i/>
        </w:rPr>
        <w:t>C</w:t>
      </w:r>
      <w:r w:rsidRPr="006422A8">
        <w:rPr>
          <w:rFonts w:eastAsiaTheme="minorEastAsia"/>
          <w:i/>
          <w:vertAlign w:val="subscript"/>
        </w:rPr>
        <w:t>R</w:t>
      </w:r>
      <w:r w:rsidRPr="006422A8">
        <w:rPr>
          <w:rFonts w:eastAsiaTheme="minorEastAsia"/>
          <w:i/>
        </w:rPr>
        <w:t>(h)</w:t>
      </w:r>
      <w:r>
        <w:rPr>
          <w:rFonts w:eastAsiaTheme="minorEastAsia"/>
        </w:rPr>
        <w:t>, is derived via information provided by the semivariogram model, i.e.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8"/>
        <w:gridCol w:w="7830"/>
        <w:gridCol w:w="828"/>
      </w:tblGrid>
      <w:tr w:rsidR="002F3B63" w:rsidTr="002F3B63">
        <w:tc>
          <w:tcPr>
            <w:tcW w:w="918" w:type="dxa"/>
          </w:tcPr>
          <w:p w:rsidR="002F3B63" w:rsidRPr="00826222" w:rsidRDefault="002F3B63" w:rsidP="002F3B63">
            <w:pPr>
              <w:spacing w:line="480" w:lineRule="auto"/>
              <w:rPr>
                <w:rFonts w:cs="Times New Roman"/>
                <w:iCs/>
              </w:rPr>
            </w:pPr>
          </w:p>
        </w:tc>
        <w:tc>
          <w:tcPr>
            <w:tcW w:w="7830" w:type="dxa"/>
          </w:tcPr>
          <w:p w:rsidR="002F3B63" w:rsidRPr="00826222" w:rsidRDefault="00177749" w:rsidP="002F3B63">
            <w:pPr>
              <w:spacing w:line="480" w:lineRule="auto"/>
              <w:rPr>
                <w:rFonts w:cs="Times New Roman"/>
                <w:iCs/>
              </w:rPr>
            </w:pPr>
            <m:oMathPara>
              <m:oMath>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R</m:t>
                    </m:r>
                  </m:sub>
                </m:sSub>
                <m:d>
                  <m:dPr>
                    <m:ctrlPr>
                      <w:rPr>
                        <w:rFonts w:ascii="Cambria Math" w:hAnsi="Cambria Math" w:cs="Times New Roman"/>
                        <w:i/>
                      </w:rPr>
                    </m:ctrlPr>
                  </m:dPr>
                  <m:e>
                    <m:r>
                      <w:rPr>
                        <w:rFonts w:ascii="Cambria Math" w:hAnsi="Cambria Math" w:cs="Times New Roman"/>
                      </w:rPr>
                      <m:t>h</m:t>
                    </m:r>
                  </m:e>
                </m:d>
                <m:r>
                  <w:rPr>
                    <w:rFonts w:ascii="Cambria Math" w:hAnsi="Cambria Math" w:cs="Times New Roman"/>
                  </w:rPr>
                  <m:t>= Sill- γ(h)</m:t>
                </m:r>
                <m:r>
                  <w:rPr>
                    <w:rFonts w:ascii="Cambria Math" w:cs="Times New Roman"/>
                  </w:rPr>
                  <m:t xml:space="preserve"> </m:t>
                </m:r>
              </m:oMath>
            </m:oMathPara>
          </w:p>
        </w:tc>
        <w:tc>
          <w:tcPr>
            <w:tcW w:w="828" w:type="dxa"/>
          </w:tcPr>
          <w:p w:rsidR="002F3B63" w:rsidRPr="006957F0" w:rsidRDefault="002F3B63" w:rsidP="002F3B63">
            <w:pPr>
              <w:spacing w:line="480" w:lineRule="auto"/>
              <w:rPr>
                <w:rFonts w:cs="Times New Roman"/>
                <w:iCs/>
              </w:rPr>
            </w:pPr>
            <w:r>
              <w:rPr>
                <w:rFonts w:cs="Times New Roman"/>
                <w:iCs/>
              </w:rPr>
              <w:t>(20</w:t>
            </w:r>
            <w:r w:rsidRPr="006957F0">
              <w:rPr>
                <w:rFonts w:cs="Times New Roman"/>
                <w:iCs/>
              </w:rPr>
              <w:t>)</w:t>
            </w:r>
          </w:p>
        </w:tc>
      </w:tr>
    </w:tbl>
    <w:p w:rsidR="002F3B63" w:rsidRDefault="002F3B63" w:rsidP="002F3B63">
      <w:pPr>
        <w:spacing w:line="480" w:lineRule="auto"/>
        <w:rPr>
          <w:rFonts w:eastAsiaTheme="minorEastAsia"/>
        </w:rPr>
      </w:pPr>
      <w:r>
        <w:rPr>
          <w:rFonts w:eastAsiaTheme="minorEastAsia"/>
        </w:rPr>
        <w:t xml:space="preserve">therefore, the semivariogram model used in the kriging program will represent the residual component of the variable </w:t>
      </w:r>
      <w:r w:rsidR="00177749">
        <w:rPr>
          <w:rFonts w:eastAsiaTheme="minorEastAsia"/>
        </w:rPr>
        <w:fldChar w:fldCharType="begin"/>
      </w:r>
      <w:r>
        <w:rPr>
          <w:rFonts w:eastAsiaTheme="minorEastAsia"/>
        </w:rPr>
        <w:instrText xml:space="preserve"> ADDIN ZOTERO_ITEM CSL_CITATION {"citationID":"2e26uhm1m3","properties":{"formattedCitation":"(Bohling, 2005)","plainCitation":"(Bohling, 2005)"},"citationItems":[{"id":106,"uris":["http://zotero.org/users/1507390/items/G2IGH5XJ"],"uri":["http://zotero.org/users/1507390/items/G2IGH5XJ"],"itemData":{"id":106,"type":"article-journal","title":"Introduction to Geostatistics and Variogram Analysis","container-title":"Kansas geological survey","page":"20","journalAbbreviation":"Kansas geological survey","author":[{"family":"Bohling","given":"Geoff"}],"issued":{"date-parts":[["2005",10]]}}}],"schema":"https://github.com/citation-style-language/schema/raw/master/csl-citation.json"} </w:instrText>
      </w:r>
      <w:r w:rsidR="00177749">
        <w:rPr>
          <w:rFonts w:eastAsiaTheme="minorEastAsia"/>
        </w:rPr>
        <w:fldChar w:fldCharType="separate"/>
      </w:r>
      <w:r w:rsidRPr="00A23DD4">
        <w:rPr>
          <w:rFonts w:ascii="Cambria" w:hAnsi="Cambria"/>
        </w:rPr>
        <w:t>(Bohling, 2005)</w:t>
      </w:r>
      <w:r w:rsidR="00177749">
        <w:rPr>
          <w:rFonts w:eastAsiaTheme="minorEastAsia"/>
        </w:rPr>
        <w:fldChar w:fldCharType="end"/>
      </w:r>
      <w:r>
        <w:rPr>
          <w:rFonts w:eastAsiaTheme="minorEastAsia"/>
        </w:rPr>
        <w:t xml:space="preserve">. The expected value of the random variable </w:t>
      </w:r>
      <w:r w:rsidRPr="00672E15">
        <w:rPr>
          <w:rFonts w:eastAsiaTheme="minorEastAsia"/>
          <w:i/>
        </w:rPr>
        <w:t>Z</w:t>
      </w:r>
      <w:r>
        <w:rPr>
          <w:rFonts w:eastAsiaTheme="minorEastAsia"/>
        </w:rPr>
        <w:t xml:space="preserve"> at location </w:t>
      </w:r>
      <w:r w:rsidRPr="00672E15">
        <w:rPr>
          <w:rFonts w:eastAsiaTheme="minorEastAsia"/>
          <w:i/>
        </w:rPr>
        <w:t>x</w:t>
      </w:r>
      <w:r>
        <w:rPr>
          <w:rFonts w:eastAsiaTheme="minorEastAsia"/>
        </w:rPr>
        <w:t xml:space="preserve"> is thus the value of the trend component at that location (Goovaerts, 1997):</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8"/>
        <w:gridCol w:w="7830"/>
        <w:gridCol w:w="828"/>
      </w:tblGrid>
      <w:tr w:rsidR="002F3B63" w:rsidTr="002F3B63">
        <w:tc>
          <w:tcPr>
            <w:tcW w:w="918" w:type="dxa"/>
          </w:tcPr>
          <w:p w:rsidR="002F3B63" w:rsidRPr="00826222" w:rsidRDefault="002F3B63" w:rsidP="002F3B63">
            <w:pPr>
              <w:spacing w:line="480" w:lineRule="auto"/>
              <w:rPr>
                <w:rFonts w:cs="Times New Roman"/>
                <w:iCs/>
              </w:rPr>
            </w:pPr>
          </w:p>
        </w:tc>
        <w:tc>
          <w:tcPr>
            <w:tcW w:w="7830" w:type="dxa"/>
          </w:tcPr>
          <w:p w:rsidR="002F3B63" w:rsidRPr="00826222" w:rsidRDefault="002F3B63" w:rsidP="002F3B63">
            <w:pPr>
              <w:spacing w:line="480" w:lineRule="auto"/>
              <w:rPr>
                <w:rFonts w:cs="Times New Roman"/>
                <w:iCs/>
              </w:rPr>
            </w:pPr>
            <m:oMathPara>
              <m:oMath>
                <m:r>
                  <w:rPr>
                    <w:rFonts w:ascii="Cambria Math" w:hAnsi="Cambria Math" w:cs="Times New Roman"/>
                  </w:rPr>
                  <m:t>E</m:t>
                </m:r>
                <m:d>
                  <m:dPr>
                    <m:begChr m:val="{"/>
                    <m:endChr m:val="}"/>
                    <m:ctrlPr>
                      <w:rPr>
                        <w:rFonts w:ascii="Cambria Math" w:hAnsi="Cambria Math" w:cs="Times New Roman"/>
                        <w:i/>
                      </w:rPr>
                    </m:ctrlPr>
                  </m:dPr>
                  <m:e>
                    <m:r>
                      <w:rPr>
                        <w:rFonts w:ascii="Cambria Math" w:hAnsi="Cambria Math" w:cs="Times New Roman"/>
                      </w:rPr>
                      <m:t>Z(x)</m:t>
                    </m:r>
                  </m:e>
                </m:d>
                <m:r>
                  <w:rPr>
                    <w:rFonts w:ascii="Cambria Math" w:hAnsi="Cambria Math" w:cs="Times New Roman"/>
                  </w:rPr>
                  <m:t>=m</m:t>
                </m:r>
                <m:d>
                  <m:dPr>
                    <m:ctrlPr>
                      <w:rPr>
                        <w:rFonts w:ascii="Cambria Math" w:hAnsi="Cambria Math" w:cs="Times New Roman"/>
                        <w:i/>
                      </w:rPr>
                    </m:ctrlPr>
                  </m:dPr>
                  <m:e>
                    <m:r>
                      <w:rPr>
                        <w:rFonts w:ascii="Cambria Math" w:hAnsi="Cambria Math" w:cs="Times New Roman"/>
                      </w:rPr>
                      <m:t>x</m:t>
                    </m:r>
                  </m:e>
                </m:d>
                <m:r>
                  <w:rPr>
                    <w:rFonts w:ascii="Cambria Math" w:cs="Times New Roman"/>
                  </w:rPr>
                  <m:t xml:space="preserve"> </m:t>
                </m:r>
              </m:oMath>
            </m:oMathPara>
          </w:p>
        </w:tc>
        <w:tc>
          <w:tcPr>
            <w:tcW w:w="828" w:type="dxa"/>
          </w:tcPr>
          <w:p w:rsidR="002F3B63" w:rsidRPr="006957F0" w:rsidRDefault="0004094A" w:rsidP="002F3B63">
            <w:pPr>
              <w:spacing w:line="480" w:lineRule="auto"/>
              <w:rPr>
                <w:rFonts w:cs="Times New Roman"/>
                <w:iCs/>
              </w:rPr>
            </w:pPr>
            <w:r>
              <w:rPr>
                <w:rFonts w:cs="Times New Roman"/>
                <w:iCs/>
              </w:rPr>
              <w:t>(21</w:t>
            </w:r>
            <w:r w:rsidR="002F3B63" w:rsidRPr="006957F0">
              <w:rPr>
                <w:rFonts w:cs="Times New Roman"/>
                <w:iCs/>
              </w:rPr>
              <w:t>)</w:t>
            </w:r>
          </w:p>
        </w:tc>
      </w:tr>
    </w:tbl>
    <w:p w:rsidR="002F3B63" w:rsidRDefault="002F3B63" w:rsidP="002F3B63">
      <w:pPr>
        <w:spacing w:line="480" w:lineRule="auto"/>
      </w:pPr>
      <w:r w:rsidRPr="00E37930">
        <w:t xml:space="preserve">The three main kriging variants, simple, ordinary, and universal differ according to their treatment of the trend component, </w:t>
      </w:r>
      <m:oMath>
        <m:r>
          <w:rPr>
            <w:rFonts w:ascii="Cambria Math" w:hAnsi="Cambria Math" w:cs="Times New Roman"/>
          </w:rPr>
          <m:t>m</m:t>
        </m:r>
        <m:d>
          <m:dPr>
            <m:ctrlPr>
              <w:rPr>
                <w:rFonts w:ascii="Cambria Math" w:hAnsi="Cambria Math" w:cs="Times New Roman"/>
                <w:i/>
              </w:rPr>
            </m:ctrlPr>
          </m:dPr>
          <m:e>
            <m:r>
              <w:rPr>
                <w:rFonts w:ascii="Cambria Math" w:hAnsi="Cambria Math" w:cs="Times New Roman"/>
              </w:rPr>
              <m:t>x</m:t>
            </m:r>
          </m:e>
        </m:d>
      </m:oMath>
      <w:r w:rsidRPr="00E37930">
        <w:t xml:space="preserve">. </w:t>
      </w:r>
    </w:p>
    <w:p w:rsidR="002F3B63" w:rsidRDefault="002F3B63" w:rsidP="002F3B63">
      <w:pPr>
        <w:spacing w:line="480" w:lineRule="auto"/>
        <w:ind w:firstLine="720"/>
        <w:rPr>
          <w:rFonts w:eastAsiaTheme="minorEastAsia"/>
        </w:rPr>
      </w:pPr>
      <w:r w:rsidRPr="00E37930">
        <w:t xml:space="preserve">Simple kriging (SK) is mathematically the least complicated, as the name implies, and considers the mean, </w:t>
      </w:r>
      <m:oMath>
        <m:r>
          <w:rPr>
            <w:rFonts w:ascii="Cambria Math" w:hAnsi="Cambria Math" w:cs="Times New Roman"/>
          </w:rPr>
          <m:t>m</m:t>
        </m:r>
        <m:d>
          <m:dPr>
            <m:ctrlPr>
              <w:rPr>
                <w:rFonts w:ascii="Cambria Math" w:hAnsi="Cambria Math" w:cs="Times New Roman"/>
                <w:i/>
              </w:rPr>
            </m:ctrlPr>
          </m:dPr>
          <m:e>
            <m:r>
              <w:rPr>
                <w:rFonts w:ascii="Cambria Math" w:hAnsi="Cambria Math" w:cs="Times New Roman"/>
              </w:rPr>
              <m:t>x</m:t>
            </m:r>
          </m:e>
        </m:d>
        <m:r>
          <w:rPr>
            <w:rFonts w:ascii="Cambria Math" w:cs="Times New Roman"/>
          </w:rPr>
          <m:t>,</m:t>
        </m:r>
      </m:oMath>
      <w:r w:rsidRPr="00E37930">
        <w:rPr>
          <w:rFonts w:eastAsiaTheme="minorEastAsia"/>
        </w:rPr>
        <w:t xml:space="preserve"> to be known and constant throughout the study area (Goovaerts, 1997). This assumption is satisfied when dealing with residuals from a function fitted by least squares (i.e. trend surface residuals), in this case the mean </w:t>
      </w:r>
      <w:r>
        <w:rPr>
          <w:rFonts w:eastAsiaTheme="minorEastAsia"/>
        </w:rPr>
        <w:t>is zero (Davis, 2002</w:t>
      </w:r>
      <w:r w:rsidRPr="00E37930">
        <w:rPr>
          <w:rFonts w:eastAsiaTheme="minorEastAsia"/>
        </w:rPr>
        <w:t>). A form of simple kriging, known as residual kriging</w:t>
      </w:r>
      <w:r>
        <w:rPr>
          <w:rFonts w:eastAsiaTheme="minorEastAsia"/>
        </w:rPr>
        <w:t xml:space="preserve"> (RK)</w:t>
      </w:r>
      <w:r w:rsidRPr="00E37930">
        <w:rPr>
          <w:rFonts w:eastAsiaTheme="minorEastAsia"/>
        </w:rPr>
        <w:t xml:space="preserve">, will be utilized in this study to deal with non-stationary regionalized variables. In </w:t>
      </w:r>
      <w:r>
        <w:rPr>
          <w:rFonts w:eastAsiaTheme="minorEastAsia"/>
        </w:rPr>
        <w:t>RK</w:t>
      </w:r>
      <w:r w:rsidRPr="00E37930">
        <w:rPr>
          <w:rFonts w:eastAsiaTheme="minorEastAsia"/>
        </w:rPr>
        <w:t xml:space="preserve"> the trend is estimated (using trend surface analysis) then removed from the data. The empirical semivariogram and fitted model are computed for the residuals in the previously stated manner, and then the residuals are kriged to obtain estimates. Finally, the trend is then added back to the kriged estimates to produce the final result. </w:t>
      </w:r>
    </w:p>
    <w:p w:rsidR="002F3B63" w:rsidRDefault="002F3B63" w:rsidP="002F3B63">
      <w:pPr>
        <w:spacing w:line="480" w:lineRule="auto"/>
        <w:ind w:firstLine="720"/>
        <w:rPr>
          <w:rFonts w:eastAsiaTheme="minorEastAsia"/>
        </w:rPr>
      </w:pPr>
      <w:r w:rsidRPr="00E37930">
        <w:rPr>
          <w:rFonts w:eastAsiaTheme="minorEastAsia"/>
        </w:rPr>
        <w:t xml:space="preserve">Ordinary Kriging (OK) differs from SK in that the requirement of a known mean is dropped. OK accounts for fluctuations in the mean by limiting the domain of stationarity to the local neighborhood (Goovaerts, 1997). Where SK assumes a </w:t>
      </w:r>
      <w:r>
        <w:rPr>
          <w:rFonts w:eastAsiaTheme="minorEastAsia"/>
        </w:rPr>
        <w:t xml:space="preserve">stationary </w:t>
      </w:r>
      <w:r w:rsidRPr="00E37930">
        <w:rPr>
          <w:rFonts w:eastAsiaTheme="minorEastAsia"/>
        </w:rPr>
        <w:t>known mean, OK assumes a stationary but unknown mean; Universal Kriging (UK) is a further generalization of the kriging procedure th</w:t>
      </w:r>
      <w:r>
        <w:rPr>
          <w:rFonts w:eastAsiaTheme="minorEastAsia"/>
        </w:rPr>
        <w:t xml:space="preserve">at </w:t>
      </w:r>
      <w:r w:rsidRPr="00E37930">
        <w:rPr>
          <w:rFonts w:eastAsiaTheme="minorEastAsia"/>
        </w:rPr>
        <w:t>removes the restriction of a constant mean. UK performs in a simultaneous process what would otherwise consist of three arduous steps: trend removal</w:t>
      </w:r>
      <w:r>
        <w:rPr>
          <w:rFonts w:eastAsiaTheme="minorEastAsia"/>
        </w:rPr>
        <w:t xml:space="preserve">, kriging of residuals, and </w:t>
      </w:r>
      <w:r w:rsidRPr="00E37930">
        <w:rPr>
          <w:rFonts w:eastAsiaTheme="minorEastAsia"/>
        </w:rPr>
        <w:t>adding back the</w:t>
      </w:r>
      <w:r>
        <w:rPr>
          <w:rFonts w:eastAsiaTheme="minorEastAsia"/>
        </w:rPr>
        <w:t xml:space="preserve"> removed</w:t>
      </w:r>
      <w:r w:rsidRPr="00E37930">
        <w:rPr>
          <w:rFonts w:eastAsiaTheme="minorEastAsia"/>
        </w:rPr>
        <w:t xml:space="preserve"> trend to residual estimates</w:t>
      </w:r>
      <w:r>
        <w:rPr>
          <w:rFonts w:eastAsiaTheme="minorEastAsia"/>
        </w:rPr>
        <w:t xml:space="preserve"> (Davis, 2002)</w:t>
      </w:r>
      <w:r w:rsidRPr="00E37930">
        <w:rPr>
          <w:rFonts w:eastAsiaTheme="minorEastAsia"/>
        </w:rPr>
        <w:t xml:space="preserve">. </w:t>
      </w:r>
      <w:r>
        <w:rPr>
          <w:rFonts w:eastAsiaTheme="minorEastAsia"/>
        </w:rPr>
        <w:t xml:space="preserve">In the gstat package (Pebesma, 2004) the underlying geographic </w:t>
      </w:r>
      <w:r>
        <w:rPr>
          <w:rFonts w:eastAsiaTheme="minorEastAsia"/>
        </w:rPr>
        <w:lastRenderedPageBreak/>
        <w:t xml:space="preserve">trend of the parameter is first determined using trend surface analysis and then supplied to the UK algorithm. </w:t>
      </w:r>
    </w:p>
    <w:p w:rsidR="002F3B63" w:rsidRPr="00D77E3E" w:rsidRDefault="002F3B63" w:rsidP="002F3B63">
      <w:pPr>
        <w:spacing w:line="480" w:lineRule="auto"/>
        <w:ind w:firstLine="720"/>
        <w:rPr>
          <w:rFonts w:eastAsiaTheme="minorEastAsia"/>
        </w:rPr>
      </w:pPr>
      <w:r>
        <w:rPr>
          <w:rFonts w:eastAsiaTheme="minorEastAsia"/>
        </w:rPr>
        <w:t xml:space="preserve">Co-kriging is an extension of the basic kriging algorithm that allows information provided by a spatially correlated co-variable to supplement the estimation process of the primary variable. For example, if  </w:t>
      </w:r>
      <m:oMath>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j</m:t>
            </m:r>
          </m:sub>
        </m:sSub>
        <m:r>
          <w:rPr>
            <w:rFonts w:ascii="Cambria Math" w:hAnsi="Cambria Math" w:cs="Times New Roman"/>
          </w:rPr>
          <m:t>(x)</m:t>
        </m:r>
      </m:oMath>
      <w:r>
        <w:rPr>
          <w:rFonts w:eastAsiaTheme="minorEastAsia"/>
        </w:rPr>
        <w:t xml:space="preserve"> saturated water content data, </w:t>
      </w:r>
      <m:oMath>
        <m:sSub>
          <m:sSubPr>
            <m:ctrlPr>
              <w:rPr>
                <w:rFonts w:ascii="Cambria Math" w:hAnsi="Cambria Math" w:cs="Times New Roman"/>
                <w:i/>
              </w:rPr>
            </m:ctrlPr>
          </m:sSubPr>
          <m:e>
            <m:sSub>
              <m:sSubPr>
                <m:ctrlPr>
                  <w:rPr>
                    <w:rFonts w:ascii="Cambria Math" w:hAnsi="Cambria Math" w:cs="Times New Roman"/>
                    <w:i/>
                  </w:rPr>
                </m:ctrlPr>
              </m:sSubPr>
              <m:e>
                <m:r>
                  <w:rPr>
                    <w:rFonts w:ascii="Cambria Math" w:hAnsi="Cambria Math" w:cs="Times New Roman"/>
                  </w:rPr>
                  <m:t>Z</m:t>
                </m:r>
              </m:e>
              <m:sub>
                <m:r>
                  <w:rPr>
                    <w:rFonts w:ascii="Cambria Math" w:hAnsi="Cambria Math" w:cs="Times New Roman"/>
                  </w:rPr>
                  <m:t>2</m:t>
                </m:r>
              </m:sub>
            </m:sSub>
            <m:r>
              <w:rPr>
                <w:rFonts w:ascii="Cambria Math" w:cs="Times New Roman"/>
              </w:rPr>
              <m:t>(</m:t>
            </m:r>
            <m:r>
              <w:rPr>
                <w:rFonts w:ascii="Cambria Math" w:hAnsi="Cambria Math" w:cs="Times New Roman"/>
              </w:rPr>
              <m:t>x</m:t>
            </m:r>
          </m:e>
          <m:sub>
            <m:r>
              <w:rPr>
                <w:rFonts w:ascii="Cambria Math" w:hAnsi="Cambria Math" w:cs="Times New Roman"/>
              </w:rPr>
              <m:t>j</m:t>
            </m:r>
          </m:sub>
        </m:sSub>
        <m:r>
          <w:rPr>
            <w:rFonts w:ascii="Cambria Math" w:cs="Times New Roman"/>
          </w:rPr>
          <m:t>)</m:t>
        </m:r>
      </m:oMath>
      <w:r>
        <w:rPr>
          <w:rFonts w:eastAsiaTheme="minorEastAsia"/>
        </w:rPr>
        <w:t xml:space="preserve">, are available in addition to the </w:t>
      </w:r>
      <m:oMath>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i</m:t>
            </m:r>
          </m:sub>
        </m:sSub>
        <m:r>
          <w:rPr>
            <w:rFonts w:ascii="Cambria Math" w:hAnsi="Cambria Math" w:cs="Times New Roman"/>
          </w:rPr>
          <m:t>(x)</m:t>
        </m:r>
      </m:oMath>
      <w:r>
        <w:rPr>
          <w:rFonts w:eastAsiaTheme="minorEastAsia"/>
        </w:rPr>
        <w:t xml:space="preserve"> air entry data, </w:t>
      </w:r>
      <m:oMath>
        <m:sSub>
          <m:sSubPr>
            <m:ctrlPr>
              <w:rPr>
                <w:rFonts w:ascii="Cambria Math" w:hAnsi="Cambria Math" w:cs="Times New Roman"/>
                <w:i/>
              </w:rPr>
            </m:ctrlPr>
          </m:sSubPr>
          <m:e>
            <m:sSub>
              <m:sSubPr>
                <m:ctrlPr>
                  <w:rPr>
                    <w:rFonts w:ascii="Cambria Math" w:hAnsi="Cambria Math" w:cs="Times New Roman"/>
                    <w:i/>
                  </w:rPr>
                </m:ctrlPr>
              </m:sSubPr>
              <m:e>
                <m:r>
                  <w:rPr>
                    <w:rFonts w:ascii="Cambria Math" w:hAnsi="Cambria Math" w:cs="Times New Roman"/>
                  </w:rPr>
                  <m:t>Z</m:t>
                </m:r>
              </m:e>
              <m:sub>
                <m:r>
                  <w:rPr>
                    <w:rFonts w:ascii="Cambria Math" w:hAnsi="Cambria Math" w:cs="Times New Roman"/>
                  </w:rPr>
                  <m:t>1</m:t>
                </m:r>
              </m:sub>
            </m:sSub>
            <m:r>
              <w:rPr>
                <w:rFonts w:ascii="Cambria Math" w:cs="Times New Roman"/>
              </w:rPr>
              <m:t>(</m:t>
            </m:r>
            <m:r>
              <w:rPr>
                <w:rFonts w:ascii="Cambria Math" w:hAnsi="Cambria Math" w:cs="Times New Roman"/>
              </w:rPr>
              <m:t>x</m:t>
            </m:r>
          </m:e>
          <m:sub>
            <m:r>
              <w:rPr>
                <w:rFonts w:ascii="Cambria Math" w:hAnsi="Cambria Math" w:cs="Times New Roman"/>
              </w:rPr>
              <m:t>i</m:t>
            </m:r>
          </m:sub>
        </m:sSub>
        <m:r>
          <w:rPr>
            <w:rFonts w:ascii="Cambria Math" w:cs="Times New Roman"/>
          </w:rPr>
          <m:t>)</m:t>
        </m:r>
      </m:oMath>
      <w:r>
        <w:rPr>
          <w:rFonts w:eastAsiaTheme="minorEastAsia"/>
        </w:rPr>
        <w:t xml:space="preserve">, the simple co-kriging estimate for the primary variable at any unsampled location </w:t>
      </w:r>
      <w:r w:rsidRPr="00D77E3E">
        <w:rPr>
          <w:rFonts w:eastAsiaTheme="minorEastAsia"/>
          <w:i/>
        </w:rPr>
        <w:t>x</w:t>
      </w:r>
      <w:r>
        <w:rPr>
          <w:rFonts w:eastAsiaTheme="minorEastAsia"/>
        </w:rPr>
        <w:t xml:space="preserve"> is: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8"/>
        <w:gridCol w:w="7830"/>
        <w:gridCol w:w="828"/>
      </w:tblGrid>
      <w:tr w:rsidR="002F3B63" w:rsidTr="002F3B63">
        <w:tc>
          <w:tcPr>
            <w:tcW w:w="918" w:type="dxa"/>
          </w:tcPr>
          <w:p w:rsidR="002F3B63" w:rsidRPr="00826222" w:rsidRDefault="002F3B63" w:rsidP="002F3B63">
            <w:pPr>
              <w:spacing w:line="480" w:lineRule="auto"/>
              <w:rPr>
                <w:rFonts w:cs="Times New Roman"/>
                <w:iCs/>
              </w:rPr>
            </w:pPr>
          </w:p>
        </w:tc>
        <w:tc>
          <w:tcPr>
            <w:tcW w:w="7830" w:type="dxa"/>
          </w:tcPr>
          <w:p w:rsidR="002F3B63" w:rsidRPr="00826222" w:rsidRDefault="00177749" w:rsidP="002F3B63">
            <w:pPr>
              <w:spacing w:line="480" w:lineRule="auto"/>
              <w:rPr>
                <w:rFonts w:cs="Times New Roman"/>
                <w:iCs/>
              </w:rPr>
            </w:pPr>
            <m:oMathPara>
              <m:oMath>
                <m:sSup>
                  <m:sSupPr>
                    <m:ctrlPr>
                      <w:rPr>
                        <w:rFonts w:ascii="Cambria Math" w:hAnsi="Cambria Math" w:cs="Times New Roman"/>
                        <w:i/>
                      </w:rPr>
                    </m:ctrlPr>
                  </m:sSupPr>
                  <m:e>
                    <m:r>
                      <w:rPr>
                        <w:rFonts w:ascii="Cambria Math" w:hAnsi="Cambria Math" w:cs="Times New Roman"/>
                      </w:rPr>
                      <m:t>Z</m:t>
                    </m:r>
                  </m:e>
                  <m:sup>
                    <m:r>
                      <w:rPr>
                        <w:rFonts w:ascii="Cambria Math" w:hAnsi="Cambria Math" w:cs="Times New Roman"/>
                      </w:rPr>
                      <m:t>*</m:t>
                    </m:r>
                  </m:sup>
                </m:sSup>
                <m:d>
                  <m:dPr>
                    <m:ctrlPr>
                      <w:rPr>
                        <w:rFonts w:ascii="Cambria Math" w:hAnsi="Cambria Math" w:cs="Times New Roman"/>
                        <w:i/>
                      </w:rPr>
                    </m:ctrlPr>
                  </m:dPr>
                  <m:e>
                    <m:r>
                      <w:rPr>
                        <w:rFonts w:ascii="Cambria Math" w:hAnsi="Cambria Math" w:cs="Times New Roman"/>
                      </w:rPr>
                      <m:t>x</m:t>
                    </m:r>
                  </m:e>
                </m:d>
                <m:r>
                  <w:rPr>
                    <w:rFonts w:ascii="Cambria Math" w:cs="Times New Roman"/>
                  </w:rPr>
                  <m:t>-</m:t>
                </m:r>
                <m:r>
                  <w:rPr>
                    <w:rFonts w:ascii="Cambria Math" w:cs="Times New Roman"/>
                  </w:rPr>
                  <m:t xml:space="preserve"> </m:t>
                </m:r>
                <m:sSub>
                  <m:sSubPr>
                    <m:ctrlPr>
                      <w:rPr>
                        <w:rFonts w:ascii="Cambria Math" w:hAnsi="Cambria Math" w:cs="Times New Roman"/>
                        <w:i/>
                      </w:rPr>
                    </m:ctrlPr>
                  </m:sSubPr>
                  <m:e>
                    <m:r>
                      <w:rPr>
                        <w:rFonts w:ascii="Cambria Math" w:cs="Times New Roman"/>
                      </w:rPr>
                      <m:t>m</m:t>
                    </m:r>
                  </m:e>
                  <m:sub>
                    <m:r>
                      <w:rPr>
                        <w:rFonts w:ascii="Cambria Math" w:cs="Times New Roman"/>
                      </w:rPr>
                      <m:t>1</m:t>
                    </m:r>
                  </m:sub>
                </m:sSub>
                <m:r>
                  <w:rPr>
                    <w:rFonts w:ascii="Cambria Math" w:cs="Times New Roman"/>
                  </w:rPr>
                  <m:t xml:space="preserve">= </m:t>
                </m:r>
                <m:nary>
                  <m:naryPr>
                    <m:chr m:val="∑"/>
                    <m:limLoc m:val="undOvr"/>
                    <m:ctrlPr>
                      <w:rPr>
                        <w:rFonts w:ascii="Cambria Math" w:hAnsi="Cambria Math" w:cs="Times New Roman"/>
                        <w:i/>
                      </w:rPr>
                    </m:ctrlPr>
                  </m:naryPr>
                  <m:sub>
                    <m:r>
                      <w:rPr>
                        <w:rFonts w:ascii="Cambria Math" w:hAnsi="Cambria Math" w:cs="Times New Roman"/>
                      </w:rPr>
                      <m:t>i</m:t>
                    </m:r>
                    <m:r>
                      <w:rPr>
                        <w:rFonts w:ascii="Cambria Math" w:cs="Times New Roman"/>
                      </w:rPr>
                      <m:t xml:space="preserve">=1 </m:t>
                    </m:r>
                  </m:sub>
                  <m:sup>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i</m:t>
                        </m:r>
                      </m:sub>
                    </m:sSub>
                    <m:r>
                      <w:rPr>
                        <w:rFonts w:ascii="Cambria Math" w:hAnsi="Cambria Math" w:cs="Times New Roman"/>
                      </w:rPr>
                      <m:t>(x)</m:t>
                    </m:r>
                  </m:sup>
                  <m:e>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i</m:t>
                        </m:r>
                      </m:sub>
                    </m:sSub>
                    <m:r>
                      <w:rPr>
                        <w:rFonts w:ascii="Cambria Math" w:hAnsi="Cambria Math" w:cs="Times New Roman"/>
                      </w:rPr>
                      <m:t xml:space="preserve">(x) </m:t>
                    </m:r>
                    <m:d>
                      <m:dPr>
                        <m:begChr m:val="["/>
                        <m:endChr m:val="]"/>
                        <m:ctrlPr>
                          <w:rPr>
                            <w:rFonts w:ascii="Cambria Math" w:hAnsi="Cambria Math" w:cs="Times New Roman"/>
                            <w:i/>
                          </w:rPr>
                        </m:ctrlPr>
                      </m:dPr>
                      <m:e>
                        <m:sSub>
                          <m:sSubPr>
                            <m:ctrlPr>
                              <w:rPr>
                                <w:rFonts w:ascii="Cambria Math" w:hAnsi="Cambria Math" w:cs="Times New Roman"/>
                                <w:i/>
                              </w:rPr>
                            </m:ctrlPr>
                          </m:sSubPr>
                          <m:e>
                            <m:sSub>
                              <m:sSubPr>
                                <m:ctrlPr>
                                  <w:rPr>
                                    <w:rFonts w:ascii="Cambria Math" w:hAnsi="Cambria Math" w:cs="Times New Roman"/>
                                    <w:i/>
                                  </w:rPr>
                                </m:ctrlPr>
                              </m:sSubPr>
                              <m:e>
                                <m:r>
                                  <w:rPr>
                                    <w:rFonts w:ascii="Cambria Math" w:hAnsi="Cambria Math" w:cs="Times New Roman"/>
                                  </w:rPr>
                                  <m:t>Z</m:t>
                                </m:r>
                              </m:e>
                              <m:sub>
                                <m:r>
                                  <w:rPr>
                                    <w:rFonts w:ascii="Cambria Math" w:hAnsi="Cambria Math" w:cs="Times New Roman"/>
                                  </w:rPr>
                                  <m:t>1</m:t>
                                </m:r>
                              </m:sub>
                            </m:sSub>
                            <m:r>
                              <w:rPr>
                                <w:rFonts w:ascii="Cambria Math" w:cs="Times New Roman"/>
                              </w:rPr>
                              <m:t>(</m:t>
                            </m:r>
                            <m:r>
                              <w:rPr>
                                <w:rFonts w:ascii="Cambria Math" w:hAnsi="Cambria Math" w:cs="Times New Roman"/>
                              </w:rPr>
                              <m:t>x</m:t>
                            </m:r>
                          </m:e>
                          <m:sub>
                            <m:r>
                              <w:rPr>
                                <w:rFonts w:ascii="Cambria Math" w:hAnsi="Cambria Math" w:cs="Times New Roman"/>
                              </w:rPr>
                              <m:t>i</m:t>
                            </m:r>
                          </m:sub>
                        </m:sSub>
                        <m:r>
                          <w:rPr>
                            <w:rFonts w:ascii="Cambria Math" w:cs="Times New Roman"/>
                          </w:rPr>
                          <m:t>)</m:t>
                        </m:r>
                        <m:r>
                          <w:rPr>
                            <w:rFonts w:ascii="Cambria Math" w:cs="Times New Roman"/>
                          </w:rPr>
                          <m:t>-</m:t>
                        </m:r>
                        <m:sSub>
                          <m:sSubPr>
                            <m:ctrlPr>
                              <w:rPr>
                                <w:rFonts w:ascii="Cambria Math" w:hAnsi="Cambria Math" w:cs="Times New Roman"/>
                                <w:i/>
                              </w:rPr>
                            </m:ctrlPr>
                          </m:sSubPr>
                          <m:e>
                            <m:r>
                              <w:rPr>
                                <w:rFonts w:ascii="Cambria Math" w:cs="Times New Roman"/>
                              </w:rPr>
                              <m:t>m</m:t>
                            </m:r>
                          </m:e>
                          <m:sub>
                            <m:r>
                              <w:rPr>
                                <w:rFonts w:ascii="Cambria Math" w:cs="Times New Roman"/>
                              </w:rPr>
                              <m:t>1</m:t>
                            </m:r>
                          </m:sub>
                        </m:sSub>
                      </m:e>
                    </m:d>
                  </m:e>
                </m:nary>
                <m:r>
                  <w:rPr>
                    <w:rFonts w:ascii="Cambria Math" w:cs="Times New Roman"/>
                  </w:rPr>
                  <m:t xml:space="preserve"> +</m:t>
                </m:r>
                <m:nary>
                  <m:naryPr>
                    <m:chr m:val="∑"/>
                    <m:limLoc m:val="undOvr"/>
                    <m:ctrlPr>
                      <w:rPr>
                        <w:rFonts w:ascii="Cambria Math" w:hAnsi="Cambria Math" w:cs="Times New Roman"/>
                        <w:i/>
                      </w:rPr>
                    </m:ctrlPr>
                  </m:naryPr>
                  <m:sub>
                    <m:r>
                      <w:rPr>
                        <w:rFonts w:ascii="Cambria Math" w:cs="Times New Roman"/>
                      </w:rPr>
                      <m:t xml:space="preserve">j=1 </m:t>
                    </m:r>
                  </m:sub>
                  <m:sup>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j</m:t>
                        </m:r>
                      </m:sub>
                    </m:sSub>
                    <m:r>
                      <w:rPr>
                        <w:rFonts w:ascii="Cambria Math" w:hAnsi="Cambria Math" w:cs="Times New Roman"/>
                      </w:rPr>
                      <m:t>(x)</m:t>
                    </m:r>
                  </m:sup>
                  <m:e>
                    <m:sSub>
                      <m:sSubPr>
                        <m:ctrlPr>
                          <w:rPr>
                            <w:rFonts w:ascii="Cambria Math" w:hAnsi="Cambria Math" w:cs="Times New Roman"/>
                            <w:i/>
                          </w:rPr>
                        </m:ctrlPr>
                      </m:sSubPr>
                      <m:e>
                        <m:r>
                          <w:rPr>
                            <w:rFonts w:ascii="Cambria Math" w:hAnsi="Cambria Math" w:cs="Times New Roman"/>
                          </w:rPr>
                          <m:t>λ</m:t>
                        </m:r>
                      </m:e>
                      <m:sub>
                        <m:r>
                          <w:rPr>
                            <w:rFonts w:ascii="Cambria Math" w:hAnsi="Cambria Math" w:cs="Times New Roman"/>
                          </w:rPr>
                          <m:t>j</m:t>
                        </m:r>
                      </m:sub>
                    </m:sSub>
                    <m:r>
                      <w:rPr>
                        <w:rFonts w:ascii="Cambria Math" w:hAnsi="Cambria Math" w:cs="Times New Roman"/>
                      </w:rPr>
                      <m:t xml:space="preserve">(x) </m:t>
                    </m:r>
                    <m:d>
                      <m:dPr>
                        <m:begChr m:val="["/>
                        <m:endChr m:val="]"/>
                        <m:ctrlPr>
                          <w:rPr>
                            <w:rFonts w:ascii="Cambria Math" w:hAnsi="Cambria Math" w:cs="Times New Roman"/>
                            <w:i/>
                          </w:rPr>
                        </m:ctrlPr>
                      </m:dPr>
                      <m:e>
                        <m:sSub>
                          <m:sSubPr>
                            <m:ctrlPr>
                              <w:rPr>
                                <w:rFonts w:ascii="Cambria Math" w:hAnsi="Cambria Math" w:cs="Times New Roman"/>
                                <w:i/>
                              </w:rPr>
                            </m:ctrlPr>
                          </m:sSubPr>
                          <m:e>
                            <m:sSub>
                              <m:sSubPr>
                                <m:ctrlPr>
                                  <w:rPr>
                                    <w:rFonts w:ascii="Cambria Math" w:hAnsi="Cambria Math" w:cs="Times New Roman"/>
                                    <w:i/>
                                  </w:rPr>
                                </m:ctrlPr>
                              </m:sSubPr>
                              <m:e>
                                <m:r>
                                  <w:rPr>
                                    <w:rFonts w:ascii="Cambria Math" w:hAnsi="Cambria Math" w:cs="Times New Roman"/>
                                  </w:rPr>
                                  <m:t>Z</m:t>
                                </m:r>
                              </m:e>
                              <m:sub>
                                <m:r>
                                  <w:rPr>
                                    <w:rFonts w:ascii="Cambria Math" w:hAnsi="Cambria Math" w:cs="Times New Roman"/>
                                  </w:rPr>
                                  <m:t>2</m:t>
                                </m:r>
                              </m:sub>
                            </m:sSub>
                            <m:r>
                              <w:rPr>
                                <w:rFonts w:ascii="Cambria Math" w:cs="Times New Roman"/>
                              </w:rPr>
                              <m:t>(</m:t>
                            </m:r>
                            <m:r>
                              <w:rPr>
                                <w:rFonts w:ascii="Cambria Math" w:hAnsi="Cambria Math" w:cs="Times New Roman"/>
                              </w:rPr>
                              <m:t>x</m:t>
                            </m:r>
                          </m:e>
                          <m:sub>
                            <m:r>
                              <w:rPr>
                                <w:rFonts w:ascii="Cambria Math" w:hAnsi="Cambria Math" w:cs="Times New Roman"/>
                              </w:rPr>
                              <m:t>j</m:t>
                            </m:r>
                          </m:sub>
                        </m:sSub>
                        <m:r>
                          <w:rPr>
                            <w:rFonts w:ascii="Cambria Math" w:cs="Times New Roman"/>
                          </w:rPr>
                          <m:t>)</m:t>
                        </m:r>
                        <m:r>
                          <w:rPr>
                            <w:rFonts w:ascii="Cambria Math" w:cs="Times New Roman"/>
                          </w:rPr>
                          <m:t>-</m:t>
                        </m:r>
                        <m:sSub>
                          <m:sSubPr>
                            <m:ctrlPr>
                              <w:rPr>
                                <w:rFonts w:ascii="Cambria Math" w:hAnsi="Cambria Math" w:cs="Times New Roman"/>
                                <w:i/>
                              </w:rPr>
                            </m:ctrlPr>
                          </m:sSubPr>
                          <m:e>
                            <m:r>
                              <w:rPr>
                                <w:rFonts w:ascii="Cambria Math" w:cs="Times New Roman"/>
                              </w:rPr>
                              <m:t>m</m:t>
                            </m:r>
                          </m:e>
                          <m:sub>
                            <m:r>
                              <w:rPr>
                                <w:rFonts w:ascii="Cambria Math" w:cs="Times New Roman"/>
                              </w:rPr>
                              <m:t>2</m:t>
                            </m:r>
                          </m:sub>
                        </m:sSub>
                      </m:e>
                    </m:d>
                  </m:e>
                </m:nary>
                <m:r>
                  <w:rPr>
                    <w:rFonts w:ascii="Cambria Math" w:cs="Times New Roman"/>
                  </w:rPr>
                  <m:t xml:space="preserve"> </m:t>
                </m:r>
              </m:oMath>
            </m:oMathPara>
          </w:p>
        </w:tc>
        <w:tc>
          <w:tcPr>
            <w:tcW w:w="828" w:type="dxa"/>
          </w:tcPr>
          <w:p w:rsidR="002F3B63" w:rsidRDefault="002F3B63" w:rsidP="002F3B63">
            <w:pPr>
              <w:spacing w:line="480" w:lineRule="auto"/>
              <w:rPr>
                <w:rFonts w:cs="Times New Roman"/>
                <w:iCs/>
              </w:rPr>
            </w:pPr>
          </w:p>
          <w:p w:rsidR="002F3B63" w:rsidRPr="00826222" w:rsidRDefault="002F3B63" w:rsidP="002F3B63">
            <w:pPr>
              <w:spacing w:line="480" w:lineRule="auto"/>
              <w:rPr>
                <w:rFonts w:cs="Times New Roman"/>
                <w:iCs/>
              </w:rPr>
            </w:pPr>
            <w:r w:rsidRPr="00826222">
              <w:rPr>
                <w:rFonts w:cs="Times New Roman"/>
                <w:iCs/>
              </w:rPr>
              <w:t>(</w:t>
            </w:r>
            <w:r w:rsidR="0004094A">
              <w:t>22</w:t>
            </w:r>
            <w:r w:rsidRPr="00826222">
              <w:rPr>
                <w:rFonts w:cs="Times New Roman"/>
                <w:iCs/>
              </w:rPr>
              <w:t>)</w:t>
            </w:r>
          </w:p>
        </w:tc>
      </w:tr>
    </w:tbl>
    <w:p w:rsidR="002F3B63" w:rsidRDefault="002F3B63" w:rsidP="002F3B63">
      <w:pPr>
        <w:spacing w:line="480" w:lineRule="auto"/>
        <w:rPr>
          <w:rFonts w:eastAsiaTheme="minorEastAsia"/>
        </w:rPr>
      </w:pPr>
      <w:r>
        <w:rPr>
          <w:rFonts w:eastAsiaTheme="minorEastAsia"/>
        </w:rPr>
        <w:t xml:space="preserve">where </w:t>
      </w:r>
      <m:oMath>
        <m:sSub>
          <m:sSubPr>
            <m:ctrlPr>
              <w:rPr>
                <w:rFonts w:ascii="Cambria Math" w:hAnsi="Cambria Math" w:cs="Times New Roman"/>
                <w:i/>
              </w:rPr>
            </m:ctrlPr>
          </m:sSubPr>
          <m:e>
            <m:r>
              <w:rPr>
                <w:rFonts w:ascii="Cambria Math" w:cs="Times New Roman"/>
              </w:rPr>
              <m:t>m</m:t>
            </m:r>
          </m:e>
          <m:sub>
            <m:r>
              <w:rPr>
                <w:rFonts w:ascii="Cambria Math" w:cs="Times New Roman"/>
              </w:rPr>
              <m:t>1</m:t>
            </m:r>
          </m:sub>
        </m:sSub>
      </m:oMath>
      <w:r>
        <w:rPr>
          <w:rFonts w:eastAsiaTheme="minorEastAsia"/>
        </w:rPr>
        <w:t xml:space="preserve"> and </w:t>
      </w:r>
      <m:oMath>
        <m:sSub>
          <m:sSubPr>
            <m:ctrlPr>
              <w:rPr>
                <w:rFonts w:ascii="Cambria Math" w:hAnsi="Cambria Math" w:cs="Times New Roman"/>
                <w:i/>
              </w:rPr>
            </m:ctrlPr>
          </m:sSubPr>
          <m:e>
            <m:r>
              <w:rPr>
                <w:rFonts w:ascii="Cambria Math" w:cs="Times New Roman"/>
              </w:rPr>
              <m:t>m</m:t>
            </m:r>
          </m:e>
          <m:sub>
            <m:r>
              <w:rPr>
                <w:rFonts w:ascii="Cambria Math" w:cs="Times New Roman"/>
              </w:rPr>
              <m:t>2</m:t>
            </m:r>
          </m:sub>
        </m:sSub>
      </m:oMath>
      <w:r>
        <w:rPr>
          <w:rFonts w:eastAsiaTheme="minorEastAsia"/>
        </w:rPr>
        <w:t xml:space="preserve"> are the primary and secondary means assumed known and constant within the study area </w:t>
      </w:r>
      <w:r w:rsidR="00177749">
        <w:rPr>
          <w:rFonts w:eastAsiaTheme="minorEastAsia"/>
        </w:rPr>
        <w:fldChar w:fldCharType="begin"/>
      </w:r>
      <w:r>
        <w:rPr>
          <w:rFonts w:eastAsiaTheme="minorEastAsia"/>
        </w:rPr>
        <w:instrText xml:space="preserve"> ADDIN ZOTERO_ITEM CSL_CITATION {"citationID":"1evrtq9r99","properties":{"formattedCitation":"(Goovaerts, 1998)","plainCitation":"(Goovaerts, 1998)"},"citationItems":[{"id":608,"uris":["http://zotero.org/users/1507390/items/TQ8CAGXM"],"uri":["http://zotero.org/users/1507390/items/TQ8CAGXM"],"itemData":{"id":608,"type":"article-journal","title":"Ordinary Cokriging Revisited","container-title":"Mathematical Geology","page":"21-42","volume":"30","issue":"1","source":"link.springer.com","abstract":"This paper sets up the relations between simple cokriging and ordinary cokriging with one or several unbiasedness constraints. Differences between cokriging variants are related to differences between models adopted for the means of primary and secondary variables. Because it is not necessary for the secondary data weights to sum to zero, ordinary cokriging with a single unbiasedness constraint gives a larger weight to the secondary information while reducing the occurrence of negative weights. Also the weights provided by such cokriging systems written in terms of covariances or correlograms are not related linearly, hence the estimates are different. The prediction performances of cokriging estimators are assessed using an environmental dataset that includes concentrations of five heavy metals at 359 locations. Analysis of reestimation scores at 100 test locations shows that kriging and cokriging perform equally when the primary and secondary variables are sampled at the same locations. When the secondary information is available at the estimated location, one gains little by retaining other distant secondary data in the estimation.","DOI":"10.1023/A:1021757104135","ISSN":"0882-8121, 1573-8868","journalAbbreviation":"Mathematical Geology","language":"en","author":[{"family":"Goovaerts","given":"P."}],"issued":{"date-parts":[["1998",1,1]]},"accessed":{"date-parts":[["2015",5,4]]}}}],"schema":"https://github.com/citation-style-language/schema/raw/master/csl-citation.json"} </w:instrText>
      </w:r>
      <w:r w:rsidR="00177749">
        <w:rPr>
          <w:rFonts w:eastAsiaTheme="minorEastAsia"/>
        </w:rPr>
        <w:fldChar w:fldCharType="separate"/>
      </w:r>
      <w:r w:rsidRPr="00D77E3E">
        <w:rPr>
          <w:rFonts w:ascii="Cambria" w:hAnsi="Cambria"/>
        </w:rPr>
        <w:t>(Goovaerts, 1998)</w:t>
      </w:r>
      <w:r w:rsidR="00177749">
        <w:rPr>
          <w:rFonts w:eastAsiaTheme="minorEastAsia"/>
        </w:rPr>
        <w:fldChar w:fldCharType="end"/>
      </w:r>
      <w:r>
        <w:rPr>
          <w:rFonts w:eastAsiaTheme="minorEastAsia"/>
        </w:rPr>
        <w:t>.  Kriging and co-kriging are theoretically identical and abide by the same unbiasedness and minimization requirements. The only difference being cokriging models four covariance functions as opposed to a single covariance function for kriging:</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8"/>
        <w:gridCol w:w="7830"/>
        <w:gridCol w:w="828"/>
      </w:tblGrid>
      <w:tr w:rsidR="002F3B63" w:rsidTr="002F3B63">
        <w:tc>
          <w:tcPr>
            <w:tcW w:w="918" w:type="dxa"/>
          </w:tcPr>
          <w:p w:rsidR="002F3B63" w:rsidRPr="00826222" w:rsidRDefault="002F3B63" w:rsidP="002F3B63">
            <w:pPr>
              <w:spacing w:line="480" w:lineRule="auto"/>
              <w:rPr>
                <w:rFonts w:cs="Times New Roman"/>
                <w:iCs/>
              </w:rPr>
            </w:pPr>
          </w:p>
        </w:tc>
        <w:tc>
          <w:tcPr>
            <w:tcW w:w="7830" w:type="dxa"/>
          </w:tcPr>
          <w:p w:rsidR="002F3B63" w:rsidRPr="0075008E" w:rsidRDefault="00177749" w:rsidP="002F3B63">
            <w:pPr>
              <w:spacing w:line="480" w:lineRule="auto"/>
              <w:rPr>
                <w:rFonts w:eastAsiaTheme="minorEastAsia" w:cs="Times New Roman"/>
              </w:rPr>
            </w:pPr>
            <m:oMathPara>
              <m:oMath>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11</m:t>
                    </m:r>
                  </m:sub>
                </m:sSub>
                <m:d>
                  <m:dPr>
                    <m:ctrlPr>
                      <w:rPr>
                        <w:rFonts w:ascii="Cambria Math" w:hAnsi="Cambria Math" w:cs="Times New Roman"/>
                        <w:i/>
                      </w:rPr>
                    </m:ctrlPr>
                  </m:dPr>
                  <m:e>
                    <m:r>
                      <w:rPr>
                        <w:rFonts w:ascii="Cambria Math" w:hAnsi="Cambria Math" w:cs="Times New Roman"/>
                      </w:rPr>
                      <m:t>h</m:t>
                    </m:r>
                  </m:e>
                </m:d>
                <m:r>
                  <w:rPr>
                    <w:rFonts w:ascii="Cambria Math" w:hAnsi="Cambria Math" w:cs="Times New Roman"/>
                  </w:rPr>
                  <m:t>= Cov</m:t>
                </m:r>
                <m:d>
                  <m:dPr>
                    <m:begChr m:val="{"/>
                    <m:endChr m:val="}"/>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Z</m:t>
                        </m:r>
                      </m:e>
                      <m:sub>
                        <m:r>
                          <w:rPr>
                            <w:rFonts w:ascii="Cambria Math" w:hAnsi="Cambria Math" w:cs="Times New Roman"/>
                          </w:rPr>
                          <m:t>1</m:t>
                        </m:r>
                      </m:sub>
                    </m:sSub>
                    <m:d>
                      <m:dPr>
                        <m:ctrlPr>
                          <w:rPr>
                            <w:rFonts w:ascii="Cambria Math" w:hAnsi="Cambria Math" w:cs="Times New Roman"/>
                            <w:i/>
                          </w:rPr>
                        </m:ctrlPr>
                      </m:dPr>
                      <m:e>
                        <m:r>
                          <w:rPr>
                            <w:rFonts w:ascii="Cambria Math" w:hAnsi="Cambria Math" w:cs="Times New Roman"/>
                          </w:rPr>
                          <m:t>x</m:t>
                        </m:r>
                      </m:e>
                    </m:d>
                    <m:r>
                      <w:rPr>
                        <w:rFonts w:ascii="Cambria Math" w:hAnsi="Cambria Math" w:cs="Times New Roman"/>
                      </w:rPr>
                      <m:t xml:space="preserve">, </m:t>
                    </m:r>
                    <m:sSub>
                      <m:sSubPr>
                        <m:ctrlPr>
                          <w:rPr>
                            <w:rFonts w:ascii="Cambria Math" w:hAnsi="Cambria Math" w:cs="Times New Roman"/>
                            <w:i/>
                          </w:rPr>
                        </m:ctrlPr>
                      </m:sSubPr>
                      <m:e>
                        <m:r>
                          <w:rPr>
                            <w:rFonts w:ascii="Cambria Math" w:hAnsi="Cambria Math" w:cs="Times New Roman"/>
                          </w:rPr>
                          <m:t xml:space="preserve"> Z</m:t>
                        </m:r>
                      </m:e>
                      <m:sub>
                        <m:r>
                          <w:rPr>
                            <w:rFonts w:ascii="Cambria Math" w:hAnsi="Cambria Math" w:cs="Times New Roman"/>
                          </w:rPr>
                          <m:t>1</m:t>
                        </m:r>
                      </m:sub>
                    </m:sSub>
                    <m:d>
                      <m:dPr>
                        <m:ctrlPr>
                          <w:rPr>
                            <w:rFonts w:ascii="Cambria Math" w:hAnsi="Cambria Math" w:cs="Times New Roman"/>
                            <w:i/>
                          </w:rPr>
                        </m:ctrlPr>
                      </m:dPr>
                      <m:e>
                        <m:r>
                          <w:rPr>
                            <w:rFonts w:ascii="Cambria Math" w:hAnsi="Cambria Math" w:cs="Times New Roman"/>
                          </w:rPr>
                          <m:t>x+h</m:t>
                        </m:r>
                      </m:e>
                    </m:d>
                  </m:e>
                </m:d>
              </m:oMath>
            </m:oMathPara>
          </w:p>
          <w:p w:rsidR="002F3B63" w:rsidRPr="0075008E" w:rsidRDefault="00177749" w:rsidP="002F3B63">
            <w:pPr>
              <w:spacing w:line="480" w:lineRule="auto"/>
              <w:rPr>
                <w:rFonts w:eastAsiaTheme="minorEastAsia" w:cs="Times New Roman"/>
              </w:rPr>
            </w:pPr>
            <m:oMathPara>
              <m:oMath>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22</m:t>
                    </m:r>
                  </m:sub>
                </m:sSub>
                <m:d>
                  <m:dPr>
                    <m:ctrlPr>
                      <w:rPr>
                        <w:rFonts w:ascii="Cambria Math" w:hAnsi="Cambria Math" w:cs="Times New Roman"/>
                        <w:i/>
                      </w:rPr>
                    </m:ctrlPr>
                  </m:dPr>
                  <m:e>
                    <m:r>
                      <w:rPr>
                        <w:rFonts w:ascii="Cambria Math" w:hAnsi="Cambria Math" w:cs="Times New Roman"/>
                      </w:rPr>
                      <m:t>h</m:t>
                    </m:r>
                  </m:e>
                </m:d>
                <m:r>
                  <w:rPr>
                    <w:rFonts w:ascii="Cambria Math" w:hAnsi="Cambria Math" w:cs="Times New Roman"/>
                  </w:rPr>
                  <m:t>= Cov</m:t>
                </m:r>
                <m:d>
                  <m:dPr>
                    <m:begChr m:val="{"/>
                    <m:endChr m:val="}"/>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Z</m:t>
                        </m:r>
                      </m:e>
                      <m:sub>
                        <m:r>
                          <w:rPr>
                            <w:rFonts w:ascii="Cambria Math" w:hAnsi="Cambria Math" w:cs="Times New Roman"/>
                          </w:rPr>
                          <m:t>2</m:t>
                        </m:r>
                      </m:sub>
                    </m:sSub>
                    <m:d>
                      <m:dPr>
                        <m:ctrlPr>
                          <w:rPr>
                            <w:rFonts w:ascii="Cambria Math" w:hAnsi="Cambria Math" w:cs="Times New Roman"/>
                            <w:i/>
                          </w:rPr>
                        </m:ctrlPr>
                      </m:dPr>
                      <m:e>
                        <m:r>
                          <w:rPr>
                            <w:rFonts w:ascii="Cambria Math" w:hAnsi="Cambria Math" w:cs="Times New Roman"/>
                          </w:rPr>
                          <m:t>x</m:t>
                        </m:r>
                      </m:e>
                    </m:d>
                    <m:r>
                      <w:rPr>
                        <w:rFonts w:ascii="Cambria Math" w:hAnsi="Cambria Math" w:cs="Times New Roman"/>
                      </w:rPr>
                      <m:t xml:space="preserve">, </m:t>
                    </m:r>
                    <m:sSub>
                      <m:sSubPr>
                        <m:ctrlPr>
                          <w:rPr>
                            <w:rFonts w:ascii="Cambria Math" w:hAnsi="Cambria Math" w:cs="Times New Roman"/>
                            <w:i/>
                          </w:rPr>
                        </m:ctrlPr>
                      </m:sSubPr>
                      <m:e>
                        <m:r>
                          <w:rPr>
                            <w:rFonts w:ascii="Cambria Math" w:hAnsi="Cambria Math" w:cs="Times New Roman"/>
                          </w:rPr>
                          <m:t xml:space="preserve"> Z</m:t>
                        </m:r>
                      </m:e>
                      <m:sub>
                        <m:r>
                          <w:rPr>
                            <w:rFonts w:ascii="Cambria Math" w:hAnsi="Cambria Math" w:cs="Times New Roman"/>
                          </w:rPr>
                          <m:t>2</m:t>
                        </m:r>
                      </m:sub>
                    </m:sSub>
                    <m:d>
                      <m:dPr>
                        <m:ctrlPr>
                          <w:rPr>
                            <w:rFonts w:ascii="Cambria Math" w:hAnsi="Cambria Math" w:cs="Times New Roman"/>
                            <w:i/>
                          </w:rPr>
                        </m:ctrlPr>
                      </m:dPr>
                      <m:e>
                        <m:r>
                          <w:rPr>
                            <w:rFonts w:ascii="Cambria Math" w:hAnsi="Cambria Math" w:cs="Times New Roman"/>
                          </w:rPr>
                          <m:t>x+h</m:t>
                        </m:r>
                      </m:e>
                    </m:d>
                  </m:e>
                </m:d>
              </m:oMath>
            </m:oMathPara>
          </w:p>
          <w:p w:rsidR="002F3B63" w:rsidRPr="0075008E" w:rsidRDefault="00177749" w:rsidP="002F3B63">
            <w:pPr>
              <w:spacing w:line="480" w:lineRule="auto"/>
              <w:rPr>
                <w:rFonts w:eastAsiaTheme="minorEastAsia" w:cs="Times New Roman"/>
              </w:rPr>
            </w:pPr>
            <m:oMathPara>
              <m:oMath>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12</m:t>
                    </m:r>
                  </m:sub>
                </m:sSub>
                <m:d>
                  <m:dPr>
                    <m:ctrlPr>
                      <w:rPr>
                        <w:rFonts w:ascii="Cambria Math" w:hAnsi="Cambria Math" w:cs="Times New Roman"/>
                        <w:i/>
                      </w:rPr>
                    </m:ctrlPr>
                  </m:dPr>
                  <m:e>
                    <m:r>
                      <w:rPr>
                        <w:rFonts w:ascii="Cambria Math" w:hAnsi="Cambria Math" w:cs="Times New Roman"/>
                      </w:rPr>
                      <m:t>h</m:t>
                    </m:r>
                  </m:e>
                </m:d>
                <m:r>
                  <w:rPr>
                    <w:rFonts w:ascii="Cambria Math" w:hAnsi="Cambria Math" w:cs="Times New Roman"/>
                  </w:rPr>
                  <m:t>= Cov</m:t>
                </m:r>
                <m:d>
                  <m:dPr>
                    <m:begChr m:val="{"/>
                    <m:endChr m:val="}"/>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Z</m:t>
                        </m:r>
                      </m:e>
                      <m:sub>
                        <m:r>
                          <w:rPr>
                            <w:rFonts w:ascii="Cambria Math" w:hAnsi="Cambria Math" w:cs="Times New Roman"/>
                          </w:rPr>
                          <m:t>1</m:t>
                        </m:r>
                      </m:sub>
                    </m:sSub>
                    <m:d>
                      <m:dPr>
                        <m:ctrlPr>
                          <w:rPr>
                            <w:rFonts w:ascii="Cambria Math" w:hAnsi="Cambria Math" w:cs="Times New Roman"/>
                            <w:i/>
                          </w:rPr>
                        </m:ctrlPr>
                      </m:dPr>
                      <m:e>
                        <m:r>
                          <w:rPr>
                            <w:rFonts w:ascii="Cambria Math" w:hAnsi="Cambria Math" w:cs="Times New Roman"/>
                          </w:rPr>
                          <m:t>x</m:t>
                        </m:r>
                      </m:e>
                    </m:d>
                    <m:r>
                      <w:rPr>
                        <w:rFonts w:ascii="Cambria Math" w:hAnsi="Cambria Math" w:cs="Times New Roman"/>
                      </w:rPr>
                      <m:t xml:space="preserve">, </m:t>
                    </m:r>
                    <m:sSub>
                      <m:sSubPr>
                        <m:ctrlPr>
                          <w:rPr>
                            <w:rFonts w:ascii="Cambria Math" w:hAnsi="Cambria Math" w:cs="Times New Roman"/>
                            <w:i/>
                          </w:rPr>
                        </m:ctrlPr>
                      </m:sSubPr>
                      <m:e>
                        <m:r>
                          <w:rPr>
                            <w:rFonts w:ascii="Cambria Math" w:hAnsi="Cambria Math" w:cs="Times New Roman"/>
                          </w:rPr>
                          <m:t xml:space="preserve"> Z</m:t>
                        </m:r>
                      </m:e>
                      <m:sub>
                        <m:r>
                          <w:rPr>
                            <w:rFonts w:ascii="Cambria Math" w:hAnsi="Cambria Math" w:cs="Times New Roman"/>
                          </w:rPr>
                          <m:t>2</m:t>
                        </m:r>
                      </m:sub>
                    </m:sSub>
                    <m:d>
                      <m:dPr>
                        <m:ctrlPr>
                          <w:rPr>
                            <w:rFonts w:ascii="Cambria Math" w:hAnsi="Cambria Math" w:cs="Times New Roman"/>
                            <w:i/>
                          </w:rPr>
                        </m:ctrlPr>
                      </m:dPr>
                      <m:e>
                        <m:r>
                          <w:rPr>
                            <w:rFonts w:ascii="Cambria Math" w:hAnsi="Cambria Math" w:cs="Times New Roman"/>
                          </w:rPr>
                          <m:t>x+h</m:t>
                        </m:r>
                      </m:e>
                    </m:d>
                  </m:e>
                </m:d>
              </m:oMath>
            </m:oMathPara>
          </w:p>
          <w:p w:rsidR="002F3B63" w:rsidRPr="0075008E" w:rsidRDefault="00177749" w:rsidP="002F3B63">
            <w:pPr>
              <w:spacing w:line="480" w:lineRule="auto"/>
              <w:rPr>
                <w:rFonts w:eastAsiaTheme="minorEastAsia" w:cs="Times New Roman"/>
              </w:rPr>
            </w:pPr>
            <m:oMathPara>
              <m:oMath>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21</m:t>
                    </m:r>
                  </m:sub>
                </m:sSub>
                <m:d>
                  <m:dPr>
                    <m:ctrlPr>
                      <w:rPr>
                        <w:rFonts w:ascii="Cambria Math" w:hAnsi="Cambria Math" w:cs="Times New Roman"/>
                        <w:i/>
                      </w:rPr>
                    </m:ctrlPr>
                  </m:dPr>
                  <m:e>
                    <m:r>
                      <w:rPr>
                        <w:rFonts w:ascii="Cambria Math" w:hAnsi="Cambria Math" w:cs="Times New Roman"/>
                      </w:rPr>
                      <m:t>h</m:t>
                    </m:r>
                  </m:e>
                </m:d>
                <m:r>
                  <w:rPr>
                    <w:rFonts w:ascii="Cambria Math" w:hAnsi="Cambria Math" w:cs="Times New Roman"/>
                  </w:rPr>
                  <m:t>= Cov</m:t>
                </m:r>
                <m:d>
                  <m:dPr>
                    <m:begChr m:val="{"/>
                    <m:endChr m:val="}"/>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Z</m:t>
                        </m:r>
                      </m:e>
                      <m:sub>
                        <m:r>
                          <w:rPr>
                            <w:rFonts w:ascii="Cambria Math" w:hAnsi="Cambria Math" w:cs="Times New Roman"/>
                          </w:rPr>
                          <m:t>2</m:t>
                        </m:r>
                      </m:sub>
                    </m:sSub>
                    <m:d>
                      <m:dPr>
                        <m:ctrlPr>
                          <w:rPr>
                            <w:rFonts w:ascii="Cambria Math" w:hAnsi="Cambria Math" w:cs="Times New Roman"/>
                            <w:i/>
                          </w:rPr>
                        </m:ctrlPr>
                      </m:dPr>
                      <m:e>
                        <m:r>
                          <w:rPr>
                            <w:rFonts w:ascii="Cambria Math" w:hAnsi="Cambria Math" w:cs="Times New Roman"/>
                          </w:rPr>
                          <m:t>x</m:t>
                        </m:r>
                      </m:e>
                    </m:d>
                    <m:r>
                      <w:rPr>
                        <w:rFonts w:ascii="Cambria Math" w:hAnsi="Cambria Math" w:cs="Times New Roman"/>
                      </w:rPr>
                      <m:t xml:space="preserve">, </m:t>
                    </m:r>
                    <m:sSub>
                      <m:sSubPr>
                        <m:ctrlPr>
                          <w:rPr>
                            <w:rFonts w:ascii="Cambria Math" w:hAnsi="Cambria Math" w:cs="Times New Roman"/>
                            <w:i/>
                          </w:rPr>
                        </m:ctrlPr>
                      </m:sSubPr>
                      <m:e>
                        <m:r>
                          <w:rPr>
                            <w:rFonts w:ascii="Cambria Math" w:hAnsi="Cambria Math" w:cs="Times New Roman"/>
                          </w:rPr>
                          <m:t xml:space="preserve"> Z</m:t>
                        </m:r>
                      </m:e>
                      <m:sub>
                        <m:r>
                          <w:rPr>
                            <w:rFonts w:ascii="Cambria Math" w:hAnsi="Cambria Math" w:cs="Times New Roman"/>
                          </w:rPr>
                          <m:t>1</m:t>
                        </m:r>
                      </m:sub>
                    </m:sSub>
                    <m:d>
                      <m:dPr>
                        <m:ctrlPr>
                          <w:rPr>
                            <w:rFonts w:ascii="Cambria Math" w:hAnsi="Cambria Math" w:cs="Times New Roman"/>
                            <w:i/>
                          </w:rPr>
                        </m:ctrlPr>
                      </m:dPr>
                      <m:e>
                        <m:r>
                          <w:rPr>
                            <w:rFonts w:ascii="Cambria Math" w:hAnsi="Cambria Math" w:cs="Times New Roman"/>
                          </w:rPr>
                          <m:t>x+h</m:t>
                        </m:r>
                      </m:e>
                    </m:d>
                  </m:e>
                </m:d>
              </m:oMath>
            </m:oMathPara>
          </w:p>
        </w:tc>
        <w:tc>
          <w:tcPr>
            <w:tcW w:w="828" w:type="dxa"/>
            <w:vAlign w:val="center"/>
          </w:tcPr>
          <w:p w:rsidR="002F3B63" w:rsidRPr="006957F0" w:rsidRDefault="0004094A" w:rsidP="002F3B63">
            <w:pPr>
              <w:spacing w:line="480" w:lineRule="auto"/>
              <w:rPr>
                <w:rFonts w:cs="Times New Roman"/>
                <w:iCs/>
              </w:rPr>
            </w:pPr>
            <w:r>
              <w:rPr>
                <w:rFonts w:cs="Times New Roman"/>
                <w:iCs/>
              </w:rPr>
              <w:t>(23</w:t>
            </w:r>
            <w:r w:rsidR="002F3B63" w:rsidRPr="006957F0">
              <w:rPr>
                <w:rFonts w:cs="Times New Roman"/>
                <w:iCs/>
              </w:rPr>
              <w:t>)</w:t>
            </w:r>
          </w:p>
        </w:tc>
      </w:tr>
    </w:tbl>
    <w:p w:rsidR="002F3B63" w:rsidRPr="009F6F45" w:rsidRDefault="002F3B63" w:rsidP="002F3B63">
      <w:pPr>
        <w:spacing w:line="480" w:lineRule="auto"/>
        <w:rPr>
          <w:rFonts w:eastAsiaTheme="minorEastAsia"/>
        </w:rPr>
      </w:pPr>
      <w:r>
        <w:rPr>
          <w:rFonts w:eastAsiaTheme="minorEastAsia"/>
        </w:rPr>
        <w:t xml:space="preserve">where </w:t>
      </w:r>
      <m:oMath>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12</m:t>
            </m:r>
          </m:sub>
        </m:sSub>
        <m:d>
          <m:dPr>
            <m:ctrlPr>
              <w:rPr>
                <w:rFonts w:ascii="Cambria Math" w:hAnsi="Cambria Math" w:cs="Times New Roman"/>
                <w:i/>
              </w:rPr>
            </m:ctrlPr>
          </m:dPr>
          <m:e>
            <m:r>
              <w:rPr>
                <w:rFonts w:ascii="Cambria Math" w:hAnsi="Cambria Math" w:cs="Times New Roman"/>
              </w:rPr>
              <m:t>h</m:t>
            </m:r>
          </m:e>
        </m:d>
      </m:oMath>
      <w:r>
        <w:rPr>
          <w:rFonts w:eastAsiaTheme="minorEastAsia"/>
        </w:rPr>
        <w:t xml:space="preserve"> is assumed to be identical to </w:t>
      </w:r>
      <m:oMath>
        <m:sSub>
          <m:sSubPr>
            <m:ctrlPr>
              <w:rPr>
                <w:rFonts w:ascii="Cambria Math" w:hAnsi="Cambria Math" w:cs="Times New Roman"/>
                <w:i/>
              </w:rPr>
            </m:ctrlPr>
          </m:sSubPr>
          <m:e>
            <m:r>
              <w:rPr>
                <w:rFonts w:ascii="Cambria Math" w:hAnsi="Cambria Math" w:cs="Times New Roman"/>
              </w:rPr>
              <m:t>C</m:t>
            </m:r>
          </m:e>
          <m:sub>
            <m:r>
              <w:rPr>
                <w:rFonts w:ascii="Cambria Math" w:hAnsi="Cambria Math" w:cs="Times New Roman"/>
              </w:rPr>
              <m:t>21</m:t>
            </m:r>
          </m:sub>
        </m:sSub>
        <m:d>
          <m:dPr>
            <m:ctrlPr>
              <w:rPr>
                <w:rFonts w:ascii="Cambria Math" w:hAnsi="Cambria Math" w:cs="Times New Roman"/>
                <w:i/>
              </w:rPr>
            </m:ctrlPr>
          </m:dPr>
          <m:e>
            <m:r>
              <w:rPr>
                <w:rFonts w:ascii="Cambria Math" w:hAnsi="Cambria Math" w:cs="Times New Roman"/>
              </w:rPr>
              <m:t>h</m:t>
            </m:r>
          </m:e>
        </m:d>
      </m:oMath>
      <w:r>
        <w:rPr>
          <w:rFonts w:eastAsiaTheme="minorEastAsia"/>
        </w:rPr>
        <w:t xml:space="preserve"> (Goovaerts, 1997). It has been reported in several studies (Goovaerts, 1997; </w:t>
      </w:r>
      <w:r w:rsidR="00177749">
        <w:rPr>
          <w:rFonts w:eastAsiaTheme="minorEastAsia"/>
        </w:rPr>
        <w:fldChar w:fldCharType="begin"/>
      </w:r>
      <w:r>
        <w:rPr>
          <w:rFonts w:eastAsiaTheme="minorEastAsia"/>
        </w:rPr>
        <w:instrText xml:space="preserve"> ADDIN ZOTERO_ITEM CSL_CITATION {"citationID":"12jqotgnma","properties":{"formattedCitation":"(Hartkanmp et al., 1999)","plainCitation":"(Hartkanmp et al., 1999)"},"citationItems":[{"id":167,"uris":["http://zotero.org/users/1507390/items/NXQCWFRM"],"uri":["http://zotero.org/users/1507390/items/NXQCWFRM"],"itemData":{"id":167,"type":"article-journal","title":"Interpolation Techniques for Climate Variables","container-title":"Natural Resource Group","ISSN":"1405-7484","author":[{"family":"Hartkanmp","given":"Dewi"},{"family":"De Beurs","given":"Kristen"},{"family":"Stein","given":"Alfred"},{"family":"White","given":"Jeffrey"}],"issued":{"date-parts":[["1999"]]}}}],"schema":"https://github.com/citation-style-language/schema/raw/master/csl-citation.json"} </w:instrText>
      </w:r>
      <w:r w:rsidR="00177749">
        <w:rPr>
          <w:rFonts w:eastAsiaTheme="minorEastAsia"/>
        </w:rPr>
        <w:fldChar w:fldCharType="separate"/>
      </w:r>
      <w:r w:rsidRPr="00BD4F2D">
        <w:rPr>
          <w:rFonts w:ascii="Cambria" w:hAnsi="Cambria"/>
        </w:rPr>
        <w:t>Hartkanmp et al., 1999</w:t>
      </w:r>
      <w:r w:rsidR="00177749">
        <w:rPr>
          <w:rFonts w:eastAsiaTheme="minorEastAsia"/>
        </w:rPr>
        <w:fldChar w:fldCharType="end"/>
      </w:r>
      <w:r>
        <w:rPr>
          <w:rFonts w:eastAsiaTheme="minorEastAsia"/>
        </w:rPr>
        <w:t xml:space="preserve">; </w:t>
      </w:r>
      <w:r w:rsidR="00177749">
        <w:rPr>
          <w:rFonts w:eastAsiaTheme="minorEastAsia"/>
        </w:rPr>
        <w:fldChar w:fldCharType="begin"/>
      </w:r>
      <w:r>
        <w:rPr>
          <w:rFonts w:eastAsiaTheme="minorEastAsia"/>
        </w:rPr>
        <w:instrText xml:space="preserve"> ADDIN ZOTERO_ITEM CSL_CITATION {"citationID":"102nngvg45","properties":{"formattedCitation":"(Majani, 2007)","plainCitation":"(Majani, 2007)"},"citationItems":[{"id":606,"uris":["http://zotero.org/users/1507390/items/FT5C53FN"],"uri":["http://zotero.org/users/1507390/items/FT5C53FN"],"itemData":{"id":606,"type":"article-journal","title":"Analysis of External Drift Kriging Algorithm with application to precipitation estimation in complex orography.","container-title":"International Institute for Geo-Information Science and Earth Observation, Enschede, the Netherlands","journalAbbreviation":"International Institute for Geo-Information Science and Earth Observation, Enschede, the Netherlands","author":[{"family":"Majani","given":"Bernard Sharon"}],"issued":{"date-parts":[["2007"]]}}}],"schema":"https://github.com/citation-style-language/schema/raw/master/csl-citation.json"} </w:instrText>
      </w:r>
      <w:r w:rsidR="00177749">
        <w:rPr>
          <w:rFonts w:eastAsiaTheme="minorEastAsia"/>
        </w:rPr>
        <w:fldChar w:fldCharType="separate"/>
      </w:r>
      <w:r w:rsidRPr="00BD4F2D">
        <w:rPr>
          <w:rFonts w:ascii="Cambria" w:hAnsi="Cambria"/>
        </w:rPr>
        <w:t>Majani, 2007</w:t>
      </w:r>
      <w:r w:rsidR="00177749">
        <w:rPr>
          <w:rFonts w:eastAsiaTheme="minorEastAsia"/>
        </w:rPr>
        <w:fldChar w:fldCharType="end"/>
      </w:r>
      <w:r>
        <w:rPr>
          <w:rFonts w:eastAsiaTheme="minorEastAsia"/>
        </w:rPr>
        <w:t xml:space="preserve">) that co-kriging should be applied when the primary variable is under sampled. In this study all parameters have an equal amount of data points; therefore, co-kriging is used as an attempt to improve </w:t>
      </w:r>
      <w:r>
        <w:rPr>
          <w:rFonts w:eastAsiaTheme="minorEastAsia"/>
        </w:rPr>
        <w:lastRenderedPageBreak/>
        <w:t xml:space="preserve">prediction by incorporating information gained by the spatial correlation between different BC parameters. </w:t>
      </w:r>
    </w:p>
    <w:p w:rsidR="002F3B63" w:rsidRDefault="002F3B63" w:rsidP="002F3B63">
      <w:pPr>
        <w:pStyle w:val="Style2"/>
      </w:pPr>
      <w:bookmarkStart w:id="32" w:name="_Toc412485239"/>
      <w:bookmarkStart w:id="33" w:name="_Toc425427036"/>
      <w:r>
        <w:t>3.6 Cross-validation</w:t>
      </w:r>
      <w:bookmarkEnd w:id="32"/>
      <w:bookmarkEnd w:id="33"/>
    </w:p>
    <w:p w:rsidR="002F3B63" w:rsidRDefault="002F3B63" w:rsidP="002F3B63">
      <w:pPr>
        <w:spacing w:line="480" w:lineRule="auto"/>
        <w:ind w:firstLine="720"/>
        <w:rPr>
          <w:szCs w:val="24"/>
        </w:rPr>
      </w:pPr>
      <w:r>
        <w:rPr>
          <w:szCs w:val="24"/>
        </w:rPr>
        <w:t>Cross-v</w:t>
      </w:r>
      <w:r w:rsidRPr="002619DD">
        <w:rPr>
          <w:szCs w:val="24"/>
        </w:rPr>
        <w:t>alidation (CV) allows one to compare the effect</w:t>
      </w:r>
      <w:r>
        <w:rPr>
          <w:szCs w:val="24"/>
        </w:rPr>
        <w:t>s</w:t>
      </w:r>
      <w:r w:rsidRPr="002619DD">
        <w:rPr>
          <w:szCs w:val="24"/>
        </w:rPr>
        <w:t xml:space="preserve"> of different </w:t>
      </w:r>
      <w:r>
        <w:rPr>
          <w:szCs w:val="24"/>
        </w:rPr>
        <w:t xml:space="preserve">semivariogram </w:t>
      </w:r>
      <w:r w:rsidRPr="002619DD">
        <w:rPr>
          <w:szCs w:val="24"/>
        </w:rPr>
        <w:t xml:space="preserve">models and kriging techniques on interpolation results (Goovaerts, 1997). </w:t>
      </w:r>
      <w:r>
        <w:rPr>
          <w:szCs w:val="24"/>
        </w:rPr>
        <w:t xml:space="preserve">The method consists of selecting a theoretical model and associated parameters for the underlying semivariogram, removing one of the measured values from the data set, then re-estimating the removed value at that location by kriging with the selected theoretical model </w:t>
      </w:r>
      <w:r w:rsidR="00177749">
        <w:rPr>
          <w:szCs w:val="24"/>
        </w:rPr>
        <w:fldChar w:fldCharType="begin"/>
      </w:r>
      <w:r>
        <w:rPr>
          <w:szCs w:val="24"/>
        </w:rPr>
        <w:instrText xml:space="preserve"> ADDIN ZOTERO_ITEM CSL_CITATION {"citationID":"22m1s1v9v0","properties":{"formattedCitation":"(Vieira et al., 2009)","plainCitation":"(Vieira et al., 2009)"},"citationItems":[{"id":609,"uris":["http://zotero.org/users/1507390/items/A7MJZW2E"],"uri":["http://zotero.org/users/1507390/items/A7MJZW2E"],"itemData":{"id":609,"type":"article-journal","title":"Jack knifing for semivariogram validation","container-title":"Bragantia","page":"97-105","volume":"69","DOI":"10.1590/S0006-87052010000500011","ISSN":"0006-8705","author":[{"family":"Vieira","given":"S. R."},{"family":"Carvalho","given":"J. R. P."},{"family":"González","given":"A. P."}],"issued":{"date-parts":[["2009"]]}}}],"schema":"https://github.com/citation-style-language/schema/raw/master/csl-citation.json"} </w:instrText>
      </w:r>
      <w:r w:rsidR="00177749">
        <w:rPr>
          <w:szCs w:val="24"/>
        </w:rPr>
        <w:fldChar w:fldCharType="separate"/>
      </w:r>
      <w:r w:rsidRPr="004E6E11">
        <w:rPr>
          <w:rFonts w:ascii="Cambria" w:hAnsi="Cambria"/>
        </w:rPr>
        <w:t>(Vieira et al., 2009)</w:t>
      </w:r>
      <w:r w:rsidR="00177749">
        <w:rPr>
          <w:szCs w:val="24"/>
        </w:rPr>
        <w:fldChar w:fldCharType="end"/>
      </w:r>
      <w:r>
        <w:rPr>
          <w:szCs w:val="24"/>
        </w:rPr>
        <w:t>. This is referred to as “leave-one-out” CV. This approach was used for several purposes in this study: first, validation of the theoretical semivariogram model selection; second, performance comparison for different kriging techniques (i.e. simple, ordinary, universal, co-kriging); and third, the suite of estimated values was used to compute detrended kriged maps (discussed further in the “Trend Correction” section).</w:t>
      </w:r>
    </w:p>
    <w:p w:rsidR="002F3B63" w:rsidRDefault="002F3B63" w:rsidP="002F3B63">
      <w:pPr>
        <w:spacing w:line="480" w:lineRule="auto"/>
        <w:ind w:firstLine="720"/>
        <w:rPr>
          <w:szCs w:val="24"/>
        </w:rPr>
      </w:pPr>
      <w:r>
        <w:rPr>
          <w:szCs w:val="24"/>
        </w:rPr>
        <w:t>The initial reason for employing leave-on</w:t>
      </w:r>
      <w:r w:rsidR="00856831">
        <w:rPr>
          <w:szCs w:val="24"/>
        </w:rPr>
        <w:t>e</w:t>
      </w:r>
      <w:r>
        <w:rPr>
          <w:szCs w:val="24"/>
        </w:rPr>
        <w:t xml:space="preserve">-out CV was to confirm the model selection based on goodness of fit.  CV achieves this by evaluating the predictive ability of the entire geostatistical model, which includes the semivariogram model and kriging form. Variations of the kriging method and semivariogram model are tested to determine which combination results in the most accurate predictions. There is a difference between how well a theoretical model fits the empirical data and how well the kriging estimator, using that model, interpolates values at unsampled locations. The goodness of fit is an indication as to which model will achieve the best predictions, but this relationship is not perfect; therefore, CV is used to validate the “best fit model” based on interpolation results. </w:t>
      </w:r>
    </w:p>
    <w:p w:rsidR="002F3B63" w:rsidRDefault="002F3B63" w:rsidP="002F3B63">
      <w:pPr>
        <w:spacing w:line="480" w:lineRule="auto"/>
        <w:ind w:firstLine="720"/>
        <w:rPr>
          <w:szCs w:val="24"/>
        </w:rPr>
      </w:pPr>
      <w:r w:rsidRPr="002619DD">
        <w:rPr>
          <w:szCs w:val="24"/>
        </w:rPr>
        <w:lastRenderedPageBreak/>
        <w:t>In order to validate the</w:t>
      </w:r>
      <w:r>
        <w:rPr>
          <w:szCs w:val="24"/>
        </w:rPr>
        <w:t xml:space="preserve"> selected semivariogram</w:t>
      </w:r>
      <w:r w:rsidRPr="002619DD">
        <w:rPr>
          <w:szCs w:val="24"/>
        </w:rPr>
        <w:t xml:space="preserve"> model</w:t>
      </w:r>
      <w:r>
        <w:rPr>
          <w:szCs w:val="24"/>
        </w:rPr>
        <w:t xml:space="preserve"> (chosen</w:t>
      </w:r>
      <w:r w:rsidRPr="002619DD">
        <w:rPr>
          <w:szCs w:val="24"/>
        </w:rPr>
        <w:t xml:space="preserve"> based on the criteria listed in the previous section</w:t>
      </w:r>
      <w:r>
        <w:rPr>
          <w:szCs w:val="24"/>
        </w:rPr>
        <w:t xml:space="preserve">, </w:t>
      </w:r>
      <w:r w:rsidRPr="002619DD">
        <w:rPr>
          <w:szCs w:val="24"/>
        </w:rPr>
        <w:t>i.e. R</w:t>
      </w:r>
      <w:r w:rsidRPr="00D16577">
        <w:rPr>
          <w:szCs w:val="24"/>
          <w:vertAlign w:val="superscript"/>
        </w:rPr>
        <w:t>2</w:t>
      </w:r>
      <w:r w:rsidRPr="002619DD">
        <w:rPr>
          <w:szCs w:val="24"/>
        </w:rPr>
        <w:t xml:space="preserve"> and </w:t>
      </w:r>
      <w:r>
        <w:rPr>
          <w:szCs w:val="24"/>
        </w:rPr>
        <w:t>N</w:t>
      </w:r>
      <w:r w:rsidRPr="002619DD">
        <w:rPr>
          <w:szCs w:val="24"/>
        </w:rPr>
        <w:t xml:space="preserve">RMSE) the kriging form is held </w:t>
      </w:r>
      <w:r>
        <w:rPr>
          <w:szCs w:val="24"/>
        </w:rPr>
        <w:t xml:space="preserve">constant while other </w:t>
      </w:r>
      <w:r w:rsidRPr="002619DD">
        <w:rPr>
          <w:szCs w:val="24"/>
        </w:rPr>
        <w:t>theoretical models</w:t>
      </w:r>
      <w:r>
        <w:rPr>
          <w:szCs w:val="24"/>
        </w:rPr>
        <w:t xml:space="preserve"> (with lower R</w:t>
      </w:r>
      <w:r w:rsidRPr="00EB5A99">
        <w:rPr>
          <w:szCs w:val="24"/>
          <w:vertAlign w:val="superscript"/>
        </w:rPr>
        <w:t>2</w:t>
      </w:r>
      <w:r>
        <w:rPr>
          <w:szCs w:val="24"/>
        </w:rPr>
        <w:t xml:space="preserve"> and higher NRMSE values)</w:t>
      </w:r>
      <w:r w:rsidRPr="002619DD">
        <w:rPr>
          <w:szCs w:val="24"/>
        </w:rPr>
        <w:t xml:space="preserve"> are tested. Once</w:t>
      </w:r>
      <w:r>
        <w:rPr>
          <w:szCs w:val="24"/>
        </w:rPr>
        <w:t xml:space="preserve"> the</w:t>
      </w:r>
      <w:r w:rsidRPr="002619DD">
        <w:rPr>
          <w:szCs w:val="24"/>
        </w:rPr>
        <w:t xml:space="preserve"> </w:t>
      </w:r>
      <w:r>
        <w:rPr>
          <w:szCs w:val="24"/>
        </w:rPr>
        <w:t>best fit model selection is</w:t>
      </w:r>
      <w:r w:rsidRPr="002619DD">
        <w:rPr>
          <w:szCs w:val="24"/>
        </w:rPr>
        <w:t xml:space="preserve"> confirmed, the kriging variants are tested while keeping the </w:t>
      </w:r>
      <w:r>
        <w:rPr>
          <w:szCs w:val="24"/>
        </w:rPr>
        <w:t xml:space="preserve">theoretical </w:t>
      </w:r>
      <w:r w:rsidRPr="002619DD">
        <w:rPr>
          <w:szCs w:val="24"/>
        </w:rPr>
        <w:t xml:space="preserve">model constant. </w:t>
      </w:r>
      <w:r>
        <w:rPr>
          <w:szCs w:val="24"/>
        </w:rPr>
        <w:t xml:space="preserve">An optimal geostatistical model is chosen based on all available information, goodness of fit and predictive ability. The predictive ability of a geostatistical model is determined by comparing interpolated and actual values; as well as, conducting a performance evaluation which directly compares kriging methods. </w:t>
      </w:r>
    </w:p>
    <w:p w:rsidR="002F3B63" w:rsidRPr="002619DD" w:rsidRDefault="002F3B63" w:rsidP="002F3B63">
      <w:pPr>
        <w:spacing w:line="480" w:lineRule="auto"/>
        <w:ind w:firstLine="720"/>
        <w:rPr>
          <w:szCs w:val="24"/>
        </w:rPr>
      </w:pPr>
      <w:r w:rsidRPr="002619DD">
        <w:rPr>
          <w:szCs w:val="24"/>
        </w:rPr>
        <w:t>The difference between the estimated and known values (CV residuals) can be investigated using several statistical tools</w:t>
      </w:r>
      <w:r>
        <w:rPr>
          <w:szCs w:val="24"/>
        </w:rPr>
        <w:t xml:space="preserve"> to assess predictive ability</w:t>
      </w:r>
      <w:r w:rsidRPr="002619DD">
        <w:rPr>
          <w:szCs w:val="24"/>
        </w:rPr>
        <w:t xml:space="preserve">. The one-to-one graph of the CV residuals is commonly used and is computed by </w:t>
      </w:r>
      <w:r w:rsidR="00177749" w:rsidRPr="002619DD">
        <w:rPr>
          <w:szCs w:val="24"/>
        </w:rPr>
        <w:fldChar w:fldCharType="begin"/>
      </w:r>
      <w:r>
        <w:rPr>
          <w:szCs w:val="24"/>
        </w:rPr>
        <w:instrText xml:space="preserve"> ADDIN ZOTERO_ITEM CSL_CITATION {"citationID":"irn5v4ekh","properties":{"formattedCitation":"(Sidney Rosa Vieira, 2009)","plainCitation":"(Sidney Rosa Vieira, 2009)","dontUpdate":true},"citationItems":[{"id":609,"uris":["http://zotero.org/users/1507390/items/A7MJZW2E"],"uri":["http://zotero.org/users/1507390/items/A7MJZW2E"],"itemData":{"id":609,"type":"article-journal","title":"Jack knifing for semivariogram validation","container-title":"Bragantia","page":"97-105","volume":"69","DOI":"10.1590/S0006-87052010000500011","ISSN":"0006-8705","author":[{"family":"Vieira","given":"S. R."},{"family":"Carvalho","given":"J. R. P."},{"family":"González","given":"A. P."}],"issued":{"date-parts":[["2009"]]}}}],"schema":"https://github.com/citation-style-language/schema/raw/master/csl-citation.json"} </w:instrText>
      </w:r>
      <w:r w:rsidR="00177749" w:rsidRPr="002619DD">
        <w:rPr>
          <w:szCs w:val="24"/>
        </w:rPr>
        <w:fldChar w:fldCharType="separate"/>
      </w:r>
      <w:r w:rsidRPr="002619DD">
        <w:rPr>
          <w:rFonts w:cs="Calibri"/>
          <w:szCs w:val="24"/>
        </w:rPr>
        <w:t>(Vieira, 2009)</w:t>
      </w:r>
      <w:r w:rsidR="00177749" w:rsidRPr="002619DD">
        <w:rPr>
          <w:szCs w:val="24"/>
        </w:rPr>
        <w:fldChar w:fldCharType="end"/>
      </w:r>
      <w:r w:rsidRPr="002619DD">
        <w:rPr>
          <w:szCs w:val="24"/>
        </w:rPr>
        <w: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8"/>
        <w:gridCol w:w="7830"/>
        <w:gridCol w:w="828"/>
      </w:tblGrid>
      <w:tr w:rsidR="002F3B63" w:rsidTr="002F3B63">
        <w:tc>
          <w:tcPr>
            <w:tcW w:w="918" w:type="dxa"/>
          </w:tcPr>
          <w:p w:rsidR="002F3B63" w:rsidRPr="00826222" w:rsidRDefault="002F3B63" w:rsidP="002F3B63">
            <w:pPr>
              <w:spacing w:line="480" w:lineRule="auto"/>
              <w:jc w:val="both"/>
              <w:rPr>
                <w:rFonts w:cs="Times New Roman"/>
                <w:iCs/>
                <w:szCs w:val="24"/>
              </w:rPr>
            </w:pPr>
          </w:p>
        </w:tc>
        <w:tc>
          <w:tcPr>
            <w:tcW w:w="7830" w:type="dxa"/>
          </w:tcPr>
          <w:p w:rsidR="002F3B63" w:rsidRPr="00D16577" w:rsidRDefault="00177749" w:rsidP="002F3B63">
            <w:pPr>
              <w:spacing w:line="480" w:lineRule="auto"/>
              <w:jc w:val="center"/>
              <w:rPr>
                <w:rFonts w:cs="Times New Roman"/>
                <w:i/>
                <w:iCs/>
                <w:szCs w:val="24"/>
              </w:rPr>
            </w:pPr>
            <m:oMathPara>
              <m:oMath>
                <m:sSup>
                  <m:sSupPr>
                    <m:ctrlPr>
                      <w:rPr>
                        <w:rFonts w:ascii="Cambria Math" w:hAnsi="Cambria Math" w:cs="Times New Roman"/>
                        <w:i/>
                        <w:szCs w:val="24"/>
                      </w:rPr>
                    </m:ctrlPr>
                  </m:sSupPr>
                  <m:e>
                    <m:r>
                      <w:rPr>
                        <w:rFonts w:ascii="Cambria Math" w:cs="Times New Roman"/>
                        <w:szCs w:val="24"/>
                      </w:rPr>
                      <m:t>Z</m:t>
                    </m:r>
                  </m:e>
                  <m:sup>
                    <m:r>
                      <w:rPr>
                        <w:rFonts w:ascii="Cambria Math" w:hAnsi="Cambria Math" w:cs="Cambria Math"/>
                        <w:szCs w:val="24"/>
                      </w:rPr>
                      <m:t>*</m:t>
                    </m:r>
                  </m:sup>
                </m:sSup>
                <m:sSub>
                  <m:sSubPr>
                    <m:ctrlPr>
                      <w:rPr>
                        <w:rFonts w:ascii="Cambria Math" w:hAnsi="Cambria Math" w:cs="Times New Roman"/>
                        <w:i/>
                        <w:szCs w:val="24"/>
                      </w:rPr>
                    </m:ctrlPr>
                  </m:sSubPr>
                  <m:e>
                    <m:r>
                      <w:rPr>
                        <w:rFonts w:ascii="Cambria Math" w:cs="Times New Roman"/>
                        <w:szCs w:val="24"/>
                      </w:rPr>
                      <m:t>(x</m:t>
                    </m:r>
                  </m:e>
                  <m:sub>
                    <m:r>
                      <w:rPr>
                        <w:rFonts w:ascii="Cambria Math" w:cs="Times New Roman"/>
                        <w:szCs w:val="24"/>
                      </w:rPr>
                      <m:t>i</m:t>
                    </m:r>
                  </m:sub>
                </m:sSub>
                <m:r>
                  <w:rPr>
                    <w:rFonts w:ascii="Cambria Math" w:cs="Times New Roman"/>
                    <w:szCs w:val="24"/>
                  </w:rPr>
                  <m:t>) = a+b</m:t>
                </m:r>
                <m:r>
                  <w:rPr>
                    <w:rFonts w:ascii="Cambria Math" w:hAnsi="Cambria Math" w:cs="Cambria Math"/>
                    <w:szCs w:val="24"/>
                  </w:rPr>
                  <m:t>*</m:t>
                </m:r>
                <m:r>
                  <w:rPr>
                    <w:rFonts w:ascii="Cambria Math" w:cs="Times New Roman"/>
                    <w:szCs w:val="24"/>
                  </w:rPr>
                  <m:t>Z</m:t>
                </m:r>
                <m:sSub>
                  <m:sSubPr>
                    <m:ctrlPr>
                      <w:rPr>
                        <w:rFonts w:ascii="Cambria Math" w:hAnsi="Cambria Math" w:cs="Times New Roman"/>
                        <w:i/>
                        <w:szCs w:val="24"/>
                      </w:rPr>
                    </m:ctrlPr>
                  </m:sSubPr>
                  <m:e>
                    <m:r>
                      <w:rPr>
                        <w:rFonts w:ascii="Cambria Math" w:cs="Times New Roman"/>
                        <w:szCs w:val="24"/>
                      </w:rPr>
                      <m:t>(x</m:t>
                    </m:r>
                  </m:e>
                  <m:sub>
                    <m:r>
                      <w:rPr>
                        <w:rFonts w:ascii="Cambria Math" w:cs="Times New Roman"/>
                        <w:szCs w:val="24"/>
                      </w:rPr>
                      <m:t>i</m:t>
                    </m:r>
                  </m:sub>
                </m:sSub>
                <m:r>
                  <w:rPr>
                    <w:rFonts w:ascii="Cambria Math" w:cs="Times New Roman"/>
                    <w:szCs w:val="24"/>
                  </w:rPr>
                  <m:t>)</m:t>
                </m:r>
              </m:oMath>
            </m:oMathPara>
          </w:p>
        </w:tc>
        <w:tc>
          <w:tcPr>
            <w:tcW w:w="828" w:type="dxa"/>
          </w:tcPr>
          <w:p w:rsidR="002F3B63" w:rsidRPr="00D16577" w:rsidRDefault="002F3B63" w:rsidP="002F3B63">
            <w:pPr>
              <w:spacing w:line="480" w:lineRule="auto"/>
              <w:jc w:val="right"/>
              <w:rPr>
                <w:rFonts w:cs="Times New Roman"/>
                <w:iCs/>
                <w:szCs w:val="24"/>
              </w:rPr>
            </w:pPr>
            <w:r w:rsidRPr="00D16577">
              <w:rPr>
                <w:rFonts w:cs="Times New Roman"/>
                <w:iCs/>
                <w:szCs w:val="24"/>
              </w:rPr>
              <w:t>(</w:t>
            </w:r>
            <w:r w:rsidR="0004094A">
              <w:t>24</w:t>
            </w:r>
            <w:r w:rsidRPr="00D16577">
              <w:rPr>
                <w:rFonts w:cs="Times New Roman"/>
                <w:iCs/>
                <w:szCs w:val="24"/>
              </w:rPr>
              <w:t>)</w:t>
            </w:r>
          </w:p>
        </w:tc>
      </w:tr>
    </w:tbl>
    <w:p w:rsidR="002F3B63" w:rsidRDefault="002F3B63" w:rsidP="002F3B63">
      <w:pPr>
        <w:spacing w:line="480" w:lineRule="auto"/>
        <w:rPr>
          <w:szCs w:val="24"/>
        </w:rPr>
      </w:pPr>
      <w:r w:rsidRPr="002619DD">
        <w:rPr>
          <w:szCs w:val="24"/>
        </w:rPr>
        <w:t xml:space="preserve">where </w:t>
      </w:r>
      <w:r w:rsidRPr="002619DD">
        <w:rPr>
          <w:i/>
          <w:szCs w:val="24"/>
        </w:rPr>
        <w:t>a</w:t>
      </w:r>
      <w:r w:rsidRPr="002619DD">
        <w:rPr>
          <w:szCs w:val="24"/>
        </w:rPr>
        <w:t xml:space="preserve"> is the intercept, </w:t>
      </w:r>
      <w:r w:rsidRPr="002619DD">
        <w:rPr>
          <w:i/>
          <w:szCs w:val="24"/>
        </w:rPr>
        <w:t>b</w:t>
      </w:r>
      <w:r w:rsidRPr="002619DD">
        <w:rPr>
          <w:szCs w:val="24"/>
        </w:rPr>
        <w:t xml:space="preserve"> is the slope, </w:t>
      </w:r>
      <w:r w:rsidRPr="002619DD">
        <w:rPr>
          <w:i/>
          <w:szCs w:val="24"/>
        </w:rPr>
        <w:t>Z(x</w:t>
      </w:r>
      <w:r w:rsidRPr="002619DD">
        <w:rPr>
          <w:i/>
          <w:szCs w:val="24"/>
          <w:vertAlign w:val="subscript"/>
        </w:rPr>
        <w:t>i</w:t>
      </w:r>
      <w:r w:rsidRPr="002619DD">
        <w:rPr>
          <w:i/>
          <w:szCs w:val="24"/>
        </w:rPr>
        <w:t>)</w:t>
      </w:r>
      <w:r w:rsidRPr="002619DD">
        <w:rPr>
          <w:szCs w:val="24"/>
        </w:rPr>
        <w:t xml:space="preserve"> and </w:t>
      </w:r>
      <w:r w:rsidRPr="002619DD">
        <w:rPr>
          <w:i/>
          <w:szCs w:val="24"/>
        </w:rPr>
        <w:t>Z*(x</w:t>
      </w:r>
      <w:r w:rsidRPr="002619DD">
        <w:rPr>
          <w:i/>
          <w:szCs w:val="24"/>
          <w:vertAlign w:val="subscript"/>
        </w:rPr>
        <w:t>i</w:t>
      </w:r>
      <w:r w:rsidRPr="002619DD">
        <w:rPr>
          <w:i/>
          <w:szCs w:val="24"/>
        </w:rPr>
        <w:t xml:space="preserve">) </w:t>
      </w:r>
      <w:r w:rsidRPr="002619DD">
        <w:rPr>
          <w:szCs w:val="24"/>
        </w:rPr>
        <w:t>are measured and estimated values, respectively. Assuming the ideal scenario</w:t>
      </w:r>
      <w:r w:rsidRPr="002619DD">
        <w:rPr>
          <w:i/>
          <w:szCs w:val="24"/>
        </w:rPr>
        <w:t xml:space="preserve"> Z(x</w:t>
      </w:r>
      <w:r w:rsidRPr="002619DD">
        <w:rPr>
          <w:i/>
          <w:szCs w:val="24"/>
          <w:vertAlign w:val="subscript"/>
        </w:rPr>
        <w:t>i</w:t>
      </w:r>
      <w:r w:rsidRPr="002619DD">
        <w:rPr>
          <w:i/>
          <w:szCs w:val="24"/>
        </w:rPr>
        <w:t>)</w:t>
      </w:r>
      <w:r w:rsidRPr="002619DD">
        <w:rPr>
          <w:szCs w:val="24"/>
        </w:rPr>
        <w:t xml:space="preserve"> and </w:t>
      </w:r>
      <w:r w:rsidRPr="002619DD">
        <w:rPr>
          <w:i/>
          <w:szCs w:val="24"/>
        </w:rPr>
        <w:t>Z*(x</w:t>
      </w:r>
      <w:r w:rsidRPr="002619DD">
        <w:rPr>
          <w:i/>
          <w:szCs w:val="24"/>
          <w:vertAlign w:val="subscript"/>
        </w:rPr>
        <w:t>i</w:t>
      </w:r>
      <w:r w:rsidRPr="002619DD">
        <w:rPr>
          <w:i/>
          <w:szCs w:val="24"/>
        </w:rPr>
        <w:t xml:space="preserve">) </w:t>
      </w:r>
      <w:r w:rsidRPr="002619DD">
        <w:rPr>
          <w:szCs w:val="24"/>
        </w:rPr>
        <w:t xml:space="preserve"> would be identical, resulting in a </w:t>
      </w:r>
      <w:r>
        <w:rPr>
          <w:szCs w:val="24"/>
        </w:rPr>
        <w:t>correlation coefficient (</w:t>
      </w:r>
      <w:r w:rsidRPr="002619DD">
        <w:rPr>
          <w:szCs w:val="24"/>
        </w:rPr>
        <w:t xml:space="preserve">r) and </w:t>
      </w:r>
      <w:r w:rsidRPr="002619DD">
        <w:rPr>
          <w:i/>
          <w:szCs w:val="24"/>
        </w:rPr>
        <w:t>b</w:t>
      </w:r>
      <w:r w:rsidRPr="002619DD">
        <w:rPr>
          <w:szCs w:val="24"/>
        </w:rPr>
        <w:t xml:space="preserve"> of </w:t>
      </w:r>
      <w:r>
        <w:rPr>
          <w:szCs w:val="24"/>
        </w:rPr>
        <w:t>unity</w:t>
      </w:r>
      <w:r w:rsidRPr="002619DD">
        <w:rPr>
          <w:szCs w:val="24"/>
        </w:rPr>
        <w:t>, a</w:t>
      </w:r>
      <w:r>
        <w:rPr>
          <w:szCs w:val="24"/>
        </w:rPr>
        <w:t>nd an</w:t>
      </w:r>
      <w:r w:rsidRPr="002619DD">
        <w:rPr>
          <w:szCs w:val="24"/>
        </w:rPr>
        <w:t xml:space="preserve"> </w:t>
      </w:r>
      <w:r w:rsidRPr="002619DD">
        <w:rPr>
          <w:i/>
          <w:szCs w:val="24"/>
        </w:rPr>
        <w:t>a</w:t>
      </w:r>
      <w:r>
        <w:rPr>
          <w:szCs w:val="24"/>
        </w:rPr>
        <w:t xml:space="preserve"> of zero, with</w:t>
      </w:r>
      <w:r w:rsidRPr="002619DD">
        <w:rPr>
          <w:szCs w:val="24"/>
        </w:rPr>
        <w:t xml:space="preserve"> the graph of </w:t>
      </w:r>
      <w:r w:rsidRPr="002619DD">
        <w:rPr>
          <w:i/>
          <w:szCs w:val="24"/>
        </w:rPr>
        <w:t>Z(x</w:t>
      </w:r>
      <w:r w:rsidRPr="002619DD">
        <w:rPr>
          <w:i/>
          <w:szCs w:val="24"/>
          <w:vertAlign w:val="subscript"/>
        </w:rPr>
        <w:t>i</w:t>
      </w:r>
      <w:r w:rsidRPr="002619DD">
        <w:rPr>
          <w:i/>
          <w:szCs w:val="24"/>
        </w:rPr>
        <w:t>)</w:t>
      </w:r>
      <w:r w:rsidRPr="002619DD">
        <w:rPr>
          <w:szCs w:val="24"/>
        </w:rPr>
        <w:t xml:space="preserve"> and </w:t>
      </w:r>
      <w:r w:rsidRPr="002619DD">
        <w:rPr>
          <w:i/>
          <w:szCs w:val="24"/>
        </w:rPr>
        <w:t>Z*(x</w:t>
      </w:r>
      <w:r w:rsidRPr="002619DD">
        <w:rPr>
          <w:i/>
          <w:szCs w:val="24"/>
          <w:vertAlign w:val="subscript"/>
        </w:rPr>
        <w:t>i</w:t>
      </w:r>
      <w:r w:rsidRPr="002619DD">
        <w:rPr>
          <w:i/>
          <w:szCs w:val="24"/>
        </w:rPr>
        <w:t>)</w:t>
      </w:r>
      <w:r w:rsidRPr="002619DD">
        <w:rPr>
          <w:szCs w:val="24"/>
        </w:rPr>
        <w:t xml:space="preserve"> </w:t>
      </w:r>
      <w:r>
        <w:rPr>
          <w:szCs w:val="24"/>
        </w:rPr>
        <w:t>being a</w:t>
      </w:r>
      <w:r w:rsidRPr="002619DD">
        <w:rPr>
          <w:szCs w:val="24"/>
        </w:rPr>
        <w:t xml:space="preserve"> series of points on the one-to-one line (Vieira, 2009). </w:t>
      </w:r>
      <w:r>
        <w:rPr>
          <w:szCs w:val="24"/>
        </w:rPr>
        <w:t xml:space="preserve">If </w:t>
      </w:r>
      <w:r w:rsidRPr="00FA34A9">
        <w:rPr>
          <w:i/>
          <w:szCs w:val="24"/>
        </w:rPr>
        <w:t>a</w:t>
      </w:r>
      <w:r>
        <w:rPr>
          <w:szCs w:val="24"/>
        </w:rPr>
        <w:t xml:space="preserve"> (the intercept) is positive predicted values are always an overestimation of observed values, and if </w:t>
      </w:r>
      <w:r w:rsidRPr="00C36242">
        <w:rPr>
          <w:i/>
          <w:szCs w:val="24"/>
        </w:rPr>
        <w:t>a</w:t>
      </w:r>
      <w:r>
        <w:rPr>
          <w:szCs w:val="24"/>
        </w:rPr>
        <w:t xml:space="preserve"> is negative the inverse is true. If </w:t>
      </w:r>
      <w:r w:rsidRPr="00CA7CEA">
        <w:rPr>
          <w:i/>
          <w:szCs w:val="24"/>
        </w:rPr>
        <w:t>b</w:t>
      </w:r>
      <w:r>
        <w:rPr>
          <w:szCs w:val="24"/>
        </w:rPr>
        <w:t xml:space="preserve"> (the slope) is less than unity then the estimator, </w:t>
      </w:r>
      <w:r w:rsidRPr="002619DD">
        <w:rPr>
          <w:i/>
          <w:szCs w:val="24"/>
        </w:rPr>
        <w:t>Z*(x</w:t>
      </w:r>
      <w:r w:rsidRPr="002619DD">
        <w:rPr>
          <w:i/>
          <w:szCs w:val="24"/>
          <w:vertAlign w:val="subscript"/>
        </w:rPr>
        <w:t>i</w:t>
      </w:r>
      <w:r w:rsidRPr="002619DD">
        <w:rPr>
          <w:i/>
          <w:szCs w:val="24"/>
        </w:rPr>
        <w:t>)</w:t>
      </w:r>
      <w:r>
        <w:rPr>
          <w:szCs w:val="24"/>
        </w:rPr>
        <w:t xml:space="preserve">, is overestimating small values and underestimating large values, while if </w:t>
      </w:r>
      <w:r w:rsidRPr="00CA7CEA">
        <w:rPr>
          <w:i/>
          <w:szCs w:val="24"/>
        </w:rPr>
        <w:t>b</w:t>
      </w:r>
      <w:r>
        <w:rPr>
          <w:szCs w:val="24"/>
        </w:rPr>
        <w:t xml:space="preserve"> is greater than the opposite is true. The quality of the estimation can be assessed by these parameters. </w:t>
      </w:r>
      <w:r w:rsidRPr="002619DD">
        <w:rPr>
          <w:szCs w:val="24"/>
        </w:rPr>
        <w:t xml:space="preserve">Another very powerful statistical metric </w:t>
      </w:r>
      <w:r>
        <w:rPr>
          <w:szCs w:val="24"/>
        </w:rPr>
        <w:t>that can be derived from the on</w:t>
      </w:r>
      <w:r w:rsidR="000F6B47">
        <w:rPr>
          <w:szCs w:val="24"/>
        </w:rPr>
        <w:t>e</w:t>
      </w:r>
      <w:r>
        <w:rPr>
          <w:szCs w:val="24"/>
        </w:rPr>
        <w:t xml:space="preserve">-to-one graph </w:t>
      </w:r>
      <w:r w:rsidRPr="002619DD">
        <w:rPr>
          <w:szCs w:val="24"/>
        </w:rPr>
        <w:t xml:space="preserve">is </w:t>
      </w:r>
      <w:r>
        <w:rPr>
          <w:szCs w:val="24"/>
        </w:rPr>
        <w:t>N</w:t>
      </w:r>
      <w:r w:rsidRPr="002619DD">
        <w:rPr>
          <w:szCs w:val="24"/>
        </w:rPr>
        <w:t xml:space="preserve">RMSE. </w:t>
      </w:r>
      <w:r>
        <w:rPr>
          <w:szCs w:val="24"/>
        </w:rPr>
        <w:t xml:space="preserve">In this </w:t>
      </w:r>
      <w:r>
        <w:rPr>
          <w:szCs w:val="24"/>
        </w:rPr>
        <w:lastRenderedPageBreak/>
        <w:t xml:space="preserve">section NRMSE is employed to determine predictive ability, while it was previously used to evaluate goodness of fit. </w:t>
      </w:r>
    </w:p>
    <w:p w:rsidR="002F3B63" w:rsidRDefault="002F3B63" w:rsidP="002F3B63">
      <w:pPr>
        <w:spacing w:line="480" w:lineRule="auto"/>
        <w:rPr>
          <w:szCs w:val="24"/>
        </w:rPr>
      </w:pPr>
      <w:r>
        <w:rPr>
          <w:szCs w:val="24"/>
        </w:rPr>
        <w:tab/>
        <w:t xml:space="preserve">A separate performance evaluation was conducted for the kriging methods by calculating percent prediction accuracy (% PA). The % PA was determined by directly comparing CV estimated values for the three kriging forms used in this study (i.e. OK/RK, UK and CK) to observed values. The number of times the absolute value of the difference between the CV estimated value and the actual value was smallest for a particular kriging method was summed, </w:t>
      </w:r>
      <w:r w:rsidRPr="00780BC9">
        <w:rPr>
          <w:i/>
          <w:szCs w:val="24"/>
        </w:rPr>
        <w:t>N</w:t>
      </w:r>
      <w:r w:rsidRPr="00780BC9">
        <w:rPr>
          <w:i/>
          <w:szCs w:val="24"/>
          <w:vertAlign w:val="subscript"/>
        </w:rPr>
        <w:t>b</w:t>
      </w:r>
      <w:r>
        <w:rPr>
          <w:szCs w:val="24"/>
        </w:rPr>
        <w:t xml:space="preserve">, then divided by the total number, </w:t>
      </w:r>
      <w:r w:rsidRPr="00780BC9">
        <w:rPr>
          <w:i/>
          <w:szCs w:val="24"/>
        </w:rPr>
        <w:t>N</w:t>
      </w:r>
      <w:r w:rsidRPr="00780BC9">
        <w:rPr>
          <w:i/>
          <w:szCs w:val="24"/>
          <w:vertAlign w:val="subscript"/>
        </w:rPr>
        <w:t>t</w:t>
      </w:r>
      <w:r>
        <w:rPr>
          <w:szCs w:val="24"/>
        </w:rPr>
        <w:t>, of measured values (i.e. 115) and multiplied by 100. Given in mathematical form by:</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8"/>
        <w:gridCol w:w="7830"/>
        <w:gridCol w:w="828"/>
      </w:tblGrid>
      <w:tr w:rsidR="002F3B63" w:rsidTr="002F3B63">
        <w:tc>
          <w:tcPr>
            <w:tcW w:w="918" w:type="dxa"/>
          </w:tcPr>
          <w:p w:rsidR="002F3B63" w:rsidRPr="00826222" w:rsidRDefault="002F3B63" w:rsidP="002F3B63">
            <w:pPr>
              <w:spacing w:line="480" w:lineRule="auto"/>
              <w:jc w:val="both"/>
              <w:rPr>
                <w:rFonts w:cs="Times New Roman"/>
                <w:iCs/>
                <w:szCs w:val="24"/>
              </w:rPr>
            </w:pPr>
          </w:p>
        </w:tc>
        <w:tc>
          <w:tcPr>
            <w:tcW w:w="7830" w:type="dxa"/>
          </w:tcPr>
          <w:p w:rsidR="002F3B63" w:rsidRPr="00D16577" w:rsidRDefault="002F3B63" w:rsidP="002F3B63">
            <w:pPr>
              <w:spacing w:line="480" w:lineRule="auto"/>
              <w:jc w:val="center"/>
              <w:rPr>
                <w:rFonts w:cs="Times New Roman"/>
                <w:i/>
                <w:iCs/>
                <w:szCs w:val="24"/>
              </w:rPr>
            </w:pPr>
            <m:oMathPara>
              <m:oMath>
                <m:r>
                  <w:rPr>
                    <w:rFonts w:ascii="Cambria Math" w:hAnsi="Cambria Math" w:cs="Times New Roman"/>
                    <w:szCs w:val="24"/>
                  </w:rPr>
                  <m:t>% Prediction Accuracy</m:t>
                </m:r>
                <m:r>
                  <w:rPr>
                    <w:rFonts w:ascii="Cambria Math" w:cs="Times New Roman"/>
                    <w:szCs w:val="24"/>
                  </w:rPr>
                  <m:t xml:space="preserve"> = </m:t>
                </m:r>
                <m:f>
                  <m:fPr>
                    <m:ctrlPr>
                      <w:rPr>
                        <w:rFonts w:ascii="Cambria Math" w:hAnsi="Cambria Math" w:cs="Times New Roman"/>
                        <w:i/>
                        <w:szCs w:val="24"/>
                      </w:rPr>
                    </m:ctrlPr>
                  </m:fPr>
                  <m:num>
                    <m:sSub>
                      <m:sSubPr>
                        <m:ctrlPr>
                          <w:rPr>
                            <w:rFonts w:ascii="Cambria Math" w:hAnsi="Cambria Math" w:cs="Times New Roman"/>
                            <w:i/>
                            <w:szCs w:val="24"/>
                          </w:rPr>
                        </m:ctrlPr>
                      </m:sSubPr>
                      <m:e>
                        <m:r>
                          <w:rPr>
                            <w:rFonts w:ascii="Cambria Math" w:cs="Times New Roman"/>
                            <w:szCs w:val="24"/>
                          </w:rPr>
                          <m:t>N</m:t>
                        </m:r>
                      </m:e>
                      <m:sub>
                        <m:r>
                          <w:rPr>
                            <w:rFonts w:ascii="Cambria Math" w:cs="Times New Roman"/>
                            <w:szCs w:val="24"/>
                          </w:rPr>
                          <m:t>b</m:t>
                        </m:r>
                      </m:sub>
                    </m:sSub>
                  </m:num>
                  <m:den>
                    <m:sSub>
                      <m:sSubPr>
                        <m:ctrlPr>
                          <w:rPr>
                            <w:rFonts w:ascii="Cambria Math" w:hAnsi="Cambria Math" w:cs="Times New Roman"/>
                            <w:i/>
                            <w:szCs w:val="24"/>
                          </w:rPr>
                        </m:ctrlPr>
                      </m:sSubPr>
                      <m:e>
                        <m:r>
                          <w:rPr>
                            <w:rFonts w:ascii="Cambria Math" w:cs="Times New Roman"/>
                            <w:szCs w:val="24"/>
                          </w:rPr>
                          <m:t>N</m:t>
                        </m:r>
                      </m:e>
                      <m:sub>
                        <m:r>
                          <w:rPr>
                            <w:rFonts w:ascii="Cambria Math" w:cs="Times New Roman"/>
                            <w:szCs w:val="24"/>
                          </w:rPr>
                          <m:t>t</m:t>
                        </m:r>
                      </m:sub>
                    </m:sSub>
                  </m:den>
                </m:f>
                <m:r>
                  <w:rPr>
                    <w:rFonts w:ascii="Cambria Math" w:hAnsi="Cambria Math" w:cs="Cambria Math"/>
                    <w:szCs w:val="24"/>
                  </w:rPr>
                  <m:t>*100</m:t>
                </m:r>
              </m:oMath>
            </m:oMathPara>
          </w:p>
        </w:tc>
        <w:tc>
          <w:tcPr>
            <w:tcW w:w="828" w:type="dxa"/>
            <w:vAlign w:val="center"/>
          </w:tcPr>
          <w:p w:rsidR="002F3B63" w:rsidRPr="00D16577" w:rsidRDefault="002F3B63" w:rsidP="002F3B63">
            <w:pPr>
              <w:spacing w:line="480" w:lineRule="auto"/>
              <w:jc w:val="center"/>
              <w:rPr>
                <w:rFonts w:cs="Times New Roman"/>
                <w:iCs/>
                <w:szCs w:val="24"/>
              </w:rPr>
            </w:pPr>
            <w:r w:rsidRPr="00D16577">
              <w:rPr>
                <w:rFonts w:cs="Times New Roman"/>
                <w:iCs/>
                <w:szCs w:val="24"/>
              </w:rPr>
              <w:t>(</w:t>
            </w:r>
            <w:r w:rsidR="0004094A">
              <w:t>25</w:t>
            </w:r>
            <w:r w:rsidRPr="00D16577">
              <w:rPr>
                <w:rFonts w:cs="Times New Roman"/>
                <w:iCs/>
                <w:szCs w:val="24"/>
              </w:rPr>
              <w:t>)</w:t>
            </w:r>
          </w:p>
        </w:tc>
      </w:tr>
    </w:tbl>
    <w:p w:rsidR="002F3B63" w:rsidRDefault="002F3B63" w:rsidP="002F3B63">
      <w:pPr>
        <w:spacing w:line="480" w:lineRule="auto"/>
        <w:rPr>
          <w:szCs w:val="24"/>
        </w:rPr>
      </w:pPr>
      <w:r>
        <w:rPr>
          <w:szCs w:val="24"/>
        </w:rPr>
        <w:t>The sum of the computed %PA for each kriging form will be 100%. The optimal kriging estimator was determined using the following criteria: goodness of fit (i.e. R</w:t>
      </w:r>
      <w:r w:rsidRPr="009C0BE4">
        <w:rPr>
          <w:szCs w:val="24"/>
          <w:vertAlign w:val="superscript"/>
        </w:rPr>
        <w:t>2</w:t>
      </w:r>
      <w:r>
        <w:rPr>
          <w:szCs w:val="24"/>
        </w:rPr>
        <w:t xml:space="preserve"> and NRMSE), statistics derived from the one-to-one graph (a, b, r, and NRMSE), and %PA. By incorporating the information gained from several statistical criteria the most appropriate semivariogram model and kriging form was chosen to compute the final kriged map for each spatially dependent parameter. </w:t>
      </w:r>
    </w:p>
    <w:p w:rsidR="002F3B63" w:rsidRDefault="002F3B63" w:rsidP="002F3B63">
      <w:pPr>
        <w:pStyle w:val="Style2"/>
      </w:pPr>
      <w:bookmarkStart w:id="34" w:name="_Toc425427037"/>
      <w:r>
        <w:t>3.7 Trend Correction</w:t>
      </w:r>
      <w:bookmarkEnd w:id="34"/>
    </w:p>
    <w:p w:rsidR="002F3B63" w:rsidRPr="00B517F3" w:rsidRDefault="002F3B63" w:rsidP="002F3B63">
      <w:pPr>
        <w:spacing w:line="480" w:lineRule="auto"/>
        <w:ind w:firstLine="720"/>
        <w:rPr>
          <w:szCs w:val="24"/>
        </w:rPr>
      </w:pPr>
      <w:r w:rsidRPr="00B517F3">
        <w:rPr>
          <w:szCs w:val="24"/>
        </w:rPr>
        <w:t xml:space="preserve">As previously mentioned in the CV methods section, </w:t>
      </w:r>
      <w:r>
        <w:rPr>
          <w:szCs w:val="24"/>
        </w:rPr>
        <w:t xml:space="preserve">the suite of </w:t>
      </w:r>
      <w:r w:rsidRPr="00B517F3">
        <w:rPr>
          <w:szCs w:val="24"/>
        </w:rPr>
        <w:t>CV estimated valu</w:t>
      </w:r>
      <w:r>
        <w:rPr>
          <w:szCs w:val="24"/>
        </w:rPr>
        <w:t>es was</w:t>
      </w:r>
      <w:r w:rsidRPr="00B517F3">
        <w:rPr>
          <w:szCs w:val="24"/>
        </w:rPr>
        <w:t xml:space="preserve"> used to compute </w:t>
      </w:r>
      <w:r>
        <w:rPr>
          <w:szCs w:val="24"/>
        </w:rPr>
        <w:t xml:space="preserve">detrended </w:t>
      </w:r>
      <w:r w:rsidRPr="00B517F3">
        <w:rPr>
          <w:szCs w:val="24"/>
        </w:rPr>
        <w:t xml:space="preserve">kriged maps of spatially correlated BC parameters. This was done in an effort to remove any spatial correlation resulting from the data collection procedure conducted by Kang et al. (2014). To identify the true controls of flow and </w:t>
      </w:r>
      <w:r w:rsidRPr="00B517F3">
        <w:rPr>
          <w:szCs w:val="24"/>
        </w:rPr>
        <w:lastRenderedPageBreak/>
        <w:t>transport at the sub-core scale, the Kang et al. (2014) dataset</w:t>
      </w:r>
      <w:r>
        <w:rPr>
          <w:szCs w:val="24"/>
        </w:rPr>
        <w:t>, hereafter referred to as the Kang data,</w:t>
      </w:r>
      <w:r w:rsidRPr="00B517F3">
        <w:rPr>
          <w:szCs w:val="24"/>
        </w:rPr>
        <w:t xml:space="preserve"> must be devoid of procedural spatial structure. Failing to remove this type of spatial structure will result in misinterpretation of the true geologic controls on fluid movement. This section presents the methods used in order to develop a technique using geostatistics to remove non-geologic spatial structure. </w:t>
      </w:r>
    </w:p>
    <w:p w:rsidR="002F3B63" w:rsidRDefault="002F3B63" w:rsidP="002F3B63">
      <w:pPr>
        <w:spacing w:line="480" w:lineRule="auto"/>
        <w:rPr>
          <w:szCs w:val="24"/>
        </w:rPr>
      </w:pPr>
      <w:r w:rsidRPr="00B517F3">
        <w:rPr>
          <w:szCs w:val="24"/>
        </w:rPr>
        <w:tab/>
        <w:t xml:space="preserve">The CV estimated values were used in the same manner as the </w:t>
      </w:r>
      <w:r>
        <w:rPr>
          <w:szCs w:val="24"/>
        </w:rPr>
        <w:t xml:space="preserve">Kang data </w:t>
      </w:r>
      <w:r w:rsidRPr="00B517F3">
        <w:rPr>
          <w:szCs w:val="24"/>
        </w:rPr>
        <w:t xml:space="preserve">to compute a kriged </w:t>
      </w:r>
      <w:r>
        <w:rPr>
          <w:szCs w:val="24"/>
        </w:rPr>
        <w:t>surface. The necessary steps are briefly presented here:</w:t>
      </w:r>
      <w:r w:rsidRPr="001B4619">
        <w:rPr>
          <w:szCs w:val="24"/>
        </w:rPr>
        <w:t xml:space="preserve"> </w:t>
      </w:r>
    </w:p>
    <w:p w:rsidR="002F3B63" w:rsidRPr="00B517F3" w:rsidRDefault="002F3B63" w:rsidP="002F3B63">
      <w:pPr>
        <w:pStyle w:val="ListParagraph"/>
        <w:numPr>
          <w:ilvl w:val="0"/>
          <w:numId w:val="5"/>
        </w:numPr>
        <w:spacing w:line="480" w:lineRule="auto"/>
        <w:rPr>
          <w:szCs w:val="24"/>
        </w:rPr>
      </w:pPr>
      <w:r w:rsidRPr="00B517F3">
        <w:rPr>
          <w:szCs w:val="24"/>
        </w:rPr>
        <w:t>Preliminary statistics were used to summarize the CV data and test for normality</w:t>
      </w:r>
    </w:p>
    <w:p w:rsidR="002F3B63" w:rsidRPr="00B517F3" w:rsidRDefault="002F3B63" w:rsidP="002F3B63">
      <w:pPr>
        <w:pStyle w:val="ListParagraph"/>
        <w:numPr>
          <w:ilvl w:val="0"/>
          <w:numId w:val="5"/>
        </w:numPr>
        <w:spacing w:line="480" w:lineRule="auto"/>
        <w:rPr>
          <w:szCs w:val="24"/>
        </w:rPr>
      </w:pPr>
      <w:r w:rsidRPr="00B517F3">
        <w:rPr>
          <w:szCs w:val="24"/>
        </w:rPr>
        <w:t>Non-normal data were transformed using an inverse transformation</w:t>
      </w:r>
    </w:p>
    <w:p w:rsidR="002F3B63" w:rsidRPr="00B517F3" w:rsidRDefault="002F3B63" w:rsidP="002F3B63">
      <w:pPr>
        <w:pStyle w:val="ListParagraph"/>
        <w:numPr>
          <w:ilvl w:val="0"/>
          <w:numId w:val="5"/>
        </w:numPr>
        <w:spacing w:line="480" w:lineRule="auto"/>
        <w:rPr>
          <w:szCs w:val="24"/>
        </w:rPr>
      </w:pPr>
      <w:r w:rsidRPr="00B517F3">
        <w:rPr>
          <w:szCs w:val="24"/>
        </w:rPr>
        <w:t>Normally distributed data were used in a trend surface analysis to identify significant trends</w:t>
      </w:r>
    </w:p>
    <w:p w:rsidR="002F3B63" w:rsidRPr="00B517F3" w:rsidRDefault="002F3B63" w:rsidP="002F3B63">
      <w:pPr>
        <w:pStyle w:val="ListParagraph"/>
        <w:numPr>
          <w:ilvl w:val="0"/>
          <w:numId w:val="5"/>
        </w:numPr>
        <w:spacing w:line="480" w:lineRule="auto"/>
        <w:rPr>
          <w:szCs w:val="24"/>
        </w:rPr>
      </w:pPr>
      <w:r w:rsidRPr="00B517F3">
        <w:rPr>
          <w:szCs w:val="24"/>
        </w:rPr>
        <w:t>Significant trends were removed by subtracting the trend surface function from the CV data (Vieira et al., 2010), this process created a new residual variable</w:t>
      </w:r>
    </w:p>
    <w:p w:rsidR="002F3B63" w:rsidRPr="00B517F3" w:rsidRDefault="002F3B63" w:rsidP="002F3B63">
      <w:pPr>
        <w:pStyle w:val="ListParagraph"/>
        <w:numPr>
          <w:ilvl w:val="0"/>
          <w:numId w:val="5"/>
        </w:numPr>
        <w:spacing w:line="480" w:lineRule="auto"/>
        <w:rPr>
          <w:szCs w:val="24"/>
        </w:rPr>
      </w:pPr>
      <w:r w:rsidRPr="00B517F3">
        <w:rPr>
          <w:szCs w:val="24"/>
        </w:rPr>
        <w:t>An empirical semivariogram was computed for the detrended CV data</w:t>
      </w:r>
    </w:p>
    <w:p w:rsidR="002F3B63" w:rsidRPr="00B517F3" w:rsidRDefault="002F3B63" w:rsidP="002F3B63">
      <w:pPr>
        <w:pStyle w:val="ListParagraph"/>
        <w:numPr>
          <w:ilvl w:val="0"/>
          <w:numId w:val="5"/>
        </w:numPr>
        <w:spacing w:line="480" w:lineRule="auto"/>
        <w:rPr>
          <w:szCs w:val="24"/>
        </w:rPr>
      </w:pPr>
      <w:r w:rsidRPr="00B517F3">
        <w:rPr>
          <w:szCs w:val="24"/>
        </w:rPr>
        <w:t>Theoretical models were fit to the empirical semivariogram and their fit was assessed using R</w:t>
      </w:r>
      <w:r w:rsidRPr="00B517F3">
        <w:rPr>
          <w:szCs w:val="24"/>
          <w:vertAlign w:val="superscript"/>
        </w:rPr>
        <w:t>2</w:t>
      </w:r>
      <w:r w:rsidRPr="00B517F3">
        <w:rPr>
          <w:szCs w:val="24"/>
        </w:rPr>
        <w:t xml:space="preserve"> and RMSE</w:t>
      </w:r>
    </w:p>
    <w:p w:rsidR="002F3B63" w:rsidRPr="00B517F3" w:rsidRDefault="002F3B63" w:rsidP="002F3B63">
      <w:pPr>
        <w:pStyle w:val="ListParagraph"/>
        <w:numPr>
          <w:ilvl w:val="0"/>
          <w:numId w:val="5"/>
        </w:numPr>
        <w:spacing w:line="480" w:lineRule="auto"/>
        <w:rPr>
          <w:szCs w:val="24"/>
        </w:rPr>
      </w:pPr>
      <w:r w:rsidRPr="00B517F3">
        <w:rPr>
          <w:szCs w:val="24"/>
        </w:rPr>
        <w:t>Cross-validation was used to validate the selected theoretical model</w:t>
      </w:r>
    </w:p>
    <w:p w:rsidR="002F3B63" w:rsidRPr="001B4619" w:rsidRDefault="002F3B63" w:rsidP="002F3B63">
      <w:pPr>
        <w:pStyle w:val="ListParagraph"/>
        <w:numPr>
          <w:ilvl w:val="0"/>
          <w:numId w:val="5"/>
        </w:numPr>
        <w:spacing w:line="480" w:lineRule="auto"/>
        <w:rPr>
          <w:szCs w:val="24"/>
        </w:rPr>
      </w:pPr>
      <w:r w:rsidRPr="00B517F3">
        <w:rPr>
          <w:szCs w:val="24"/>
        </w:rPr>
        <w:t xml:space="preserve">Finally, the same kriging method used to obtain the CV values was used to </w:t>
      </w:r>
      <w:r>
        <w:rPr>
          <w:szCs w:val="24"/>
        </w:rPr>
        <w:t>compute</w:t>
      </w:r>
      <w:r w:rsidRPr="00B517F3">
        <w:rPr>
          <w:szCs w:val="24"/>
        </w:rPr>
        <w:t xml:space="preserve"> a kriged map of the CV data</w:t>
      </w:r>
    </w:p>
    <w:p w:rsidR="002F3B63" w:rsidRDefault="002F3B63" w:rsidP="002F3B63">
      <w:pPr>
        <w:spacing w:line="480" w:lineRule="auto"/>
        <w:ind w:firstLine="360"/>
        <w:rPr>
          <w:szCs w:val="24"/>
        </w:rPr>
      </w:pPr>
      <w:r>
        <w:rPr>
          <w:szCs w:val="24"/>
        </w:rPr>
        <w:t xml:space="preserve">Up to this point kriged maps have been computed for spatially correlated BC parameters and their CV estimated values. Now CV kriged estimates will be used to remove non-geologic spatial structure from the Kang data. </w:t>
      </w:r>
      <w:r w:rsidRPr="001B4619">
        <w:rPr>
          <w:szCs w:val="24"/>
        </w:rPr>
        <w:t xml:space="preserve">The manner in which this was </w:t>
      </w:r>
      <w:r w:rsidRPr="001B4619">
        <w:rPr>
          <w:szCs w:val="24"/>
        </w:rPr>
        <w:lastRenderedPageBreak/>
        <w:t>accomplished is very similar to that of the detrending procedure already discussed.</w:t>
      </w:r>
      <w:r>
        <w:rPr>
          <w:szCs w:val="24"/>
        </w:rPr>
        <w:t xml:space="preserve"> The difference between the Kang and CV kriged values is calculated. The computed residual value is</w:t>
      </w:r>
      <w:r w:rsidRPr="001B4619">
        <w:rPr>
          <w:szCs w:val="24"/>
        </w:rPr>
        <w:t xml:space="preserve"> then added to the average of the Kang data kriged predictions</w:t>
      </w:r>
      <w:r>
        <w:rPr>
          <w:szCs w:val="24"/>
        </w:rPr>
        <w:t xml:space="preserve"> to create a new variable. This calculation is illustrated by:</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8"/>
        <w:gridCol w:w="7830"/>
        <w:gridCol w:w="828"/>
      </w:tblGrid>
      <w:tr w:rsidR="002F3B63" w:rsidTr="002F3B63">
        <w:tc>
          <w:tcPr>
            <w:tcW w:w="918" w:type="dxa"/>
          </w:tcPr>
          <w:p w:rsidR="002F3B63" w:rsidRPr="00826222" w:rsidRDefault="002F3B63" w:rsidP="002F3B63">
            <w:pPr>
              <w:spacing w:line="480" w:lineRule="auto"/>
              <w:jc w:val="both"/>
              <w:rPr>
                <w:rFonts w:cs="Times New Roman"/>
                <w:iCs/>
                <w:szCs w:val="24"/>
              </w:rPr>
            </w:pPr>
          </w:p>
        </w:tc>
        <w:tc>
          <w:tcPr>
            <w:tcW w:w="7830" w:type="dxa"/>
          </w:tcPr>
          <w:p w:rsidR="002F3B63" w:rsidRPr="00826222" w:rsidRDefault="00177749" w:rsidP="002F3B63">
            <w:pPr>
              <w:spacing w:line="480" w:lineRule="auto"/>
              <w:jc w:val="center"/>
              <w:rPr>
                <w:rFonts w:cs="Times New Roman"/>
                <w:iCs/>
                <w:szCs w:val="24"/>
              </w:rPr>
            </w:pPr>
            <m:oMathPara>
              <m:oMath>
                <m:sSub>
                  <m:sSubPr>
                    <m:ctrlPr>
                      <w:rPr>
                        <w:rFonts w:ascii="Cambria Math" w:hAnsi="Cambria Math" w:cs="Times New Roman"/>
                        <w:i/>
                        <w:szCs w:val="24"/>
                      </w:rPr>
                    </m:ctrlPr>
                  </m:sSubPr>
                  <m:e>
                    <m:r>
                      <w:rPr>
                        <w:rFonts w:ascii="Cambria Math" w:hAnsi="Cambria Math" w:cs="Times New Roman"/>
                        <w:szCs w:val="24"/>
                      </w:rPr>
                      <m:t>Z</m:t>
                    </m:r>
                  </m:e>
                  <m:sub>
                    <m:r>
                      <w:rPr>
                        <w:rFonts w:ascii="Cambria Math" w:hAnsi="Cambria Math" w:cs="Times New Roman"/>
                        <w:szCs w:val="24"/>
                      </w:rPr>
                      <m:t>ra</m:t>
                    </m:r>
                  </m:sub>
                </m:sSub>
                <m:r>
                  <w:rPr>
                    <w:rFonts w:ascii="Cambria Math" w:cs="Times New Roman"/>
                    <w:szCs w:val="24"/>
                  </w:rPr>
                  <m:t xml:space="preserve">= </m:t>
                </m:r>
                <m:sSub>
                  <m:sSubPr>
                    <m:ctrlPr>
                      <w:rPr>
                        <w:rFonts w:ascii="Cambria Math" w:hAnsi="Cambria Math" w:cs="Times New Roman"/>
                        <w:i/>
                        <w:szCs w:val="24"/>
                      </w:rPr>
                    </m:ctrlPr>
                  </m:sSubPr>
                  <m:e>
                    <m:r>
                      <w:rPr>
                        <w:rFonts w:ascii="Cambria Math" w:hAnsi="Cambria Math" w:cs="Times New Roman"/>
                        <w:szCs w:val="24"/>
                      </w:rPr>
                      <m:t>(Z</m:t>
                    </m:r>
                  </m:e>
                  <m:sub>
                    <m:r>
                      <w:rPr>
                        <w:rFonts w:ascii="Cambria Math" w:hAnsi="Cambria Math" w:cs="Times New Roman"/>
                        <w:szCs w:val="24"/>
                      </w:rPr>
                      <m:t>k</m:t>
                    </m:r>
                  </m:sub>
                </m:sSub>
                <m:r>
                  <w:rPr>
                    <w:rFonts w:ascii="Cambria Math" w:hAnsi="Cambria Math" w:cs="Times New Roman"/>
                    <w:szCs w:val="24"/>
                  </w:rPr>
                  <m:t>-</m:t>
                </m:r>
                <m:r>
                  <w:rPr>
                    <w:rFonts w:ascii="Cambria Math" w:cs="Times New Roman"/>
                    <w:szCs w:val="24"/>
                  </w:rPr>
                  <m:t xml:space="preserve"> </m:t>
                </m:r>
                <m:sSub>
                  <m:sSubPr>
                    <m:ctrlPr>
                      <w:rPr>
                        <w:rFonts w:ascii="Cambria Math" w:hAnsi="Cambria Math" w:cs="Times New Roman"/>
                        <w:i/>
                        <w:szCs w:val="24"/>
                      </w:rPr>
                    </m:ctrlPr>
                  </m:sSubPr>
                  <m:e>
                    <m:r>
                      <w:rPr>
                        <w:rFonts w:ascii="Cambria Math" w:hAnsi="Cambria Math" w:cs="Times New Roman"/>
                        <w:szCs w:val="24"/>
                      </w:rPr>
                      <m:t>Z</m:t>
                    </m:r>
                  </m:e>
                  <m:sub>
                    <m:r>
                      <w:rPr>
                        <w:rFonts w:ascii="Cambria Math" w:hAnsi="Cambria Math" w:cs="Times New Roman"/>
                        <w:szCs w:val="24"/>
                      </w:rPr>
                      <m:t>cv</m:t>
                    </m:r>
                  </m:sub>
                </m:sSub>
                <m:r>
                  <w:rPr>
                    <w:rFonts w:ascii="Cambria Math" w:hAnsi="Cambria Math" w:cs="Times New Roman"/>
                    <w:szCs w:val="24"/>
                  </w:rPr>
                  <m:t xml:space="preserve">)+ </m:t>
                </m:r>
                <m:sSub>
                  <m:sSubPr>
                    <m:ctrlPr>
                      <w:rPr>
                        <w:rFonts w:ascii="Cambria Math" w:hAnsi="Cambria Math" w:cs="Times New Roman"/>
                        <w:i/>
                        <w:szCs w:val="24"/>
                      </w:rPr>
                    </m:ctrlPr>
                  </m:sSubPr>
                  <m:e>
                    <m:acc>
                      <m:accPr>
                        <m:chr m:val="̅"/>
                        <m:ctrlPr>
                          <w:rPr>
                            <w:rFonts w:ascii="Cambria Math" w:hAnsi="Cambria Math" w:cs="Times New Roman"/>
                            <w:i/>
                            <w:szCs w:val="24"/>
                          </w:rPr>
                        </m:ctrlPr>
                      </m:accPr>
                      <m:e>
                        <m:r>
                          <w:rPr>
                            <w:rFonts w:ascii="Cambria Math" w:hAnsi="Cambria Math" w:cs="Times New Roman"/>
                            <w:szCs w:val="24"/>
                          </w:rPr>
                          <m:t>Z</m:t>
                        </m:r>
                      </m:e>
                    </m:acc>
                  </m:e>
                  <m:sub>
                    <m:r>
                      <w:rPr>
                        <w:rFonts w:ascii="Cambria Math" w:hAnsi="Cambria Math" w:cs="Times New Roman"/>
                        <w:szCs w:val="24"/>
                      </w:rPr>
                      <m:t>k</m:t>
                    </m:r>
                  </m:sub>
                </m:sSub>
                <m:r>
                  <w:rPr>
                    <w:rFonts w:ascii="Cambria Math" w:hAnsi="Cambria Math" w:cs="Times New Roman"/>
                    <w:szCs w:val="24"/>
                  </w:rPr>
                  <m:t xml:space="preserve"> </m:t>
                </m:r>
              </m:oMath>
            </m:oMathPara>
          </w:p>
        </w:tc>
        <w:tc>
          <w:tcPr>
            <w:tcW w:w="828" w:type="dxa"/>
          </w:tcPr>
          <w:p w:rsidR="002F3B63" w:rsidRPr="00826222" w:rsidRDefault="002F3B63" w:rsidP="002F3B63">
            <w:pPr>
              <w:spacing w:line="480" w:lineRule="auto"/>
              <w:jc w:val="right"/>
              <w:rPr>
                <w:rFonts w:cs="Times New Roman"/>
                <w:iCs/>
                <w:szCs w:val="24"/>
              </w:rPr>
            </w:pPr>
            <w:r w:rsidRPr="00826222">
              <w:rPr>
                <w:rFonts w:cs="Times New Roman"/>
                <w:iCs/>
                <w:szCs w:val="24"/>
              </w:rPr>
              <w:t>(</w:t>
            </w:r>
            <w:r w:rsidR="0004094A">
              <w:t>26</w:t>
            </w:r>
            <w:r w:rsidRPr="00826222">
              <w:rPr>
                <w:rFonts w:cs="Times New Roman"/>
                <w:iCs/>
                <w:szCs w:val="24"/>
              </w:rPr>
              <w:t>)</w:t>
            </w:r>
          </w:p>
        </w:tc>
      </w:tr>
    </w:tbl>
    <w:p w:rsidR="002F3B63" w:rsidRPr="001B4619" w:rsidRDefault="002F3B63" w:rsidP="002F3B63">
      <w:pPr>
        <w:spacing w:line="480" w:lineRule="auto"/>
        <w:rPr>
          <w:szCs w:val="24"/>
        </w:rPr>
      </w:pPr>
      <w:r>
        <w:rPr>
          <w:szCs w:val="24"/>
        </w:rPr>
        <w:t>where Z</w:t>
      </w:r>
      <w:r w:rsidRPr="009B570B">
        <w:rPr>
          <w:i/>
          <w:szCs w:val="24"/>
          <w:vertAlign w:val="subscript"/>
        </w:rPr>
        <w:t>k</w:t>
      </w:r>
      <w:r>
        <w:rPr>
          <w:szCs w:val="24"/>
        </w:rPr>
        <w:t xml:space="preserve"> and </w:t>
      </w:r>
      <w:r>
        <w:rPr>
          <w:i/>
          <w:szCs w:val="24"/>
        </w:rPr>
        <w:t>Z</w:t>
      </w:r>
      <w:r w:rsidRPr="009B570B">
        <w:rPr>
          <w:i/>
          <w:szCs w:val="24"/>
          <w:vertAlign w:val="subscript"/>
        </w:rPr>
        <w:t>cv</w:t>
      </w:r>
      <w:r w:rsidRPr="009B570B">
        <w:rPr>
          <w:szCs w:val="24"/>
          <w:vertAlign w:val="subscript"/>
        </w:rPr>
        <w:t xml:space="preserve"> </w:t>
      </w:r>
      <w:r>
        <w:rPr>
          <w:szCs w:val="24"/>
        </w:rPr>
        <w:t xml:space="preserve">represent Kang and CV kriged estimates, respectively; </w:t>
      </w:r>
      <m:oMath>
        <m:sSub>
          <m:sSubPr>
            <m:ctrlPr>
              <w:rPr>
                <w:rFonts w:ascii="Cambria Math" w:hAnsi="Cambria Math" w:cs="Times New Roman"/>
                <w:i/>
                <w:szCs w:val="24"/>
              </w:rPr>
            </m:ctrlPr>
          </m:sSubPr>
          <m:e>
            <m:acc>
              <m:accPr>
                <m:chr m:val="̅"/>
                <m:ctrlPr>
                  <w:rPr>
                    <w:rFonts w:ascii="Cambria Math" w:hAnsi="Cambria Math" w:cs="Times New Roman"/>
                    <w:i/>
                    <w:szCs w:val="24"/>
                  </w:rPr>
                </m:ctrlPr>
              </m:accPr>
              <m:e>
                <m:r>
                  <w:rPr>
                    <w:rFonts w:ascii="Cambria Math" w:hAnsi="Cambria Math" w:cs="Times New Roman"/>
                    <w:szCs w:val="24"/>
                  </w:rPr>
                  <m:t>Z</m:t>
                </m:r>
              </m:e>
            </m:acc>
          </m:e>
          <m:sub>
            <m:r>
              <w:rPr>
                <w:rFonts w:ascii="Cambria Math" w:hAnsi="Cambria Math" w:cs="Times New Roman"/>
                <w:szCs w:val="24"/>
              </w:rPr>
              <m:t>k</m:t>
            </m:r>
          </m:sub>
        </m:sSub>
      </m:oMath>
      <w:r>
        <w:rPr>
          <w:rFonts w:eastAsiaTheme="minorEastAsia"/>
          <w:szCs w:val="24"/>
        </w:rPr>
        <w:t xml:space="preserve"> signifies the mean of Z</w:t>
      </w:r>
      <w:r w:rsidRPr="009B570B">
        <w:rPr>
          <w:rFonts w:eastAsiaTheme="minorEastAsia"/>
          <w:i/>
          <w:szCs w:val="24"/>
          <w:vertAlign w:val="subscript"/>
        </w:rPr>
        <w:t>k</w:t>
      </w:r>
      <w:r>
        <w:rPr>
          <w:rFonts w:eastAsiaTheme="minorEastAsia"/>
          <w:szCs w:val="24"/>
        </w:rPr>
        <w:t xml:space="preserve">; and </w:t>
      </w:r>
      <w:r>
        <w:rPr>
          <w:rFonts w:eastAsiaTheme="minorEastAsia"/>
          <w:i/>
          <w:szCs w:val="24"/>
        </w:rPr>
        <w:t>Z</w:t>
      </w:r>
      <w:r w:rsidRPr="009B570B">
        <w:rPr>
          <w:rFonts w:eastAsiaTheme="minorEastAsia"/>
          <w:i/>
          <w:szCs w:val="24"/>
          <w:vertAlign w:val="subscript"/>
        </w:rPr>
        <w:t>ra</w:t>
      </w:r>
      <w:r>
        <w:rPr>
          <w:rFonts w:eastAsiaTheme="minorEastAsia"/>
          <w:szCs w:val="24"/>
        </w:rPr>
        <w:t xml:space="preserve"> is the corrected BC parameter. The new variable, </w:t>
      </w:r>
      <w:r>
        <w:rPr>
          <w:rFonts w:eastAsiaTheme="minorEastAsia"/>
          <w:i/>
          <w:szCs w:val="24"/>
        </w:rPr>
        <w:t>Z</w:t>
      </w:r>
      <w:r w:rsidRPr="009B570B">
        <w:rPr>
          <w:rFonts w:eastAsiaTheme="minorEastAsia"/>
          <w:i/>
          <w:szCs w:val="24"/>
          <w:vertAlign w:val="subscript"/>
        </w:rPr>
        <w:t>ra</w:t>
      </w:r>
      <w:r>
        <w:rPr>
          <w:rFonts w:eastAsiaTheme="minorEastAsia"/>
          <w:szCs w:val="24"/>
        </w:rPr>
        <w:t>, is then mapped to visually represent the now detrended BC parameter. In the next section this procedure will be validated using independent data.</w:t>
      </w:r>
    </w:p>
    <w:p w:rsidR="002F3B63" w:rsidRDefault="002F3B63" w:rsidP="002F3B63">
      <w:pPr>
        <w:pStyle w:val="Style2"/>
      </w:pPr>
      <w:bookmarkStart w:id="35" w:name="_Toc425427038"/>
      <w:r>
        <w:t>3.8 Validation</w:t>
      </w:r>
      <w:bookmarkEnd w:id="35"/>
    </w:p>
    <w:p w:rsidR="002F3B63" w:rsidRPr="00B64F5C" w:rsidRDefault="002F3B63" w:rsidP="002F3B63">
      <w:pPr>
        <w:spacing w:line="480" w:lineRule="auto"/>
        <w:ind w:firstLine="720"/>
        <w:rPr>
          <w:szCs w:val="24"/>
        </w:rPr>
      </w:pPr>
      <w:r w:rsidRPr="00B64F5C">
        <w:rPr>
          <w:szCs w:val="24"/>
        </w:rPr>
        <w:t>In this section several nonparametric statistics and plots are presented in an attempt to validate the trend correction process, and explain obvious trends in the BC parameter k</w:t>
      </w:r>
      <w:r w:rsidR="000F6B47">
        <w:rPr>
          <w:szCs w:val="24"/>
        </w:rPr>
        <w:t>riged maps. The Mann-Whitney (MW) and Kolmogorov–Smirnov (K</w:t>
      </w:r>
      <w:r w:rsidRPr="00B64F5C">
        <w:rPr>
          <w:szCs w:val="24"/>
        </w:rPr>
        <w:t>S)</w:t>
      </w:r>
      <w:r>
        <w:rPr>
          <w:szCs w:val="24"/>
        </w:rPr>
        <w:t xml:space="preserve"> two sample</w:t>
      </w:r>
      <w:r w:rsidRPr="00B64F5C">
        <w:rPr>
          <w:szCs w:val="24"/>
        </w:rPr>
        <w:t xml:space="preserve"> tests were employed to validate </w:t>
      </w:r>
      <w:r>
        <w:rPr>
          <w:szCs w:val="24"/>
        </w:rPr>
        <w:t xml:space="preserve">the </w:t>
      </w:r>
      <w:r w:rsidRPr="00B64F5C">
        <w:rPr>
          <w:szCs w:val="24"/>
        </w:rPr>
        <w:t xml:space="preserve">spatially-corrected BC parameters against </w:t>
      </w:r>
      <w:r>
        <w:rPr>
          <w:szCs w:val="24"/>
        </w:rPr>
        <w:t xml:space="preserve"> BC </w:t>
      </w:r>
      <w:r w:rsidRPr="00B64F5C">
        <w:rPr>
          <w:szCs w:val="24"/>
        </w:rPr>
        <w:t xml:space="preserve">parameters </w:t>
      </w:r>
      <w:r>
        <w:rPr>
          <w:szCs w:val="24"/>
        </w:rPr>
        <w:t xml:space="preserve">for Flint sand independently </w:t>
      </w:r>
      <w:r w:rsidRPr="00B64F5C">
        <w:rPr>
          <w:szCs w:val="24"/>
        </w:rPr>
        <w:t>collected by</w:t>
      </w:r>
      <w:r>
        <w:rPr>
          <w:szCs w:val="24"/>
        </w:rPr>
        <w:t xml:space="preserve"> </w:t>
      </w:r>
      <w:r w:rsidR="00177749">
        <w:rPr>
          <w:szCs w:val="24"/>
        </w:rPr>
        <w:fldChar w:fldCharType="begin"/>
      </w:r>
      <w:r>
        <w:rPr>
          <w:szCs w:val="24"/>
        </w:rPr>
        <w:instrText xml:space="preserve"> ADDIN ZOTERO_ITEM CSL_CITATION {"citationID":"240o7lpri0","properties":{"formattedCitation":"(Cropper, 2014)","plainCitation":"(Cropper, 2014)"},"citationItems":[{"id":625,"uris":["http://zotero.org/users/1507390/items/GQ5N6ST9"],"uri":["http://zotero.org/users/1507390/items/GQ5N6ST9"],"itemData":{"id":625,"type":"article-journal","title":"Comparison of Point and Average Capillary Pressure - Saturaion Functions for Porous Media","container-title":"Doctoral Dissertations","URL":"http://trace.tennessee.edu/utk_graddiss/3115","author":[{"family":"Cropper","given":"Samuel"}],"issued":{"date-parts":[["2014",12,1]]}}}],"schema":"https://github.com/citation-style-language/schema/raw/master/csl-citation.json"} </w:instrText>
      </w:r>
      <w:r w:rsidR="00177749">
        <w:rPr>
          <w:szCs w:val="24"/>
        </w:rPr>
        <w:fldChar w:fldCharType="separate"/>
      </w:r>
      <w:r>
        <w:rPr>
          <w:rFonts w:ascii="Cambria" w:hAnsi="Cambria"/>
        </w:rPr>
        <w:t>Cropper (</w:t>
      </w:r>
      <w:r w:rsidRPr="00AB480C">
        <w:rPr>
          <w:rFonts w:ascii="Cambria" w:hAnsi="Cambria"/>
        </w:rPr>
        <w:t>2014)</w:t>
      </w:r>
      <w:r w:rsidR="00177749">
        <w:rPr>
          <w:szCs w:val="24"/>
        </w:rPr>
        <w:fldChar w:fldCharType="end"/>
      </w:r>
      <w:r w:rsidRPr="00B64F5C">
        <w:rPr>
          <w:szCs w:val="24"/>
        </w:rPr>
        <w:t>. In the Cropper (2014) study nine water retention curves were measured using the hanging water column method for Flint sand columns of various lengths (4.3 cm to 55 cm), and point BC parameter values were inversely computed from the measured wate</w:t>
      </w:r>
      <w:r>
        <w:rPr>
          <w:szCs w:val="24"/>
        </w:rPr>
        <w:t xml:space="preserve">r retention data using Trucell </w:t>
      </w:r>
      <w:r w:rsidR="00177749">
        <w:rPr>
          <w:szCs w:val="24"/>
        </w:rPr>
        <w:fldChar w:fldCharType="begin"/>
      </w:r>
      <w:r>
        <w:rPr>
          <w:szCs w:val="24"/>
        </w:rPr>
        <w:instrText xml:space="preserve"> ADDIN ZOTERO_ITEM CSL_CITATION {"citationID":"pu47t8g6e","properties":{"formattedCitation":"(Jalbert et al., 1999)","plainCitation":"(Jalbert et al., 1999)"},"citationItems":[{"id":624,"uris":["http://zotero.org/users/1507390/items/83E23NQV"],"uri":["http://zotero.org/users/1507390/items/83E23NQV"],"itemData":{"id":624,"type":"article-journal","title":"TrueCell: Physical point Brooks–Corey parameters using pressure cell data. Users guide for version 1.2","container-title":"Spec. Rep. Dep. of Agron. and Soils, Auburn Univ., Auburn, AL","journalAbbreviation":"Spec. Rep. Dep. of Agron. and Soils, Auburn Univ., Auburn, AL","author":[{"family":"Jalbert","given":"M"},{"family":"Dane","given":"JH"},{"family":"Liu","given":"JH"}],"issued":{"date-parts":[["1999"]]}}}],"schema":"https://github.com/citation-style-language/schema/raw/master/csl-citation.json"} </w:instrText>
      </w:r>
      <w:r w:rsidR="00177749">
        <w:rPr>
          <w:szCs w:val="24"/>
        </w:rPr>
        <w:fldChar w:fldCharType="separate"/>
      </w:r>
      <w:r w:rsidRPr="00B64F5C">
        <w:rPr>
          <w:rFonts w:ascii="Cambria" w:hAnsi="Cambria"/>
        </w:rPr>
        <w:t>(Jalbert et al., 1999)</w:t>
      </w:r>
      <w:r w:rsidR="00177749">
        <w:rPr>
          <w:szCs w:val="24"/>
        </w:rPr>
        <w:fldChar w:fldCharType="end"/>
      </w:r>
      <w:r w:rsidRPr="00B64F5C">
        <w:rPr>
          <w:szCs w:val="24"/>
        </w:rPr>
        <w:t xml:space="preserve">. Proving that the spatially-corrected data is not significantly different from the independent point data will indicate that the trend correction process was successful. </w:t>
      </w:r>
      <w:r w:rsidR="0021229C">
        <w:rPr>
          <w:szCs w:val="24"/>
        </w:rPr>
        <w:t>T</w:t>
      </w:r>
      <w:r w:rsidRPr="00B64F5C">
        <w:rPr>
          <w:szCs w:val="24"/>
        </w:rPr>
        <w:t>he level of significance or alpha (α)</w:t>
      </w:r>
      <w:r>
        <w:rPr>
          <w:szCs w:val="24"/>
        </w:rPr>
        <w:t xml:space="preserve"> value</w:t>
      </w:r>
      <w:r w:rsidRPr="00B64F5C">
        <w:rPr>
          <w:szCs w:val="24"/>
        </w:rPr>
        <w:t xml:space="preserve">, used for hypothesis testing in this section was set at 0.05 </w:t>
      </w:r>
      <w:r w:rsidR="00177749" w:rsidRPr="00B64F5C">
        <w:rPr>
          <w:szCs w:val="24"/>
        </w:rPr>
        <w:fldChar w:fldCharType="begin"/>
      </w:r>
      <w:r w:rsidRPr="00B64F5C">
        <w:rPr>
          <w:szCs w:val="24"/>
        </w:rPr>
        <w:instrText xml:space="preserve"> ADDIN ZOTERO_ITEM CSL_CITATION {"citationID":"1kouc63m57","properties":{"formattedCitation":"(Harned, 1995)","plainCitation":"(Harned, 1995)"},"citationItems":[{"id":621,"uris":["http://zotero.org/users/1507390/items/ZKUSPDK8"],"uri":["http://zotero.org/users/1507390/items/ZKUSPDK8"],"itemData":{"id":621,"type":"report","title":"Effects of agricultural land-management practices on water quality in northeastern Guilford County, North Carolina, 1985-90","collection-title":"Water Supply Paper","publisher":"U.S. Dept. of the Interior, U.S. Geological Survey ; U.S. G.P.O. ; Copies can be purchased from U.S. Geological Survey, Information Services,","page":"64","genre":"USGS Numbered Series","source":"pubs.er.usgs.gov","abstract":"The effects of selected agricultural land-management practices on water quality were assessed in a comparative study of four small basins in the Piedmont province of North Carolina. Agricultural practices, such as tillage and applications of fertilizer and pesticides, are major sources of sediment, nutrients, and pesticides in surface water, and of nutrients and pesticides in ground water. The four study basins included two adjacent row-crop fields, a mixed land-use basin, and a forested basin. One of the row-crop fields (7.4 acres) was farmed by using conservation land-management (CLM) practices, which included strip cropping, contour plowing, field borders, and grassed waterways. The other row-crop field (4.8 acres) was farmed by using standard land-management (SLM) practices, which included continuous cropping, straight-row plowing without regard to land topography, and poorly maintained waterways. The mixed land-use basin (665 acres) was monitored to compare water quality in surface water as SLM practices were converted to CLM practices during the project. The forested basin (44 acres) provided background surface-water hydrologic and chemical-quality conditions. Surface-water flow was reduced by 18 percent by CLM practices compared to surface-water flow from the SLM practices basin. The thickness of the unsaturated zone in the row-crop basins ranged from a few feet to 25 feet. Areas with thick unsaturated zones have a greater capacity to intercept and store nutrients and pesticides than do areas with thinner zones. Sediment concentrations and yields for the SLM practices basin were considerably higher than those for the other basins. The median sediment concentration in surface water for the SLM basin was 3.4 times that of the CLM basin, 8.2 times that of the mixed land-use basin, and 38.4 times that of the forested basin. The total sediment yield for the SLM basin was 2.3 times that observed for the CLM basin, 14.1 times that observed for the mixed land-use basin, and 19.5 times the yield observed for the forested basin. Nutrient concentrations in surface water from the row-crop and mixed land-use basins were higher than those measured in the forested basin and in precipitation collected near the row-crop basins. The SLM basin generally had the highest concentrations of total nitrogen, nitrite plus nitrate, total phosphorus (equivalent to the mixed land-use basin), and potassium. Nutrient concentrations in soil water and ground water were less than concentrations in surface water for the row-crop basins. Nutrient concentrations generally were at least slightly below the root zone (3-foot depth) and in ground water. Differences in nutrient yields among basins had patterns similar to those observed for nutrient concentrations. The total nitrogen yield for the SLM basin was 1.2 times the yield for the CLM basin, 1.9 times the yield for the mixed land-use basin, and 4.2 times the yield for the forested basin. The total","URL":"http://pubs.er.usgs.gov/publication/wsp2435","number":"2435","author":[{"family":"Harned","given":"Douglas A."}],"issued":{"date-parts":[["1995"]]},"accessed":{"date-parts":[["2015",5,13]]}}}],"schema":"https://github.com/citation-style-language/schema/raw/master/csl-citation.json"} </w:instrText>
      </w:r>
      <w:r w:rsidR="00177749" w:rsidRPr="00B64F5C">
        <w:rPr>
          <w:szCs w:val="24"/>
        </w:rPr>
        <w:fldChar w:fldCharType="separate"/>
      </w:r>
      <w:r w:rsidRPr="00B64F5C">
        <w:rPr>
          <w:szCs w:val="24"/>
        </w:rPr>
        <w:t>(Harned, 1995)</w:t>
      </w:r>
      <w:r w:rsidR="00177749" w:rsidRPr="00B64F5C">
        <w:rPr>
          <w:szCs w:val="24"/>
        </w:rPr>
        <w:fldChar w:fldCharType="end"/>
      </w:r>
      <w:r w:rsidRPr="00B64F5C">
        <w:rPr>
          <w:szCs w:val="24"/>
        </w:rPr>
        <w:t xml:space="preserve"> . If the test probability level was less than or </w:t>
      </w:r>
      <w:r w:rsidRPr="00B64F5C">
        <w:rPr>
          <w:szCs w:val="24"/>
        </w:rPr>
        <w:lastRenderedPageBreak/>
        <w:t xml:space="preserve">equal to α = 0.05, then the null hypothesis that both groups have the same distribution is rejected </w:t>
      </w:r>
      <w:r w:rsidR="00177749" w:rsidRPr="00B64F5C">
        <w:rPr>
          <w:szCs w:val="24"/>
        </w:rPr>
        <w:fldChar w:fldCharType="begin"/>
      </w:r>
      <w:r>
        <w:rPr>
          <w:szCs w:val="24"/>
        </w:rPr>
        <w:instrText xml:space="preserve"> ADDIN ZOTERO_ITEM CSL_CITATION {"citationID":"SPuLsxGH","properties":{"formattedCitation":"(Harned, 1995)","plainCitation":"(Harned, 1995)"},"citationItems":[{"id":621,"uris":["http://zotero.org/users/1507390/items/ZKUSPDK8"],"uri":["http://zotero.org/users/1507390/items/ZKUSPDK8"],"itemData":{"id":621,"type":"report","title":"Effects of agricultural land-management practices on water quality in northeastern Guilford County, North Carolina, 1985-90","collection-title":"Water Supply Paper","publisher":"U.S. Dept. of the Interior, U.S. Geological Survey ; U.S. G.P.O. ; Copies can be purchased from U.S. Geological Survey, Information Services,","page":"64","genre":"USGS Numbered Series","source":"pubs.er.usgs.gov","abstract":"The effects of selected agricultural land-management practices on water quality were assessed in a comparative study of four small basins in the Piedmont province of North Carolina. Agricultural practices, such as tillage and applications of fertilizer and pesticides, are major sources of sediment, nutrients, and pesticides in surface water, and of nutrients and pesticides in ground water. The four study basins included two adjacent row-crop fields, a mixed land-use basin, and a forested basin. One of the row-crop fields (7.4 acres) was farmed by using conservation land-management (CLM) practices, which included strip cropping, contour plowing, field borders, and grassed waterways. The other row-crop field (4.8 acres) was farmed by using standard land-management (SLM) practices, which included continuous cropping, straight-row plowing without regard to land topography, and poorly maintained waterways. The mixed land-use basin (665 acres) was monitored to compare water quality in surface water as SLM practices were converted to CLM practices during the project. The forested basin (44 acres) provided background surface-water hydrologic and chemical-quality conditions. Surface-water flow was reduced by 18 percent by CLM practices compared to surface-water flow from the SLM practices basin. The thickness of the unsaturated zone in the row-crop basins ranged from a few feet to 25 feet. Areas with thick unsaturated zones have a greater capacity to intercept and store nutrients and pesticides than do areas with thinner zones. Sediment concentrations and yields for the SLM practices basin were considerably higher than those for the other basins. The median sediment concentration in surface water for the SLM basin was 3.4 times that of the CLM basin, 8.2 times that of the mixed land-use basin, and 38.4 times that of the forested basin. The total sediment yield for the SLM basin was 2.3 times that observed for the CLM basin, 14.1 times that observed for the mixed land-use basin, and 19.5 times the yield observed for the forested basin. Nutrient concentrations in surface water from the row-crop and mixed land-use basins were higher than those measured in the forested basin and in precipitation collected near the row-crop basins. The SLM basin generally had the highest concentrations of total nitrogen, nitrite plus nitrate, total phosphorus (equivalent to the mixed land-use basin), and potassium. Nutrient concentrations in soil water and ground water were less than concentrations in surface water for the row-crop basins. Nutrient concentrations generally were at least slightly below the root zone (3-foot depth) and in ground water. Differences in nutrient yields among basins had patterns similar to those observed for nutrient concentrations. The total nitrogen yield for the SLM basin was 1.2 times the yield for the CLM basin, 1.9 times the yield for the mixed land-use basin, and 4.2 times the yield for the forested basin. The total","URL":"http://pubs.er.usgs.gov/publication/wsp2435","number":"2435","author":[{"family":"Harned","given":"Douglas A."}],"issued":{"date-parts":[["1995"]]},"accessed":{"date-parts":[["2015",5,13]]}}}],"schema":"https://github.com/citation-style-language/schema/raw/master/csl-citation.json"} </w:instrText>
      </w:r>
      <w:r w:rsidR="00177749" w:rsidRPr="00B64F5C">
        <w:rPr>
          <w:szCs w:val="24"/>
        </w:rPr>
        <w:fldChar w:fldCharType="separate"/>
      </w:r>
      <w:r w:rsidRPr="00B64F5C">
        <w:rPr>
          <w:szCs w:val="24"/>
        </w:rPr>
        <w:t>(Harned, 1995)</w:t>
      </w:r>
      <w:r w:rsidR="00177749" w:rsidRPr="00B64F5C">
        <w:rPr>
          <w:szCs w:val="24"/>
        </w:rPr>
        <w:fldChar w:fldCharType="end"/>
      </w:r>
      <w:r w:rsidRPr="00B64F5C">
        <w:rPr>
          <w:szCs w:val="24"/>
        </w:rPr>
        <w:t xml:space="preserve">. The statistical software pack used in this section was SAS 9.2 </w:t>
      </w:r>
      <w:r w:rsidR="00177749" w:rsidRPr="00B64F5C">
        <w:rPr>
          <w:szCs w:val="24"/>
        </w:rPr>
        <w:fldChar w:fldCharType="begin"/>
      </w:r>
      <w:r w:rsidRPr="00B64F5C">
        <w:rPr>
          <w:szCs w:val="24"/>
        </w:rPr>
        <w:instrText xml:space="preserve"> ADDIN ZOTERO_ITEM CSL_CITATION {"citationID":"oe72p2is0","properties":{"formattedCitation":"(SAS Institute, Inc., 1996)","plainCitation":"(SAS Institute, Inc., 1996)"},"citationItems":[{"id":133,"uris":["http://zotero.org/users/1507390/items/IIJBJW7Q"],"uri":["http://zotero.org/users/1507390/items/IIJBJW7Q"],"itemData":{"id":133,"type":"book","title":"SAS/STAT Technical Report: Spatial Prediction Using the SAS System","publisher":"SAS Institute, Inc.","publisher-place":"Cary, NC","number-of-pages":"80","source":"Google Books","event-place":"Cary, NC","ISBN":"9781555448769","shortTitle":"SAS/STAT Technical Report","language":"en","author":[{"family":"SAS Institute, Inc.","given":""}],"issued":{"date-parts":[["1996"]]}}}],"schema":"https://github.com/citation-style-language/schema/raw/master/csl-citation.json"} </w:instrText>
      </w:r>
      <w:r w:rsidR="00177749" w:rsidRPr="00B64F5C">
        <w:rPr>
          <w:szCs w:val="24"/>
        </w:rPr>
        <w:fldChar w:fldCharType="separate"/>
      </w:r>
      <w:r w:rsidRPr="00B64F5C">
        <w:rPr>
          <w:szCs w:val="24"/>
        </w:rPr>
        <w:t>(SAS Institute, Inc., 1996)</w:t>
      </w:r>
      <w:r w:rsidR="00177749" w:rsidRPr="00B64F5C">
        <w:rPr>
          <w:szCs w:val="24"/>
        </w:rPr>
        <w:fldChar w:fldCharType="end"/>
      </w:r>
      <w:r w:rsidRPr="00B64F5C">
        <w:rPr>
          <w:szCs w:val="24"/>
        </w:rPr>
        <w:t>.</w:t>
      </w:r>
    </w:p>
    <w:p w:rsidR="002F3B63" w:rsidRPr="00B64F5C" w:rsidRDefault="000F6B47" w:rsidP="002F3B63">
      <w:pPr>
        <w:spacing w:line="480" w:lineRule="auto"/>
        <w:ind w:firstLine="720"/>
        <w:rPr>
          <w:szCs w:val="24"/>
        </w:rPr>
      </w:pPr>
      <w:r>
        <w:rPr>
          <w:szCs w:val="24"/>
        </w:rPr>
        <w:t>The M</w:t>
      </w:r>
      <w:r w:rsidR="002F3B63" w:rsidRPr="00B64F5C">
        <w:rPr>
          <w:szCs w:val="24"/>
        </w:rPr>
        <w:t>W test is a nonparametric test that checks for equivalence of medians of two</w:t>
      </w:r>
      <w:r w:rsidR="002F3B63">
        <w:rPr>
          <w:szCs w:val="24"/>
        </w:rPr>
        <w:t xml:space="preserve"> sample populations (Davis, 2002</w:t>
      </w:r>
      <w:r w:rsidR="002F3B63" w:rsidRPr="00B64F5C">
        <w:rPr>
          <w:szCs w:val="24"/>
        </w:rPr>
        <w:t>).  This statistical test combines and ranks all values from the sample populations while paying no attention to which group individual values belong to. The smallest number is given a rank of 1, the largest number is ranked N, where N is the total number of values in the</w:t>
      </w:r>
      <w:r>
        <w:rPr>
          <w:szCs w:val="24"/>
        </w:rPr>
        <w:t xml:space="preserve"> two sample populations.  The M</w:t>
      </w:r>
      <w:r w:rsidR="002F3B63" w:rsidRPr="00B64F5C">
        <w:rPr>
          <w:szCs w:val="24"/>
        </w:rPr>
        <w:t xml:space="preserve">W test statistic is the sum of the ranks for observations from one of the samples, usually the smaller sample, and is denoted by </w:t>
      </w:r>
      <w:r w:rsidR="002F3B63" w:rsidRPr="00B64F5C">
        <w:rPr>
          <w:i/>
          <w:szCs w:val="24"/>
        </w:rPr>
        <w:t>W</w:t>
      </w:r>
      <w:r w:rsidR="002F3B63" w:rsidRPr="00B64F5C">
        <w:rPr>
          <w:szCs w:val="24"/>
        </w:rPr>
        <w:t xml:space="preserve">. Exact probabilities of occurrence for specified values of </w:t>
      </w:r>
      <w:r w:rsidR="002F3B63" w:rsidRPr="00B64F5C">
        <w:rPr>
          <w:i/>
          <w:szCs w:val="24"/>
        </w:rPr>
        <w:t>W</w:t>
      </w:r>
      <w:r w:rsidR="002F3B63" w:rsidRPr="00B64F5C">
        <w:rPr>
          <w:szCs w:val="24"/>
        </w:rPr>
        <w:t xml:space="preserve"> have been worked out and are available in statistical tables for small sample sizes (Davis, 200</w:t>
      </w:r>
      <w:r w:rsidR="002F3B63">
        <w:rPr>
          <w:szCs w:val="24"/>
        </w:rPr>
        <w:t>2</w:t>
      </w:r>
      <w:r w:rsidR="002F3B63" w:rsidRPr="00B64F5C">
        <w:rPr>
          <w:szCs w:val="24"/>
        </w:rPr>
        <w:t xml:space="preserve">). For large sample sizes, </w:t>
      </w:r>
      <w:r w:rsidR="002F3B63" w:rsidRPr="00B64F5C">
        <w:rPr>
          <w:i/>
          <w:szCs w:val="24"/>
        </w:rPr>
        <w:t>W</w:t>
      </w:r>
      <w:r w:rsidR="002F3B63" w:rsidRPr="00B64F5C">
        <w:rPr>
          <w:szCs w:val="24"/>
        </w:rPr>
        <w:t xml:space="preserve"> is approximately normally distributed and can be tested using the standard normal table to calc</w:t>
      </w:r>
      <w:r w:rsidR="002F3B63">
        <w:rPr>
          <w:szCs w:val="24"/>
        </w:rPr>
        <w:t>ulate probabilities (Davis, 2002</w:t>
      </w:r>
      <w:r w:rsidR="002F3B63" w:rsidRPr="00B64F5C">
        <w:rPr>
          <w:szCs w:val="24"/>
        </w:rPr>
        <w:t xml:space="preserve">). </w:t>
      </w:r>
    </w:p>
    <w:p w:rsidR="002F3B63" w:rsidRPr="00B64F5C" w:rsidRDefault="000F6B47" w:rsidP="002F3B63">
      <w:pPr>
        <w:spacing w:line="480" w:lineRule="auto"/>
        <w:ind w:firstLine="720"/>
        <w:rPr>
          <w:szCs w:val="24"/>
        </w:rPr>
      </w:pPr>
      <w:r>
        <w:rPr>
          <w:szCs w:val="24"/>
        </w:rPr>
        <w:t>The K</w:t>
      </w:r>
      <w:r w:rsidR="002F3B63" w:rsidRPr="00B64F5C">
        <w:rPr>
          <w:szCs w:val="24"/>
        </w:rPr>
        <w:t>S</w:t>
      </w:r>
      <w:r w:rsidR="002F3B63">
        <w:rPr>
          <w:szCs w:val="24"/>
        </w:rPr>
        <w:t xml:space="preserve"> two sample</w:t>
      </w:r>
      <w:r w:rsidR="002F3B63" w:rsidRPr="00B64F5C">
        <w:rPr>
          <w:szCs w:val="24"/>
        </w:rPr>
        <w:t xml:space="preserve"> test compares the cumulative relative frequency distribution</w:t>
      </w:r>
      <w:r w:rsidR="002F3B63">
        <w:rPr>
          <w:szCs w:val="24"/>
        </w:rPr>
        <w:t>s</w:t>
      </w:r>
      <w:r w:rsidR="002F3B63" w:rsidRPr="00B64F5C">
        <w:rPr>
          <w:szCs w:val="24"/>
        </w:rPr>
        <w:t xml:space="preserve"> of two data sets, and computes a</w:t>
      </w:r>
      <w:r w:rsidR="002F3B63">
        <w:rPr>
          <w:szCs w:val="24"/>
        </w:rPr>
        <w:t>n α</w:t>
      </w:r>
      <w:r w:rsidR="002F3B63" w:rsidRPr="00B64F5C">
        <w:rPr>
          <w:szCs w:val="24"/>
        </w:rPr>
        <w:t>-value dependent on the largest absolute difference between the distributions. T</w:t>
      </w:r>
      <w:r>
        <w:rPr>
          <w:szCs w:val="24"/>
        </w:rPr>
        <w:t>his maximum difference is the K</w:t>
      </w:r>
      <w:r w:rsidR="002F3B63" w:rsidRPr="00B64F5C">
        <w:rPr>
          <w:szCs w:val="24"/>
        </w:rPr>
        <w:t xml:space="preserve">S statistic, </w:t>
      </w:r>
      <w:r w:rsidR="002F3B63" w:rsidRPr="00B64F5C">
        <w:rPr>
          <w:i/>
          <w:szCs w:val="24"/>
        </w:rPr>
        <w:t>D</w:t>
      </w:r>
      <w:r w:rsidR="002F3B63">
        <w:rPr>
          <w:szCs w:val="24"/>
        </w:rPr>
        <w:t xml:space="preserve"> (Davis, 2002</w:t>
      </w:r>
      <w:r>
        <w:rPr>
          <w:szCs w:val="24"/>
        </w:rPr>
        <w:t>). The K</w:t>
      </w:r>
      <w:r w:rsidR="002F3B63" w:rsidRPr="00B64F5C">
        <w:rPr>
          <w:szCs w:val="24"/>
        </w:rPr>
        <w:t xml:space="preserve">S test checks for any violation of the null hypothesis (i.e. differences in median, variance, or distribution); because of this, it has less power to detect shifts in the median but more power to detect changes in the shape of the distributions </w:t>
      </w:r>
      <w:r w:rsidR="00177749" w:rsidRPr="00B64F5C">
        <w:rPr>
          <w:szCs w:val="24"/>
        </w:rPr>
        <w:fldChar w:fldCharType="begin"/>
      </w:r>
      <w:r w:rsidR="002F3B63" w:rsidRPr="00B64F5C">
        <w:rPr>
          <w:szCs w:val="24"/>
        </w:rPr>
        <w:instrText xml:space="preserve"> ADDIN ZOTERO_ITEM CSL_CITATION {"citationID":"1fkpgej86k","properties":{"formattedCitation":"{\\rtf (Lehmann and D\\uc0\\u8217{}Abrera, 2006)}","plainCitation":"(Lehmann and D’Abrera, 2006)"},"citationItems":[{"id":622,"uris":["http://zotero.org/users/1507390/items/ZGDCDSR3"],"uri":["http://zotero.org/users/1507390/items/ZGDCDSR3"],"itemData":{"id":622,"type":"book","title":"Nonparametrics: Statistical Methods Based on Ranks","publisher":"Springer","publisher-place":"New York","number-of-pages":"464","edition":"1st ed. 1975. Revised edition 2006 edition","source":"Amazon","event-place":"New York","abstract":"Rank tests are a class of statistical procedures that combine great simplicity with surprising power. This reprint of a classic reference book offers a thorough description of these tests and the estimating procedures derived from them, and gives an account of their properties. Although the field of rank tests has seen little change, important new methodologies have sprung up that also serve the purpose of freeing statistics from the unrealistic model assumptions that so frequently invalidate its applications. All the tests discussed here are now available in a variety of statistical software packages.","ISBN":"9780387352121","shortTitle":"Nonparametrics","language":"English","author":[{"family":"Lehmann","given":"Erich L."},{"family":"D'Abrera","given":"H. J. M."}],"issued":{"date-parts":[["2006",7,27]]}}}],"schema":"https://github.com/citation-style-language/schema/raw/master/csl-citation.json"} </w:instrText>
      </w:r>
      <w:r w:rsidR="00177749" w:rsidRPr="00B64F5C">
        <w:rPr>
          <w:szCs w:val="24"/>
        </w:rPr>
        <w:fldChar w:fldCharType="separate"/>
      </w:r>
      <w:r w:rsidR="002F3B63" w:rsidRPr="00B64F5C">
        <w:rPr>
          <w:szCs w:val="24"/>
        </w:rPr>
        <w:t>(Lehmann and D’Abrera, 2006)</w:t>
      </w:r>
      <w:r w:rsidR="00177749" w:rsidRPr="00B64F5C">
        <w:rPr>
          <w:szCs w:val="24"/>
        </w:rPr>
        <w:fldChar w:fldCharType="end"/>
      </w:r>
      <w:r w:rsidR="002F3B63">
        <w:rPr>
          <w:szCs w:val="24"/>
        </w:rPr>
        <w:t>. The α</w:t>
      </w:r>
      <w:r w:rsidR="002F3B63" w:rsidRPr="00B64F5C">
        <w:rPr>
          <w:szCs w:val="24"/>
        </w:rPr>
        <w:t xml:space="preserve">-value is used to determine the chance that the calculated KS </w:t>
      </w:r>
      <w:r w:rsidR="002F3B63" w:rsidRPr="00B64F5C">
        <w:rPr>
          <w:i/>
          <w:szCs w:val="24"/>
        </w:rPr>
        <w:t>D</w:t>
      </w:r>
      <w:r w:rsidR="002F3B63" w:rsidRPr="00B64F5C">
        <w:rPr>
          <w:szCs w:val="24"/>
        </w:rPr>
        <w:t xml:space="preserve">-statistic would be as large or larger than critical values of </w:t>
      </w:r>
      <w:r w:rsidR="002F3B63" w:rsidRPr="00B64F5C">
        <w:rPr>
          <w:i/>
          <w:szCs w:val="24"/>
        </w:rPr>
        <w:t>D</w:t>
      </w:r>
      <w:r w:rsidR="002F3B63">
        <w:rPr>
          <w:szCs w:val="24"/>
        </w:rPr>
        <w:t xml:space="preserve"> (Davis, 2002). If the α</w:t>
      </w:r>
      <w:r w:rsidR="002F3B63" w:rsidRPr="00B64F5C">
        <w:rPr>
          <w:szCs w:val="24"/>
        </w:rPr>
        <w:t xml:space="preserve">-value is </w:t>
      </w:r>
      <w:r w:rsidR="002F3B63">
        <w:rPr>
          <w:szCs w:val="24"/>
        </w:rPr>
        <w:t>≤ 0.05</w:t>
      </w:r>
      <w:r w:rsidR="002F3B63" w:rsidRPr="00B64F5C">
        <w:rPr>
          <w:szCs w:val="24"/>
        </w:rPr>
        <w:t xml:space="preserve"> it can be concluded that the two sample populations are drawn from different populations. </w:t>
      </w:r>
    </w:p>
    <w:p w:rsidR="002F3B63" w:rsidRPr="00B64F5C" w:rsidRDefault="000F6B47" w:rsidP="002F3B63">
      <w:pPr>
        <w:spacing w:line="480" w:lineRule="auto"/>
        <w:ind w:firstLine="720"/>
        <w:rPr>
          <w:szCs w:val="24"/>
        </w:rPr>
      </w:pPr>
      <w:r>
        <w:rPr>
          <w:szCs w:val="24"/>
        </w:rPr>
        <w:lastRenderedPageBreak/>
        <w:t>The Kruskal-Wallis (K</w:t>
      </w:r>
      <w:r w:rsidR="002F3B63" w:rsidRPr="00B64F5C">
        <w:rPr>
          <w:szCs w:val="24"/>
        </w:rPr>
        <w:t>W) test</w:t>
      </w:r>
      <w:r w:rsidR="002F3B63">
        <w:rPr>
          <w:szCs w:val="24"/>
        </w:rPr>
        <w:t xml:space="preserve"> along with</w:t>
      </w:r>
      <w:r w:rsidR="002F3B63" w:rsidRPr="00B64F5C">
        <w:rPr>
          <w:szCs w:val="24"/>
        </w:rPr>
        <w:t xml:space="preserve"> plots of </w:t>
      </w:r>
      <w:r w:rsidR="002F3B63">
        <w:rPr>
          <w:szCs w:val="24"/>
        </w:rPr>
        <w:t xml:space="preserve">the </w:t>
      </w:r>
      <w:r w:rsidR="002F3B63" w:rsidRPr="00B64F5C">
        <w:rPr>
          <w:szCs w:val="24"/>
        </w:rPr>
        <w:t xml:space="preserve">interquartile range (IQR) </w:t>
      </w:r>
      <w:r w:rsidR="002F3B63">
        <w:rPr>
          <w:szCs w:val="24"/>
        </w:rPr>
        <w:t xml:space="preserve">for each parameter, </w:t>
      </w:r>
      <w:r w:rsidR="002F3B63" w:rsidRPr="00B64F5C">
        <w:rPr>
          <w:szCs w:val="24"/>
        </w:rPr>
        <w:t>were used to validate the trends visually app</w:t>
      </w:r>
      <w:r>
        <w:rPr>
          <w:szCs w:val="24"/>
        </w:rPr>
        <w:t>arent in the kriged maps. The K</w:t>
      </w:r>
      <w:r w:rsidR="002F3B63" w:rsidRPr="00B64F5C">
        <w:rPr>
          <w:szCs w:val="24"/>
        </w:rPr>
        <w:t>W test is used to test the equivalency o</w:t>
      </w:r>
      <w:r w:rsidR="002F3B63">
        <w:rPr>
          <w:szCs w:val="24"/>
        </w:rPr>
        <w:t>f several samples (Davis, 2002</w:t>
      </w:r>
      <w:r w:rsidR="002F3B63" w:rsidRPr="00B64F5C">
        <w:rPr>
          <w:szCs w:val="24"/>
        </w:rPr>
        <w:t xml:space="preserve">). In this case the samples are equivalent to the number of points along the x and y directions of the grid (8 X 15) superimposed over each radiographic image. There were eight points, </w:t>
      </w:r>
      <w:r w:rsidR="002F3B63" w:rsidRPr="00B64F5C">
        <w:rPr>
          <w:i/>
          <w:szCs w:val="24"/>
        </w:rPr>
        <w:t>k</w:t>
      </w:r>
      <w:r w:rsidR="002F3B63" w:rsidRPr="00B64F5C">
        <w:rPr>
          <w:szCs w:val="24"/>
        </w:rPr>
        <w:t xml:space="preserve"> = 8, in the x direction, and 15 points, </w:t>
      </w:r>
      <w:r w:rsidR="002F3B63" w:rsidRPr="00B64F5C">
        <w:rPr>
          <w:i/>
          <w:szCs w:val="24"/>
        </w:rPr>
        <w:t>k</w:t>
      </w:r>
      <w:r w:rsidR="002F3B63" w:rsidRPr="00B64F5C">
        <w:rPr>
          <w:szCs w:val="24"/>
        </w:rPr>
        <w:t xml:space="preserve"> = 15, in the y direction, both directions ha</w:t>
      </w:r>
      <w:r>
        <w:rPr>
          <w:szCs w:val="24"/>
        </w:rPr>
        <w:t>d unequal sample sizes.   The K</w:t>
      </w:r>
      <w:r w:rsidR="002F3B63" w:rsidRPr="00B64F5C">
        <w:rPr>
          <w:szCs w:val="24"/>
        </w:rPr>
        <w:t>W test was performed in the x and y directions for each parameter resulting in a total of eight tests. The procedure of this test i</w:t>
      </w:r>
      <w:r>
        <w:rPr>
          <w:szCs w:val="24"/>
        </w:rPr>
        <w:t>s very similar to that of the M</w:t>
      </w:r>
      <w:r w:rsidR="002F3B63" w:rsidRPr="00B64F5C">
        <w:rPr>
          <w:szCs w:val="24"/>
        </w:rPr>
        <w:t xml:space="preserve">W test, except it is extended to more than two samples. The observations from </w:t>
      </w:r>
      <w:r w:rsidR="002F3B63" w:rsidRPr="00B64F5C">
        <w:rPr>
          <w:i/>
          <w:szCs w:val="24"/>
        </w:rPr>
        <w:t>k</w:t>
      </w:r>
      <w:r w:rsidR="002F3B63" w:rsidRPr="00B64F5C">
        <w:rPr>
          <w:szCs w:val="24"/>
        </w:rPr>
        <w:t xml:space="preserve"> samples are pooled and then ranked from smallest to largest. For each </w:t>
      </w:r>
      <w:r w:rsidR="002F3B63" w:rsidRPr="00B64F5C">
        <w:rPr>
          <w:i/>
          <w:szCs w:val="24"/>
        </w:rPr>
        <w:t>k</w:t>
      </w:r>
      <w:r w:rsidR="002F3B63" w:rsidRPr="00B64F5C">
        <w:rPr>
          <w:szCs w:val="24"/>
        </w:rPr>
        <w:t xml:space="preserve"> group the sum of the ranks is found by:</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8"/>
        <w:gridCol w:w="7830"/>
        <w:gridCol w:w="828"/>
      </w:tblGrid>
      <w:tr w:rsidR="002F3B63" w:rsidRPr="00B64F5C" w:rsidTr="002F3B63">
        <w:tc>
          <w:tcPr>
            <w:tcW w:w="918" w:type="dxa"/>
          </w:tcPr>
          <w:p w:rsidR="002F3B63" w:rsidRPr="00B64F5C" w:rsidRDefault="002F3B63" w:rsidP="002F3B63">
            <w:pPr>
              <w:spacing w:line="480" w:lineRule="auto"/>
              <w:rPr>
                <w:iCs/>
                <w:szCs w:val="24"/>
              </w:rPr>
            </w:pPr>
          </w:p>
        </w:tc>
        <w:tc>
          <w:tcPr>
            <w:tcW w:w="7830" w:type="dxa"/>
          </w:tcPr>
          <w:p w:rsidR="002F3B63" w:rsidRPr="00B64F5C" w:rsidRDefault="00177749" w:rsidP="002F3B63">
            <w:pPr>
              <w:spacing w:line="480" w:lineRule="auto"/>
              <w:rPr>
                <w:iCs/>
                <w:szCs w:val="24"/>
              </w:rPr>
            </w:pPr>
            <m:oMathPara>
              <m:oMath>
                <m:sSub>
                  <m:sSubPr>
                    <m:ctrlPr>
                      <w:rPr>
                        <w:rFonts w:ascii="Cambria Math" w:hAnsi="Cambria Math"/>
                        <w:i/>
                        <w:szCs w:val="24"/>
                      </w:rPr>
                    </m:ctrlPr>
                  </m:sSubPr>
                  <m:e>
                    <m:r>
                      <w:rPr>
                        <w:rFonts w:ascii="Cambria Math" w:hAnsi="Cambria Math"/>
                        <w:szCs w:val="24"/>
                      </w:rPr>
                      <m:t>R</m:t>
                    </m:r>
                  </m:e>
                  <m:sub>
                    <m:r>
                      <w:rPr>
                        <w:rFonts w:ascii="Cambria Math" w:hAnsi="Cambria Math"/>
                        <w:szCs w:val="24"/>
                      </w:rPr>
                      <m:t>k</m:t>
                    </m:r>
                  </m:sub>
                </m:sSub>
                <m:r>
                  <w:rPr>
                    <w:rFonts w:ascii="Cambria Math"/>
                    <w:szCs w:val="24"/>
                  </w:rPr>
                  <m:t xml:space="preserve">= </m:t>
                </m:r>
                <m:nary>
                  <m:naryPr>
                    <m:chr m:val="∑"/>
                    <m:limLoc m:val="undOvr"/>
                    <m:ctrlPr>
                      <w:rPr>
                        <w:rFonts w:ascii="Cambria Math" w:hAnsi="Cambria Math"/>
                        <w:i/>
                        <w:szCs w:val="24"/>
                      </w:rPr>
                    </m:ctrlPr>
                  </m:naryPr>
                  <m:sub>
                    <m:r>
                      <w:rPr>
                        <w:rFonts w:ascii="Cambria Math" w:hAnsi="Cambria Math"/>
                        <w:szCs w:val="24"/>
                      </w:rPr>
                      <m:t>i</m:t>
                    </m:r>
                    <m:r>
                      <w:rPr>
                        <w:rFonts w:ascii="Cambria Math"/>
                        <w:szCs w:val="24"/>
                      </w:rPr>
                      <m:t>=1</m:t>
                    </m:r>
                  </m:sub>
                  <m:sup>
                    <m:sSub>
                      <m:sSubPr>
                        <m:ctrlPr>
                          <w:rPr>
                            <w:rFonts w:ascii="Cambria Math" w:hAnsi="Cambria Math"/>
                            <w:i/>
                            <w:szCs w:val="24"/>
                          </w:rPr>
                        </m:ctrlPr>
                      </m:sSubPr>
                      <m:e>
                        <m:r>
                          <w:rPr>
                            <w:rFonts w:ascii="Cambria Math" w:hAnsi="Cambria Math"/>
                            <w:szCs w:val="24"/>
                          </w:rPr>
                          <m:t>n</m:t>
                        </m:r>
                      </m:e>
                      <m:sub>
                        <m:r>
                          <w:rPr>
                            <w:rFonts w:ascii="Cambria Math" w:hAnsi="Cambria Math"/>
                            <w:szCs w:val="24"/>
                          </w:rPr>
                          <m:t>k</m:t>
                        </m:r>
                      </m:sub>
                    </m:sSub>
                  </m:sup>
                  <m:e>
                    <m:r>
                      <w:rPr>
                        <w:rFonts w:ascii="Cambria Math" w:hAnsi="Cambria Math"/>
                        <w:szCs w:val="24"/>
                      </w:rPr>
                      <m:t>R</m:t>
                    </m:r>
                    <m:r>
                      <w:rPr>
                        <w:rFonts w:ascii="Cambria Math"/>
                        <w:szCs w:val="24"/>
                      </w:rPr>
                      <m:t>(</m:t>
                    </m:r>
                    <m:sSub>
                      <m:sSubPr>
                        <m:ctrlPr>
                          <w:rPr>
                            <w:rFonts w:ascii="Cambria Math" w:hAnsi="Cambria Math"/>
                            <w:i/>
                            <w:szCs w:val="24"/>
                          </w:rPr>
                        </m:ctrlPr>
                      </m:sSubPr>
                      <m:e>
                        <m:r>
                          <w:rPr>
                            <w:rFonts w:ascii="Cambria Math" w:hAnsi="Cambria Math"/>
                            <w:szCs w:val="24"/>
                          </w:rPr>
                          <m:t>x</m:t>
                        </m:r>
                      </m:e>
                      <m:sub>
                        <m:r>
                          <w:rPr>
                            <w:rFonts w:ascii="Cambria Math" w:hAnsi="Cambria Math"/>
                            <w:szCs w:val="24"/>
                          </w:rPr>
                          <m:t>ik</m:t>
                        </m:r>
                      </m:sub>
                    </m:sSub>
                    <m:r>
                      <w:rPr>
                        <w:rFonts w:ascii="Cambria Math"/>
                        <w:szCs w:val="24"/>
                      </w:rPr>
                      <m:t>)</m:t>
                    </m:r>
                  </m:e>
                </m:nary>
                <m:r>
                  <w:rPr>
                    <w:rFonts w:ascii="Cambria Math"/>
                    <w:szCs w:val="24"/>
                  </w:rPr>
                  <m:t xml:space="preserve"> </m:t>
                </m:r>
              </m:oMath>
            </m:oMathPara>
          </w:p>
        </w:tc>
        <w:tc>
          <w:tcPr>
            <w:tcW w:w="828" w:type="dxa"/>
            <w:vAlign w:val="center"/>
          </w:tcPr>
          <w:p w:rsidR="002F3B63" w:rsidRPr="00B64F5C" w:rsidRDefault="002F3B63" w:rsidP="002F3B63">
            <w:pPr>
              <w:spacing w:line="480" w:lineRule="auto"/>
              <w:rPr>
                <w:iCs/>
                <w:szCs w:val="24"/>
              </w:rPr>
            </w:pPr>
            <w:r w:rsidRPr="00B64F5C">
              <w:rPr>
                <w:iCs/>
                <w:szCs w:val="24"/>
              </w:rPr>
              <w:t>(</w:t>
            </w:r>
            <w:r w:rsidRPr="00B64F5C">
              <w:rPr>
                <w:szCs w:val="24"/>
              </w:rPr>
              <w:t>2</w:t>
            </w:r>
            <w:r w:rsidR="0004094A">
              <w:rPr>
                <w:szCs w:val="24"/>
              </w:rPr>
              <w:t>7</w:t>
            </w:r>
            <w:r w:rsidRPr="00B64F5C">
              <w:rPr>
                <w:iCs/>
                <w:szCs w:val="24"/>
              </w:rPr>
              <w:t>)</w:t>
            </w:r>
          </w:p>
        </w:tc>
      </w:tr>
    </w:tbl>
    <w:p w:rsidR="002F3B63" w:rsidRPr="00B64F5C" w:rsidRDefault="002F3B63" w:rsidP="002F3B63">
      <w:pPr>
        <w:spacing w:line="480" w:lineRule="auto"/>
        <w:rPr>
          <w:szCs w:val="24"/>
        </w:rPr>
      </w:pPr>
      <w:r w:rsidRPr="00B64F5C">
        <w:rPr>
          <w:szCs w:val="24"/>
        </w:rPr>
        <w:t xml:space="preserve">where </w:t>
      </w:r>
      <w:r w:rsidRPr="00B64F5C">
        <w:rPr>
          <w:i/>
          <w:szCs w:val="24"/>
        </w:rPr>
        <w:t>R(x</w:t>
      </w:r>
      <w:r w:rsidRPr="00B64F5C">
        <w:rPr>
          <w:i/>
          <w:szCs w:val="24"/>
          <w:vertAlign w:val="subscript"/>
        </w:rPr>
        <w:t>ik</w:t>
      </w:r>
      <w:r w:rsidRPr="00B64F5C">
        <w:rPr>
          <w:i/>
          <w:szCs w:val="24"/>
        </w:rPr>
        <w:t>)</w:t>
      </w:r>
      <w:r w:rsidRPr="00B64F5C">
        <w:rPr>
          <w:szCs w:val="24"/>
        </w:rPr>
        <w:t xml:space="preserve"> represents the rank of the </w:t>
      </w:r>
      <w:r w:rsidRPr="00B64F5C">
        <w:rPr>
          <w:i/>
          <w:szCs w:val="24"/>
        </w:rPr>
        <w:t>i</w:t>
      </w:r>
      <w:r w:rsidRPr="00B64F5C">
        <w:rPr>
          <w:szCs w:val="24"/>
        </w:rPr>
        <w:t xml:space="preserve">th observation in the </w:t>
      </w:r>
      <w:r w:rsidRPr="00B64F5C">
        <w:rPr>
          <w:i/>
          <w:szCs w:val="24"/>
        </w:rPr>
        <w:t>k</w:t>
      </w:r>
      <w:r>
        <w:rPr>
          <w:szCs w:val="24"/>
        </w:rPr>
        <w:t>th sample (Davis, 2002</w:t>
      </w:r>
      <w:r w:rsidRPr="00B64F5C">
        <w:rPr>
          <w:szCs w:val="24"/>
        </w:rPr>
        <w:t xml:space="preserve">). The total number of observations </w:t>
      </w:r>
      <w:r w:rsidRPr="00B64F5C">
        <w:rPr>
          <w:i/>
          <w:szCs w:val="24"/>
        </w:rPr>
        <w:t>N</w:t>
      </w:r>
      <w:r w:rsidRPr="00B64F5C">
        <w:rPr>
          <w:szCs w:val="24"/>
        </w:rPr>
        <w:t xml:space="preserve"> is determined by:</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8"/>
        <w:gridCol w:w="7830"/>
        <w:gridCol w:w="828"/>
      </w:tblGrid>
      <w:tr w:rsidR="002F3B63" w:rsidRPr="00B64F5C" w:rsidTr="002F3B63">
        <w:tc>
          <w:tcPr>
            <w:tcW w:w="918" w:type="dxa"/>
          </w:tcPr>
          <w:p w:rsidR="002F3B63" w:rsidRPr="00B64F5C" w:rsidRDefault="002F3B63" w:rsidP="002F3B63">
            <w:pPr>
              <w:spacing w:line="480" w:lineRule="auto"/>
              <w:rPr>
                <w:iCs/>
                <w:szCs w:val="24"/>
              </w:rPr>
            </w:pPr>
          </w:p>
        </w:tc>
        <w:tc>
          <w:tcPr>
            <w:tcW w:w="7830" w:type="dxa"/>
          </w:tcPr>
          <w:p w:rsidR="002F3B63" w:rsidRPr="00B64F5C" w:rsidRDefault="002F3B63" w:rsidP="002F3B63">
            <w:pPr>
              <w:spacing w:line="480" w:lineRule="auto"/>
              <w:rPr>
                <w:iCs/>
                <w:szCs w:val="24"/>
              </w:rPr>
            </w:pPr>
            <m:oMathPara>
              <m:oMath>
                <m:r>
                  <w:rPr>
                    <w:rFonts w:ascii="Cambria Math" w:hAnsi="Cambria Math"/>
                    <w:szCs w:val="24"/>
                  </w:rPr>
                  <m:t>N</m:t>
                </m:r>
                <m:r>
                  <w:rPr>
                    <w:rFonts w:ascii="Cambria Math"/>
                    <w:szCs w:val="24"/>
                  </w:rPr>
                  <m:t xml:space="preserve">= </m:t>
                </m:r>
                <m:nary>
                  <m:naryPr>
                    <m:chr m:val="∑"/>
                    <m:limLoc m:val="undOvr"/>
                    <m:ctrlPr>
                      <w:rPr>
                        <w:rFonts w:ascii="Cambria Math" w:hAnsi="Cambria Math"/>
                        <w:i/>
                        <w:szCs w:val="24"/>
                      </w:rPr>
                    </m:ctrlPr>
                  </m:naryPr>
                  <m:sub>
                    <m:r>
                      <w:rPr>
                        <w:rFonts w:ascii="Cambria Math" w:hAnsi="Cambria Math"/>
                        <w:szCs w:val="24"/>
                      </w:rPr>
                      <m:t>j</m:t>
                    </m:r>
                    <m:r>
                      <w:rPr>
                        <w:rFonts w:ascii="Cambria Math"/>
                        <w:szCs w:val="24"/>
                      </w:rPr>
                      <m:t>=1</m:t>
                    </m:r>
                  </m:sub>
                  <m:sup>
                    <m:r>
                      <w:rPr>
                        <w:rFonts w:ascii="Cambria Math" w:hAnsi="Cambria Math"/>
                        <w:szCs w:val="24"/>
                      </w:rPr>
                      <m:t>k</m:t>
                    </m:r>
                  </m:sup>
                  <m:e>
                    <m:sSub>
                      <m:sSubPr>
                        <m:ctrlPr>
                          <w:rPr>
                            <w:rFonts w:ascii="Cambria Math" w:hAnsi="Cambria Math"/>
                            <w:i/>
                            <w:szCs w:val="24"/>
                          </w:rPr>
                        </m:ctrlPr>
                      </m:sSubPr>
                      <m:e>
                        <m:r>
                          <w:rPr>
                            <w:rFonts w:ascii="Cambria Math" w:hAnsi="Cambria Math"/>
                            <w:szCs w:val="24"/>
                          </w:rPr>
                          <m:t>n</m:t>
                        </m:r>
                      </m:e>
                      <m:sub>
                        <m:r>
                          <w:rPr>
                            <w:rFonts w:ascii="Cambria Math" w:hAnsi="Cambria Math"/>
                            <w:szCs w:val="24"/>
                          </w:rPr>
                          <m:t>k</m:t>
                        </m:r>
                      </m:sub>
                    </m:sSub>
                  </m:e>
                </m:nary>
                <m:r>
                  <w:rPr>
                    <w:rFonts w:ascii="Cambria Math"/>
                    <w:szCs w:val="24"/>
                  </w:rPr>
                  <m:t xml:space="preserve"> </m:t>
                </m:r>
              </m:oMath>
            </m:oMathPara>
          </w:p>
        </w:tc>
        <w:tc>
          <w:tcPr>
            <w:tcW w:w="828" w:type="dxa"/>
            <w:vAlign w:val="center"/>
          </w:tcPr>
          <w:p w:rsidR="002F3B63" w:rsidRPr="00B64F5C" w:rsidRDefault="002F3B63" w:rsidP="002F3B63">
            <w:pPr>
              <w:spacing w:line="480" w:lineRule="auto"/>
              <w:rPr>
                <w:iCs/>
                <w:szCs w:val="24"/>
              </w:rPr>
            </w:pPr>
            <w:r w:rsidRPr="00B64F5C">
              <w:rPr>
                <w:iCs/>
                <w:szCs w:val="24"/>
              </w:rPr>
              <w:t>(</w:t>
            </w:r>
            <w:r w:rsidRPr="00B64F5C">
              <w:rPr>
                <w:szCs w:val="24"/>
              </w:rPr>
              <w:t>2</w:t>
            </w:r>
            <w:r w:rsidR="0004094A">
              <w:rPr>
                <w:szCs w:val="24"/>
              </w:rPr>
              <w:t>8</w:t>
            </w:r>
            <w:r w:rsidRPr="00B64F5C">
              <w:rPr>
                <w:iCs/>
                <w:szCs w:val="24"/>
              </w:rPr>
              <w:t>)</w:t>
            </w:r>
          </w:p>
        </w:tc>
      </w:tr>
    </w:tbl>
    <w:p w:rsidR="002F3B63" w:rsidRPr="00B64F5C" w:rsidRDefault="002F3B63" w:rsidP="002F3B63">
      <w:pPr>
        <w:spacing w:line="480" w:lineRule="auto"/>
        <w:rPr>
          <w:szCs w:val="24"/>
        </w:rPr>
      </w:pPr>
      <w:r w:rsidRPr="00B64F5C">
        <w:rPr>
          <w:szCs w:val="24"/>
        </w:rPr>
        <w:t xml:space="preserve">where </w:t>
      </w:r>
      <w:r w:rsidRPr="00B64F5C">
        <w:rPr>
          <w:i/>
          <w:szCs w:val="24"/>
        </w:rPr>
        <w:t>n</w:t>
      </w:r>
      <w:r w:rsidRPr="00B64F5C">
        <w:rPr>
          <w:i/>
          <w:szCs w:val="24"/>
          <w:vertAlign w:val="subscript"/>
        </w:rPr>
        <w:t>k</w:t>
      </w:r>
      <w:r w:rsidRPr="00B64F5C">
        <w:rPr>
          <w:szCs w:val="24"/>
        </w:rPr>
        <w:t xml:space="preserve"> is the number of observations in the </w:t>
      </w:r>
      <w:r w:rsidRPr="00B64F5C">
        <w:rPr>
          <w:i/>
          <w:szCs w:val="24"/>
        </w:rPr>
        <w:t>k</w:t>
      </w:r>
      <w:r>
        <w:rPr>
          <w:szCs w:val="24"/>
        </w:rPr>
        <w:t>th sample (Davis, 2002</w:t>
      </w:r>
      <w:r w:rsidRPr="00B64F5C">
        <w:rPr>
          <w:szCs w:val="24"/>
        </w:rPr>
        <w:t xml:space="preserve">). </w:t>
      </w:r>
      <w:r w:rsidR="000F6B47">
        <w:rPr>
          <w:szCs w:val="24"/>
        </w:rPr>
        <w:t>From the sum of the ranks the K</w:t>
      </w:r>
      <w:r w:rsidRPr="00B64F5C">
        <w:rPr>
          <w:szCs w:val="24"/>
        </w:rPr>
        <w:t xml:space="preserve">W </w:t>
      </w:r>
      <w:r w:rsidRPr="00B64F5C">
        <w:rPr>
          <w:i/>
          <w:szCs w:val="24"/>
        </w:rPr>
        <w:t>H</w:t>
      </w:r>
      <w:r w:rsidRPr="00B64F5C">
        <w:rPr>
          <w:szCs w:val="24"/>
        </w:rPr>
        <w:t>-statistic can be calculated:</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18"/>
        <w:gridCol w:w="7830"/>
        <w:gridCol w:w="828"/>
      </w:tblGrid>
      <w:tr w:rsidR="002F3B63" w:rsidRPr="00B64F5C" w:rsidTr="002F3B63">
        <w:tc>
          <w:tcPr>
            <w:tcW w:w="918" w:type="dxa"/>
          </w:tcPr>
          <w:p w:rsidR="002F3B63" w:rsidRPr="00B64F5C" w:rsidRDefault="002F3B63" w:rsidP="002F3B63">
            <w:pPr>
              <w:spacing w:line="480" w:lineRule="auto"/>
              <w:rPr>
                <w:iCs/>
                <w:szCs w:val="24"/>
              </w:rPr>
            </w:pPr>
          </w:p>
        </w:tc>
        <w:tc>
          <w:tcPr>
            <w:tcW w:w="7830" w:type="dxa"/>
          </w:tcPr>
          <w:p w:rsidR="002F3B63" w:rsidRPr="00B64F5C" w:rsidRDefault="002F3B63" w:rsidP="002F3B63">
            <w:pPr>
              <w:spacing w:line="480" w:lineRule="auto"/>
              <w:rPr>
                <w:iCs/>
                <w:szCs w:val="24"/>
              </w:rPr>
            </w:pPr>
            <m:oMathPara>
              <m:oMath>
                <m:r>
                  <w:rPr>
                    <w:rFonts w:ascii="Cambria Math" w:hAnsi="Cambria Math"/>
                    <w:szCs w:val="24"/>
                  </w:rPr>
                  <m:t>H</m:t>
                </m:r>
                <m:r>
                  <w:rPr>
                    <w:rFonts w:ascii="Cambria Math"/>
                    <w:szCs w:val="24"/>
                  </w:rPr>
                  <m:t xml:space="preserve">= </m:t>
                </m:r>
                <m:f>
                  <m:fPr>
                    <m:ctrlPr>
                      <w:rPr>
                        <w:rFonts w:ascii="Cambria Math" w:hAnsi="Cambria Math"/>
                        <w:i/>
                        <w:szCs w:val="24"/>
                      </w:rPr>
                    </m:ctrlPr>
                  </m:fPr>
                  <m:num>
                    <m:r>
                      <w:rPr>
                        <w:rFonts w:ascii="Cambria Math"/>
                        <w:szCs w:val="24"/>
                      </w:rPr>
                      <m:t>12</m:t>
                    </m:r>
                  </m:num>
                  <m:den>
                    <m:r>
                      <w:rPr>
                        <w:rFonts w:ascii="Cambria Math" w:hAnsi="Cambria Math"/>
                        <w:szCs w:val="24"/>
                      </w:rPr>
                      <m:t>N</m:t>
                    </m:r>
                    <m:d>
                      <m:dPr>
                        <m:ctrlPr>
                          <w:rPr>
                            <w:rFonts w:ascii="Cambria Math" w:hAnsi="Cambria Math"/>
                            <w:i/>
                            <w:szCs w:val="24"/>
                          </w:rPr>
                        </m:ctrlPr>
                      </m:dPr>
                      <m:e>
                        <m:r>
                          <w:rPr>
                            <w:rFonts w:ascii="Cambria Math" w:hAnsi="Cambria Math"/>
                            <w:szCs w:val="24"/>
                          </w:rPr>
                          <m:t>N</m:t>
                        </m:r>
                        <m:r>
                          <w:rPr>
                            <w:szCs w:val="24"/>
                          </w:rPr>
                          <m:t>-</m:t>
                        </m:r>
                        <m:r>
                          <w:rPr>
                            <w:rFonts w:ascii="Cambria Math"/>
                            <w:szCs w:val="24"/>
                          </w:rPr>
                          <m:t>1</m:t>
                        </m:r>
                      </m:e>
                    </m:d>
                  </m:den>
                </m:f>
                <m:r>
                  <w:rPr>
                    <w:rFonts w:ascii="Cambria Math"/>
                    <w:szCs w:val="24"/>
                  </w:rPr>
                  <m:t xml:space="preserve"> </m:t>
                </m:r>
                <m:nary>
                  <m:naryPr>
                    <m:chr m:val="∑"/>
                    <m:limLoc m:val="undOvr"/>
                    <m:ctrlPr>
                      <w:rPr>
                        <w:rFonts w:ascii="Cambria Math" w:hAnsi="Cambria Math"/>
                        <w:i/>
                        <w:szCs w:val="24"/>
                      </w:rPr>
                    </m:ctrlPr>
                  </m:naryPr>
                  <m:sub>
                    <m:r>
                      <w:rPr>
                        <w:rFonts w:ascii="Cambria Math" w:hAnsi="Cambria Math"/>
                        <w:szCs w:val="24"/>
                      </w:rPr>
                      <m:t>j</m:t>
                    </m:r>
                    <m:r>
                      <w:rPr>
                        <w:rFonts w:ascii="Cambria Math"/>
                        <w:szCs w:val="24"/>
                      </w:rPr>
                      <m:t>=1</m:t>
                    </m:r>
                  </m:sub>
                  <m:sup>
                    <m:r>
                      <w:rPr>
                        <w:rFonts w:ascii="Cambria Math" w:hAnsi="Cambria Math"/>
                        <w:szCs w:val="24"/>
                      </w:rPr>
                      <m:t>k</m:t>
                    </m:r>
                  </m:sup>
                  <m:e>
                    <m:f>
                      <m:fPr>
                        <m:ctrlPr>
                          <w:rPr>
                            <w:rFonts w:ascii="Cambria Math" w:hAnsi="Cambria Math"/>
                            <w:i/>
                            <w:szCs w:val="24"/>
                          </w:rPr>
                        </m:ctrlPr>
                      </m:fPr>
                      <m:num>
                        <m:sSup>
                          <m:sSupPr>
                            <m:ctrlPr>
                              <w:rPr>
                                <w:rFonts w:ascii="Cambria Math" w:hAnsi="Cambria Math"/>
                                <w:i/>
                                <w:szCs w:val="24"/>
                              </w:rPr>
                            </m:ctrlPr>
                          </m:sSupPr>
                          <m:e>
                            <m:d>
                              <m:dPr>
                                <m:begChr m:val="["/>
                                <m:endChr m:val="]"/>
                                <m:ctrlPr>
                                  <w:rPr>
                                    <w:rFonts w:ascii="Cambria Math" w:hAnsi="Cambria Math"/>
                                    <w:i/>
                                    <w:szCs w:val="24"/>
                                  </w:rPr>
                                </m:ctrlPr>
                              </m:dPr>
                              <m:e>
                                <m:sSub>
                                  <m:sSubPr>
                                    <m:ctrlPr>
                                      <w:rPr>
                                        <w:rFonts w:ascii="Cambria Math" w:hAnsi="Cambria Math"/>
                                        <w:i/>
                                        <w:szCs w:val="24"/>
                                      </w:rPr>
                                    </m:ctrlPr>
                                  </m:sSubPr>
                                  <m:e>
                                    <m:r>
                                      <w:rPr>
                                        <w:rFonts w:ascii="Cambria Math" w:hAnsi="Cambria Math"/>
                                        <w:szCs w:val="24"/>
                                      </w:rPr>
                                      <m:t>R</m:t>
                                    </m:r>
                                  </m:e>
                                  <m:sub>
                                    <m:r>
                                      <w:rPr>
                                        <w:rFonts w:ascii="Cambria Math" w:hAnsi="Cambria Math"/>
                                        <w:szCs w:val="24"/>
                                      </w:rPr>
                                      <m:t>k</m:t>
                                    </m:r>
                                  </m:sub>
                                </m:sSub>
                                <m:r>
                                  <w:rPr>
                                    <w:szCs w:val="24"/>
                                  </w:rPr>
                                  <m:t>-</m:t>
                                </m:r>
                                <m:r>
                                  <w:rPr>
                                    <w:rFonts w:ascii="Cambria Math"/>
                                    <w:szCs w:val="24"/>
                                  </w:rPr>
                                  <m:t xml:space="preserve"> </m:t>
                                </m:r>
                                <m:sSub>
                                  <m:sSubPr>
                                    <m:ctrlPr>
                                      <w:rPr>
                                        <w:rFonts w:ascii="Cambria Math" w:hAnsi="Cambria Math"/>
                                        <w:i/>
                                        <w:szCs w:val="24"/>
                                      </w:rPr>
                                    </m:ctrlPr>
                                  </m:sSubPr>
                                  <m:e>
                                    <m:r>
                                      <w:rPr>
                                        <w:rFonts w:ascii="Cambria Math" w:hAnsi="Cambria Math"/>
                                        <w:szCs w:val="24"/>
                                      </w:rPr>
                                      <m:t>n</m:t>
                                    </m:r>
                                  </m:e>
                                  <m:sub>
                                    <m:r>
                                      <w:rPr>
                                        <w:rFonts w:ascii="Cambria Math" w:hAnsi="Cambria Math"/>
                                        <w:szCs w:val="24"/>
                                      </w:rPr>
                                      <m:t>k</m:t>
                                    </m:r>
                                  </m:sub>
                                </m:sSub>
                                <m:r>
                                  <w:rPr>
                                    <w:rFonts w:ascii="Cambria Math"/>
                                    <w:szCs w:val="24"/>
                                  </w:rPr>
                                  <m:t xml:space="preserve"> (</m:t>
                                </m:r>
                                <m:r>
                                  <w:rPr>
                                    <w:rFonts w:ascii="Cambria Math" w:hAnsi="Cambria Math"/>
                                    <w:szCs w:val="24"/>
                                  </w:rPr>
                                  <m:t>N</m:t>
                                </m:r>
                                <m:r>
                                  <w:rPr>
                                    <w:rFonts w:ascii="Cambria Math"/>
                                    <w:szCs w:val="24"/>
                                  </w:rPr>
                                  <m:t>+1)/2</m:t>
                                </m:r>
                              </m:e>
                            </m:d>
                          </m:e>
                          <m:sup>
                            <m:r>
                              <w:rPr>
                                <w:rFonts w:ascii="Cambria Math"/>
                                <w:szCs w:val="24"/>
                              </w:rPr>
                              <m:t>2</m:t>
                            </m:r>
                          </m:sup>
                        </m:sSup>
                      </m:num>
                      <m:den>
                        <m:sSub>
                          <m:sSubPr>
                            <m:ctrlPr>
                              <w:rPr>
                                <w:rFonts w:ascii="Cambria Math" w:hAnsi="Cambria Math"/>
                                <w:i/>
                                <w:szCs w:val="24"/>
                              </w:rPr>
                            </m:ctrlPr>
                          </m:sSubPr>
                          <m:e>
                            <m:r>
                              <w:rPr>
                                <w:rFonts w:ascii="Cambria Math" w:hAnsi="Cambria Math"/>
                                <w:szCs w:val="24"/>
                              </w:rPr>
                              <m:t>n</m:t>
                            </m:r>
                          </m:e>
                          <m:sub>
                            <m:r>
                              <w:rPr>
                                <w:rFonts w:ascii="Cambria Math" w:hAnsi="Cambria Math"/>
                                <w:szCs w:val="24"/>
                              </w:rPr>
                              <m:t>k</m:t>
                            </m:r>
                          </m:sub>
                        </m:sSub>
                      </m:den>
                    </m:f>
                  </m:e>
                </m:nary>
                <m:r>
                  <w:rPr>
                    <w:rFonts w:ascii="Cambria Math"/>
                    <w:szCs w:val="24"/>
                  </w:rPr>
                  <m:t xml:space="preserve"> </m:t>
                </m:r>
              </m:oMath>
            </m:oMathPara>
          </w:p>
        </w:tc>
        <w:tc>
          <w:tcPr>
            <w:tcW w:w="828" w:type="dxa"/>
            <w:vAlign w:val="center"/>
          </w:tcPr>
          <w:p w:rsidR="002F3B63" w:rsidRPr="00B64F5C" w:rsidRDefault="002F3B63" w:rsidP="002F3B63">
            <w:pPr>
              <w:spacing w:line="480" w:lineRule="auto"/>
              <w:rPr>
                <w:iCs/>
                <w:szCs w:val="24"/>
              </w:rPr>
            </w:pPr>
            <w:r w:rsidRPr="00B64F5C">
              <w:rPr>
                <w:iCs/>
                <w:szCs w:val="24"/>
              </w:rPr>
              <w:t>(</w:t>
            </w:r>
            <w:r w:rsidR="0004094A">
              <w:rPr>
                <w:szCs w:val="24"/>
              </w:rPr>
              <w:t>29</w:t>
            </w:r>
            <w:r w:rsidRPr="00B64F5C">
              <w:rPr>
                <w:iCs/>
                <w:szCs w:val="24"/>
              </w:rPr>
              <w:t>)</w:t>
            </w:r>
          </w:p>
        </w:tc>
      </w:tr>
    </w:tbl>
    <w:p w:rsidR="002F3B63" w:rsidRPr="00B64F5C" w:rsidRDefault="002F3B63" w:rsidP="002F3B63">
      <w:pPr>
        <w:spacing w:line="480" w:lineRule="auto"/>
        <w:rPr>
          <w:szCs w:val="24"/>
        </w:rPr>
      </w:pPr>
      <w:r w:rsidRPr="00B64F5C">
        <w:rPr>
          <w:i/>
          <w:szCs w:val="24"/>
        </w:rPr>
        <w:lastRenderedPageBreak/>
        <w:t>H</w:t>
      </w:r>
      <w:r w:rsidRPr="00B64F5C">
        <w:rPr>
          <w:szCs w:val="24"/>
        </w:rPr>
        <w:t xml:space="preserve"> is approximately distributed as chi-squared (χ</w:t>
      </w:r>
      <w:r w:rsidRPr="00B64F5C">
        <w:rPr>
          <w:szCs w:val="24"/>
          <w:vertAlign w:val="superscript"/>
        </w:rPr>
        <w:t>2</w:t>
      </w:r>
      <w:r w:rsidRPr="00B64F5C">
        <w:rPr>
          <w:szCs w:val="24"/>
        </w:rPr>
        <w:t xml:space="preserve">) with </w:t>
      </w:r>
      <w:r w:rsidRPr="00B64F5C">
        <w:rPr>
          <w:i/>
          <w:szCs w:val="24"/>
        </w:rPr>
        <w:t>k</w:t>
      </w:r>
      <w:r w:rsidRPr="00B64F5C">
        <w:rPr>
          <w:szCs w:val="24"/>
        </w:rPr>
        <w:t>-1 degrees of freedom; therefore, χ</w:t>
      </w:r>
      <w:r w:rsidRPr="00B64F5C">
        <w:rPr>
          <w:szCs w:val="24"/>
          <w:vertAlign w:val="superscript"/>
        </w:rPr>
        <w:t>2</w:t>
      </w:r>
      <w:r w:rsidRPr="00B64F5C">
        <w:rPr>
          <w:szCs w:val="24"/>
        </w:rPr>
        <w:t xml:space="preserve"> can be used to evaluate probability. If significant dif</w:t>
      </w:r>
      <w:r w:rsidR="000F6B47">
        <w:rPr>
          <w:szCs w:val="24"/>
        </w:rPr>
        <w:t>ferences were detected by the K</w:t>
      </w:r>
      <w:r w:rsidRPr="00B64F5C">
        <w:rPr>
          <w:szCs w:val="24"/>
        </w:rPr>
        <w:t xml:space="preserve">W test, the IQR was plotted for graphical comparison to identify dissimilar distributions. </w:t>
      </w:r>
    </w:p>
    <w:p w:rsidR="002F3B63" w:rsidRDefault="002F3B63" w:rsidP="002F3B63">
      <w:pPr>
        <w:spacing w:line="480" w:lineRule="auto"/>
        <w:ind w:firstLine="720"/>
        <w:rPr>
          <w:szCs w:val="24"/>
        </w:rPr>
      </w:pPr>
    </w:p>
    <w:p w:rsidR="000F6B47" w:rsidRDefault="000F6B47" w:rsidP="002F3B63">
      <w:pPr>
        <w:spacing w:line="480" w:lineRule="auto"/>
        <w:ind w:firstLine="720"/>
        <w:rPr>
          <w:szCs w:val="24"/>
        </w:rPr>
      </w:pPr>
    </w:p>
    <w:p w:rsidR="000F6B47" w:rsidRDefault="000F6B47" w:rsidP="002F3B63">
      <w:pPr>
        <w:spacing w:line="480" w:lineRule="auto"/>
        <w:ind w:firstLine="720"/>
        <w:rPr>
          <w:szCs w:val="24"/>
        </w:rPr>
      </w:pPr>
    </w:p>
    <w:p w:rsidR="000F6B47" w:rsidRDefault="000F6B47" w:rsidP="002F3B63">
      <w:pPr>
        <w:spacing w:line="480" w:lineRule="auto"/>
        <w:ind w:firstLine="720"/>
        <w:rPr>
          <w:szCs w:val="24"/>
        </w:rPr>
      </w:pPr>
    </w:p>
    <w:p w:rsidR="000F6B47" w:rsidRDefault="000F6B47" w:rsidP="002F3B63">
      <w:pPr>
        <w:spacing w:line="480" w:lineRule="auto"/>
        <w:ind w:firstLine="720"/>
        <w:rPr>
          <w:szCs w:val="24"/>
        </w:rPr>
      </w:pPr>
    </w:p>
    <w:p w:rsidR="000F6B47" w:rsidRDefault="000F6B47" w:rsidP="002F3B63">
      <w:pPr>
        <w:spacing w:line="480" w:lineRule="auto"/>
        <w:ind w:firstLine="720"/>
        <w:rPr>
          <w:szCs w:val="24"/>
        </w:rPr>
      </w:pPr>
    </w:p>
    <w:p w:rsidR="000F6B47" w:rsidRDefault="000F6B47" w:rsidP="002F3B63">
      <w:pPr>
        <w:spacing w:line="480" w:lineRule="auto"/>
        <w:ind w:firstLine="720"/>
        <w:rPr>
          <w:szCs w:val="24"/>
        </w:rPr>
      </w:pPr>
    </w:p>
    <w:p w:rsidR="000F6B47" w:rsidRDefault="000F6B47" w:rsidP="002F3B63">
      <w:pPr>
        <w:spacing w:line="480" w:lineRule="auto"/>
        <w:ind w:firstLine="720"/>
        <w:rPr>
          <w:szCs w:val="24"/>
        </w:rPr>
      </w:pPr>
    </w:p>
    <w:p w:rsidR="000F6B47" w:rsidRDefault="000F6B47" w:rsidP="002F3B63">
      <w:pPr>
        <w:spacing w:line="480" w:lineRule="auto"/>
        <w:ind w:firstLine="720"/>
        <w:rPr>
          <w:szCs w:val="24"/>
        </w:rPr>
      </w:pPr>
    </w:p>
    <w:p w:rsidR="000F6B47" w:rsidRDefault="000F6B47" w:rsidP="002F3B63">
      <w:pPr>
        <w:spacing w:line="480" w:lineRule="auto"/>
        <w:ind w:firstLine="720"/>
        <w:rPr>
          <w:szCs w:val="24"/>
        </w:rPr>
      </w:pPr>
    </w:p>
    <w:p w:rsidR="000F6B47" w:rsidRDefault="000F6B47" w:rsidP="002F3B63">
      <w:pPr>
        <w:spacing w:line="480" w:lineRule="auto"/>
        <w:ind w:firstLine="720"/>
        <w:rPr>
          <w:szCs w:val="24"/>
        </w:rPr>
      </w:pPr>
    </w:p>
    <w:p w:rsidR="002F3B63" w:rsidRDefault="002F3B63" w:rsidP="00D83E2D">
      <w:pPr>
        <w:spacing w:line="480" w:lineRule="auto"/>
        <w:rPr>
          <w:szCs w:val="24"/>
        </w:rPr>
      </w:pPr>
    </w:p>
    <w:p w:rsidR="002F3B63" w:rsidRDefault="002F3B63" w:rsidP="002F3B63">
      <w:pPr>
        <w:pStyle w:val="Style1"/>
        <w:spacing w:before="0" w:after="0"/>
      </w:pPr>
      <w:bookmarkStart w:id="36" w:name="_Toc425427039"/>
      <w:r>
        <w:lastRenderedPageBreak/>
        <w:t>CHAPTER 4</w:t>
      </w:r>
      <w:bookmarkEnd w:id="36"/>
    </w:p>
    <w:p w:rsidR="002F3B63" w:rsidRDefault="002F3B63" w:rsidP="002F3B63">
      <w:pPr>
        <w:pStyle w:val="Style1"/>
        <w:spacing w:before="0" w:after="0"/>
      </w:pPr>
      <w:bookmarkStart w:id="37" w:name="_Toc422315796"/>
      <w:bookmarkStart w:id="38" w:name="_Toc425427040"/>
      <w:r>
        <w:t>RESULTS AND DISCUSSION</w:t>
      </w:r>
      <w:bookmarkEnd w:id="37"/>
      <w:bookmarkEnd w:id="38"/>
    </w:p>
    <w:p w:rsidR="002F3B63" w:rsidRPr="00FB5175" w:rsidRDefault="002F3B63" w:rsidP="002F3B63">
      <w:pPr>
        <w:pStyle w:val="Style2"/>
        <w:spacing w:line="240" w:lineRule="auto"/>
      </w:pPr>
    </w:p>
    <w:p w:rsidR="002F3B63" w:rsidRDefault="002F3B63" w:rsidP="002F3B63">
      <w:pPr>
        <w:pStyle w:val="Style2"/>
      </w:pPr>
      <w:bookmarkStart w:id="39" w:name="_Toc425427041"/>
      <w:r>
        <w:t>4.1 Fitting the Brooks and Corey Equation</w:t>
      </w:r>
      <w:bookmarkEnd w:id="39"/>
    </w:p>
    <w:p w:rsidR="002F3B63" w:rsidRPr="00134DB8" w:rsidRDefault="002F3B63" w:rsidP="002F3B63">
      <w:pPr>
        <w:spacing w:line="480" w:lineRule="auto"/>
        <w:ind w:firstLine="720"/>
      </w:pPr>
      <w:r w:rsidRPr="00FA7DE4">
        <w:t>2-D neutron radiograph</w:t>
      </w:r>
      <w:r>
        <w:t>ic</w:t>
      </w:r>
      <w:r w:rsidRPr="00FA7DE4">
        <w:t xml:space="preserve"> images of volumetric water contents at nine imposed basal matric potential</w:t>
      </w:r>
      <w:r>
        <w:t>s were obtained during</w:t>
      </w:r>
      <w:r w:rsidRPr="00FA7DE4">
        <w:t xml:space="preserve"> drying of Flint sand at </w:t>
      </w:r>
      <w:r>
        <w:t xml:space="preserve">the </w:t>
      </w:r>
      <w:r w:rsidRPr="00FA7DE4">
        <w:t xml:space="preserve">HFIR CG1-D beamline. </w:t>
      </w:r>
      <w:r>
        <w:t xml:space="preserve">A total of </w:t>
      </w:r>
      <w:r w:rsidRPr="00FA7DE4">
        <w:t xml:space="preserve">120 point </w:t>
      </w:r>
      <w:r>
        <w:t xml:space="preserve">soil </w:t>
      </w:r>
      <w:r w:rsidRPr="00FA7DE4">
        <w:t xml:space="preserve">water retention </w:t>
      </w:r>
      <w:r>
        <w:t xml:space="preserve">curves </w:t>
      </w:r>
      <w:r w:rsidRPr="00FA7DE4">
        <w:t xml:space="preserve">were obtained </w:t>
      </w:r>
      <w:r>
        <w:t>from these images as described earlier. The Brooks and Corey (BC), E</w:t>
      </w:r>
      <w:r w:rsidRPr="00FA7DE4">
        <w:t xml:space="preserve">quation </w:t>
      </w:r>
      <w:r>
        <w:t xml:space="preserve">(1), </w:t>
      </w:r>
      <w:r w:rsidRPr="00FA7DE4">
        <w:t xml:space="preserve">was fitted to </w:t>
      </w:r>
      <w:r>
        <w:t xml:space="preserve">each curve </w:t>
      </w:r>
      <w:r w:rsidRPr="00FA7DE4">
        <w:t>using segmented non-linear regression in SAS</w:t>
      </w:r>
      <w:r>
        <w:t xml:space="preserve"> and </w:t>
      </w:r>
      <w:r w:rsidRPr="008563C2">
        <w:t>98.5%</w:t>
      </w:r>
      <w:r>
        <w:t xml:space="preserve"> of the fits converged successfully yielding </w:t>
      </w:r>
      <w:r w:rsidRPr="008563C2">
        <w:t xml:space="preserve">115 </w:t>
      </w:r>
      <w:r>
        <w:t>sets of the four BC parameters</w:t>
      </w:r>
      <w:r w:rsidRPr="008563C2">
        <w:t xml:space="preserve">. </w:t>
      </w:r>
      <w:r w:rsidRPr="00FA7DE4">
        <w:t xml:space="preserve">The RMSE </w:t>
      </w:r>
      <w:r>
        <w:t xml:space="preserve">of the fits </w:t>
      </w:r>
      <w:r w:rsidRPr="00FA7DE4">
        <w:t xml:space="preserve">ranged </w:t>
      </w:r>
      <w:r>
        <w:t xml:space="preserve">from </w:t>
      </w:r>
      <w:r w:rsidRPr="00FA7DE4">
        <w:t xml:space="preserve">0.005 </w:t>
      </w:r>
      <w:r>
        <w:t xml:space="preserve">to </w:t>
      </w:r>
      <w:r w:rsidRPr="00FA7DE4">
        <w:t xml:space="preserve">0.078 </w:t>
      </w:r>
      <w:r w:rsidRPr="00FE0E62">
        <w:t>cm</w:t>
      </w:r>
      <w:r w:rsidRPr="00FE0E62">
        <w:rPr>
          <w:vertAlign w:val="superscript"/>
        </w:rPr>
        <w:t>3</w:t>
      </w:r>
      <w:r w:rsidRPr="00FE0E62">
        <w:t>cm</w:t>
      </w:r>
      <w:r w:rsidRPr="00FE0E62">
        <w:rPr>
          <w:vertAlign w:val="superscript"/>
        </w:rPr>
        <w:t>-3</w:t>
      </w:r>
      <w:r>
        <w:t>, while</w:t>
      </w:r>
      <w:r w:rsidRPr="00FA7DE4">
        <w:t xml:space="preserve"> </w:t>
      </w:r>
      <w:r>
        <w:t xml:space="preserve">the </w:t>
      </w:r>
      <w:r w:rsidRPr="00FA7DE4">
        <w:t>R</w:t>
      </w:r>
      <w:r w:rsidRPr="00FA7DE4">
        <w:rPr>
          <w:vertAlign w:val="superscript"/>
        </w:rPr>
        <w:t>2</w:t>
      </w:r>
      <w:r w:rsidRPr="00FA7DE4">
        <w:t xml:space="preserve"> values </w:t>
      </w:r>
      <w:r>
        <w:t xml:space="preserve">(from predicted versus observed values) </w:t>
      </w:r>
      <w:r w:rsidRPr="00FA7DE4">
        <w:t>were between 0.860 and 0.999. The median (</w:t>
      </w:r>
      <w:r>
        <w:t xml:space="preserve">and </w:t>
      </w:r>
      <w:r w:rsidRPr="00FA7DE4">
        <w:t>mean) RMSE and R</w:t>
      </w:r>
      <w:r w:rsidRPr="00FA7DE4">
        <w:rPr>
          <w:vertAlign w:val="superscript"/>
        </w:rPr>
        <w:t>2</w:t>
      </w:r>
      <w:r w:rsidRPr="00FA7DE4">
        <w:t xml:space="preserve"> values were 0.019 (0.024) and 0.985 (0.975), respectively. </w:t>
      </w:r>
    </w:p>
    <w:p w:rsidR="002F3B63" w:rsidRDefault="002F3B63" w:rsidP="002F3B63">
      <w:pPr>
        <w:pStyle w:val="Style2"/>
      </w:pPr>
      <w:bookmarkStart w:id="40" w:name="_Toc425427042"/>
      <w:r>
        <w:t>4.2 Classical Descriptive Statistics</w:t>
      </w:r>
      <w:bookmarkEnd w:id="40"/>
    </w:p>
    <w:p w:rsidR="002F3B63" w:rsidRDefault="002F3B63" w:rsidP="002F3B63">
      <w:pPr>
        <w:spacing w:line="480" w:lineRule="auto"/>
      </w:pPr>
      <w:r>
        <w:tab/>
        <w:t>The best fit values of the 115 sets of point BC parameters (</w:t>
      </w:r>
      <w:r w:rsidRPr="00295F00">
        <w:rPr>
          <w:i/>
        </w:rPr>
        <w:t>Ѳ</w:t>
      </w:r>
      <w:r w:rsidRPr="00295F00">
        <w:rPr>
          <w:i/>
          <w:vertAlign w:val="subscript"/>
        </w:rPr>
        <w:t>s</w:t>
      </w:r>
      <w:r>
        <w:t xml:space="preserve">, </w:t>
      </w:r>
      <w:r w:rsidRPr="00295F00">
        <w:rPr>
          <w:i/>
        </w:rPr>
        <w:t>Ѳ</w:t>
      </w:r>
      <w:r w:rsidRPr="00295F00">
        <w:rPr>
          <w:i/>
          <w:vertAlign w:val="subscript"/>
        </w:rPr>
        <w:t>r</w:t>
      </w:r>
      <w:r>
        <w:t xml:space="preserve">, </w:t>
      </w:r>
      <w:r w:rsidRPr="00295F00">
        <w:rPr>
          <w:i/>
        </w:rPr>
        <w:t>ψ</w:t>
      </w:r>
      <w:r w:rsidRPr="001A65F8">
        <w:rPr>
          <w:i/>
          <w:vertAlign w:val="subscript"/>
        </w:rPr>
        <w:t>a</w:t>
      </w:r>
      <w:r>
        <w:t>, and λ) ranged between 0.30-0.55 cm</w:t>
      </w:r>
      <w:r w:rsidRPr="00295F00">
        <w:rPr>
          <w:vertAlign w:val="superscript"/>
        </w:rPr>
        <w:t>3</w:t>
      </w:r>
      <w:r>
        <w:t>/cm</w:t>
      </w:r>
      <w:r w:rsidRPr="00295F00">
        <w:rPr>
          <w:vertAlign w:val="superscript"/>
        </w:rPr>
        <w:t>3</w:t>
      </w:r>
      <w:r>
        <w:t>, 0.00-0.06 cm</w:t>
      </w:r>
      <w:r w:rsidRPr="00295F00">
        <w:rPr>
          <w:vertAlign w:val="superscript"/>
        </w:rPr>
        <w:t>3</w:t>
      </w:r>
      <w:r>
        <w:t>/cm</w:t>
      </w:r>
      <w:r w:rsidRPr="00295F00">
        <w:rPr>
          <w:vertAlign w:val="superscript"/>
        </w:rPr>
        <w:t>3</w:t>
      </w:r>
      <w:r>
        <w:t xml:space="preserve">, 14.50-19.10 cm, 3.55-17.59, respectively. </w:t>
      </w:r>
      <w:r w:rsidRPr="00DF1D6E">
        <w:t>The</w:t>
      </w:r>
      <w:r>
        <w:t xml:space="preserve">se </w:t>
      </w:r>
      <w:r w:rsidRPr="00DF1D6E">
        <w:t>parameters were</w:t>
      </w:r>
      <w:r>
        <w:t xml:space="preserve"> first</w:t>
      </w:r>
      <w:r w:rsidRPr="00DF1D6E">
        <w:t xml:space="preserve"> summarized using</w:t>
      </w:r>
      <w:r>
        <w:t xml:space="preserve"> classical</w:t>
      </w:r>
      <w:r w:rsidRPr="00DF1D6E">
        <w:t xml:space="preserve"> descriptive statistics</w:t>
      </w:r>
      <w:r>
        <w:t xml:space="preserve"> (T</w:t>
      </w:r>
      <w:r w:rsidR="001F468B">
        <w:t>able 1) and histograms (Figure 3</w:t>
      </w:r>
      <w:r w:rsidRPr="00DF1D6E">
        <w:t xml:space="preserve">).  The histograms </w:t>
      </w:r>
      <w:r>
        <w:t>reveal</w:t>
      </w:r>
      <w:r w:rsidRPr="00DF1D6E">
        <w:t xml:space="preserve"> considerable </w:t>
      </w:r>
      <w:r>
        <w:t>sub-core scale</w:t>
      </w:r>
      <w:r w:rsidRPr="00DF1D6E">
        <w:t xml:space="preserve"> variability</w:t>
      </w:r>
      <w:r>
        <w:t xml:space="preserve"> in</w:t>
      </w:r>
      <w:r w:rsidRPr="00DF1D6E">
        <w:t xml:space="preserve"> </w:t>
      </w:r>
      <w:r>
        <w:t>the repacked sand column</w:t>
      </w:r>
      <w:r w:rsidRPr="00DF1D6E">
        <w:t xml:space="preserve"> possibly due to heterogeneity in local porosity, connectivity of pores, and pore-size distribution caused by the packing procedure employed</w:t>
      </w:r>
      <w:r>
        <w:t xml:space="preserve"> (Kang et al. 2014)</w:t>
      </w:r>
      <w:r w:rsidRPr="00DF1D6E">
        <w:t xml:space="preserve">. The </w:t>
      </w:r>
      <w:r w:rsidRPr="0066508D">
        <w:rPr>
          <w:i/>
        </w:rPr>
        <w:t>Ѳ</w:t>
      </w:r>
      <w:r w:rsidRPr="0066508D">
        <w:rPr>
          <w:i/>
          <w:vertAlign w:val="subscript"/>
        </w:rPr>
        <w:t>s</w:t>
      </w:r>
      <w:r w:rsidRPr="00DF1D6E">
        <w:t xml:space="preserve"> parameter exhibited the greatest variation</w:t>
      </w:r>
      <w:r w:rsidR="001F468B">
        <w:t xml:space="preserve"> (Figure 3</w:t>
      </w:r>
      <w:r>
        <w:t>b, Table 1)</w:t>
      </w:r>
      <w:r w:rsidRPr="00DF1D6E">
        <w:t>. The frequency distribution for</w:t>
      </w:r>
      <w:r w:rsidRPr="0066508D">
        <w:rPr>
          <w:i/>
        </w:rPr>
        <w:t xml:space="preserve"> Ѳ</w:t>
      </w:r>
      <w:r w:rsidRPr="0066508D">
        <w:rPr>
          <w:i/>
          <w:vertAlign w:val="subscript"/>
        </w:rPr>
        <w:t>s</w:t>
      </w:r>
      <w:r>
        <w:t xml:space="preserve"> </w:t>
      </w:r>
      <w:r w:rsidRPr="00DF1D6E">
        <w:t xml:space="preserve">is clearly positively skewed, with </w:t>
      </w:r>
      <w:r>
        <w:t>some</w:t>
      </w:r>
      <w:r w:rsidRPr="00DF1D6E">
        <w:t xml:space="preserve"> very high estimates of </w:t>
      </w:r>
      <w:r w:rsidRPr="0066508D">
        <w:rPr>
          <w:i/>
        </w:rPr>
        <w:t>Ѳ</w:t>
      </w:r>
      <w:r w:rsidRPr="0066508D">
        <w:rPr>
          <w:i/>
          <w:vertAlign w:val="subscript"/>
        </w:rPr>
        <w:t>s</w:t>
      </w:r>
      <w:r>
        <w:t xml:space="preserve">. </w:t>
      </w:r>
      <w:r w:rsidRPr="00DF1D6E">
        <w:t>This is not surprising since</w:t>
      </w:r>
      <w:r w:rsidRPr="0066508D">
        <w:rPr>
          <w:i/>
        </w:rPr>
        <w:t xml:space="preserve"> Ѳ</w:t>
      </w:r>
      <w:r w:rsidRPr="0066508D">
        <w:rPr>
          <w:i/>
          <w:vertAlign w:val="subscript"/>
        </w:rPr>
        <w:t>s</w:t>
      </w:r>
      <w:r w:rsidRPr="00DF1D6E">
        <w:t xml:space="preserve"> is likely to be quite sensitive to packing, edge effects and </w:t>
      </w:r>
      <w:r w:rsidRPr="00DF1D6E">
        <w:lastRenderedPageBreak/>
        <w:t>surface variations</w:t>
      </w:r>
      <w:r>
        <w:t xml:space="preserve"> (Kang et al. 2014)</w:t>
      </w:r>
      <w:r w:rsidRPr="00DF1D6E">
        <w:t xml:space="preserve">. Furthermore, it represents an estimate of the water content at saturation, which is the condition that is least accurately measured by the neutron imaging method </w:t>
      </w:r>
      <w:r>
        <w:t>(Kang et al., 2014)</w:t>
      </w:r>
      <w:r w:rsidRPr="00DF1D6E">
        <w:t>.</w:t>
      </w:r>
    </w:p>
    <w:p w:rsidR="002F3B63" w:rsidRDefault="002F3B63" w:rsidP="002F3B63">
      <w:pPr>
        <w:spacing w:line="480" w:lineRule="auto"/>
      </w:pPr>
      <w:r>
        <w:tab/>
      </w:r>
      <w:r w:rsidR="00D3145C">
        <w:t xml:space="preserve">The Shapiro-Wilk </w:t>
      </w:r>
      <w:r w:rsidR="000F6B47">
        <w:t xml:space="preserve">(SW) </w:t>
      </w:r>
      <w:r w:rsidR="00D3145C">
        <w:t>test statistic</w:t>
      </w:r>
      <w:r>
        <w:t xml:space="preserve">, </w:t>
      </w:r>
      <w:r w:rsidRPr="00D3145C">
        <w:rPr>
          <w:i/>
        </w:rPr>
        <w:t>W</w:t>
      </w:r>
      <w:r>
        <w:t>, was used to evaluate normality of the frequency distributions of the four BC parameters. The results of this test are given in Table 2. Asterisks (i.e. *, **, or ***) were used to denote the significance level of the SW test, and all other statistical tests employed. Table 3 lists the significance levels associated with the number of asterisks. The Quantile-Quanti</w:t>
      </w:r>
      <w:r w:rsidR="001F468B">
        <w:t>le (Q-Q) plots shown in Figure 4</w:t>
      </w:r>
      <w:r>
        <w:t xml:space="preserve"> can be used to visualize the SW results. Points on the Q-Q plot provide an indication of normality for each parameter. If the parameter is normally distributed, points will fall on a 45-degree reference line. Normality testing indicated that two of the four parameters were non-normal at the highest significance level (i.e. ***), i.e. </w:t>
      </w:r>
      <w:r w:rsidRPr="0034112E">
        <w:rPr>
          <w:i/>
        </w:rPr>
        <w:t>Ѳ</w:t>
      </w:r>
      <w:r w:rsidRPr="0034112E">
        <w:rPr>
          <w:i/>
          <w:vertAlign w:val="subscript"/>
        </w:rPr>
        <w:t>s</w:t>
      </w:r>
      <w:r>
        <w:t xml:space="preserve"> and </w:t>
      </w:r>
      <w:r w:rsidRPr="0034112E">
        <w:rPr>
          <w:i/>
        </w:rPr>
        <w:t>λ</w:t>
      </w:r>
      <w:r>
        <w:t xml:space="preserve">, with </w:t>
      </w:r>
      <w:r w:rsidRPr="00D3145C">
        <w:rPr>
          <w:i/>
        </w:rPr>
        <w:t>W</w:t>
      </w:r>
      <w:r>
        <w:t xml:space="preserve"> statistics of 0.901 and 0</w:t>
      </w:r>
      <w:r w:rsidR="00D3145C">
        <w:t>.</w:t>
      </w:r>
      <w:r>
        <w:t>951, respectively.  Kriging (see below) is optimal when parameters are normally distributed. Therefore, inverse (</w:t>
      </w:r>
      <w:r w:rsidRPr="0034112E">
        <w:rPr>
          <w:i/>
        </w:rPr>
        <w:t>Ѳ</w:t>
      </w:r>
      <w:r w:rsidRPr="0034112E">
        <w:rPr>
          <w:i/>
          <w:vertAlign w:val="subscript"/>
        </w:rPr>
        <w:t>s</w:t>
      </w:r>
      <w:r>
        <w:t>) and logarithmic (</w:t>
      </w:r>
      <w:r w:rsidRPr="0034112E">
        <w:rPr>
          <w:i/>
        </w:rPr>
        <w:t>λ</w:t>
      </w:r>
      <w:r>
        <w:t xml:space="preserve">) transformations were used to obtain near normal distributions before moving forward with the geostatistical analyses. The success of these transformations is shown in Table 2 with </w:t>
      </w:r>
      <w:r w:rsidRPr="002175EC">
        <w:rPr>
          <w:i/>
        </w:rPr>
        <w:t>W</w:t>
      </w:r>
      <w:r>
        <w:t xml:space="preserve"> statistics of 0.972 and 0.993 for inverse </w:t>
      </w:r>
      <w:r w:rsidRPr="00B810A4">
        <w:rPr>
          <w:i/>
        </w:rPr>
        <w:t>Ѳ</w:t>
      </w:r>
      <w:r w:rsidRPr="00B810A4">
        <w:rPr>
          <w:i/>
          <w:vertAlign w:val="subscript"/>
        </w:rPr>
        <w:t>s</w:t>
      </w:r>
      <w:r>
        <w:t xml:space="preserve"> and log </w:t>
      </w:r>
      <w:r w:rsidRPr="00B810A4">
        <w:rPr>
          <w:i/>
        </w:rPr>
        <w:t>λ</w:t>
      </w:r>
      <w:r>
        <w:t xml:space="preserve">, respectively. Although, inverse </w:t>
      </w:r>
      <w:r w:rsidRPr="002169D3">
        <w:rPr>
          <w:i/>
        </w:rPr>
        <w:t>Ѳ</w:t>
      </w:r>
      <w:r w:rsidRPr="002169D3">
        <w:rPr>
          <w:i/>
          <w:vertAlign w:val="subscript"/>
        </w:rPr>
        <w:t>s</w:t>
      </w:r>
      <w:r>
        <w:t xml:space="preserve"> is shown to be non-normal at the lowest significance level (i.e. *) the transformed param</w:t>
      </w:r>
      <w:r w:rsidR="001F468B">
        <w:t>eters Q-Q plot shown in Figure 4</w:t>
      </w:r>
      <w:r>
        <w:t>e demonstrates that the transformation obtained a near-normal distribution. Moving forward all trend surface and geostatistical analyses will be conducted using the transformed parameters.</w:t>
      </w:r>
    </w:p>
    <w:p w:rsidR="002F3B63" w:rsidRDefault="002F3B63" w:rsidP="002F3B63">
      <w:pPr>
        <w:spacing w:line="480" w:lineRule="auto"/>
        <w:rPr>
          <w:rFonts w:eastAsiaTheme="minorEastAsia"/>
          <w:iCs/>
        </w:rPr>
      </w:pPr>
      <w:r>
        <w:lastRenderedPageBreak/>
        <w:tab/>
        <w:t>Scatter diagrams, along with r, and R</w:t>
      </w:r>
      <w:r w:rsidRPr="001E4F8E">
        <w:rPr>
          <w:vertAlign w:val="superscript"/>
        </w:rPr>
        <w:t>2</w:t>
      </w:r>
      <w:r>
        <w:t xml:space="preserve"> statistics were used to indicate significant linear relationships betw</w:t>
      </w:r>
      <w:r w:rsidR="001F468B">
        <w:t>een the BC parameters (Figure 5</w:t>
      </w:r>
      <w:r>
        <w:t>). In the ideal scenario, a correlation between two parameters is either +1 or -1; between these two extremes lies a spectrum of less-than-perfect relationships, including zero, which indicates no correlation (Davis, 2002). Of the six possible relationships, four were found to be significant with r and R</w:t>
      </w:r>
      <w:r w:rsidRPr="009722FE">
        <w:rPr>
          <w:vertAlign w:val="superscript"/>
        </w:rPr>
        <w:t>2</w:t>
      </w:r>
      <w:r>
        <w:t xml:space="preserve"> values ranging from -0.44 to 0.51 and 0.033 to 0.255, respectively. Only one of the four significant relationships was between parameters that turned out to be spatially correlated (see below), i.e.  </w:t>
      </w:r>
      <w:r w:rsidRPr="0032135B">
        <w:rPr>
          <w:i/>
        </w:rPr>
        <w:t>Ѳ</w:t>
      </w:r>
      <w:r w:rsidRPr="0032135B">
        <w:rPr>
          <w:i/>
          <w:vertAlign w:val="subscript"/>
        </w:rPr>
        <w:t>s</w:t>
      </w:r>
      <w:r>
        <w:t xml:space="preserve"> vs. </w:t>
      </w:r>
      <w:r w:rsidRPr="00DF1D6E">
        <w:t xml:space="preserve"> </w:t>
      </w:r>
      <w:r w:rsidRPr="0032135B">
        <w:rPr>
          <w:i/>
        </w:rPr>
        <w:t>ψ</w:t>
      </w:r>
      <w:r w:rsidRPr="0032135B">
        <w:rPr>
          <w:i/>
          <w:vertAlign w:val="subscript"/>
        </w:rPr>
        <w:t>a</w:t>
      </w:r>
      <w:r>
        <w:t xml:space="preserve"> </w:t>
      </w:r>
      <w:r>
        <w:rPr>
          <w:rFonts w:eastAsiaTheme="minorEastAsia"/>
          <w:iCs/>
        </w:rPr>
        <w:t>(r = -0.44, R</w:t>
      </w:r>
      <w:r w:rsidRPr="001633D6">
        <w:rPr>
          <w:rFonts w:eastAsiaTheme="minorEastAsia"/>
          <w:iCs/>
          <w:vertAlign w:val="superscript"/>
        </w:rPr>
        <w:t>2</w:t>
      </w:r>
      <w:r>
        <w:rPr>
          <w:rFonts w:eastAsiaTheme="minorEastAsia"/>
          <w:iCs/>
        </w:rPr>
        <w:t xml:space="preserve"> = 0.197). The implications of this relationship will be discussed further in the following sections.</w:t>
      </w:r>
    </w:p>
    <w:p w:rsidR="002F3B63" w:rsidRDefault="002F3B63" w:rsidP="002F3B63">
      <w:pPr>
        <w:pStyle w:val="Style2"/>
        <w:rPr>
          <w:rFonts w:eastAsiaTheme="minorEastAsia"/>
        </w:rPr>
      </w:pPr>
      <w:bookmarkStart w:id="41" w:name="_Toc425427043"/>
      <w:r>
        <w:rPr>
          <w:rFonts w:eastAsiaTheme="minorEastAsia"/>
        </w:rPr>
        <w:t>4.3 Trend Identification Using the Kruskal-Wallis Test</w:t>
      </w:r>
      <w:bookmarkEnd w:id="41"/>
    </w:p>
    <w:p w:rsidR="002F3B63" w:rsidRDefault="000F6B47" w:rsidP="002F3B63">
      <w:pPr>
        <w:spacing w:line="480" w:lineRule="auto"/>
        <w:ind w:firstLine="720"/>
      </w:pPr>
      <w:r>
        <w:t>The Kruskal-Wallis (K</w:t>
      </w:r>
      <w:r w:rsidR="002F3B63">
        <w:t>W) test was employed to test the equivalence of sample intervals in the x- and y-directions of the grid super</w:t>
      </w:r>
      <w:r>
        <w:t xml:space="preserve">imposed over the neutron images and </w:t>
      </w:r>
      <w:r w:rsidR="00D35265">
        <w:t xml:space="preserve">to </w:t>
      </w:r>
      <w:r>
        <w:t>identi</w:t>
      </w:r>
      <w:r w:rsidR="00D35265">
        <w:t>fy 1-dimensional trends</w:t>
      </w:r>
      <w:r>
        <w:t>. Quantifying trends using the KW test</w:t>
      </w:r>
      <w:r w:rsidR="00B859C9">
        <w:t xml:space="preserve"> offers an </w:t>
      </w:r>
      <w:r w:rsidR="00D35265">
        <w:t>alternative</w:t>
      </w:r>
      <w:r w:rsidR="00B859C9">
        <w:t xml:space="preserve"> tren</w:t>
      </w:r>
      <w:r>
        <w:t>d ident</w:t>
      </w:r>
      <w:r w:rsidR="00B859C9">
        <w:t>ification</w:t>
      </w:r>
      <w:r w:rsidR="00D35265">
        <w:t xml:space="preserve"> method</w:t>
      </w:r>
      <w:r>
        <w:t xml:space="preserve"> to the trend surface analysis </w:t>
      </w:r>
      <w:r w:rsidR="00B859C9">
        <w:t>(</w:t>
      </w:r>
      <w:r>
        <w:t>which will be discussed</w:t>
      </w:r>
      <w:r w:rsidR="00D35265">
        <w:t xml:space="preserve"> in the</w:t>
      </w:r>
      <w:r>
        <w:t xml:space="preserve"> next</w:t>
      </w:r>
      <w:r w:rsidR="00D35265">
        <w:t xml:space="preserve"> section</w:t>
      </w:r>
      <w:r w:rsidR="00B859C9">
        <w:t>)</w:t>
      </w:r>
      <w:r>
        <w:t xml:space="preserve">. </w:t>
      </w:r>
      <w:r w:rsidR="002F3B63">
        <w:t>The results from the KW test can be found in Tables 4 and 5 for the x- and y-directions, respectively.  Within each table</w:t>
      </w:r>
      <w:r w:rsidR="00C00127">
        <w:t>,</w:t>
      </w:r>
      <w:r w:rsidR="002F3B63">
        <w:t xml:space="preserve"> </w:t>
      </w:r>
      <w:r w:rsidR="002F3B63" w:rsidRPr="00B64F5C">
        <w:rPr>
          <w:szCs w:val="24"/>
        </w:rPr>
        <w:t>χ</w:t>
      </w:r>
      <w:r w:rsidR="002F3B63" w:rsidRPr="00B64F5C">
        <w:rPr>
          <w:szCs w:val="24"/>
          <w:vertAlign w:val="superscript"/>
        </w:rPr>
        <w:t>2</w:t>
      </w:r>
      <w:r w:rsidR="002F3B63">
        <w:rPr>
          <w:szCs w:val="24"/>
        </w:rPr>
        <w:t xml:space="preserve"> was used to evaluate probability and asterisks were used to signify significance levels, with results provided for those parameters with significant trends. Table 4 shows statistical differences in the x direction for</w:t>
      </w:r>
      <w:r w:rsidR="002F3B63">
        <w:t xml:space="preserve"> </w:t>
      </w:r>
      <w:r w:rsidR="002F3B63" w:rsidRPr="00510DF9">
        <w:rPr>
          <w:i/>
        </w:rPr>
        <w:t>Ѳ</w:t>
      </w:r>
      <w:r w:rsidR="002F3B63" w:rsidRPr="00510DF9">
        <w:rPr>
          <w:i/>
          <w:vertAlign w:val="subscript"/>
        </w:rPr>
        <w:t>s</w:t>
      </w:r>
      <w:r w:rsidR="002F3B63">
        <w:t xml:space="preserve"> and </w:t>
      </w:r>
      <w:r w:rsidR="002F3B63" w:rsidRPr="00510DF9">
        <w:rPr>
          <w:i/>
        </w:rPr>
        <w:t>Ѳ</w:t>
      </w:r>
      <w:r w:rsidR="002F3B63" w:rsidRPr="00510DF9">
        <w:rPr>
          <w:i/>
          <w:vertAlign w:val="subscript"/>
        </w:rPr>
        <w:t>r</w:t>
      </w:r>
      <w:r w:rsidR="002F3B63">
        <w:t>. The trend found in</w:t>
      </w:r>
      <w:r w:rsidR="002F3B63" w:rsidRPr="00DF6027">
        <w:rPr>
          <w:i/>
        </w:rPr>
        <w:t xml:space="preserve"> </w:t>
      </w:r>
      <w:r w:rsidR="002F3B63" w:rsidRPr="00510DF9">
        <w:rPr>
          <w:i/>
        </w:rPr>
        <w:t>Ѳ</w:t>
      </w:r>
      <w:r w:rsidR="002F3B63" w:rsidRPr="00510DF9">
        <w:rPr>
          <w:i/>
          <w:vertAlign w:val="subscript"/>
        </w:rPr>
        <w:t>s</w:t>
      </w:r>
      <w:r w:rsidR="002F3B63">
        <w:t xml:space="preserve"> was at the highest significance level (</w:t>
      </w:r>
      <w:r w:rsidR="002F3B63" w:rsidRPr="00DF6027">
        <w:rPr>
          <w:szCs w:val="24"/>
        </w:rPr>
        <w:t>χ</w:t>
      </w:r>
      <w:r w:rsidR="002F3B63" w:rsidRPr="00DF6027">
        <w:rPr>
          <w:szCs w:val="24"/>
          <w:vertAlign w:val="superscript"/>
        </w:rPr>
        <w:t>2</w:t>
      </w:r>
      <w:r w:rsidR="002F3B63">
        <w:rPr>
          <w:szCs w:val="24"/>
        </w:rPr>
        <w:t xml:space="preserve"> = </w:t>
      </w:r>
      <w:r w:rsidR="002F3B63" w:rsidRPr="00DF6027">
        <w:rPr>
          <w:szCs w:val="24"/>
        </w:rPr>
        <w:t>36</w:t>
      </w:r>
      <w:r w:rsidR="002F3B63">
        <w:rPr>
          <w:szCs w:val="24"/>
        </w:rPr>
        <w:t>.1 ***)</w:t>
      </w:r>
      <w:r w:rsidR="002F3B63">
        <w:t xml:space="preserve"> while the trend in</w:t>
      </w:r>
      <w:r w:rsidR="002F3B63" w:rsidRPr="00DF6027">
        <w:rPr>
          <w:i/>
        </w:rPr>
        <w:t xml:space="preserve"> </w:t>
      </w:r>
      <w:r w:rsidR="002F3B63" w:rsidRPr="00510DF9">
        <w:rPr>
          <w:i/>
        </w:rPr>
        <w:t>Ѳ</w:t>
      </w:r>
      <w:r w:rsidR="002F3B63">
        <w:rPr>
          <w:i/>
          <w:vertAlign w:val="subscript"/>
        </w:rPr>
        <w:t>r</w:t>
      </w:r>
      <w:r w:rsidR="002F3B63">
        <w:t xml:space="preserve"> was at the lowest significance level (</w:t>
      </w:r>
      <w:r w:rsidR="002F3B63" w:rsidRPr="00DF6027">
        <w:rPr>
          <w:szCs w:val="24"/>
        </w:rPr>
        <w:t>χ</w:t>
      </w:r>
      <w:r w:rsidR="002F3B63" w:rsidRPr="00DF6027">
        <w:rPr>
          <w:szCs w:val="24"/>
          <w:vertAlign w:val="superscript"/>
        </w:rPr>
        <w:t>2</w:t>
      </w:r>
      <w:r w:rsidR="002F3B63">
        <w:rPr>
          <w:szCs w:val="24"/>
        </w:rPr>
        <w:t xml:space="preserve"> = 14.4 *). </w:t>
      </w:r>
      <w:r w:rsidR="002F3B63">
        <w:t>These res</w:t>
      </w:r>
      <w:r w:rsidR="001F468B">
        <w:t>ults are illustrated in Figure 6</w:t>
      </w:r>
      <w:r w:rsidR="002F3B63">
        <w:t xml:space="preserve">, which is a plot of the </w:t>
      </w:r>
      <w:r w:rsidR="00D35265">
        <w:t>interquartile r</w:t>
      </w:r>
      <w:r w:rsidR="00D3145C">
        <w:t>ange (</w:t>
      </w:r>
      <w:r w:rsidR="002F3B63">
        <w:t>IQR</w:t>
      </w:r>
      <w:r w:rsidR="00D3145C">
        <w:t>)</w:t>
      </w:r>
      <w:r w:rsidR="002F3B63">
        <w:t xml:space="preserve"> for each sample interval in the x-direction. </w:t>
      </w:r>
      <w:r w:rsidR="00B859C9">
        <w:t xml:space="preserve">The plot for </w:t>
      </w:r>
      <w:r w:rsidR="00B859C9" w:rsidRPr="00B859C9">
        <w:rPr>
          <w:i/>
        </w:rPr>
        <w:t>Ѳ</w:t>
      </w:r>
      <w:r w:rsidR="00B859C9" w:rsidRPr="00B859C9">
        <w:rPr>
          <w:i/>
          <w:vertAlign w:val="subscript"/>
        </w:rPr>
        <w:t>s</w:t>
      </w:r>
      <w:r w:rsidR="001F468B">
        <w:t xml:space="preserve"> (Figure 6</w:t>
      </w:r>
      <w:r w:rsidR="00B859C9">
        <w:t xml:space="preserve">a) shows </w:t>
      </w:r>
      <w:r w:rsidR="00D35265">
        <w:t>a bulge of high median values for</w:t>
      </w:r>
      <w:r w:rsidR="00B859C9">
        <w:t xml:space="preserve"> the central </w:t>
      </w:r>
      <w:r w:rsidR="00B859C9">
        <w:lastRenderedPageBreak/>
        <w:t xml:space="preserve">sample intervals (9.6 mm – 19.2 mm). This may be an indication that the estimation of </w:t>
      </w:r>
      <w:r w:rsidR="00B859C9" w:rsidRPr="00B859C9">
        <w:rPr>
          <w:i/>
        </w:rPr>
        <w:t>Ѳ</w:t>
      </w:r>
      <w:r w:rsidR="00B859C9" w:rsidRPr="00B859C9">
        <w:rPr>
          <w:i/>
          <w:vertAlign w:val="subscript"/>
        </w:rPr>
        <w:t>s</w:t>
      </w:r>
      <w:r w:rsidR="00B859C9">
        <w:t xml:space="preserve"> was effected by variable path lengths caused by the cylindrical shape of the sand column. The plot for </w:t>
      </w:r>
      <w:r w:rsidR="00B859C9" w:rsidRPr="00B859C9">
        <w:rPr>
          <w:i/>
        </w:rPr>
        <w:t>Ѳ</w:t>
      </w:r>
      <w:r w:rsidR="00B859C9">
        <w:rPr>
          <w:i/>
          <w:vertAlign w:val="subscript"/>
        </w:rPr>
        <w:t xml:space="preserve">r </w:t>
      </w:r>
      <w:r w:rsidR="001F468B">
        <w:t>(Figure 6</w:t>
      </w:r>
      <w:r w:rsidR="00B859C9">
        <w:t>b) indicates a trend of i</w:t>
      </w:r>
      <w:r w:rsidR="0061574D">
        <w:t xml:space="preserve">ncreasing values across the </w:t>
      </w:r>
      <w:r w:rsidR="00B859C9">
        <w:t xml:space="preserve">soil column from the 3.2 mm sample interval to the 25.6 mm sample interval. </w:t>
      </w:r>
    </w:p>
    <w:p w:rsidR="002F3B63" w:rsidRPr="00D53450" w:rsidRDefault="002F3B63" w:rsidP="00D35265">
      <w:pPr>
        <w:spacing w:line="480" w:lineRule="auto"/>
        <w:ind w:firstLine="720"/>
      </w:pPr>
      <w:r>
        <w:t>In Table 5</w:t>
      </w:r>
      <w:r w:rsidR="00262627">
        <w:t xml:space="preserve"> </w:t>
      </w:r>
      <w:r>
        <w:t xml:space="preserve">it is shown that </w:t>
      </w:r>
      <w:r w:rsidRPr="00510DF9">
        <w:rPr>
          <w:i/>
        </w:rPr>
        <w:t>ψ</w:t>
      </w:r>
      <w:r w:rsidRPr="00510DF9">
        <w:rPr>
          <w:i/>
          <w:vertAlign w:val="subscript"/>
        </w:rPr>
        <w:t>a</w:t>
      </w:r>
      <w:r>
        <w:t xml:space="preserve"> and </w:t>
      </w:r>
      <w:r w:rsidRPr="00601556">
        <w:rPr>
          <w:i/>
        </w:rPr>
        <w:t>λ</w:t>
      </w:r>
      <w:r>
        <w:t xml:space="preserve"> </w:t>
      </w:r>
      <w:r w:rsidRPr="00601556">
        <w:t>experience</w:t>
      </w:r>
      <w:r>
        <w:t xml:space="preserve"> significant differences among sample intervals in the y-direction with </w:t>
      </w:r>
      <w:r w:rsidRPr="00C1605C">
        <w:rPr>
          <w:szCs w:val="24"/>
        </w:rPr>
        <w:t>χ</w:t>
      </w:r>
      <w:r w:rsidRPr="00C1605C">
        <w:rPr>
          <w:szCs w:val="24"/>
          <w:vertAlign w:val="superscript"/>
        </w:rPr>
        <w:t>2</w:t>
      </w:r>
      <w:r>
        <w:rPr>
          <w:szCs w:val="24"/>
        </w:rPr>
        <w:t xml:space="preserve"> values of 48.7 and 29.6 at the highest and lowest significance levels, respectively. </w:t>
      </w:r>
      <w:r w:rsidRPr="00C1605C">
        <w:t>Figure</w:t>
      </w:r>
      <w:r w:rsidR="001F468B">
        <w:t xml:space="preserve"> 7</w:t>
      </w:r>
      <w:r>
        <w:t xml:space="preserve"> shows a plot of IQR in the y-direction for the significant parameters in Table 5, this plot indicates where the statistical differences occurred for</w:t>
      </w:r>
      <w:r w:rsidRPr="00DF6027">
        <w:rPr>
          <w:i/>
        </w:rPr>
        <w:t xml:space="preserve"> </w:t>
      </w:r>
      <w:r w:rsidRPr="00510DF9">
        <w:rPr>
          <w:i/>
        </w:rPr>
        <w:t>ψ</w:t>
      </w:r>
      <w:r w:rsidRPr="00510DF9">
        <w:rPr>
          <w:i/>
          <w:vertAlign w:val="subscript"/>
        </w:rPr>
        <w:t>a</w:t>
      </w:r>
      <w:r>
        <w:t xml:space="preserve"> and </w:t>
      </w:r>
      <w:r w:rsidRPr="00601556">
        <w:rPr>
          <w:i/>
        </w:rPr>
        <w:t>λ</w:t>
      </w:r>
      <w:r>
        <w:t xml:space="preserve">. </w:t>
      </w:r>
      <w:r w:rsidR="0061574D">
        <w:t>The plot for</w:t>
      </w:r>
      <w:r w:rsidR="0061574D" w:rsidRPr="0061574D">
        <w:rPr>
          <w:i/>
        </w:rPr>
        <w:t xml:space="preserve"> </w:t>
      </w:r>
      <w:r w:rsidR="0061574D" w:rsidRPr="00510DF9">
        <w:rPr>
          <w:i/>
        </w:rPr>
        <w:t>ψ</w:t>
      </w:r>
      <w:r w:rsidR="0061574D" w:rsidRPr="00510DF9">
        <w:rPr>
          <w:i/>
          <w:vertAlign w:val="subscript"/>
        </w:rPr>
        <w:t>a</w:t>
      </w:r>
      <w:r w:rsidR="001F468B">
        <w:t xml:space="preserve"> shown in Figure 7</w:t>
      </w:r>
      <w:r w:rsidR="0061574D">
        <w:t xml:space="preserve">a shows a clear trend of increasing median values from the top to the bottom of the column. This trend may indicate that compaction occurred during sample preparation. Although a significant difference was found between sample intervals in the y-direction for </w:t>
      </w:r>
      <w:r w:rsidR="0061574D" w:rsidRPr="0061574D">
        <w:rPr>
          <w:i/>
        </w:rPr>
        <w:t>λ</w:t>
      </w:r>
      <w:r w:rsidR="0061574D">
        <w:t xml:space="preserve">, the plot shown in Figure </w:t>
      </w:r>
      <w:r w:rsidR="001F468B">
        <w:t>7</w:t>
      </w:r>
      <w:r w:rsidR="0061574D">
        <w:t xml:space="preserve">b cannot be used to discern a specific trend direction. This may indicate that λ was unaffected by the methodology employed. </w:t>
      </w:r>
      <w:r w:rsidR="009945D6">
        <w:t xml:space="preserve">These results are the first indication that the Kang et al. (2014) data collection procedure may have inadvertently caused trends in the BC parameters. </w:t>
      </w:r>
      <w:r w:rsidR="00D35265">
        <w:t xml:space="preserve">To reiterate, </w:t>
      </w:r>
      <w:r w:rsidR="009945D6">
        <w:t>s</w:t>
      </w:r>
      <w:r>
        <w:t xml:space="preserve">ignificant differences among sample intervals were apparent in the x-direction for </w:t>
      </w:r>
      <w:r w:rsidRPr="00510DF9">
        <w:rPr>
          <w:i/>
        </w:rPr>
        <w:t>Ѳ</w:t>
      </w:r>
      <w:r w:rsidRPr="00510DF9">
        <w:rPr>
          <w:i/>
          <w:vertAlign w:val="subscript"/>
        </w:rPr>
        <w:t>s</w:t>
      </w:r>
      <w:r>
        <w:t xml:space="preserve"> and in the y-direction for </w:t>
      </w:r>
      <w:r w:rsidRPr="00510DF9">
        <w:rPr>
          <w:i/>
        </w:rPr>
        <w:t>ψ</w:t>
      </w:r>
      <w:r w:rsidRPr="00510DF9">
        <w:rPr>
          <w:i/>
          <w:vertAlign w:val="subscript"/>
        </w:rPr>
        <w:t>a</w:t>
      </w:r>
      <w:r>
        <w:t xml:space="preserve">, these results will become important when interpreting the kriged maps of spatially correlated parameters below. </w:t>
      </w:r>
    </w:p>
    <w:p w:rsidR="002F3B63" w:rsidRDefault="002F3B63" w:rsidP="002F3B63">
      <w:pPr>
        <w:pStyle w:val="Style2"/>
      </w:pPr>
      <w:bookmarkStart w:id="42" w:name="_Toc425427044"/>
      <w:r>
        <w:t>4.4 Trend Surface Analysis and Detrending</w:t>
      </w:r>
      <w:bookmarkEnd w:id="42"/>
    </w:p>
    <w:p w:rsidR="002F3B63" w:rsidRDefault="00D3145C" w:rsidP="002F3B63">
      <w:pPr>
        <w:spacing w:line="480" w:lineRule="auto"/>
      </w:pPr>
      <w:r>
        <w:tab/>
      </w:r>
      <w:r w:rsidR="002F3B63">
        <w:t xml:space="preserve">Figure </w:t>
      </w:r>
      <w:r w:rsidR="001F468B">
        <w:t>8</w:t>
      </w:r>
      <w:r w:rsidR="002F3B63">
        <w:t xml:space="preserve"> shows trend surfaces for each of the BC parameters. It is evident from these initial images that the parameters have strong spatial trends.  Table 6 summarizes the statistics used to determine fit and significance of the trend surfaces.  The R</w:t>
      </w:r>
      <w:r w:rsidR="002F3B63" w:rsidRPr="005039F9">
        <w:rPr>
          <w:vertAlign w:val="superscript"/>
        </w:rPr>
        <w:t>2</w:t>
      </w:r>
      <w:r w:rsidR="002F3B63">
        <w:t xml:space="preserve"> values in </w:t>
      </w:r>
      <w:r w:rsidR="002F3B63">
        <w:lastRenderedPageBreak/>
        <w:t>Table 6 are relatively low for all of the parameters indicating poor predictive capabilities. Since the main objectives of the trend surface analysis are to determine significant trend directions and provide rough estimates of the underlying trend directions the poor R</w:t>
      </w:r>
      <w:r w:rsidR="002F3B63" w:rsidRPr="006B5C60">
        <w:rPr>
          <w:vertAlign w:val="superscript"/>
        </w:rPr>
        <w:t>2</w:t>
      </w:r>
      <w:r w:rsidR="002F3B63">
        <w:t xml:space="preserve"> values are not troublesome. The F-statistic and associated significance levels, represented by asterisks, reveal that all parameters had significant trends. Table 7 contains t-values and their associated level of significance to identify significant trend directions. </w:t>
      </w:r>
    </w:p>
    <w:p w:rsidR="002F3B63" w:rsidRDefault="002F3B63" w:rsidP="002F3B63">
      <w:pPr>
        <w:spacing w:line="480" w:lineRule="auto"/>
        <w:ind w:firstLine="720"/>
        <w:rPr>
          <w:rFonts w:eastAsiaTheme="minorEastAsia"/>
        </w:rPr>
      </w:pPr>
      <w:r>
        <w:t>Major conclusions cannot be drawn from these results because the trend surface analysis does not account for spatial dependency</w:t>
      </w:r>
      <w:r w:rsidR="00D35265">
        <w:t xml:space="preserve"> a</w:t>
      </w:r>
      <w:r w:rsidR="00B35B6C">
        <w:t>n</w:t>
      </w:r>
      <w:r w:rsidR="00D35265">
        <w:t>d is a global interpolator</w:t>
      </w:r>
      <w:r>
        <w:t xml:space="preserve">, but initial inferences can be made. The </w:t>
      </w:r>
      <w:r w:rsidRPr="00B2645B">
        <w:rPr>
          <w:i/>
        </w:rPr>
        <w:t>Ѳ</w:t>
      </w:r>
      <w:r w:rsidRPr="00B2645B">
        <w:rPr>
          <w:i/>
          <w:vertAlign w:val="subscript"/>
        </w:rPr>
        <w:t>s</w:t>
      </w:r>
      <w:r w:rsidRPr="00B2645B">
        <w:rPr>
          <w:rFonts w:eastAsiaTheme="minorEastAsia"/>
          <w:vertAlign w:val="subscript"/>
        </w:rPr>
        <w:t xml:space="preserve"> </w:t>
      </w:r>
      <w:r>
        <w:rPr>
          <w:rFonts w:eastAsiaTheme="minorEastAsia"/>
        </w:rPr>
        <w:t xml:space="preserve">trend surface shows a strong tendency of high values in the center of the sand column, possibly caused by varying thicknesses of water across the cylinder. The trend surface of </w:t>
      </w:r>
      <w:r w:rsidRPr="00B2645B">
        <w:rPr>
          <w:rFonts w:eastAsiaTheme="minorEastAsia"/>
          <w:i/>
        </w:rPr>
        <w:t>ψ</w:t>
      </w:r>
      <w:r w:rsidRPr="00B2645B">
        <w:rPr>
          <w:rFonts w:eastAsiaTheme="minorEastAsia"/>
          <w:i/>
          <w:vertAlign w:val="subscript"/>
        </w:rPr>
        <w:t>a</w:t>
      </w:r>
      <w:r>
        <w:rPr>
          <w:rFonts w:eastAsiaTheme="minorEastAsia"/>
        </w:rPr>
        <w:t xml:space="preserve"> suggests </w:t>
      </w:r>
      <w:r>
        <w:rPr>
          <w:rFonts w:eastAsiaTheme="minorEastAsia"/>
          <w:iCs/>
        </w:rPr>
        <w:t>trends cau</w:t>
      </w:r>
      <w:r w:rsidR="009945D6">
        <w:rPr>
          <w:rFonts w:eastAsiaTheme="minorEastAsia"/>
          <w:iCs/>
        </w:rPr>
        <w:t>sed by packing and/or compressive stress</w:t>
      </w:r>
      <w:r>
        <w:rPr>
          <w:rFonts w:eastAsiaTheme="minorEastAsia"/>
          <w:iCs/>
        </w:rPr>
        <w:t xml:space="preserve"> during sample preparation.  It seems intuitive that low values would be prominent at the top of the column, whereas, compaction may lead to high values at the bottom. </w:t>
      </w:r>
      <w:r w:rsidR="009945D6">
        <w:rPr>
          <w:rFonts w:eastAsiaTheme="minorEastAsia"/>
          <w:iCs/>
        </w:rPr>
        <w:t xml:space="preserve">These results are consistent with those found during the KW test in the previous section. </w:t>
      </w:r>
      <w:r>
        <w:rPr>
          <w:rFonts w:eastAsiaTheme="minorEastAsia"/>
          <w:iCs/>
        </w:rPr>
        <w:t>Both</w:t>
      </w:r>
      <w:r w:rsidRPr="00DF1D6E">
        <w:t xml:space="preserve"> </w:t>
      </w:r>
      <w:r w:rsidRPr="00B2645B">
        <w:rPr>
          <w:i/>
        </w:rPr>
        <w:t>Ѳ</w:t>
      </w:r>
      <w:r w:rsidRPr="00B2645B">
        <w:rPr>
          <w:i/>
          <w:vertAlign w:val="subscript"/>
        </w:rPr>
        <w:t>r</w:t>
      </w:r>
      <w:r>
        <w:t xml:space="preserve"> </w:t>
      </w:r>
      <w:r w:rsidRPr="00B2645B">
        <w:t>and</w:t>
      </w:r>
      <w:r w:rsidRPr="00DF1D6E">
        <w:t xml:space="preserve"> </w:t>
      </w:r>
      <w:r w:rsidRPr="00B2645B">
        <w:rPr>
          <w:i/>
        </w:rPr>
        <w:t>λ</w:t>
      </w:r>
      <w:r>
        <w:t xml:space="preserve"> </w:t>
      </w:r>
      <w:r>
        <w:rPr>
          <w:rFonts w:eastAsiaTheme="minorEastAsia"/>
        </w:rPr>
        <w:t>exhibit similar parabolic trends that illustrate their correlation (r = 0.51), but the extremely low R</w:t>
      </w:r>
      <w:r w:rsidRPr="0057184B">
        <w:rPr>
          <w:rFonts w:eastAsiaTheme="minorEastAsia"/>
          <w:vertAlign w:val="superscript"/>
        </w:rPr>
        <w:t>2</w:t>
      </w:r>
      <w:r>
        <w:rPr>
          <w:rFonts w:eastAsiaTheme="minorEastAsia"/>
        </w:rPr>
        <w:t xml:space="preserve"> values 0.074 and 0.101, respectively, limit interpretation. </w:t>
      </w:r>
    </w:p>
    <w:p w:rsidR="002F3B63" w:rsidRDefault="002F3B63" w:rsidP="002F3B63">
      <w:pPr>
        <w:spacing w:line="480" w:lineRule="auto"/>
        <w:ind w:firstLine="720"/>
      </w:pPr>
      <w:r>
        <w:rPr>
          <w:rFonts w:eastAsiaTheme="minorEastAsia"/>
        </w:rPr>
        <w:t xml:space="preserve">The descriptive statistics in Table 8 summarize the residual values for the BC parameters after trend removal. Following the detrending procedure only the fluctuations above and below the fitted surface remains, resulting in very small mean values; this is an indication that the trends were successfully removed. The trend surface analysis was conducted again on the newly created residual variable, </w:t>
      </w:r>
      <w:r w:rsidRPr="00096E6A">
        <w:rPr>
          <w:rFonts w:eastAsiaTheme="minorEastAsia"/>
          <w:i/>
        </w:rPr>
        <w:t>z</w:t>
      </w:r>
      <w:r w:rsidRPr="00096E6A">
        <w:rPr>
          <w:rFonts w:eastAsiaTheme="minorEastAsia"/>
          <w:i/>
          <w:vertAlign w:val="subscript"/>
        </w:rPr>
        <w:t>res</w:t>
      </w:r>
      <w:r>
        <w:rPr>
          <w:rFonts w:eastAsiaTheme="minorEastAsia"/>
        </w:rPr>
        <w:t xml:space="preserve">, for each parameter to ensure stationarity before moving forward with geostatistics. Also, to verify normality of the </w:t>
      </w:r>
      <w:r>
        <w:rPr>
          <w:rFonts w:eastAsiaTheme="minorEastAsia"/>
        </w:rPr>
        <w:lastRenderedPageBreak/>
        <w:t>residuals, the SW test was performed and the results are summarized in Table 9. The transformation and trend removal processes were successful at achieving near normal distributions for</w:t>
      </w:r>
      <w:r w:rsidRPr="00E9543A">
        <w:rPr>
          <w:i/>
        </w:rPr>
        <w:t xml:space="preserve"> Ѳ</w:t>
      </w:r>
      <w:r w:rsidRPr="00E9543A">
        <w:rPr>
          <w:i/>
          <w:vertAlign w:val="subscript"/>
        </w:rPr>
        <w:t>s</w:t>
      </w:r>
      <w:r>
        <w:t xml:space="preserve"> </w:t>
      </w:r>
      <w:r w:rsidRPr="00E9543A">
        <w:t>and</w:t>
      </w:r>
      <w:r w:rsidRPr="00DF1D6E">
        <w:t xml:space="preserve"> </w:t>
      </w:r>
      <w:r w:rsidRPr="00B2645B">
        <w:rPr>
          <w:i/>
        </w:rPr>
        <w:t>λ</w:t>
      </w:r>
      <w:r>
        <w:rPr>
          <w:rFonts w:eastAsiaTheme="minorEastAsia"/>
        </w:rPr>
        <w:t xml:space="preserve">. The single asterisk for </w:t>
      </w:r>
      <w:r w:rsidRPr="00E9543A">
        <w:rPr>
          <w:i/>
        </w:rPr>
        <w:t>Ѳ</w:t>
      </w:r>
      <w:r w:rsidRPr="00E9543A">
        <w:rPr>
          <w:i/>
          <w:vertAlign w:val="subscript"/>
        </w:rPr>
        <w:t>s</w:t>
      </w:r>
      <w:r>
        <w:t xml:space="preserve"> indicates the parameter is still slightly positively skewed at the lowest significance level (i.e. &lt;0.05), but to avoid employing a more complicated transformation technique the near-normal distribution was deemed acceptable. </w:t>
      </w:r>
    </w:p>
    <w:p w:rsidR="002F3B63" w:rsidRDefault="002F3B63" w:rsidP="002F3B63">
      <w:pPr>
        <w:pStyle w:val="Style2"/>
        <w:rPr>
          <w:rFonts w:eastAsiaTheme="minorEastAsia"/>
        </w:rPr>
      </w:pPr>
      <w:bookmarkStart w:id="43" w:name="_Toc425427045"/>
      <w:r>
        <w:rPr>
          <w:rFonts w:eastAsiaTheme="minorEastAsia"/>
        </w:rPr>
        <w:t>4.5 Spatial Interpolation</w:t>
      </w:r>
      <w:bookmarkEnd w:id="43"/>
    </w:p>
    <w:p w:rsidR="002F3B63" w:rsidRPr="00344ABE" w:rsidRDefault="002F3B63" w:rsidP="002F3B63">
      <w:pPr>
        <w:pStyle w:val="Style3"/>
      </w:pPr>
      <w:bookmarkStart w:id="44" w:name="_Toc425427046"/>
      <w:r>
        <w:t>4.5.1 Theoretical Model</w:t>
      </w:r>
      <w:bookmarkEnd w:id="44"/>
    </w:p>
    <w:p w:rsidR="002F3B63" w:rsidRPr="00384CCD" w:rsidRDefault="002F3B63" w:rsidP="002F3B63">
      <w:pPr>
        <w:spacing w:line="480" w:lineRule="auto"/>
      </w:pPr>
      <w:r>
        <w:tab/>
        <w:t>As previously discussed there are two options for computing kriged surfaces of non-stationary data. Option one involves OK of residual data (i.e. referred to as RK in section 3.5.4), and option two entails UK of raw data. These two approaches employ different semivariograms to make predictions because the data used to compute them are not the same. This can become confusing and seem as if different semivariogram forms are used for OK as opposed to UK, but the computation of the semivariogram is the same for both methods. Tables 10 and 11 list the parameters (range, nugget, and sill) of the model with the best fit statistics (R</w:t>
      </w:r>
      <w:r w:rsidRPr="007405D9">
        <w:rPr>
          <w:vertAlign w:val="superscript"/>
        </w:rPr>
        <w:t xml:space="preserve">2 </w:t>
      </w:r>
      <w:r>
        <w:t>and NRMSE), and the degree of spatial dependency (DSD) defined as the ratio of the nugget to the sill. These metrics were used to evaluate the goodness of fit of the theoretical models to the empirical semivariograms and to describe the extent of spatial correlation. In this section the “best fit model” describes the model with the highest R</w:t>
      </w:r>
      <w:r w:rsidRPr="006D0EBC">
        <w:rPr>
          <w:vertAlign w:val="superscript"/>
        </w:rPr>
        <w:t>2</w:t>
      </w:r>
      <w:r>
        <w:t xml:space="preserve"> and lowest NRMSE. This signifies the optimal fit of a model to its empirical semivariogram. A true “best” semivariogram model is elusive; therefore, the most appropriate model is determined based on the statistics presented here and the following </w:t>
      </w:r>
      <w:r>
        <w:lastRenderedPageBreak/>
        <w:t xml:space="preserve">section. </w:t>
      </w:r>
      <w:r w:rsidR="00384CCD">
        <w:t xml:space="preserve">The null hypothesis that there will be no spatial structure because the Kang et al. (2014) study was conducted for a nominally homogeneous material was rejected for two of the four BC parameters, </w:t>
      </w:r>
      <w:r w:rsidR="00384CCD" w:rsidRPr="00384CCD">
        <w:rPr>
          <w:i/>
        </w:rPr>
        <w:t>Ѳ</w:t>
      </w:r>
      <w:r w:rsidR="00384CCD" w:rsidRPr="00384CCD">
        <w:rPr>
          <w:i/>
          <w:vertAlign w:val="subscript"/>
        </w:rPr>
        <w:t>s</w:t>
      </w:r>
      <w:r w:rsidR="00384CCD">
        <w:t xml:space="preserve"> and </w:t>
      </w:r>
      <w:r w:rsidR="00384CCD" w:rsidRPr="00384CCD">
        <w:rPr>
          <w:i/>
        </w:rPr>
        <w:t>ψ</w:t>
      </w:r>
      <w:r w:rsidR="00384CCD" w:rsidRPr="00384CCD">
        <w:rPr>
          <w:i/>
          <w:vertAlign w:val="subscript"/>
        </w:rPr>
        <w:t>a</w:t>
      </w:r>
      <w:r w:rsidR="00384CCD">
        <w:t>.</w:t>
      </w:r>
    </w:p>
    <w:p w:rsidR="002F3B63" w:rsidRDefault="002F3B63" w:rsidP="002F3B63">
      <w:pPr>
        <w:spacing w:line="480" w:lineRule="auto"/>
        <w:ind w:firstLine="720"/>
      </w:pPr>
      <w:r>
        <w:t xml:space="preserve">In Table 10 the spherical model had the best fit statistics for all parameters, but was found to significantly fit only </w:t>
      </w:r>
      <w:r w:rsidRPr="00BD05A7">
        <w:rPr>
          <w:i/>
        </w:rPr>
        <w:t>Ѳ</w:t>
      </w:r>
      <w:r w:rsidRPr="00BD05A7">
        <w:rPr>
          <w:i/>
          <w:vertAlign w:val="subscript"/>
        </w:rPr>
        <w:t>s</w:t>
      </w:r>
      <w:r>
        <w:t xml:space="preserve"> and </w:t>
      </w:r>
      <w:r w:rsidRPr="00BD05A7">
        <w:rPr>
          <w:i/>
        </w:rPr>
        <w:t>ψ</w:t>
      </w:r>
      <w:r w:rsidRPr="00BD05A7">
        <w:rPr>
          <w:i/>
          <w:vertAlign w:val="subscript"/>
        </w:rPr>
        <w:t>a</w:t>
      </w:r>
      <w:r>
        <w:t>. The R</w:t>
      </w:r>
      <w:r w:rsidRPr="008E4F7E">
        <w:rPr>
          <w:vertAlign w:val="superscript"/>
        </w:rPr>
        <w:t xml:space="preserve">2 </w:t>
      </w:r>
      <w:r>
        <w:t xml:space="preserve">values for </w:t>
      </w:r>
      <w:r w:rsidRPr="00BD05A7">
        <w:rPr>
          <w:i/>
        </w:rPr>
        <w:t>ψ</w:t>
      </w:r>
      <w:r w:rsidRPr="00BD05A7">
        <w:rPr>
          <w:i/>
          <w:vertAlign w:val="subscript"/>
        </w:rPr>
        <w:t>a</w:t>
      </w:r>
      <w:r>
        <w:rPr>
          <w:i/>
          <w:vertAlign w:val="subscript"/>
        </w:rPr>
        <w:t xml:space="preserve"> </w:t>
      </w:r>
      <w:r>
        <w:t xml:space="preserve">and </w:t>
      </w:r>
      <w:r w:rsidRPr="00BD05A7">
        <w:rPr>
          <w:i/>
        </w:rPr>
        <w:t>Ѳ</w:t>
      </w:r>
      <w:r w:rsidRPr="00BD05A7">
        <w:rPr>
          <w:i/>
          <w:vertAlign w:val="subscript"/>
        </w:rPr>
        <w:t>s</w:t>
      </w:r>
      <w:r>
        <w:t xml:space="preserve"> are 0.884 and 0.784, and NRMSE values are 0.107 and 0.127, respectively. The ranges for </w:t>
      </w:r>
      <w:r w:rsidRPr="007405D9">
        <w:rPr>
          <w:i/>
        </w:rPr>
        <w:t>ψ</w:t>
      </w:r>
      <w:r w:rsidRPr="007405D9">
        <w:rPr>
          <w:i/>
          <w:vertAlign w:val="subscript"/>
        </w:rPr>
        <w:t>a</w:t>
      </w:r>
      <w:r>
        <w:t xml:space="preserve"> (14.8 mm) </w:t>
      </w:r>
      <w:r w:rsidRPr="007405D9">
        <w:t>and</w:t>
      </w:r>
      <w:r>
        <w:t xml:space="preserve"> </w:t>
      </w:r>
      <w:r w:rsidRPr="007405D9">
        <w:rPr>
          <w:i/>
        </w:rPr>
        <w:t>Ѳ</w:t>
      </w:r>
      <w:r w:rsidRPr="007405D9">
        <w:rPr>
          <w:i/>
          <w:vertAlign w:val="subscript"/>
        </w:rPr>
        <w:t>s</w:t>
      </w:r>
      <w:r>
        <w:t xml:space="preserve"> (16.2 mm) were considerably larger than those of </w:t>
      </w:r>
      <w:r w:rsidRPr="007405D9">
        <w:rPr>
          <w:i/>
        </w:rPr>
        <w:t>λ</w:t>
      </w:r>
      <w:r>
        <w:rPr>
          <w:i/>
          <w:vertAlign w:val="subscript"/>
        </w:rPr>
        <w:t xml:space="preserve"> </w:t>
      </w:r>
      <w:r>
        <w:t xml:space="preserve">(8.12) and </w:t>
      </w:r>
      <w:r w:rsidRPr="00BD05A7">
        <w:rPr>
          <w:i/>
        </w:rPr>
        <w:t>Ѳ</w:t>
      </w:r>
      <w:r>
        <w:rPr>
          <w:i/>
          <w:vertAlign w:val="subscript"/>
        </w:rPr>
        <w:t>r</w:t>
      </w:r>
      <w:r>
        <w:t xml:space="preserve"> (0 mm). According to Wei et al. (2007),  the DSD is classified as strong when it is less than 0.25, moderate when it is between 0.25 and 0.75, and weak when it is greater than 0.75. As can be observed in Table 10, the DSD values for </w:t>
      </w:r>
      <w:r w:rsidRPr="00BD05A7">
        <w:rPr>
          <w:i/>
        </w:rPr>
        <w:t>ψ</w:t>
      </w:r>
      <w:r w:rsidRPr="00BD05A7">
        <w:rPr>
          <w:i/>
          <w:vertAlign w:val="subscript"/>
        </w:rPr>
        <w:t>a</w:t>
      </w:r>
      <w:r>
        <w:t xml:space="preserve"> (0.592) and </w:t>
      </w:r>
      <w:r w:rsidRPr="00BD05A7">
        <w:rPr>
          <w:i/>
        </w:rPr>
        <w:t>Ѳ</w:t>
      </w:r>
      <w:r w:rsidRPr="00BD05A7">
        <w:rPr>
          <w:i/>
          <w:vertAlign w:val="subscript"/>
        </w:rPr>
        <w:t>s</w:t>
      </w:r>
      <w:r>
        <w:t xml:space="preserve"> (0.385) indicate moderate spatial dependency, whereas,</w:t>
      </w:r>
      <w:r w:rsidRPr="00AC5E70">
        <w:rPr>
          <w:i/>
        </w:rPr>
        <w:t xml:space="preserve"> </w:t>
      </w:r>
      <w:r w:rsidRPr="00637AB3">
        <w:t>the values for</w:t>
      </w:r>
      <w:r>
        <w:rPr>
          <w:i/>
        </w:rPr>
        <w:t xml:space="preserve"> λ (0.928) </w:t>
      </w:r>
      <w:r>
        <w:t xml:space="preserve">and </w:t>
      </w:r>
      <w:r w:rsidRPr="008206CB">
        <w:rPr>
          <w:i/>
        </w:rPr>
        <w:t>Ѳ</w:t>
      </w:r>
      <w:r w:rsidRPr="008206CB">
        <w:rPr>
          <w:i/>
          <w:vertAlign w:val="subscript"/>
        </w:rPr>
        <w:t>r</w:t>
      </w:r>
      <w:r>
        <w:t xml:space="preserve"> (1.00) indicate little to no spatial dependency. </w:t>
      </w:r>
    </w:p>
    <w:p w:rsidR="002F3B63" w:rsidRDefault="001F468B" w:rsidP="002F3B63">
      <w:pPr>
        <w:spacing w:line="480" w:lineRule="auto"/>
        <w:ind w:firstLine="720"/>
      </w:pPr>
      <w:r>
        <w:t>Figure 9</w:t>
      </w:r>
      <w:r w:rsidR="002F3B63">
        <w:t xml:space="preserve"> shows the residual semivariograms and best fit models for each parameter. The </w:t>
      </w:r>
      <w:r w:rsidR="002F3B63" w:rsidRPr="00016444">
        <w:rPr>
          <w:i/>
        </w:rPr>
        <w:t>ψ</w:t>
      </w:r>
      <w:r w:rsidR="002F3B63" w:rsidRPr="00016444">
        <w:rPr>
          <w:i/>
          <w:vertAlign w:val="subscript"/>
        </w:rPr>
        <w:t>a</w:t>
      </w:r>
      <w:r w:rsidR="002F3B63">
        <w:t xml:space="preserve"> and </w:t>
      </w:r>
      <w:r w:rsidR="002F3B63" w:rsidRPr="00016444">
        <w:rPr>
          <w:i/>
        </w:rPr>
        <w:t>Ѳ</w:t>
      </w:r>
      <w:r w:rsidR="002F3B63">
        <w:rPr>
          <w:i/>
          <w:vertAlign w:val="subscript"/>
        </w:rPr>
        <w:t>s</w:t>
      </w:r>
      <w:r w:rsidR="002F3B63">
        <w:t xml:space="preserve"> display the characteristic curvilinear form of the semivariogram, while </w:t>
      </w:r>
      <w:r w:rsidR="002F3B63">
        <w:rPr>
          <w:i/>
        </w:rPr>
        <w:t xml:space="preserve">λ </w:t>
      </w:r>
      <w:r w:rsidR="002F3B63">
        <w:t xml:space="preserve">and </w:t>
      </w:r>
      <w:r w:rsidR="002F3B63" w:rsidRPr="008206CB">
        <w:rPr>
          <w:i/>
        </w:rPr>
        <w:t>Ѳ</w:t>
      </w:r>
      <w:r w:rsidR="002F3B63" w:rsidRPr="008206CB">
        <w:rPr>
          <w:i/>
          <w:vertAlign w:val="subscript"/>
        </w:rPr>
        <w:t>r</w:t>
      </w:r>
      <w:r w:rsidR="002F3B63">
        <w:t xml:space="preserve"> are sub-linear and linear, respectively. The flat semivariograms of </w:t>
      </w:r>
      <w:r w:rsidR="002F3B63">
        <w:rPr>
          <w:i/>
        </w:rPr>
        <w:t xml:space="preserve">λ </w:t>
      </w:r>
      <w:r w:rsidR="002F3B63">
        <w:t xml:space="preserve">and </w:t>
      </w:r>
      <w:r w:rsidR="002F3B63" w:rsidRPr="008206CB">
        <w:rPr>
          <w:i/>
        </w:rPr>
        <w:t>Ѳ</w:t>
      </w:r>
      <w:r w:rsidR="002F3B63" w:rsidRPr="008206CB">
        <w:rPr>
          <w:i/>
          <w:vertAlign w:val="subscript"/>
        </w:rPr>
        <w:t>r</w:t>
      </w:r>
      <w:r w:rsidR="002F3B63" w:rsidRPr="00F019AD">
        <w:t xml:space="preserve"> </w:t>
      </w:r>
      <w:r w:rsidR="002F3B63">
        <w:t xml:space="preserve">reiterate the DSD results in Table 10. Attempting to perform spatial interpolation with these parameters would be meaningless; therefore, they are interpreted as pure nugget and will not be used to compute kriged maps. Additionally, </w:t>
      </w:r>
      <w:r w:rsidR="002F3B63" w:rsidRPr="00016444">
        <w:rPr>
          <w:i/>
        </w:rPr>
        <w:t>ψ</w:t>
      </w:r>
      <w:r w:rsidR="002F3B63" w:rsidRPr="00016444">
        <w:rPr>
          <w:i/>
          <w:vertAlign w:val="subscript"/>
        </w:rPr>
        <w:t>a</w:t>
      </w:r>
      <w:r w:rsidR="002F3B63">
        <w:t xml:space="preserve"> and </w:t>
      </w:r>
      <w:r w:rsidR="002F3B63" w:rsidRPr="00016444">
        <w:rPr>
          <w:i/>
        </w:rPr>
        <w:t>Ѳ</w:t>
      </w:r>
      <w:r w:rsidR="002F3B63">
        <w:rPr>
          <w:i/>
          <w:vertAlign w:val="subscript"/>
        </w:rPr>
        <w:t>s</w:t>
      </w:r>
      <w:r w:rsidR="002F3B63">
        <w:t xml:space="preserve"> were shown to be spatially correlated and will be employed in the kriging plan. </w:t>
      </w:r>
    </w:p>
    <w:p w:rsidR="002F3B63" w:rsidRDefault="002F3B63" w:rsidP="002F3B63">
      <w:pPr>
        <w:spacing w:line="480" w:lineRule="auto"/>
      </w:pPr>
      <w:r>
        <w:tab/>
        <w:t xml:space="preserve">The results of Table 11 are very similar to those of Table 10 except these data seem to have a higher degree of spatial correlation. This is because when using the residual data much of the redundant (drift related) variability in the empirical semivariogram is removed </w:t>
      </w:r>
      <w:r w:rsidR="00177749">
        <w:fldChar w:fldCharType="begin"/>
      </w:r>
      <w:r>
        <w:instrText xml:space="preserve"> ADDIN ZOTERO_ITEM CSL_CITATION {"citationID":"1mjmlvv3ei","properties":{"formattedCitation":"(Kitanidis, 1997)","plainCitation":"(Kitanidis, 1997)"},"citationItems":[{"id":374,"uris":["http://zotero.org/users/1507390/items/TBMG7EHX"],"uri":["http://zotero.org/users/1507390/items/TBMG7EHX"],"itemData":{"id":374,"type":"book","title":"Introduction to Geostatistics: Applications in Hydrogeology","publisher":"Cambridge University Press","number-of-pages":"274","source":"Google Books","abstract":"Engineers and applied geophysicists routinely encounter interpolation and estimation problems when analysing data from field observations. Introduction to Geostatistics presents practical techniques for the estimation of spatial functions from sparse data. The author's unique approach is a synthesis of classic and geostatistical methods with a focus on the most practical linear minimum-variance estimation methods, and includes suggestions on how to test and extend the applicability of such methods. The author includes many useful methods (often not covered in other geostatistics books) such as estimating variogram parameters, evaluating the need for a variable mean, parameter estimation and model testing in complex cases (e.g. anisotropy, variable mean, and multiple variables), and using information from deterministic mathematical models. Well illustrated with exercises and worked examples taken from hydrogeology, Introduction to Geostatistics assumes no background in statistics and is suitable for graduate-level courses in earth sciences, hydrology, and environmental engineering, and also for self-study.","ISBN":"9780521587471","shortTitle":"Introduction to Geostatistics","language":"en","author":[{"family":"Kitanidis","given":"P. K."}],"issued":{"date-parts":[["1997",5,13]]}}}],"schema":"https://github.com/citation-style-language/schema/raw/master/csl-citation.json"} </w:instrText>
      </w:r>
      <w:r w:rsidR="00177749">
        <w:fldChar w:fldCharType="separate"/>
      </w:r>
      <w:r w:rsidRPr="00F924E4">
        <w:rPr>
          <w:rFonts w:ascii="Cambria" w:hAnsi="Cambria"/>
        </w:rPr>
        <w:t>(Kitanidis, 1997)</w:t>
      </w:r>
      <w:r w:rsidR="00177749">
        <w:fldChar w:fldCharType="end"/>
      </w:r>
      <w:r>
        <w:t xml:space="preserve">. When using the raw data the trend swamps the empirical </w:t>
      </w:r>
      <w:r>
        <w:lastRenderedPageBreak/>
        <w:t xml:space="preserve">semivariogram, making it difficult to infer the true covariance function of the parameter </w:t>
      </w:r>
      <w:r w:rsidR="00177749">
        <w:fldChar w:fldCharType="begin"/>
      </w:r>
      <w:r>
        <w:instrText xml:space="preserve"> ADDIN ZOTERO_ITEM CSL_CITATION {"citationID":"1gg5u8d4hf","properties":{"formattedCitation":"(Kitanidis, 1997)","plainCitation":"(Kitanidis, 1997)"},"citationItems":[{"id":374,"uris":["http://zotero.org/users/1507390/items/TBMG7EHX"],"uri":["http://zotero.org/users/1507390/items/TBMG7EHX"],"itemData":{"id":374,"type":"book","title":"Introduction to Geostatistics: Applications in Hydrogeology","publisher":"Cambridge University Press","number-of-pages":"274","source":"Google Books","abstract":"Engineers and applied geophysicists routinely encounter interpolation and estimation problems when analysing data from field observations. Introduction to Geostatistics presents practical techniques for the estimation of spatial functions from sparse data. The author's unique approach is a synthesis of classic and geostatistical methods with a focus on the most practical linear minimum-variance estimation methods, and includes suggestions on how to test and extend the applicability of such methods. The author includes many useful methods (often not covered in other geostatistics books) such as estimating variogram parameters, evaluating the need for a variable mean, parameter estimation and model testing in complex cases (e.g. anisotropy, variable mean, and multiple variables), and using information from deterministic mathematical models. Well illustrated with exercises and worked examples taken from hydrogeology, Introduction to Geostatistics assumes no background in statistics and is suitable for graduate-level courses in earth sciences, hydrology, and environmental engineering, and also for self-study.","ISBN":"9780521587471","shortTitle":"Introduction to Geostatistics","language":"en","author":[{"family":"Kitanidis","given":"P. K."}],"issued":{"date-parts":[["1997",5,13]]}}}],"schema":"https://github.com/citation-style-language/schema/raw/master/csl-citation.json"} </w:instrText>
      </w:r>
      <w:r w:rsidR="00177749">
        <w:fldChar w:fldCharType="separate"/>
      </w:r>
      <w:r w:rsidRPr="00F924E4">
        <w:rPr>
          <w:rFonts w:ascii="Cambria" w:hAnsi="Cambria"/>
        </w:rPr>
        <w:t>(Kitanidis, 1997)</w:t>
      </w:r>
      <w:r w:rsidR="00177749">
        <w:fldChar w:fldCharType="end"/>
      </w:r>
      <w:r>
        <w:t xml:space="preserve">, consequently some of the trend variability is interpreted as spatial structure. </w:t>
      </w:r>
    </w:p>
    <w:p w:rsidR="002F3B63" w:rsidRDefault="002F3B63" w:rsidP="002F3B63">
      <w:pPr>
        <w:spacing w:line="480" w:lineRule="auto"/>
        <w:ind w:firstLine="720"/>
      </w:pPr>
      <w:r>
        <w:t xml:space="preserve">In Table 11 the spherical model was determined to have the best fit for </w:t>
      </w:r>
      <w:r w:rsidRPr="00B40800">
        <w:rPr>
          <w:i/>
        </w:rPr>
        <w:t>ψ</w:t>
      </w:r>
      <w:r w:rsidRPr="00C96CB7">
        <w:rPr>
          <w:i/>
          <w:vertAlign w:val="subscript"/>
        </w:rPr>
        <w:t>a</w:t>
      </w:r>
      <w:r>
        <w:t xml:space="preserve">, </w:t>
      </w:r>
      <w:r w:rsidRPr="00C96CB7">
        <w:rPr>
          <w:i/>
        </w:rPr>
        <w:t>Ѳ</w:t>
      </w:r>
      <w:r w:rsidRPr="00C96CB7">
        <w:rPr>
          <w:i/>
          <w:vertAlign w:val="subscript"/>
        </w:rPr>
        <w:t>s</w:t>
      </w:r>
      <w:r>
        <w:t xml:space="preserve">, and </w:t>
      </w:r>
      <w:r w:rsidRPr="00B40800">
        <w:rPr>
          <w:i/>
        </w:rPr>
        <w:t>λ</w:t>
      </w:r>
      <w:r>
        <w:t xml:space="preserve">; gstat was unsuccessful at fitting a model to the </w:t>
      </w:r>
      <w:r w:rsidRPr="00B40800">
        <w:rPr>
          <w:i/>
        </w:rPr>
        <w:t>Ѳ</w:t>
      </w:r>
      <w:r w:rsidRPr="00B40800">
        <w:rPr>
          <w:i/>
          <w:vertAlign w:val="subscript"/>
        </w:rPr>
        <w:t>r</w:t>
      </w:r>
      <w:r>
        <w:t xml:space="preserve"> parameter. As seen previously, the spherical model achieved a significant fit for only </w:t>
      </w:r>
      <w:r w:rsidRPr="00A94FF0">
        <w:rPr>
          <w:i/>
        </w:rPr>
        <w:t>ψ</w:t>
      </w:r>
      <w:r w:rsidRPr="00A94FF0">
        <w:rPr>
          <w:i/>
          <w:vertAlign w:val="subscript"/>
        </w:rPr>
        <w:t>a</w:t>
      </w:r>
      <w:r>
        <w:t xml:space="preserve"> and </w:t>
      </w:r>
      <w:r w:rsidRPr="00A94FF0">
        <w:rPr>
          <w:i/>
        </w:rPr>
        <w:t>Ѳ</w:t>
      </w:r>
      <w:r w:rsidRPr="00A94FF0">
        <w:rPr>
          <w:i/>
          <w:vertAlign w:val="subscript"/>
        </w:rPr>
        <w:t>s</w:t>
      </w:r>
      <w:r>
        <w:t>. The R</w:t>
      </w:r>
      <w:r w:rsidRPr="00495FCC">
        <w:rPr>
          <w:vertAlign w:val="superscript"/>
        </w:rPr>
        <w:t>2</w:t>
      </w:r>
      <w:r>
        <w:t xml:space="preserve"> and NRMSE statistics for </w:t>
      </w:r>
      <w:r w:rsidRPr="00A94FF0">
        <w:rPr>
          <w:i/>
        </w:rPr>
        <w:t>ψ</w:t>
      </w:r>
      <w:r w:rsidRPr="00A94FF0">
        <w:rPr>
          <w:i/>
          <w:vertAlign w:val="subscript"/>
        </w:rPr>
        <w:t>a</w:t>
      </w:r>
      <w:r>
        <w:t xml:space="preserve"> (0.833 and 0.121) suffered when using the raw data, but an improvement was observed for </w:t>
      </w:r>
      <w:r w:rsidRPr="00A94FF0">
        <w:rPr>
          <w:i/>
        </w:rPr>
        <w:t>Ѳ</w:t>
      </w:r>
      <w:r w:rsidRPr="00A94FF0">
        <w:rPr>
          <w:i/>
          <w:vertAlign w:val="subscript"/>
        </w:rPr>
        <w:t>s</w:t>
      </w:r>
      <w:r w:rsidRPr="00A94FF0">
        <w:rPr>
          <w:vertAlign w:val="subscript"/>
        </w:rPr>
        <w:t xml:space="preserve"> </w:t>
      </w:r>
      <w:r>
        <w:t xml:space="preserve">(0.859 and 0.107). A decrease in range is apparent for </w:t>
      </w:r>
      <w:r w:rsidRPr="00A94FF0">
        <w:rPr>
          <w:i/>
        </w:rPr>
        <w:t>ψ</w:t>
      </w:r>
      <w:r w:rsidRPr="00A94FF0">
        <w:rPr>
          <w:i/>
          <w:vertAlign w:val="subscript"/>
        </w:rPr>
        <w:t>a</w:t>
      </w:r>
      <w:r>
        <w:t xml:space="preserve"> (12.9 mm), but a slight increase is shown for </w:t>
      </w:r>
      <w:r w:rsidRPr="00A94FF0">
        <w:rPr>
          <w:i/>
        </w:rPr>
        <w:t>Ѳ</w:t>
      </w:r>
      <w:r w:rsidRPr="00A94FF0">
        <w:rPr>
          <w:i/>
          <w:vertAlign w:val="subscript"/>
        </w:rPr>
        <w:t>s</w:t>
      </w:r>
      <w:r>
        <w:t xml:space="preserve"> (16.9 mm) and λ (8.12 mm). The DSD values for </w:t>
      </w:r>
      <w:r w:rsidRPr="00F61501">
        <w:rPr>
          <w:i/>
        </w:rPr>
        <w:t>ψ</w:t>
      </w:r>
      <w:r w:rsidRPr="00F61501">
        <w:rPr>
          <w:i/>
          <w:vertAlign w:val="subscript"/>
        </w:rPr>
        <w:t>a</w:t>
      </w:r>
      <w:r>
        <w:t xml:space="preserve"> (0.336), </w:t>
      </w:r>
      <w:r w:rsidRPr="00F61501">
        <w:rPr>
          <w:i/>
        </w:rPr>
        <w:t>Ѳ</w:t>
      </w:r>
      <w:r w:rsidRPr="00F61501">
        <w:rPr>
          <w:i/>
          <w:vertAlign w:val="subscript"/>
        </w:rPr>
        <w:t>s</w:t>
      </w:r>
      <w:r>
        <w:t xml:space="preserve"> (0.425), and </w:t>
      </w:r>
      <w:r w:rsidRPr="00F61501">
        <w:rPr>
          <w:i/>
        </w:rPr>
        <w:t>λ</w:t>
      </w:r>
      <w:r>
        <w:t xml:space="preserve"> (0.859) improved when using the raw data because the underlying trend is contributing to the spatial variability of the parameters. As before, the DSD for </w:t>
      </w:r>
      <w:r w:rsidRPr="00F61501">
        <w:rPr>
          <w:i/>
        </w:rPr>
        <w:t>Ѳ</w:t>
      </w:r>
      <w:r w:rsidRPr="00F61501">
        <w:rPr>
          <w:i/>
          <w:vertAlign w:val="subscript"/>
        </w:rPr>
        <w:t>r</w:t>
      </w:r>
      <w:r>
        <w:t xml:space="preserve"> was unity, indicating </w:t>
      </w:r>
      <w:r w:rsidR="001F468B">
        <w:t>no spatial correlation. Figure 10</w:t>
      </w:r>
      <w:r>
        <w:t xml:space="preserve"> depicts graphs of</w:t>
      </w:r>
      <w:r w:rsidRPr="00C96CB7">
        <w:rPr>
          <w:i/>
        </w:rPr>
        <w:t xml:space="preserve"> </w:t>
      </w:r>
      <w:r>
        <w:t>the raw semivariograms and best fit models for the</w:t>
      </w:r>
      <w:r w:rsidRPr="00493D79">
        <w:rPr>
          <w:i/>
        </w:rPr>
        <w:t xml:space="preserve"> </w:t>
      </w:r>
      <w:r w:rsidRPr="00B40800">
        <w:rPr>
          <w:i/>
        </w:rPr>
        <w:t>ψ</w:t>
      </w:r>
      <w:r w:rsidRPr="00C96CB7">
        <w:rPr>
          <w:i/>
          <w:vertAlign w:val="subscript"/>
        </w:rPr>
        <w:t>a</w:t>
      </w:r>
      <w:r>
        <w:t xml:space="preserve">, </w:t>
      </w:r>
      <w:r w:rsidRPr="00C96CB7">
        <w:rPr>
          <w:i/>
        </w:rPr>
        <w:t>Ѳ</w:t>
      </w:r>
      <w:r w:rsidRPr="00C96CB7">
        <w:rPr>
          <w:i/>
          <w:vertAlign w:val="subscript"/>
        </w:rPr>
        <w:t>s</w:t>
      </w:r>
      <w:r>
        <w:t xml:space="preserve">, and </w:t>
      </w:r>
      <w:r w:rsidRPr="00B40800">
        <w:rPr>
          <w:i/>
        </w:rPr>
        <w:t>λ</w:t>
      </w:r>
      <w:r>
        <w:t xml:space="preserve"> parameters. These semivariograms repeat the results of the residual semivariogram analyses, demonstrating that </w:t>
      </w:r>
      <w:r w:rsidRPr="00C96CB7">
        <w:rPr>
          <w:i/>
        </w:rPr>
        <w:t>ψ</w:t>
      </w:r>
      <w:r w:rsidRPr="00C96CB7">
        <w:rPr>
          <w:i/>
          <w:vertAlign w:val="subscript"/>
        </w:rPr>
        <w:t>a</w:t>
      </w:r>
      <w:r>
        <w:t xml:space="preserve"> and </w:t>
      </w:r>
      <w:r w:rsidRPr="00C96CB7">
        <w:rPr>
          <w:i/>
        </w:rPr>
        <w:t>Ѳ</w:t>
      </w:r>
      <w:r w:rsidRPr="00C96CB7">
        <w:rPr>
          <w:i/>
          <w:vertAlign w:val="subscript"/>
        </w:rPr>
        <w:t>s</w:t>
      </w:r>
      <w:r>
        <w:t xml:space="preserve"> were spatially dependent while </w:t>
      </w:r>
      <w:r w:rsidRPr="00C96CB7">
        <w:rPr>
          <w:i/>
        </w:rPr>
        <w:t>λ</w:t>
      </w:r>
      <w:r>
        <w:t xml:space="preserve"> and </w:t>
      </w:r>
      <w:r w:rsidRPr="00C96CB7">
        <w:rPr>
          <w:i/>
        </w:rPr>
        <w:t>Ѳ</w:t>
      </w:r>
      <w:r w:rsidRPr="00C96CB7">
        <w:rPr>
          <w:i/>
          <w:vertAlign w:val="subscript"/>
        </w:rPr>
        <w:t>r</w:t>
      </w:r>
      <w:r>
        <w:t xml:space="preserve"> were not. </w:t>
      </w:r>
    </w:p>
    <w:p w:rsidR="002F3B63" w:rsidRPr="00370771" w:rsidRDefault="002F3B63" w:rsidP="002F3B63">
      <w:pPr>
        <w:spacing w:line="480" w:lineRule="auto"/>
      </w:pPr>
      <w:r>
        <w:tab/>
        <w:t xml:space="preserve">Of the six possible relationships between the BC parameters, four were found to be significant and only one of those four was among the spatially correlated parameters, i.e. </w:t>
      </w:r>
      <w:r w:rsidRPr="00C96CB7">
        <w:rPr>
          <w:i/>
        </w:rPr>
        <w:t>ψ</w:t>
      </w:r>
      <w:r w:rsidRPr="00C96CB7">
        <w:rPr>
          <w:i/>
          <w:vertAlign w:val="subscript"/>
        </w:rPr>
        <w:t>a</w:t>
      </w:r>
      <w:r>
        <w:t xml:space="preserve"> versus </w:t>
      </w:r>
      <w:r w:rsidRPr="00C96CB7">
        <w:rPr>
          <w:i/>
        </w:rPr>
        <w:t>Ѳ</w:t>
      </w:r>
      <w:r w:rsidRPr="00C96CB7">
        <w:rPr>
          <w:i/>
          <w:vertAlign w:val="subscript"/>
        </w:rPr>
        <w:t>s</w:t>
      </w:r>
      <w:r>
        <w:t xml:space="preserve">. A cross-variogram was computed using the spatial relationship between </w:t>
      </w:r>
      <w:r w:rsidRPr="00C96CB7">
        <w:rPr>
          <w:i/>
        </w:rPr>
        <w:t>ψ</w:t>
      </w:r>
      <w:r w:rsidRPr="00C96CB7">
        <w:rPr>
          <w:i/>
          <w:vertAlign w:val="subscript"/>
        </w:rPr>
        <w:t>a</w:t>
      </w:r>
      <w:r>
        <w:t xml:space="preserve"> and </w:t>
      </w:r>
      <w:r w:rsidRPr="00C96CB7">
        <w:rPr>
          <w:i/>
        </w:rPr>
        <w:t>Ѳ</w:t>
      </w:r>
      <w:r w:rsidRPr="00C96CB7">
        <w:rPr>
          <w:i/>
          <w:vertAlign w:val="subscript"/>
        </w:rPr>
        <w:t>s</w:t>
      </w:r>
      <w:r>
        <w:t>. The residual variable for each parameter was used during the computation to deal with stationarity. Table 12 lists the parameters of the best fit model and its fit associated statistics. The spherical model was confirmed as the best fit model with an R</w:t>
      </w:r>
      <w:r w:rsidRPr="002D7475">
        <w:rPr>
          <w:vertAlign w:val="superscript"/>
        </w:rPr>
        <w:t>2</w:t>
      </w:r>
      <w:r>
        <w:t xml:space="preserve"> of 0.936 and NRMSE of 7.83e-2. In comparison the R</w:t>
      </w:r>
      <w:r w:rsidRPr="009706F3">
        <w:rPr>
          <w:vertAlign w:val="superscript"/>
        </w:rPr>
        <w:t>2</w:t>
      </w:r>
      <w:r>
        <w:t xml:space="preserve"> and NRMSE for the cross-variogram is much better </w:t>
      </w:r>
      <w:r>
        <w:lastRenderedPageBreak/>
        <w:t xml:space="preserve">than all other semivariogram fits. The range of the cross-variogram is between the individual ranges of each parameters semivariogram. The nugget (-1.17e-3) is very small in comparison the sill (-1.69e-2) resulting in a very low DSD, 6.92e-2. The DSD for the cross-variogram indicates a much higher degree of spatial dependency than any other individual semivariogram. The nugget and sill of the cross-variogram were negative because </w:t>
      </w:r>
      <w:r w:rsidRPr="00C96CB7">
        <w:rPr>
          <w:i/>
        </w:rPr>
        <w:t>ψ</w:t>
      </w:r>
      <w:r w:rsidRPr="00C96CB7">
        <w:rPr>
          <w:i/>
          <w:vertAlign w:val="subscript"/>
        </w:rPr>
        <w:t>a</w:t>
      </w:r>
      <w:r>
        <w:t xml:space="preserve"> and </w:t>
      </w:r>
      <w:r w:rsidRPr="00C96CB7">
        <w:rPr>
          <w:i/>
        </w:rPr>
        <w:t>Ѳ</w:t>
      </w:r>
      <w:r w:rsidRPr="00C96CB7">
        <w:rPr>
          <w:i/>
          <w:vertAlign w:val="subscript"/>
        </w:rPr>
        <w:t>s</w:t>
      </w:r>
      <w:r>
        <w:t xml:space="preserve"> </w:t>
      </w:r>
      <w:r>
        <w:rPr>
          <w:rFonts w:eastAsiaTheme="minorEastAsia"/>
          <w:iCs/>
        </w:rPr>
        <w:t>were negatively correlated (r = -0.44). This indicates that as one parameter increases the other decreases; as a result, kriged maps will dev</w:t>
      </w:r>
      <w:r w:rsidR="001F468B">
        <w:rPr>
          <w:rFonts w:eastAsiaTheme="minorEastAsia"/>
          <w:iCs/>
        </w:rPr>
        <w:t>elop inverse features. Figure 11</w:t>
      </w:r>
      <w:r>
        <w:rPr>
          <w:rFonts w:eastAsiaTheme="minorEastAsia"/>
          <w:iCs/>
        </w:rPr>
        <w:t xml:space="preserve"> shows the cross-variogram of </w:t>
      </w:r>
      <w:r w:rsidRPr="00C96CB7">
        <w:rPr>
          <w:i/>
        </w:rPr>
        <w:t>ψ</w:t>
      </w:r>
      <w:r w:rsidRPr="00C96CB7">
        <w:rPr>
          <w:i/>
          <w:vertAlign w:val="subscript"/>
        </w:rPr>
        <w:t>a</w:t>
      </w:r>
      <w:r>
        <w:t xml:space="preserve"> and </w:t>
      </w:r>
      <w:r w:rsidRPr="00C96CB7">
        <w:rPr>
          <w:i/>
        </w:rPr>
        <w:t>Ѳ</w:t>
      </w:r>
      <w:r w:rsidRPr="00C96CB7">
        <w:rPr>
          <w:i/>
          <w:vertAlign w:val="subscript"/>
        </w:rPr>
        <w:t>s</w:t>
      </w:r>
      <w:r>
        <w:rPr>
          <w:i/>
          <w:vertAlign w:val="subscript"/>
        </w:rPr>
        <w:t xml:space="preserve"> </w:t>
      </w:r>
      <w:r>
        <w:t xml:space="preserve">with the fitted spherical model. The structural variance, the variance between the nugget and sill, is much larger for the cross-variogram than the comparable semivariograms. This higher degree of spatial structure will translate into more accurate kriged predictions later. </w:t>
      </w:r>
    </w:p>
    <w:p w:rsidR="002F3B63" w:rsidRDefault="002F3B63" w:rsidP="002F3B63">
      <w:pPr>
        <w:spacing w:line="480" w:lineRule="auto"/>
      </w:pPr>
      <w:r>
        <w:tab/>
        <w:t>One of the main objectives of this study was to identify spatial structure in the BC parameters using semi/cross-variograms. Early on it was determined that any spatial structure found in the parameters must be a result of</w:t>
      </w:r>
      <w:r w:rsidR="009945D6">
        <w:t xml:space="preserve"> artificial heterogeneity due to measurement error or sample preparation </w:t>
      </w:r>
      <w:r>
        <w:t xml:space="preserve">because the Kang et al. (2014) study was conducted using a </w:t>
      </w:r>
      <w:r w:rsidR="009945D6">
        <w:t xml:space="preserve">nominally </w:t>
      </w:r>
      <w:r>
        <w:t xml:space="preserve">homogeneous material. Considering the results of this section it is evident that the data collection procedure resulted in a moderate degree of spatial dependency for </w:t>
      </w:r>
      <w:r w:rsidRPr="00C96CB7">
        <w:rPr>
          <w:i/>
        </w:rPr>
        <w:t>ψ</w:t>
      </w:r>
      <w:r w:rsidRPr="00C96CB7">
        <w:rPr>
          <w:i/>
          <w:vertAlign w:val="subscript"/>
        </w:rPr>
        <w:t>a</w:t>
      </w:r>
      <w:r>
        <w:t xml:space="preserve"> and </w:t>
      </w:r>
      <w:r w:rsidRPr="00C96CB7">
        <w:rPr>
          <w:i/>
        </w:rPr>
        <w:t>Ѳ</w:t>
      </w:r>
      <w:r w:rsidRPr="00C96CB7">
        <w:rPr>
          <w:i/>
          <w:vertAlign w:val="subscript"/>
        </w:rPr>
        <w:t>s</w:t>
      </w:r>
      <w:r>
        <w:t xml:space="preserve"> and a very small degree of spatial structure for </w:t>
      </w:r>
      <w:r w:rsidRPr="00DA37E0">
        <w:rPr>
          <w:i/>
        </w:rPr>
        <w:t>λ</w:t>
      </w:r>
      <w:r>
        <w:t xml:space="preserve">. From these results </w:t>
      </w:r>
      <w:r w:rsidRPr="00DA37E0">
        <w:rPr>
          <w:i/>
        </w:rPr>
        <w:t>Ѳ</w:t>
      </w:r>
      <w:r w:rsidRPr="00DA37E0">
        <w:rPr>
          <w:i/>
          <w:vertAlign w:val="subscript"/>
        </w:rPr>
        <w:t>r</w:t>
      </w:r>
      <w:r>
        <w:t xml:space="preserve"> seems to be unaffected by the methodology or the degree of spatial structure occurs on a scale smaller than the resolution of the data collection procedure. </w:t>
      </w:r>
    </w:p>
    <w:p w:rsidR="002F3B63" w:rsidRDefault="002F3B63" w:rsidP="002F3B63">
      <w:pPr>
        <w:pStyle w:val="Style3"/>
      </w:pPr>
      <w:bookmarkStart w:id="45" w:name="_Toc425427047"/>
      <w:r>
        <w:lastRenderedPageBreak/>
        <w:t>4.5.2 Cross-validation</w:t>
      </w:r>
      <w:bookmarkEnd w:id="45"/>
      <w:r>
        <w:t xml:space="preserve"> </w:t>
      </w:r>
    </w:p>
    <w:p w:rsidR="002F3B63" w:rsidRDefault="002F3B63" w:rsidP="002F3B63">
      <w:pPr>
        <w:spacing w:line="480" w:lineRule="auto"/>
        <w:ind w:firstLine="720"/>
      </w:pPr>
      <w:r>
        <w:t xml:space="preserve">In an effort to determine which procedural techniques resulted in the sub-core scale heterogeneity evident in the Kang et al. (2014) data, kriged maps will be computed for the spatially dependent parameters, </w:t>
      </w:r>
      <w:r w:rsidRPr="00C96CB7">
        <w:rPr>
          <w:i/>
        </w:rPr>
        <w:t>ψ</w:t>
      </w:r>
      <w:r w:rsidRPr="00C96CB7">
        <w:rPr>
          <w:i/>
          <w:vertAlign w:val="subscript"/>
        </w:rPr>
        <w:t>a</w:t>
      </w:r>
      <w:r>
        <w:t xml:space="preserve"> and </w:t>
      </w:r>
      <w:r w:rsidRPr="00C96CB7">
        <w:rPr>
          <w:i/>
        </w:rPr>
        <w:t>Ѳ</w:t>
      </w:r>
      <w:r w:rsidRPr="00C96CB7">
        <w:rPr>
          <w:i/>
          <w:vertAlign w:val="subscript"/>
        </w:rPr>
        <w:t>s</w:t>
      </w:r>
      <w:r>
        <w:t>.  To ensure the optimal geostatistical model is chosen to compute the final kriged map, leave-one-out cross-validation (CV) was employed. This CV is used to determine how well the kriging estimator, with a particular model, estimates values at unsampled locations.</w:t>
      </w:r>
      <w:r w:rsidRPr="0064202F">
        <w:t xml:space="preserve"> </w:t>
      </w:r>
      <w:r>
        <w:t>In the previous section the most appropriate semivariogram model was chosen based on its fit of the empirical data, now its predictive ability will be tested with different kriging methods. The optimal geostatistical model is a combination of the best model and kriging method. The statistical methods used to compare the CV estimated values to raw data are presented here.</w:t>
      </w:r>
    </w:p>
    <w:p w:rsidR="002F3B63" w:rsidRDefault="002F3B63" w:rsidP="002F3B63">
      <w:pPr>
        <w:spacing w:line="480" w:lineRule="auto"/>
        <w:ind w:firstLine="720"/>
      </w:pPr>
      <w:r>
        <w:t>The one-to-one graph of CV predicted values versus observed values was used to derive r, NRMSE, intercept (a), and slope (b) values to evaluate prediction accuracy. These statistics are given in Tables 13 and 14 for each kriging technique and its best predictive model for</w:t>
      </w:r>
      <w:r w:rsidRPr="00C5392E">
        <w:rPr>
          <w:i/>
        </w:rPr>
        <w:t xml:space="preserve"> </w:t>
      </w:r>
      <w:r w:rsidRPr="00C96CB7">
        <w:rPr>
          <w:i/>
        </w:rPr>
        <w:t>ψ</w:t>
      </w:r>
      <w:r w:rsidRPr="00C96CB7">
        <w:rPr>
          <w:i/>
          <w:vertAlign w:val="subscript"/>
        </w:rPr>
        <w:t>a</w:t>
      </w:r>
      <w:r>
        <w:rPr>
          <w:i/>
          <w:vertAlign w:val="subscript"/>
        </w:rPr>
        <w:t xml:space="preserve"> </w:t>
      </w:r>
      <w:r>
        <w:t xml:space="preserve">and </w:t>
      </w:r>
      <w:r w:rsidRPr="004C3C74">
        <w:rPr>
          <w:i/>
        </w:rPr>
        <w:t>Ѳ</w:t>
      </w:r>
      <w:r w:rsidRPr="004C3C74">
        <w:rPr>
          <w:i/>
          <w:vertAlign w:val="subscript"/>
        </w:rPr>
        <w:t>s</w:t>
      </w:r>
      <w:r>
        <w:t xml:space="preserve">, respectively. For </w:t>
      </w:r>
      <w:r w:rsidRPr="004C3C74">
        <w:rPr>
          <w:i/>
        </w:rPr>
        <w:t>ψ</w:t>
      </w:r>
      <w:r w:rsidRPr="004C3C74">
        <w:rPr>
          <w:i/>
          <w:vertAlign w:val="subscript"/>
        </w:rPr>
        <w:t>a</w:t>
      </w:r>
      <w:r>
        <w:t xml:space="preserve"> (shown in Table 13) the best prediction accuracy was achieved using the spherical model for OK and CK, and the Gaussian model for UK. Of the three kriging methods, CK had the best prediction accuracy with an r of 0.726 and an NRMSE of 0.122. From Table 13, the </w:t>
      </w:r>
      <w:r w:rsidRPr="00977AB3">
        <w:rPr>
          <w:i/>
        </w:rPr>
        <w:t>a</w:t>
      </w:r>
      <w:r>
        <w:t xml:space="preserve"> and </w:t>
      </w:r>
      <w:r w:rsidRPr="00977AB3">
        <w:rPr>
          <w:i/>
        </w:rPr>
        <w:t>b</w:t>
      </w:r>
      <w:r>
        <w:t xml:space="preserve"> values indicate that all kriging methods are overestimating small values and underestimating large values of </w:t>
      </w:r>
      <w:r w:rsidRPr="004C3C74">
        <w:rPr>
          <w:i/>
        </w:rPr>
        <w:t>ψ</w:t>
      </w:r>
      <w:r w:rsidRPr="004C3C74">
        <w:rPr>
          <w:i/>
          <w:vertAlign w:val="subscript"/>
        </w:rPr>
        <w:t>a</w:t>
      </w:r>
      <w:r w:rsidR="001F468B">
        <w:t>. This is evident in Figure 12</w:t>
      </w:r>
      <w:r>
        <w:t xml:space="preserve"> by comparing the one-to-one graph of the CK method to the theoretical one-to-one line of correlation. </w:t>
      </w:r>
    </w:p>
    <w:p w:rsidR="002F3B63" w:rsidRDefault="002F3B63" w:rsidP="002F3B63">
      <w:pPr>
        <w:spacing w:line="480" w:lineRule="auto"/>
        <w:ind w:firstLine="720"/>
      </w:pPr>
      <w:r>
        <w:lastRenderedPageBreak/>
        <w:t xml:space="preserve">Table 14 shows all kriging methods achieved the best prediction accuracy using the spherical model for </w:t>
      </w:r>
      <w:r w:rsidRPr="004C3C74">
        <w:rPr>
          <w:i/>
        </w:rPr>
        <w:t>Ѳ</w:t>
      </w:r>
      <w:r w:rsidRPr="004C3C74">
        <w:rPr>
          <w:i/>
          <w:vertAlign w:val="subscript"/>
        </w:rPr>
        <w:t>s</w:t>
      </w:r>
      <w:r>
        <w:t xml:space="preserve">. As with </w:t>
      </w:r>
      <w:r w:rsidRPr="00C96CB7">
        <w:rPr>
          <w:i/>
        </w:rPr>
        <w:t>ψ</w:t>
      </w:r>
      <w:r w:rsidRPr="00C96CB7">
        <w:rPr>
          <w:i/>
          <w:vertAlign w:val="subscript"/>
        </w:rPr>
        <w:t>a</w:t>
      </w:r>
      <w:r>
        <w:t>, CK achieved the best prediction accuracy</w:t>
      </w:r>
      <w:r w:rsidRPr="004C3C74">
        <w:t xml:space="preserve"> with</w:t>
      </w:r>
      <w:r>
        <w:t xml:space="preserve"> an r of 0.573 and an NRMSE of 0.146. Comparing the r and NRMSE values between </w:t>
      </w:r>
      <w:r w:rsidRPr="00493D79">
        <w:rPr>
          <w:i/>
        </w:rPr>
        <w:t>ψ</w:t>
      </w:r>
      <w:r w:rsidRPr="00493D79">
        <w:rPr>
          <w:i/>
          <w:vertAlign w:val="subscript"/>
        </w:rPr>
        <w:t>a</w:t>
      </w:r>
      <w:r>
        <w:t xml:space="preserve"> and </w:t>
      </w:r>
      <w:r w:rsidRPr="00493D79">
        <w:rPr>
          <w:i/>
        </w:rPr>
        <w:t>Ѳ</w:t>
      </w:r>
      <w:r w:rsidRPr="00493D79">
        <w:rPr>
          <w:i/>
          <w:vertAlign w:val="subscript"/>
        </w:rPr>
        <w:t>s</w:t>
      </w:r>
      <w:r>
        <w:t xml:space="preserve"> it is clear that more accurate predictions were obtained for </w:t>
      </w:r>
      <w:r w:rsidRPr="00493D79">
        <w:rPr>
          <w:i/>
        </w:rPr>
        <w:t>ψ</w:t>
      </w:r>
      <w:r w:rsidRPr="00493D79">
        <w:rPr>
          <w:i/>
          <w:vertAlign w:val="subscript"/>
        </w:rPr>
        <w:t>a</w:t>
      </w:r>
      <w:r>
        <w:t xml:space="preserve">. All kriging methods for the </w:t>
      </w:r>
      <w:r w:rsidRPr="004C3C74">
        <w:rPr>
          <w:i/>
        </w:rPr>
        <w:t>Ѳ</w:t>
      </w:r>
      <w:r w:rsidRPr="004C3C74">
        <w:rPr>
          <w:i/>
          <w:vertAlign w:val="subscript"/>
        </w:rPr>
        <w:t>s</w:t>
      </w:r>
      <w:r>
        <w:t xml:space="preserve"> parameter overestimated small values and </w:t>
      </w:r>
      <w:r w:rsidRPr="004D748F">
        <w:t>underestimate</w:t>
      </w:r>
      <w:r>
        <w:t>d</w:t>
      </w:r>
      <w:r w:rsidRPr="004D748F">
        <w:t xml:space="preserve"> large values, as shown by a and b</w:t>
      </w:r>
      <w:r>
        <w:t xml:space="preserve"> coe</w:t>
      </w:r>
      <w:r w:rsidR="001F468B">
        <w:t>fficients in Table 14. Figure 13</w:t>
      </w:r>
      <w:r w:rsidRPr="004D748F">
        <w:t xml:space="preserve"> illustrates these results by comparing the one-to-one graph for each kriging method to the theoretical one-to-one line</w:t>
      </w:r>
      <w:r>
        <w:t xml:space="preserve"> for </w:t>
      </w:r>
      <w:r w:rsidRPr="00134550">
        <w:rPr>
          <w:i/>
        </w:rPr>
        <w:t>Ѳ</w:t>
      </w:r>
      <w:r w:rsidRPr="00134550">
        <w:rPr>
          <w:i/>
          <w:vertAlign w:val="subscript"/>
        </w:rPr>
        <w:t>s</w:t>
      </w:r>
      <w:r w:rsidRPr="004D748F">
        <w:t>.</w:t>
      </w:r>
      <w:r>
        <w:t xml:space="preserve"> </w:t>
      </w:r>
    </w:p>
    <w:p w:rsidR="002F3B63" w:rsidRDefault="002F3B63" w:rsidP="002F3B63">
      <w:pPr>
        <w:spacing w:line="480" w:lineRule="auto"/>
        <w:ind w:firstLine="720"/>
      </w:pPr>
      <w:r>
        <w:t xml:space="preserve">A separate test of prediction accuracy was conducted, and the results are given in Tables 15 and 16 for </w:t>
      </w:r>
      <w:r w:rsidRPr="00631A59">
        <w:rPr>
          <w:i/>
        </w:rPr>
        <w:t>ψ</w:t>
      </w:r>
      <w:r w:rsidRPr="00631A59">
        <w:rPr>
          <w:i/>
          <w:vertAlign w:val="subscript"/>
        </w:rPr>
        <w:t>a</w:t>
      </w:r>
      <w:r>
        <w:t xml:space="preserve"> and </w:t>
      </w:r>
      <w:r w:rsidRPr="00631A59">
        <w:rPr>
          <w:i/>
        </w:rPr>
        <w:t>Ѳ</w:t>
      </w:r>
      <w:r w:rsidRPr="00631A59">
        <w:rPr>
          <w:i/>
          <w:vertAlign w:val="subscript"/>
        </w:rPr>
        <w:t>s</w:t>
      </w:r>
      <w:r>
        <w:t>, respectively. In these tables the “Best Prediction” column indicates the number of times the CV estimated value by a certain kriging method was closer than its competitors when estimating one of the 115 experimental data points.  Percent prediction accuracy (%PA) was calculated based of the “Best Prediction” column. Table 15 shows that CK was clearly superior to the other interpolators, making the best prediction 49% of the time.  These results support the data presented in Table 13 for</w:t>
      </w:r>
      <w:r w:rsidRPr="00A76AC4">
        <w:rPr>
          <w:i/>
        </w:rPr>
        <w:t xml:space="preserve"> </w:t>
      </w:r>
      <w:r w:rsidRPr="00631A59">
        <w:rPr>
          <w:i/>
        </w:rPr>
        <w:t>ψ</w:t>
      </w:r>
      <w:r w:rsidRPr="00631A59">
        <w:rPr>
          <w:i/>
          <w:vertAlign w:val="subscript"/>
        </w:rPr>
        <w:t>a</w:t>
      </w:r>
      <w:r>
        <w:t xml:space="preserve">. As can be seen in Table 16, CK was also shown to be the best interpolator, but only by the narrowest of margins (1%). CK made the best prediction 41% of the time, whereas, UK was only slightly less accurate with 40%. The results presented here support the results given in Table 14 for </w:t>
      </w:r>
      <w:r w:rsidRPr="00134550">
        <w:rPr>
          <w:i/>
        </w:rPr>
        <w:t>Ѳ</w:t>
      </w:r>
      <w:r w:rsidRPr="00134550">
        <w:rPr>
          <w:i/>
          <w:vertAlign w:val="subscript"/>
        </w:rPr>
        <w:t>s</w:t>
      </w:r>
      <w:r>
        <w:t xml:space="preserve">. </w:t>
      </w:r>
    </w:p>
    <w:p w:rsidR="002F3B63" w:rsidRDefault="002F3B63" w:rsidP="002F3B63">
      <w:pPr>
        <w:spacing w:line="480" w:lineRule="auto"/>
      </w:pPr>
      <w:r>
        <w:tab/>
        <w:t xml:space="preserve">From the information provided thus far the optimal geostatistical model consists of both the spherical model and CK form for </w:t>
      </w:r>
      <w:r w:rsidRPr="00631A59">
        <w:rPr>
          <w:i/>
        </w:rPr>
        <w:t>ψ</w:t>
      </w:r>
      <w:r w:rsidRPr="00631A59">
        <w:rPr>
          <w:i/>
          <w:vertAlign w:val="subscript"/>
        </w:rPr>
        <w:t>a</w:t>
      </w:r>
      <w:r>
        <w:t xml:space="preserve"> and </w:t>
      </w:r>
      <w:r w:rsidRPr="00631A59">
        <w:rPr>
          <w:i/>
        </w:rPr>
        <w:t>Ѳ</w:t>
      </w:r>
      <w:r w:rsidRPr="00631A59">
        <w:rPr>
          <w:i/>
          <w:vertAlign w:val="subscript"/>
        </w:rPr>
        <w:t>s</w:t>
      </w:r>
      <w:r>
        <w:t xml:space="preserve">. As stated by Goovaerts (1997) there is no “best” semivariogram model; as a result, the user should determine the model based on the information available and the objective to be accomplished. In this study the most </w:t>
      </w:r>
      <w:r>
        <w:lastRenderedPageBreak/>
        <w:t>appropriate semivariogram model and kriging form were chosen based on the information put forth in the previous section and the CV results provided here. Now that the optimal geostatistical model (both semivariogram model and kriging form) has been chosen, kriged maps of the spatially dependent parameters,</w:t>
      </w:r>
      <w:r w:rsidRPr="0035453E">
        <w:rPr>
          <w:i/>
        </w:rPr>
        <w:t xml:space="preserve"> </w:t>
      </w:r>
      <w:r w:rsidRPr="00631A59">
        <w:rPr>
          <w:i/>
        </w:rPr>
        <w:t>ψ</w:t>
      </w:r>
      <w:r w:rsidRPr="00631A59">
        <w:rPr>
          <w:i/>
          <w:vertAlign w:val="subscript"/>
        </w:rPr>
        <w:t>a</w:t>
      </w:r>
      <w:r>
        <w:t xml:space="preserve"> and </w:t>
      </w:r>
      <w:r w:rsidRPr="00631A59">
        <w:rPr>
          <w:i/>
        </w:rPr>
        <w:t>Ѳ</w:t>
      </w:r>
      <w:r w:rsidRPr="00631A59">
        <w:rPr>
          <w:i/>
          <w:vertAlign w:val="subscript"/>
        </w:rPr>
        <w:t>s</w:t>
      </w:r>
      <w:r>
        <w:t xml:space="preserve">, can be computed with confidence. </w:t>
      </w:r>
    </w:p>
    <w:p w:rsidR="002F3B63" w:rsidRDefault="002F3B63" w:rsidP="002F3B63">
      <w:pPr>
        <w:pStyle w:val="Style3"/>
      </w:pPr>
      <w:bookmarkStart w:id="46" w:name="_Toc425427048"/>
      <w:r>
        <w:t>4.5.3 Kriging</w:t>
      </w:r>
      <w:bookmarkEnd w:id="46"/>
      <w:r>
        <w:t xml:space="preserve"> </w:t>
      </w:r>
    </w:p>
    <w:p w:rsidR="00384CCD" w:rsidRDefault="002F3B63" w:rsidP="00EA1404">
      <w:pPr>
        <w:spacing w:after="0" w:line="480" w:lineRule="auto"/>
        <w:ind w:firstLine="720"/>
      </w:pPr>
      <w:r>
        <w:tab/>
        <w:t xml:space="preserve">Up to this point speculations have been made as to the principal causes of spatial dependency in </w:t>
      </w:r>
      <w:r w:rsidRPr="00631A59">
        <w:rPr>
          <w:i/>
        </w:rPr>
        <w:t>ψ</w:t>
      </w:r>
      <w:r w:rsidRPr="00631A59">
        <w:rPr>
          <w:i/>
          <w:vertAlign w:val="subscript"/>
        </w:rPr>
        <w:t>a</w:t>
      </w:r>
      <w:r>
        <w:t xml:space="preserve"> and </w:t>
      </w:r>
      <w:r w:rsidRPr="00631A59">
        <w:rPr>
          <w:i/>
        </w:rPr>
        <w:t>Ѳ</w:t>
      </w:r>
      <w:r w:rsidRPr="00631A59">
        <w:rPr>
          <w:i/>
          <w:vertAlign w:val="subscript"/>
        </w:rPr>
        <w:t>s</w:t>
      </w:r>
      <w:r>
        <w:t>. Now an in depth look at the spatial structure of the parameters can be made using the final kriged maps given in Figure 1</w:t>
      </w:r>
      <w:r w:rsidR="001F468B">
        <w:t>4</w:t>
      </w:r>
      <w:r>
        <w:t xml:space="preserve">. Starting with </w:t>
      </w:r>
      <w:r w:rsidRPr="00631A59">
        <w:rPr>
          <w:i/>
        </w:rPr>
        <w:t>ψ</w:t>
      </w:r>
      <w:r w:rsidRPr="00631A59">
        <w:rPr>
          <w:i/>
          <w:vertAlign w:val="subscript"/>
        </w:rPr>
        <w:t>a</w:t>
      </w:r>
      <w:r>
        <w:t xml:space="preserve">, a layer of low values is shown at the top of the column. Possible causes of this include packing and </w:t>
      </w:r>
      <w:r w:rsidR="002E3D81">
        <w:t>compressive stress imposed by the weight of the overlying material</w:t>
      </w:r>
      <w:r w:rsidR="002C1F17">
        <w:t xml:space="preserve"> in the sand column</w:t>
      </w:r>
      <w:r>
        <w:t xml:space="preserve">. During the packing process sand is incrementally added to the column in order to minimize its impact on fluid movement. Inevitably unnatural alterations are made to the sand pack which can cause </w:t>
      </w:r>
      <w:r w:rsidR="002E3D81">
        <w:t>method</w:t>
      </w:r>
      <w:r w:rsidR="002C1F17">
        <w:t>-</w:t>
      </w:r>
      <w:r w:rsidR="002E3D81">
        <w:t xml:space="preserve">based </w:t>
      </w:r>
      <w:r>
        <w:t xml:space="preserve">heterogeneity in a </w:t>
      </w:r>
      <w:r w:rsidR="002E3D81">
        <w:t xml:space="preserve">nominally </w:t>
      </w:r>
      <w:r>
        <w:t xml:space="preserve">homogeneous material. With each addition of sand, larger particles have the potential to move to the top resulting in a layer of low </w:t>
      </w:r>
      <w:r w:rsidRPr="00631A59">
        <w:rPr>
          <w:i/>
        </w:rPr>
        <w:t>ψ</w:t>
      </w:r>
      <w:r w:rsidRPr="00631A59">
        <w:rPr>
          <w:i/>
          <w:vertAlign w:val="subscript"/>
        </w:rPr>
        <w:t>a</w:t>
      </w:r>
      <w:r>
        <w:t xml:space="preserve"> values. In the kriged map of </w:t>
      </w:r>
      <w:r w:rsidRPr="00631A59">
        <w:rPr>
          <w:i/>
        </w:rPr>
        <w:t>ψ</w:t>
      </w:r>
      <w:r w:rsidRPr="00631A59">
        <w:rPr>
          <w:i/>
          <w:vertAlign w:val="subscript"/>
        </w:rPr>
        <w:t>a</w:t>
      </w:r>
      <w:r>
        <w:t xml:space="preserve"> this is only shown to have occurred at the top of the column. Otherwise layering would </w:t>
      </w:r>
      <w:r w:rsidR="00031ED7">
        <w:t xml:space="preserve">be </w:t>
      </w:r>
      <w:r>
        <w:t>evident throughout the sand column. Also, in general material will be looser and less compact at the top of the column because the grains are be</w:t>
      </w:r>
      <w:r w:rsidR="002E3D81">
        <w:t>ing subjected to less compressive stress</w:t>
      </w:r>
      <w:r>
        <w:t xml:space="preserve">. A second feature in the kriged map of </w:t>
      </w:r>
      <w:r w:rsidRPr="00631A59">
        <w:rPr>
          <w:i/>
        </w:rPr>
        <w:t>ψ</w:t>
      </w:r>
      <w:r w:rsidRPr="00631A59">
        <w:rPr>
          <w:i/>
          <w:vertAlign w:val="subscript"/>
        </w:rPr>
        <w:t>a</w:t>
      </w:r>
      <w:r>
        <w:t xml:space="preserve"> that is obvious is a large region of high values at the bottom of the column. Compaction of sand due to </w:t>
      </w:r>
      <w:r w:rsidR="002E3D81">
        <w:t>compressive stress</w:t>
      </w:r>
      <w:r>
        <w:t xml:space="preserve"> is an intuitive explanation for these high values. As more material is added to the column</w:t>
      </w:r>
      <w:r w:rsidR="00EA1404">
        <w:t xml:space="preserve"> during packing</w:t>
      </w:r>
      <w:r>
        <w:t xml:space="preserve"> the weight of the overlying sand increases causing compaction. Greater compaction results </w:t>
      </w:r>
      <w:r>
        <w:lastRenderedPageBreak/>
        <w:t>in larger capillary pressures need</w:t>
      </w:r>
      <w:r w:rsidR="00D171AE">
        <w:t>ed</w:t>
      </w:r>
      <w:r>
        <w:t xml:space="preserve"> to drain pores. </w:t>
      </w:r>
      <w:r w:rsidR="00EA1404">
        <w:t xml:space="preserve">The features found in the kriged map of </w:t>
      </w:r>
      <w:r w:rsidR="00EA1404" w:rsidRPr="00EA1404">
        <w:rPr>
          <w:i/>
        </w:rPr>
        <w:t>ψ</w:t>
      </w:r>
      <w:r w:rsidR="00EA1404" w:rsidRPr="00EA1404">
        <w:rPr>
          <w:i/>
          <w:vertAlign w:val="subscript"/>
        </w:rPr>
        <w:t>a</w:t>
      </w:r>
      <w:r w:rsidR="00EA1404">
        <w:t xml:space="preserve"> are a result of inconsistency in core packing; therefore, the alternative hypothesis can be accepted for this parameter. </w:t>
      </w:r>
    </w:p>
    <w:p w:rsidR="002F3B63" w:rsidRPr="00F207BC" w:rsidRDefault="002F3B63" w:rsidP="00D2228E">
      <w:pPr>
        <w:spacing w:line="480" w:lineRule="auto"/>
        <w:ind w:firstLine="720"/>
      </w:pPr>
      <w:r>
        <w:t xml:space="preserve">The most obvious feature in the kriged map of </w:t>
      </w:r>
      <w:r w:rsidRPr="00631A59">
        <w:rPr>
          <w:i/>
        </w:rPr>
        <w:t>ψ</w:t>
      </w:r>
      <w:r w:rsidRPr="00631A59">
        <w:rPr>
          <w:i/>
          <w:vertAlign w:val="subscript"/>
        </w:rPr>
        <w:t>a</w:t>
      </w:r>
      <w:r>
        <w:t xml:space="preserve"> is the zone of low values in its center. A physical process cannot be used to explain this observation; therefore, the relationship between </w:t>
      </w:r>
      <w:r w:rsidRPr="00631A59">
        <w:rPr>
          <w:i/>
        </w:rPr>
        <w:t>ψ</w:t>
      </w:r>
      <w:r w:rsidRPr="00631A59">
        <w:rPr>
          <w:i/>
          <w:vertAlign w:val="subscript"/>
        </w:rPr>
        <w:t>a</w:t>
      </w:r>
      <w:r>
        <w:t xml:space="preserve"> and </w:t>
      </w:r>
      <w:r w:rsidRPr="00631A59">
        <w:rPr>
          <w:i/>
        </w:rPr>
        <w:t>Ѳ</w:t>
      </w:r>
      <w:r w:rsidRPr="00631A59">
        <w:rPr>
          <w:i/>
          <w:vertAlign w:val="subscript"/>
        </w:rPr>
        <w:t>s</w:t>
      </w:r>
      <w:r>
        <w:t xml:space="preserve"> is used to propose an answer. The scatter diagram comparing </w:t>
      </w:r>
      <w:r w:rsidRPr="00631A59">
        <w:rPr>
          <w:i/>
        </w:rPr>
        <w:t>ψ</w:t>
      </w:r>
      <w:r w:rsidRPr="00631A59">
        <w:rPr>
          <w:i/>
          <w:vertAlign w:val="subscript"/>
        </w:rPr>
        <w:t>a</w:t>
      </w:r>
      <w:r>
        <w:t xml:space="preserve"> and </w:t>
      </w:r>
      <w:r w:rsidRPr="00631A59">
        <w:rPr>
          <w:i/>
        </w:rPr>
        <w:t>Ѳ</w:t>
      </w:r>
      <w:r w:rsidRPr="00631A59">
        <w:rPr>
          <w:i/>
          <w:vertAlign w:val="subscript"/>
        </w:rPr>
        <w:t>s</w:t>
      </w:r>
      <w:r w:rsidR="001F468B">
        <w:t xml:space="preserve"> (Figure 5</w:t>
      </w:r>
      <w:r>
        <w:t xml:space="preserve">a) revealed a significant negative (r = -0.44 **) correlation between these parameters. The </w:t>
      </w:r>
      <w:r w:rsidRPr="00631A59">
        <w:rPr>
          <w:i/>
        </w:rPr>
        <w:t>ψ</w:t>
      </w:r>
      <w:r w:rsidRPr="00631A59">
        <w:rPr>
          <w:i/>
          <w:vertAlign w:val="subscript"/>
        </w:rPr>
        <w:t>a</w:t>
      </w:r>
      <w:r w:rsidR="00E03851">
        <w:t xml:space="preserve"> </w:t>
      </w:r>
      <w:r w:rsidR="004E1A67">
        <w:t>value represents the pre</w:t>
      </w:r>
      <w:r w:rsidR="00705F10">
        <w:t>ssure at which the large</w:t>
      </w:r>
      <w:r w:rsidR="00C12747">
        <w:t xml:space="preserve">st pore throats begin to drain. </w:t>
      </w:r>
      <w:r w:rsidR="001404D4">
        <w:t>When</w:t>
      </w:r>
      <w:r w:rsidR="00B85D7B">
        <w:t xml:space="preserve"> compaction occurs</w:t>
      </w:r>
      <w:r w:rsidR="00816E61">
        <w:t xml:space="preserve"> both</w:t>
      </w:r>
      <w:r w:rsidR="00B85D7B">
        <w:t xml:space="preserve"> the porosity and </w:t>
      </w:r>
      <w:r w:rsidR="00816E61">
        <w:t>the size of the largest pore throats are affected</w:t>
      </w:r>
      <w:r w:rsidR="00B85D7B">
        <w:t xml:space="preserve">. </w:t>
      </w:r>
      <w:r w:rsidR="001433DF">
        <w:t>During compaction porosity decreases and the largest pore throats disappear preferentially. A decrease in porosity results in a</w:t>
      </w:r>
      <w:r w:rsidR="00816E61">
        <w:t xml:space="preserve"> reduction in the size of the largest pore throats</w:t>
      </w:r>
      <w:r w:rsidR="001433DF">
        <w:t xml:space="preserve"> and </w:t>
      </w:r>
      <w:r w:rsidR="00816E61">
        <w:t xml:space="preserve">a corresponding </w:t>
      </w:r>
      <w:r w:rsidR="001433DF">
        <w:t>increase in</w:t>
      </w:r>
      <w:r w:rsidR="00816E61">
        <w:t xml:space="preserve"> the</w:t>
      </w:r>
      <w:r w:rsidR="001433DF">
        <w:t xml:space="preserve"> </w:t>
      </w:r>
      <w:r w:rsidR="001433DF" w:rsidRPr="00631A59">
        <w:rPr>
          <w:i/>
        </w:rPr>
        <w:t>ψ</w:t>
      </w:r>
      <w:r w:rsidR="001433DF" w:rsidRPr="00631A59">
        <w:rPr>
          <w:i/>
          <w:vertAlign w:val="subscript"/>
        </w:rPr>
        <w:t>a</w:t>
      </w:r>
      <w:r w:rsidR="00D2228E">
        <w:t xml:space="preserve"> value; therefore</w:t>
      </w:r>
      <w:r w:rsidR="00816E61">
        <w:t>,</w:t>
      </w:r>
      <w:r w:rsidR="00D2228E">
        <w:t xml:space="preserve"> </w:t>
      </w:r>
      <w:r w:rsidR="00D2228E" w:rsidRPr="00631A59">
        <w:rPr>
          <w:i/>
        </w:rPr>
        <w:t>ψ</w:t>
      </w:r>
      <w:r w:rsidR="00D2228E" w:rsidRPr="00631A59">
        <w:rPr>
          <w:i/>
          <w:vertAlign w:val="subscript"/>
        </w:rPr>
        <w:t>a</w:t>
      </w:r>
      <w:r w:rsidR="00D2228E">
        <w:t xml:space="preserve"> is inversely related to porosity.  </w:t>
      </w:r>
      <w:r w:rsidR="001433DF">
        <w:t>Since</w:t>
      </w:r>
      <w:r w:rsidR="00D2228E" w:rsidRPr="00D2228E">
        <w:rPr>
          <w:i/>
        </w:rPr>
        <w:t xml:space="preserve"> </w:t>
      </w:r>
      <w:r w:rsidR="00D2228E" w:rsidRPr="00631A59">
        <w:rPr>
          <w:i/>
        </w:rPr>
        <w:t>Ѳ</w:t>
      </w:r>
      <w:r w:rsidR="00D2228E" w:rsidRPr="00631A59">
        <w:rPr>
          <w:i/>
          <w:vertAlign w:val="subscript"/>
        </w:rPr>
        <w:t>s</w:t>
      </w:r>
      <w:r w:rsidR="00D2228E">
        <w:t xml:space="preserve"> is</w:t>
      </w:r>
      <w:r w:rsidR="001433DF">
        <w:t xml:space="preserve"> essentially a measure of porosity</w:t>
      </w:r>
      <w:r w:rsidR="00D2228E">
        <w:t>,</w:t>
      </w:r>
      <w:r w:rsidR="001433DF">
        <w:t xml:space="preserve"> </w:t>
      </w:r>
      <w:r w:rsidR="00D2228E">
        <w:t>a</w:t>
      </w:r>
      <w:r>
        <w:t xml:space="preserve">n explanation of the features in the kriged map of </w:t>
      </w:r>
      <w:r w:rsidRPr="00631A59">
        <w:rPr>
          <w:i/>
        </w:rPr>
        <w:t>Ѳ</w:t>
      </w:r>
      <w:r w:rsidRPr="00631A59">
        <w:rPr>
          <w:i/>
          <w:vertAlign w:val="subscript"/>
        </w:rPr>
        <w:t>s</w:t>
      </w:r>
      <w:r>
        <w:t xml:space="preserve"> will provide an answer for the concentration of low </w:t>
      </w:r>
      <w:r w:rsidRPr="00631A59">
        <w:rPr>
          <w:i/>
        </w:rPr>
        <w:t>ψ</w:t>
      </w:r>
      <w:r w:rsidRPr="00631A59">
        <w:rPr>
          <w:i/>
          <w:vertAlign w:val="subscript"/>
        </w:rPr>
        <w:t>a</w:t>
      </w:r>
      <w:r>
        <w:t xml:space="preserve"> values in the center of its kriged map. </w:t>
      </w:r>
    </w:p>
    <w:p w:rsidR="002F3B63" w:rsidRDefault="002F3B63" w:rsidP="002F3B63">
      <w:pPr>
        <w:spacing w:line="480" w:lineRule="auto"/>
        <w:ind w:firstLine="720"/>
        <w:rPr>
          <w:i/>
          <w:vertAlign w:val="subscript"/>
        </w:rPr>
      </w:pPr>
      <w:r>
        <w:t xml:space="preserve">Looking at the kriged map for </w:t>
      </w:r>
      <w:r w:rsidRPr="00631A59">
        <w:rPr>
          <w:i/>
        </w:rPr>
        <w:t>Ѳ</w:t>
      </w:r>
      <w:r w:rsidRPr="00631A59">
        <w:rPr>
          <w:i/>
          <w:vertAlign w:val="subscript"/>
        </w:rPr>
        <w:t>s</w:t>
      </w:r>
      <w:r>
        <w:t>, a central tendency of high values is evident, with a hot spot of large values in the</w:t>
      </w:r>
      <w:r w:rsidR="001F468B">
        <w:t xml:space="preserve"> center of the column (Figure 14</w:t>
      </w:r>
      <w:r>
        <w:t xml:space="preserve">b). This is the inverse of the kriged map of </w:t>
      </w:r>
      <w:r w:rsidRPr="00631A59">
        <w:rPr>
          <w:i/>
        </w:rPr>
        <w:t>ψ</w:t>
      </w:r>
      <w:r w:rsidRPr="00631A59">
        <w:rPr>
          <w:i/>
          <w:vertAlign w:val="subscript"/>
        </w:rPr>
        <w:t>a</w:t>
      </w:r>
      <w:r w:rsidR="001F468B">
        <w:t xml:space="preserve"> (Figure 14</w:t>
      </w:r>
      <w:r>
        <w:t xml:space="preserve">a). The central tendency of high values mimics the cylindrical shape of the aluminum column used to contain the sand pack. The shape of the trend suggests that the image analysis process may have contributed to the spatial structure in </w:t>
      </w:r>
      <w:r w:rsidRPr="00631A59">
        <w:rPr>
          <w:i/>
        </w:rPr>
        <w:t>Ѳ</w:t>
      </w:r>
      <w:r w:rsidRPr="00631A59">
        <w:rPr>
          <w:i/>
          <w:vertAlign w:val="subscript"/>
        </w:rPr>
        <w:t>s</w:t>
      </w:r>
      <w:r>
        <w:t xml:space="preserve">. Before point values of volumetric water content were calculated and paired with capillary pressures to compute water retention curves, a normalization process was performed on the raw neutron radiographs. This normalization process was done to </w:t>
      </w:r>
      <w:r>
        <w:lastRenderedPageBreak/>
        <w:t xml:space="preserve">remove the variable path lengths associated with the cylindrical column shape. The fact that a central tendency is still apparent in the kriged map of </w:t>
      </w:r>
      <w:r w:rsidRPr="00E12B1D">
        <w:rPr>
          <w:i/>
        </w:rPr>
        <w:t>Ѳ</w:t>
      </w:r>
      <w:r w:rsidRPr="00E12B1D">
        <w:rPr>
          <w:i/>
          <w:vertAlign w:val="subscript"/>
        </w:rPr>
        <w:t>s</w:t>
      </w:r>
      <w:r>
        <w:t xml:space="preserve"> suggests that this normalization procedure was not 100% in removing the effects of different path lengths. </w:t>
      </w:r>
    </w:p>
    <w:p w:rsidR="002F3B63" w:rsidRDefault="002F3B63" w:rsidP="002F3B63">
      <w:pPr>
        <w:spacing w:line="480" w:lineRule="auto"/>
      </w:pPr>
      <w:r>
        <w:tab/>
        <w:t xml:space="preserve">To understand the sub-core scale heterogeneity shown in the kriged map of </w:t>
      </w:r>
      <w:r w:rsidRPr="00631A59">
        <w:rPr>
          <w:i/>
        </w:rPr>
        <w:t>Ѳ</w:t>
      </w:r>
      <w:r w:rsidRPr="00631A59">
        <w:rPr>
          <w:i/>
          <w:vertAlign w:val="subscript"/>
        </w:rPr>
        <w:t>s</w:t>
      </w:r>
      <w:r>
        <w:t xml:space="preserve"> a detailed explanation of the imaging process is given here. Wet neutron radiographs were acquired during the drainage process of the sand column. After the final drainage step, the sand column was oven drained and imaged again to obtain a dry image of the sand pack. The collected raw images (wet and dry) were normalized with respect to reference images of the open beam and dark field to correct for background noises, inhomogeneities in the beam detector, and fluctuations in the neutron flux (Kang et al., 2014). Normalized wet images were then divided by normalized oven dry images to calculate water thicknesses across the sand column. The water thickness of each pixel was computed using an attenuation and correction coefficient previously obtained at the HFIR CG 1-D. Subsequently, volumetric water content was calculated for individual pixels by dividing the measured water thickness by the beam path length, which is the chord length for a circle (Kang et al, 2014).  This normalization process essentially flattens out the sand column. The central tendency of high values in the kriged map of </w:t>
      </w:r>
      <w:r w:rsidRPr="00B821A3">
        <w:rPr>
          <w:i/>
        </w:rPr>
        <w:t>Ѳ</w:t>
      </w:r>
      <w:r w:rsidRPr="00B821A3">
        <w:rPr>
          <w:i/>
          <w:vertAlign w:val="subscript"/>
        </w:rPr>
        <w:t>s</w:t>
      </w:r>
      <w:r>
        <w:t xml:space="preserve"> illustrate that the normalization process was not completely effective. </w:t>
      </w:r>
    </w:p>
    <w:p w:rsidR="002F3B63" w:rsidRDefault="002F3B63" w:rsidP="002F3B63">
      <w:pPr>
        <w:spacing w:line="480" w:lineRule="auto"/>
      </w:pPr>
      <w:r>
        <w:tab/>
        <w:t>The hotspot of high values in the center of the kriged map for</w:t>
      </w:r>
      <w:r w:rsidRPr="00347A03">
        <w:rPr>
          <w:i/>
        </w:rPr>
        <w:t xml:space="preserve"> </w:t>
      </w:r>
      <w:r w:rsidRPr="00631A59">
        <w:rPr>
          <w:i/>
        </w:rPr>
        <w:t>Ѳ</w:t>
      </w:r>
      <w:r>
        <w:rPr>
          <w:i/>
          <w:vertAlign w:val="subscript"/>
        </w:rPr>
        <w:t>s</w:t>
      </w:r>
      <w:r>
        <w:t xml:space="preserve"> can also be partly attributed to neutron scattering. Neutrons are attenuated by the water in the sand column resulting in increased scatter and decreased neutron intensity. Raw neutron radiographs are a measure of neutron intensity; therefore, little or no detection of neutrons </w:t>
      </w:r>
      <w:r>
        <w:lastRenderedPageBreak/>
        <w:t xml:space="preserve">corresponds to high water content. Water thickness is greatest in the center of the column because this is its widest point. The water content calculated for a pixel in the center of the column can be the same as the water content calculated for a pixel on the edge with differing amounts of water by virtue of the cylindrical shape of the column. This is why the normalization process is necessary. As previously stated, with more water increased scattering will occur. Since larger quantities of water are present in the center of the column more scattering takes place. The increased scatter in the center of the column causes a decrease in detection of neutron intensity. This translates to higher water contents even if the water content in the center is the same as along the edge. In effect the varying thickness of water along the column results in both the central tendency and hot spot of high values in the kriged map of </w:t>
      </w:r>
      <w:r w:rsidRPr="00015C27">
        <w:rPr>
          <w:i/>
        </w:rPr>
        <w:t>Ѳ</w:t>
      </w:r>
      <w:r w:rsidRPr="00015C27">
        <w:rPr>
          <w:i/>
          <w:vertAlign w:val="subscript"/>
        </w:rPr>
        <w:t>s</w:t>
      </w:r>
      <w:r>
        <w:t>.</w:t>
      </w:r>
    </w:p>
    <w:p w:rsidR="002F3B63" w:rsidRPr="008453DE" w:rsidRDefault="002F3B63" w:rsidP="002F3B63">
      <w:pPr>
        <w:pStyle w:val="Style2"/>
      </w:pPr>
      <w:bookmarkStart w:id="47" w:name="_Toc425427049"/>
      <w:r>
        <w:t>4.6 Trend Correction and Validation</w:t>
      </w:r>
      <w:bookmarkEnd w:id="47"/>
    </w:p>
    <w:p w:rsidR="002F3B63" w:rsidRDefault="002F3B63" w:rsidP="002F3B63">
      <w:pPr>
        <w:spacing w:line="480" w:lineRule="auto"/>
      </w:pPr>
      <w:r>
        <w:tab/>
        <w:t xml:space="preserve">Tables 17 through 25 summarize the results of steps 1 through 8 listed in section 3.7. A summary of these results is given because they are very similar to the results presented in sections 4.41 and 4.4.2 for the Kang et al. (2014) data set. The results of Tables 17 through 25 are specific to the data set created during the CV procedure for </w:t>
      </w:r>
      <w:r w:rsidRPr="00AD77BD">
        <w:rPr>
          <w:i/>
        </w:rPr>
        <w:t>ψ</w:t>
      </w:r>
      <w:r w:rsidRPr="00AD77BD">
        <w:rPr>
          <w:i/>
          <w:vertAlign w:val="subscript"/>
        </w:rPr>
        <w:t>a</w:t>
      </w:r>
      <w:r w:rsidRPr="00AD77BD">
        <w:rPr>
          <w:vertAlign w:val="subscript"/>
        </w:rPr>
        <w:t xml:space="preserve"> </w:t>
      </w:r>
      <w:r>
        <w:t xml:space="preserve">and </w:t>
      </w:r>
      <w:r w:rsidRPr="00AD77BD">
        <w:rPr>
          <w:i/>
        </w:rPr>
        <w:t>Ѳ</w:t>
      </w:r>
      <w:r w:rsidRPr="00AD77BD">
        <w:rPr>
          <w:i/>
          <w:vertAlign w:val="subscript"/>
        </w:rPr>
        <w:t>s</w:t>
      </w:r>
      <w:r>
        <w:t xml:space="preserve">. These results are given to describe the CV data set, created by the optimal geostatistical model, used to aid in correction of non-geologic spatial structure within </w:t>
      </w:r>
      <w:r w:rsidRPr="00AD77BD">
        <w:rPr>
          <w:i/>
        </w:rPr>
        <w:t>ψ</w:t>
      </w:r>
      <w:r w:rsidRPr="00AD77BD">
        <w:rPr>
          <w:i/>
          <w:vertAlign w:val="subscript"/>
        </w:rPr>
        <w:t>a</w:t>
      </w:r>
      <w:r>
        <w:t xml:space="preserve"> and </w:t>
      </w:r>
      <w:r w:rsidRPr="00AD77BD">
        <w:rPr>
          <w:i/>
        </w:rPr>
        <w:t>Ѳ</w:t>
      </w:r>
      <w:r w:rsidRPr="00AD77BD">
        <w:rPr>
          <w:i/>
          <w:vertAlign w:val="subscript"/>
        </w:rPr>
        <w:t>s</w:t>
      </w:r>
      <w:r>
        <w:t>. First, the results of the trend correction process will be presented. Then, validation results will be given to determine if the correction process was successful.</w:t>
      </w:r>
    </w:p>
    <w:p w:rsidR="002F3B63" w:rsidRDefault="002F3B63" w:rsidP="002F3B63">
      <w:pPr>
        <w:spacing w:line="480" w:lineRule="auto"/>
      </w:pPr>
      <w:r>
        <w:tab/>
        <w:t xml:space="preserve">Table 17 gives the descriptive statistics of the CV data set, and Table 18 provides the results of normality testing. As with the Kang data, </w:t>
      </w:r>
      <w:r w:rsidRPr="00AD77BD">
        <w:rPr>
          <w:i/>
        </w:rPr>
        <w:t>ψ</w:t>
      </w:r>
      <w:r w:rsidRPr="00AD77BD">
        <w:rPr>
          <w:i/>
          <w:vertAlign w:val="subscript"/>
        </w:rPr>
        <w:t>a</w:t>
      </w:r>
      <w:r>
        <w:t xml:space="preserve"> is normally distributed and </w:t>
      </w:r>
      <w:r w:rsidRPr="00AD77BD">
        <w:rPr>
          <w:i/>
        </w:rPr>
        <w:t>Ѳ</w:t>
      </w:r>
      <w:r w:rsidRPr="00AD77BD">
        <w:rPr>
          <w:i/>
          <w:vertAlign w:val="subscript"/>
        </w:rPr>
        <w:t>s</w:t>
      </w:r>
      <w:r>
        <w:t xml:space="preserve"> is not. </w:t>
      </w:r>
      <w:r>
        <w:lastRenderedPageBreak/>
        <w:t xml:space="preserve">An inverse transformation was applied to </w:t>
      </w:r>
      <w:r w:rsidRPr="00AD77BD">
        <w:rPr>
          <w:i/>
        </w:rPr>
        <w:t>Ѳ</w:t>
      </w:r>
      <w:r w:rsidRPr="00AD77BD">
        <w:rPr>
          <w:i/>
          <w:vertAlign w:val="subscript"/>
        </w:rPr>
        <w:t>s</w:t>
      </w:r>
      <w:r>
        <w:t xml:space="preserve"> before moving forward with trend surface analysis. The results of this transformation are given in Table 18; normality was achieved with a </w:t>
      </w:r>
      <w:r w:rsidRPr="00B15B00">
        <w:rPr>
          <w:i/>
        </w:rPr>
        <w:t>W</w:t>
      </w:r>
      <w:r>
        <w:t xml:space="preserve"> statistic of 0.982. Table 19 shows that significant trends were evident for both parameters. Significant trend directions for </w:t>
      </w:r>
      <w:r w:rsidRPr="00AD77BD">
        <w:rPr>
          <w:i/>
        </w:rPr>
        <w:t>ψ</w:t>
      </w:r>
      <w:r w:rsidRPr="00AD77BD">
        <w:rPr>
          <w:i/>
          <w:vertAlign w:val="subscript"/>
        </w:rPr>
        <w:t>a</w:t>
      </w:r>
      <w:r>
        <w:t xml:space="preserve"> include x, x*y, x</w:t>
      </w:r>
      <w:r w:rsidRPr="003A5263">
        <w:rPr>
          <w:vertAlign w:val="superscript"/>
        </w:rPr>
        <w:t>2</w:t>
      </w:r>
      <w:r>
        <w:t>, and y</w:t>
      </w:r>
      <w:r w:rsidRPr="003A5263">
        <w:rPr>
          <w:vertAlign w:val="superscript"/>
        </w:rPr>
        <w:t>2</w:t>
      </w:r>
      <w:r>
        <w:t xml:space="preserve">; whereas, the significant trends for </w:t>
      </w:r>
      <w:r w:rsidRPr="00AD77BD">
        <w:rPr>
          <w:i/>
        </w:rPr>
        <w:t>Ѳ</w:t>
      </w:r>
      <w:r w:rsidRPr="00AD77BD">
        <w:rPr>
          <w:i/>
          <w:vertAlign w:val="subscript"/>
        </w:rPr>
        <w:t>s</w:t>
      </w:r>
      <w:r>
        <w:t xml:space="preserve"> were limited to x and x</w:t>
      </w:r>
      <w:r w:rsidRPr="00EA02B6">
        <w:rPr>
          <w:vertAlign w:val="superscript"/>
        </w:rPr>
        <w:t>2</w:t>
      </w:r>
      <w:r>
        <w:t xml:space="preserve"> as shown by Table 20. Classical descriptive statistics are given in Table 21 for the trend surface residuals computed for the CV data set. Normal and near normal distributions are shown for </w:t>
      </w:r>
      <w:r w:rsidRPr="00AD77BD">
        <w:rPr>
          <w:i/>
        </w:rPr>
        <w:t>ψ</w:t>
      </w:r>
      <w:r w:rsidRPr="00AD77BD">
        <w:rPr>
          <w:i/>
          <w:vertAlign w:val="subscript"/>
        </w:rPr>
        <w:t>a</w:t>
      </w:r>
      <w:r>
        <w:t xml:space="preserve"> and </w:t>
      </w:r>
      <w:r w:rsidRPr="00AD77BD">
        <w:rPr>
          <w:i/>
        </w:rPr>
        <w:t>Ѳ</w:t>
      </w:r>
      <w:r w:rsidRPr="00AD77BD">
        <w:rPr>
          <w:i/>
          <w:vertAlign w:val="subscript"/>
        </w:rPr>
        <w:t>s</w:t>
      </w:r>
      <w:r>
        <w:t>, respectively in Table 22.  The spherical model was fit to the cross-variogram of the CV data; these results are presented in Table 23. In comparison to Table 12 a slightly worse fit of the spherical model to the cross-variogram was indicated by an R</w:t>
      </w:r>
      <w:r w:rsidRPr="006A132C">
        <w:rPr>
          <w:vertAlign w:val="superscript"/>
        </w:rPr>
        <w:t>2</w:t>
      </w:r>
      <w:r>
        <w:t xml:space="preserve"> and NRMSE, of 0.897 and 0.109, respectively. Also, the DSD was slightly higher for the CV data than the Kang data.  For consistency the optimal geostatistical model determined in section 4.4.2 was also used here to perform CV and compute kriged maps of both parameters. </w:t>
      </w:r>
    </w:p>
    <w:p w:rsidR="002F3B63" w:rsidRDefault="002F3B63" w:rsidP="002F3B63">
      <w:pPr>
        <w:spacing w:line="480" w:lineRule="auto"/>
      </w:pPr>
      <w:r>
        <w:tab/>
        <w:t xml:space="preserve">CV was used to assess the predictive ability of the spherical model and CK form for the CV data. This was mostly a precautionary step to ensure the quality of predictions made for the CV data set. Tables 24 and 25 summarize the cross-validation results for the CV data set of </w:t>
      </w:r>
      <w:r w:rsidRPr="00AD77BD">
        <w:rPr>
          <w:i/>
        </w:rPr>
        <w:t>ψ</w:t>
      </w:r>
      <w:r w:rsidRPr="00AD77BD">
        <w:rPr>
          <w:i/>
          <w:vertAlign w:val="subscript"/>
        </w:rPr>
        <w:t>a</w:t>
      </w:r>
      <w:r>
        <w:t xml:space="preserve"> and </w:t>
      </w:r>
      <w:r w:rsidRPr="00AD77BD">
        <w:rPr>
          <w:i/>
        </w:rPr>
        <w:t>Ѳ</w:t>
      </w:r>
      <w:r w:rsidRPr="00AD77BD">
        <w:rPr>
          <w:i/>
          <w:vertAlign w:val="subscript"/>
        </w:rPr>
        <w:t>s</w:t>
      </w:r>
      <w:r>
        <w:t xml:space="preserve">, respectively. The data presented in these tables indicate better prediction accuracy for both </w:t>
      </w:r>
      <w:r w:rsidRPr="00AD77BD">
        <w:rPr>
          <w:i/>
        </w:rPr>
        <w:t>ψ</w:t>
      </w:r>
      <w:r w:rsidRPr="00AD77BD">
        <w:rPr>
          <w:i/>
          <w:vertAlign w:val="subscript"/>
        </w:rPr>
        <w:t>a</w:t>
      </w:r>
      <w:r>
        <w:t xml:space="preserve"> and </w:t>
      </w:r>
      <w:r w:rsidRPr="00AD77BD">
        <w:rPr>
          <w:i/>
        </w:rPr>
        <w:t>Ѳ</w:t>
      </w:r>
      <w:r w:rsidRPr="00AD77BD">
        <w:rPr>
          <w:i/>
          <w:vertAlign w:val="subscript"/>
        </w:rPr>
        <w:t>s</w:t>
      </w:r>
      <w:r>
        <w:t>. With r values of 0.824 and 0.716 the predictive ability using the CV data set was shown to dramatically improve for</w:t>
      </w:r>
      <w:r w:rsidRPr="007763D2">
        <w:rPr>
          <w:i/>
        </w:rPr>
        <w:t xml:space="preserve"> </w:t>
      </w:r>
      <w:r w:rsidRPr="00AD77BD">
        <w:rPr>
          <w:i/>
        </w:rPr>
        <w:t>ψ</w:t>
      </w:r>
      <w:r w:rsidRPr="00AD77BD">
        <w:rPr>
          <w:i/>
          <w:vertAlign w:val="subscript"/>
        </w:rPr>
        <w:t>a</w:t>
      </w:r>
      <w:r>
        <w:t xml:space="preserve"> and </w:t>
      </w:r>
      <w:r w:rsidRPr="00AD77BD">
        <w:rPr>
          <w:i/>
        </w:rPr>
        <w:t>Ѳ</w:t>
      </w:r>
      <w:r w:rsidRPr="00AD77BD">
        <w:rPr>
          <w:i/>
          <w:vertAlign w:val="subscript"/>
        </w:rPr>
        <w:t>s</w:t>
      </w:r>
      <w:r>
        <w:t xml:space="preserve">, respectively. The NRMSE results reiterate the improved predictive ability with values of 0.102 and 0.126 for </w:t>
      </w:r>
      <w:r w:rsidRPr="00AD77BD">
        <w:rPr>
          <w:i/>
        </w:rPr>
        <w:t>ψ</w:t>
      </w:r>
      <w:r w:rsidRPr="00AD77BD">
        <w:rPr>
          <w:i/>
          <w:vertAlign w:val="subscript"/>
        </w:rPr>
        <w:t>a</w:t>
      </w:r>
      <w:r>
        <w:t xml:space="preserve"> and </w:t>
      </w:r>
      <w:r w:rsidRPr="00AD77BD">
        <w:rPr>
          <w:i/>
        </w:rPr>
        <w:t>Ѳ</w:t>
      </w:r>
      <w:r w:rsidRPr="00AD77BD">
        <w:rPr>
          <w:i/>
          <w:vertAlign w:val="subscript"/>
        </w:rPr>
        <w:t>s</w:t>
      </w:r>
      <w:r>
        <w:t>. As before, a and b coefficients for both parameters indicate over predication of small values and under predi</w:t>
      </w:r>
      <w:r w:rsidR="001F468B">
        <w:t>ction of large values. Figure 15</w:t>
      </w:r>
      <w:r>
        <w:t xml:space="preserve"> shows kriged maps of the CV data set for </w:t>
      </w:r>
      <w:r w:rsidRPr="00AD77BD">
        <w:rPr>
          <w:i/>
        </w:rPr>
        <w:t>ψ</w:t>
      </w:r>
      <w:r w:rsidRPr="00AD77BD">
        <w:rPr>
          <w:i/>
          <w:vertAlign w:val="subscript"/>
        </w:rPr>
        <w:t>a</w:t>
      </w:r>
      <w:r>
        <w:t xml:space="preserve"> and </w:t>
      </w:r>
      <w:r w:rsidRPr="00AD77BD">
        <w:rPr>
          <w:i/>
        </w:rPr>
        <w:t>Ѳ</w:t>
      </w:r>
      <w:r w:rsidRPr="00AD77BD">
        <w:rPr>
          <w:i/>
          <w:vertAlign w:val="subscript"/>
        </w:rPr>
        <w:t>s</w:t>
      </w:r>
      <w:r>
        <w:t>. As expected, the maps were ve</w:t>
      </w:r>
      <w:r w:rsidR="001F468B">
        <w:t>ry similar to those in Figure 14</w:t>
      </w:r>
      <w:r>
        <w:t xml:space="preserve">. </w:t>
      </w:r>
    </w:p>
    <w:p w:rsidR="002F3B63" w:rsidRDefault="002F3B63" w:rsidP="002F3B63">
      <w:pPr>
        <w:spacing w:line="480" w:lineRule="auto"/>
      </w:pPr>
      <w:r>
        <w:lastRenderedPageBreak/>
        <w:tab/>
        <w:t xml:space="preserve">The sub-core scale heterogeneity found in </w:t>
      </w:r>
      <w:r w:rsidRPr="00AD77BD">
        <w:rPr>
          <w:i/>
        </w:rPr>
        <w:t>ψ</w:t>
      </w:r>
      <w:r w:rsidRPr="00AD77BD">
        <w:rPr>
          <w:i/>
          <w:vertAlign w:val="subscript"/>
        </w:rPr>
        <w:t>a</w:t>
      </w:r>
      <w:r>
        <w:t xml:space="preserve"> and </w:t>
      </w:r>
      <w:r w:rsidRPr="00AD77BD">
        <w:rPr>
          <w:i/>
        </w:rPr>
        <w:t>Ѳ</w:t>
      </w:r>
      <w:r w:rsidRPr="00AD77BD">
        <w:rPr>
          <w:i/>
          <w:vertAlign w:val="subscript"/>
        </w:rPr>
        <w:t>s</w:t>
      </w:r>
      <w:r>
        <w:t xml:space="preserve"> was shown to be caused by </w:t>
      </w:r>
      <w:r w:rsidR="002E3D81">
        <w:t>methods based</w:t>
      </w:r>
      <w:r>
        <w:t xml:space="preserve"> processes in section 4.4.3. To remove those trends and discover the</w:t>
      </w:r>
      <w:r w:rsidR="002E3D81">
        <w:t xml:space="preserve"> actual</w:t>
      </w:r>
      <w:r>
        <w:t xml:space="preserve"> variability, a map of the detrended variable, </w:t>
      </w:r>
      <w:r w:rsidRPr="00D62755">
        <w:rPr>
          <w:i/>
        </w:rPr>
        <w:t>z</w:t>
      </w:r>
      <w:r w:rsidRPr="00D62755">
        <w:rPr>
          <w:i/>
          <w:vertAlign w:val="subscript"/>
        </w:rPr>
        <w:t>ra</w:t>
      </w:r>
      <w:r>
        <w:t xml:space="preserve"> (created in section 3.7), was computed. Since the material used in the Kang et al. (2014) study was homogeneous, no spatial structure was anticipated after trend correction in </w:t>
      </w:r>
      <w:r w:rsidRPr="00FA17ED">
        <w:rPr>
          <w:i/>
        </w:rPr>
        <w:t>z</w:t>
      </w:r>
      <w:r w:rsidRPr="00FA17ED">
        <w:rPr>
          <w:i/>
          <w:vertAlign w:val="subscript"/>
        </w:rPr>
        <w:t>ra</w:t>
      </w:r>
      <w:r>
        <w:t xml:space="preserve">. Semivariograms were used to test for spatial dependency in the </w:t>
      </w:r>
      <w:r w:rsidRPr="00CB373D">
        <w:rPr>
          <w:i/>
        </w:rPr>
        <w:t>z</w:t>
      </w:r>
      <w:r w:rsidRPr="00CB373D">
        <w:rPr>
          <w:i/>
          <w:vertAlign w:val="subscript"/>
        </w:rPr>
        <w:t>ra</w:t>
      </w:r>
      <w:r>
        <w:t xml:space="preserve"> variable for</w:t>
      </w:r>
      <w:r w:rsidRPr="00CB373D">
        <w:rPr>
          <w:i/>
        </w:rPr>
        <w:t xml:space="preserve"> </w:t>
      </w:r>
      <w:r w:rsidRPr="00AD77BD">
        <w:rPr>
          <w:i/>
        </w:rPr>
        <w:t>ψ</w:t>
      </w:r>
      <w:r w:rsidRPr="00AD77BD">
        <w:rPr>
          <w:i/>
          <w:vertAlign w:val="subscript"/>
        </w:rPr>
        <w:t>a</w:t>
      </w:r>
      <w:r>
        <w:t xml:space="preserve"> and </w:t>
      </w:r>
      <w:r w:rsidRPr="00AD77BD">
        <w:rPr>
          <w:i/>
        </w:rPr>
        <w:t>Ѳ</w:t>
      </w:r>
      <w:r w:rsidRPr="00AD77BD">
        <w:rPr>
          <w:i/>
          <w:vertAlign w:val="subscript"/>
        </w:rPr>
        <w:t>s</w:t>
      </w:r>
      <w:r>
        <w:t xml:space="preserve">. The semivariograms computed for </w:t>
      </w:r>
      <w:r w:rsidRPr="00CB373D">
        <w:rPr>
          <w:i/>
        </w:rPr>
        <w:t>z</w:t>
      </w:r>
      <w:r w:rsidRPr="00CB373D">
        <w:rPr>
          <w:i/>
          <w:vertAlign w:val="subscript"/>
        </w:rPr>
        <w:t>ra</w:t>
      </w:r>
      <w:r>
        <w:t xml:space="preserve"> were horizontal and contained no structural variance; therefore, they were determined to be pure nugget and confirm the initial speculation. </w:t>
      </w:r>
      <w:r w:rsidR="00F718A7">
        <w:t xml:space="preserve">Classical descriptive statistics for the </w:t>
      </w:r>
      <w:r w:rsidR="00F718A7" w:rsidRPr="005B1E40">
        <w:rPr>
          <w:i/>
        </w:rPr>
        <w:t>z</w:t>
      </w:r>
      <w:r w:rsidR="00F718A7" w:rsidRPr="005B1E40">
        <w:rPr>
          <w:i/>
          <w:vertAlign w:val="subscript"/>
        </w:rPr>
        <w:t>ra</w:t>
      </w:r>
      <w:r w:rsidR="00F718A7">
        <w:t xml:space="preserve"> variable is given in Table 26 for both </w:t>
      </w:r>
      <w:r w:rsidR="00F718A7" w:rsidRPr="005B1E40">
        <w:rPr>
          <w:i/>
        </w:rPr>
        <w:t>ψ</w:t>
      </w:r>
      <w:r w:rsidR="00F718A7" w:rsidRPr="005B1E40">
        <w:rPr>
          <w:i/>
          <w:vertAlign w:val="subscript"/>
        </w:rPr>
        <w:t>a</w:t>
      </w:r>
      <w:r w:rsidR="00F718A7">
        <w:t xml:space="preserve"> and </w:t>
      </w:r>
      <w:r w:rsidR="00F718A7" w:rsidRPr="005B1E40">
        <w:rPr>
          <w:i/>
        </w:rPr>
        <w:t>Ѳ</w:t>
      </w:r>
      <w:r w:rsidR="00F718A7" w:rsidRPr="005B1E40">
        <w:rPr>
          <w:i/>
          <w:vertAlign w:val="subscript"/>
        </w:rPr>
        <w:t>s</w:t>
      </w:r>
      <w:r w:rsidR="00F718A7">
        <w:t>.</w:t>
      </w:r>
    </w:p>
    <w:p w:rsidR="002F3B63" w:rsidRDefault="002F3B63" w:rsidP="002F3B63">
      <w:pPr>
        <w:spacing w:line="480" w:lineRule="auto"/>
        <w:ind w:firstLine="720"/>
      </w:pPr>
      <w:r>
        <w:t xml:space="preserve">Because kriging is an exact interpolator (i.e. the predicted and observed values are equal at all measurement locations) dependent upon spatial structure, geostatistics cannot be employed to produce maps of the </w:t>
      </w:r>
      <w:r w:rsidRPr="00D62755">
        <w:rPr>
          <w:i/>
        </w:rPr>
        <w:t>z</w:t>
      </w:r>
      <w:r w:rsidRPr="00D62755">
        <w:rPr>
          <w:i/>
          <w:vertAlign w:val="subscript"/>
        </w:rPr>
        <w:t>ra</w:t>
      </w:r>
      <w:r w:rsidRPr="00D62755">
        <w:rPr>
          <w:vertAlign w:val="subscript"/>
        </w:rPr>
        <w:t xml:space="preserve"> </w:t>
      </w:r>
      <w:r>
        <w:t>variable; there</w:t>
      </w:r>
      <w:r w:rsidR="001F468B">
        <w:t>fore, the map shown in Figure 16</w:t>
      </w:r>
      <w:r>
        <w:t xml:space="preserve"> was created using the residual values between the kriged maps computed for the Kang and CV data sets. Figure 1</w:t>
      </w:r>
      <w:r w:rsidR="001F468B">
        <w:t>6</w:t>
      </w:r>
      <w:r>
        <w:t xml:space="preserve"> is a result of first computing the average of all kriged predictions for the original Kang dataset. Then adding it to the difference found by subtracting the kriged values calculated using the Kang data set and the CV data set. As a result, the </w:t>
      </w:r>
      <w:r w:rsidRPr="00D62755">
        <w:rPr>
          <w:i/>
        </w:rPr>
        <w:t>z</w:t>
      </w:r>
      <w:r w:rsidRPr="00D62755">
        <w:rPr>
          <w:i/>
          <w:vertAlign w:val="subscript"/>
        </w:rPr>
        <w:t>ra</w:t>
      </w:r>
      <w:r w:rsidRPr="00D62755">
        <w:rPr>
          <w:vertAlign w:val="subscript"/>
        </w:rPr>
        <w:t xml:space="preserve"> </w:t>
      </w:r>
      <w:r>
        <w:t xml:space="preserve">values for both </w:t>
      </w:r>
      <w:r w:rsidRPr="00AD77BD">
        <w:rPr>
          <w:i/>
        </w:rPr>
        <w:t>ψ</w:t>
      </w:r>
      <w:r w:rsidRPr="00AD77BD">
        <w:rPr>
          <w:i/>
          <w:vertAlign w:val="subscript"/>
        </w:rPr>
        <w:t>a</w:t>
      </w:r>
      <w:r>
        <w:t xml:space="preserve"> and </w:t>
      </w:r>
      <w:r w:rsidRPr="00AD77BD">
        <w:rPr>
          <w:i/>
        </w:rPr>
        <w:t>Ѳ</w:t>
      </w:r>
      <w:r w:rsidRPr="00AD77BD">
        <w:rPr>
          <w:i/>
          <w:vertAlign w:val="subscript"/>
        </w:rPr>
        <w:t>s</w:t>
      </w:r>
      <w:r>
        <w:t xml:space="preserve"> can be found at measured locations on the corrected map in Figure 1</w:t>
      </w:r>
      <w:r w:rsidR="001F468B">
        <w:t>6</w:t>
      </w:r>
      <w:r>
        <w:t xml:space="preserve">. From this map it is evident there is no spatial dependency in either parameter once the spatial (non-geologic trends) are removed. The variability shown in the map for each parameter is relatively consistent and displays no correlation between values as a result of distance.  </w:t>
      </w:r>
    </w:p>
    <w:p w:rsidR="0033266C" w:rsidRDefault="002F3B63" w:rsidP="0033266C">
      <w:pPr>
        <w:spacing w:line="480" w:lineRule="auto"/>
      </w:pPr>
      <w:r>
        <w:tab/>
        <w:t xml:space="preserve">In order to validate the trend correction process, the </w:t>
      </w:r>
      <w:r w:rsidRPr="00C017F8">
        <w:rPr>
          <w:i/>
        </w:rPr>
        <w:t>z</w:t>
      </w:r>
      <w:r w:rsidRPr="00C017F8">
        <w:rPr>
          <w:i/>
          <w:vertAlign w:val="subscript"/>
        </w:rPr>
        <w:t>ra</w:t>
      </w:r>
      <w:r>
        <w:t xml:space="preserve"> was compared to an independent dataset collected by Cro</w:t>
      </w:r>
      <w:r w:rsidR="00F718A7">
        <w:t>pper et al. (2014). In Tables 27</w:t>
      </w:r>
      <w:r>
        <w:t xml:space="preserve"> and 2</w:t>
      </w:r>
      <w:r w:rsidR="00F718A7">
        <w:t>8</w:t>
      </w:r>
      <w:r>
        <w:t xml:space="preserve"> </w:t>
      </w:r>
      <w:r w:rsidRPr="00C017F8">
        <w:rPr>
          <w:i/>
        </w:rPr>
        <w:t>z</w:t>
      </w:r>
      <w:r w:rsidRPr="00C017F8">
        <w:rPr>
          <w:i/>
          <w:vertAlign w:val="subscript"/>
        </w:rPr>
        <w:t>ra</w:t>
      </w:r>
      <w:r>
        <w:t xml:space="preserve"> is </w:t>
      </w:r>
      <w:r w:rsidR="00F718A7">
        <w:t xml:space="preserve">referred </w:t>
      </w:r>
      <w:r w:rsidR="00F718A7">
        <w:lastRenderedPageBreak/>
        <w:t>to as “Krige”. Table 27</w:t>
      </w:r>
      <w:r w:rsidR="00251752">
        <w:t xml:space="preserve"> gives the Mann-Whitney (M</w:t>
      </w:r>
      <w:r>
        <w:t xml:space="preserve">W) </w:t>
      </w:r>
      <w:r w:rsidRPr="00C879E3">
        <w:rPr>
          <w:i/>
        </w:rPr>
        <w:t xml:space="preserve">W </w:t>
      </w:r>
      <w:r>
        <w:t>statistic and corresponding significance level denoted by asterisks (Table 2). Three data sets are compared to the Cropper data, two of which consist of all BC parameters, the Kang and Trend data, and the Krige data which contains only the spatially dependent parameters</w:t>
      </w:r>
      <w:r w:rsidRPr="001C4FBD">
        <w:rPr>
          <w:i/>
        </w:rPr>
        <w:t xml:space="preserve"> </w:t>
      </w:r>
      <w:r w:rsidRPr="00AD77BD">
        <w:rPr>
          <w:i/>
        </w:rPr>
        <w:t>ψ</w:t>
      </w:r>
      <w:r w:rsidRPr="00AD77BD">
        <w:rPr>
          <w:i/>
          <w:vertAlign w:val="subscript"/>
        </w:rPr>
        <w:t>a</w:t>
      </w:r>
      <w:r>
        <w:t xml:space="preserve"> and </w:t>
      </w:r>
      <w:r w:rsidRPr="00AD77BD">
        <w:rPr>
          <w:i/>
        </w:rPr>
        <w:t>Ѳ</w:t>
      </w:r>
      <w:r w:rsidRPr="00AD77BD">
        <w:rPr>
          <w:i/>
          <w:vertAlign w:val="subscript"/>
        </w:rPr>
        <w:t>s</w:t>
      </w:r>
      <w:r>
        <w:t>. Since trend surface analysis is as an inexact interpolator the Trend data set was generated during the trend identification and removal process. The Cropper data set contains nine values while each of the three comparison sets consists of 115 data po</w:t>
      </w:r>
      <w:r w:rsidR="00F718A7">
        <w:t>ints. As can be seen in Table 27</w:t>
      </w:r>
      <w:r>
        <w:t xml:space="preserve">, median values of the </w:t>
      </w:r>
      <w:r w:rsidRPr="00510DF9">
        <w:rPr>
          <w:i/>
        </w:rPr>
        <w:t>ψ</w:t>
      </w:r>
      <w:r w:rsidRPr="00510DF9">
        <w:rPr>
          <w:i/>
          <w:vertAlign w:val="subscript"/>
        </w:rPr>
        <w:t>a</w:t>
      </w:r>
      <w:r>
        <w:t xml:space="preserve">, </w:t>
      </w:r>
      <w:r w:rsidRPr="00510DF9">
        <w:rPr>
          <w:i/>
        </w:rPr>
        <w:t>Ѳ</w:t>
      </w:r>
      <w:r w:rsidRPr="00510DF9">
        <w:rPr>
          <w:i/>
          <w:vertAlign w:val="subscript"/>
        </w:rPr>
        <w:t>s</w:t>
      </w:r>
      <w:r>
        <w:t xml:space="preserve">, and </w:t>
      </w:r>
      <w:r w:rsidRPr="00510DF9">
        <w:rPr>
          <w:i/>
        </w:rPr>
        <w:t>Ѳ</w:t>
      </w:r>
      <w:r w:rsidRPr="00510DF9">
        <w:rPr>
          <w:i/>
          <w:vertAlign w:val="subscript"/>
        </w:rPr>
        <w:t>r</w:t>
      </w:r>
      <w:r>
        <w:t xml:space="preserve"> parameters were significantly different from the median values of the Cropper parameters. This result indicates that, in terms of median values, the data collection process has unintentionally effected the computation of three BC parameters (</w:t>
      </w:r>
      <w:r w:rsidRPr="00510DF9">
        <w:rPr>
          <w:i/>
        </w:rPr>
        <w:t>ψ</w:t>
      </w:r>
      <w:r w:rsidRPr="00510DF9">
        <w:rPr>
          <w:i/>
          <w:vertAlign w:val="subscript"/>
        </w:rPr>
        <w:t>a</w:t>
      </w:r>
      <w:r>
        <w:t xml:space="preserve">, </w:t>
      </w:r>
      <w:r w:rsidRPr="00510DF9">
        <w:rPr>
          <w:i/>
        </w:rPr>
        <w:t>Ѳ</w:t>
      </w:r>
      <w:r w:rsidRPr="00510DF9">
        <w:rPr>
          <w:i/>
          <w:vertAlign w:val="subscript"/>
        </w:rPr>
        <w:t>s</w:t>
      </w:r>
      <w:r>
        <w:t xml:space="preserve">, and </w:t>
      </w:r>
      <w:r w:rsidRPr="00510DF9">
        <w:rPr>
          <w:i/>
        </w:rPr>
        <w:t>Ѳ</w:t>
      </w:r>
      <w:r w:rsidRPr="00510DF9">
        <w:rPr>
          <w:i/>
          <w:vertAlign w:val="subscript"/>
        </w:rPr>
        <w:t>r</w:t>
      </w:r>
      <w:r>
        <w:t>) and that the trend correction process used in this study to remove non-geologic spatial dependency was not successful</w:t>
      </w:r>
      <w:r>
        <w:rPr>
          <w:i/>
        </w:rPr>
        <w:t>.</w:t>
      </w:r>
      <w:r w:rsidR="001F468B">
        <w:t xml:space="preserve"> Figure 17</w:t>
      </w:r>
      <w:r>
        <w:t xml:space="preserve"> is an illustration of these results; it compares the IQR of each BC parameter and its corresponding data set. From the figure it is apparent that the upper and lower quartiles for </w:t>
      </w:r>
      <w:r w:rsidRPr="00510DF9">
        <w:rPr>
          <w:i/>
        </w:rPr>
        <w:t>ψ</w:t>
      </w:r>
      <w:r w:rsidRPr="00510DF9">
        <w:rPr>
          <w:i/>
          <w:vertAlign w:val="subscript"/>
        </w:rPr>
        <w:t>a</w:t>
      </w:r>
      <w:r>
        <w:t xml:space="preserve">, </w:t>
      </w:r>
      <w:r w:rsidRPr="00510DF9">
        <w:rPr>
          <w:i/>
        </w:rPr>
        <w:t>Ѳ</w:t>
      </w:r>
      <w:r w:rsidRPr="00510DF9">
        <w:rPr>
          <w:i/>
          <w:vertAlign w:val="subscript"/>
        </w:rPr>
        <w:t>s</w:t>
      </w:r>
      <w:r>
        <w:t xml:space="preserve">, and </w:t>
      </w:r>
      <w:r w:rsidRPr="00510DF9">
        <w:rPr>
          <w:i/>
        </w:rPr>
        <w:t>Ѳ</w:t>
      </w:r>
      <w:r w:rsidRPr="00510DF9">
        <w:rPr>
          <w:i/>
          <w:vertAlign w:val="subscript"/>
        </w:rPr>
        <w:t>r</w:t>
      </w:r>
      <w:r>
        <w:t xml:space="preserve"> do not overlap the IQR of t</w:t>
      </w:r>
      <w:r w:rsidR="00F718A7">
        <w:t>he Cropper data. Table 28</w:t>
      </w:r>
      <w:r>
        <w:t xml:space="preserve"> pre</w:t>
      </w:r>
      <w:r w:rsidR="00B30B80">
        <w:t>sents the Kolmogorov-Smirnov (K</w:t>
      </w:r>
      <w:r>
        <w:t xml:space="preserve">S) two sample test </w:t>
      </w:r>
      <w:r w:rsidRPr="001216A2">
        <w:rPr>
          <w:i/>
        </w:rPr>
        <w:t>D</w:t>
      </w:r>
      <w:r>
        <w:t xml:space="preserve"> statistic and significance levels. These results confirm the</w:t>
      </w:r>
      <w:r w:rsidR="00F718A7">
        <w:t xml:space="preserve"> conclusions drawn from Table 27</w:t>
      </w:r>
      <w:r>
        <w:t xml:space="preserve">. In this case, the frequency distributions for </w:t>
      </w:r>
      <w:r w:rsidRPr="00510DF9">
        <w:rPr>
          <w:i/>
        </w:rPr>
        <w:t>ψ</w:t>
      </w:r>
      <w:r w:rsidRPr="00510DF9">
        <w:rPr>
          <w:i/>
          <w:vertAlign w:val="subscript"/>
        </w:rPr>
        <w:t>a</w:t>
      </w:r>
      <w:r>
        <w:t xml:space="preserve">, </w:t>
      </w:r>
      <w:r w:rsidRPr="00510DF9">
        <w:rPr>
          <w:i/>
        </w:rPr>
        <w:t>Ѳ</w:t>
      </w:r>
      <w:r w:rsidRPr="00510DF9">
        <w:rPr>
          <w:i/>
          <w:vertAlign w:val="subscript"/>
        </w:rPr>
        <w:t>s</w:t>
      </w:r>
      <w:r>
        <w:t xml:space="preserve">, and </w:t>
      </w:r>
      <w:r w:rsidRPr="00510DF9">
        <w:rPr>
          <w:i/>
        </w:rPr>
        <w:t>Ѳ</w:t>
      </w:r>
      <w:r w:rsidRPr="00510DF9">
        <w:rPr>
          <w:i/>
          <w:vertAlign w:val="subscript"/>
        </w:rPr>
        <w:t>r</w:t>
      </w:r>
      <w:r>
        <w:t xml:space="preserve"> were significantly different from the frequency distributions for these parameters from the Cropper data set, while the frequency distribution for </w:t>
      </w:r>
      <w:r w:rsidRPr="00510DF9">
        <w:rPr>
          <w:i/>
        </w:rPr>
        <w:t>λ</w:t>
      </w:r>
      <w:r>
        <w:t xml:space="preserve"> was not. </w:t>
      </w:r>
    </w:p>
    <w:p w:rsidR="0033266C" w:rsidRDefault="0033266C" w:rsidP="0033266C">
      <w:pPr>
        <w:spacing w:line="480" w:lineRule="auto"/>
      </w:pPr>
    </w:p>
    <w:p w:rsidR="002F3B63" w:rsidRDefault="002F3B63" w:rsidP="0033266C">
      <w:pPr>
        <w:pStyle w:val="Style1"/>
        <w:spacing w:before="0" w:after="0"/>
      </w:pPr>
      <w:bookmarkStart w:id="48" w:name="_Toc425427050"/>
      <w:r>
        <w:lastRenderedPageBreak/>
        <w:t>CHAPTER 5</w:t>
      </w:r>
      <w:bookmarkEnd w:id="48"/>
    </w:p>
    <w:p w:rsidR="002F3B63" w:rsidRDefault="00262627" w:rsidP="002F3B63">
      <w:pPr>
        <w:pStyle w:val="Style1"/>
        <w:spacing w:before="0" w:after="0" w:line="480" w:lineRule="auto"/>
      </w:pPr>
      <w:bookmarkStart w:id="49" w:name="_Toc422315807"/>
      <w:bookmarkStart w:id="50" w:name="_Toc425427051"/>
      <w:r>
        <w:t>SUMMARY</w:t>
      </w:r>
      <w:r w:rsidR="00F846A8">
        <w:t>, CONCLUSIONS,</w:t>
      </w:r>
      <w:r w:rsidR="002F3B63">
        <w:t xml:space="preserve"> AND RECOMMENDATIONS</w:t>
      </w:r>
      <w:bookmarkEnd w:id="49"/>
      <w:bookmarkEnd w:id="50"/>
    </w:p>
    <w:p w:rsidR="002F3B63" w:rsidRDefault="002F3B63" w:rsidP="002F3B63">
      <w:pPr>
        <w:spacing w:line="480" w:lineRule="auto"/>
      </w:pPr>
      <w:r>
        <w:tab/>
        <w:t xml:space="preserve">Precise characterization of sub-core scale heterogeneity is essential for accurate prediction of fluid movement in the subsurface. This research focused on improving our ability to quantify sub-core scale features and on identifying their spatial structure using a combination of neutron imaging and geostatistics.  There are two major conclusions to be drawn from this study. First, geostatistics was successfully applied at the sub-core scale to characterize the spatial variability in point Brooks and Corey (BC) soil water retention parameters obtained by Kang et al. (2014) using neutron radiography. Second, the spatial dependency found in the BC parameters was likely attributed to sample preparation and image analysis, rather than to the hydrogeological phenomena. Ultimately this study offers a way to visualize areas of potential improvement for the Kang et al. (2014) data collection procedure. This study also proposes a technique for correcting </w:t>
      </w:r>
      <w:r w:rsidR="00B30B80">
        <w:t>methods based</w:t>
      </w:r>
      <w:r>
        <w:t xml:space="preserve"> spatial dependency. The goal of the correction process was to remove the effects of methodology from each spatially dependent BC p</w:t>
      </w:r>
      <w:r w:rsidR="00B30B80">
        <w:t>arameter and expose the actual</w:t>
      </w:r>
      <w:r>
        <w:t xml:space="preserve"> variability present within the parameter. In doing this the true controls on flow and transport at the sub-core scale can be identified. The main results used to arrive at these conclusions are discussed below along with some suggestions for future work.</w:t>
      </w:r>
    </w:p>
    <w:p w:rsidR="002F3B63" w:rsidRDefault="002F3B63" w:rsidP="002F3B63">
      <w:pPr>
        <w:spacing w:line="480" w:lineRule="auto"/>
      </w:pPr>
      <w:r>
        <w:tab/>
        <w:t>Histograms illustrated substantial variability within the BC parameters</w:t>
      </w:r>
      <w:r w:rsidR="00F846A8">
        <w:t xml:space="preserve"> for this nominally homogeneous material</w:t>
      </w:r>
      <w:r>
        <w:t xml:space="preserve">. Kang et al. (2014) offered the packing procedure as explanation for the sub-core scale variability. In this study geostatistics was employed to determine if the sub-core scale variability evident in parameter histograms is spatially </w:t>
      </w:r>
      <w:r>
        <w:lastRenderedPageBreak/>
        <w:t xml:space="preserve">correlated. This is an important task because spatially similar regions, whether at the sub-core scale or field scale, will dictate subsurface flow. </w:t>
      </w:r>
    </w:p>
    <w:p w:rsidR="002F3B63" w:rsidRDefault="002F3B63" w:rsidP="002F3B63">
      <w:pPr>
        <w:spacing w:line="480" w:lineRule="auto"/>
      </w:pPr>
      <w:r>
        <w:tab/>
        <w:t xml:space="preserve">The first steps in the geostatistical analysis were to determine linear relationships between parameters and test for normality. Four of the six possible relationships between parameters were found to be significant, but later it was determined only one relationship was between spatially correlated parameters, i.e. </w:t>
      </w:r>
      <w:r w:rsidRPr="0032135B">
        <w:rPr>
          <w:i/>
        </w:rPr>
        <w:t>Ѳ</w:t>
      </w:r>
      <w:r w:rsidRPr="0032135B">
        <w:rPr>
          <w:i/>
          <w:vertAlign w:val="subscript"/>
        </w:rPr>
        <w:t>s</w:t>
      </w:r>
      <w:r>
        <w:t xml:space="preserve"> vs. </w:t>
      </w:r>
      <w:r w:rsidRPr="00DF1D6E">
        <w:t xml:space="preserve"> </w:t>
      </w:r>
      <w:r w:rsidRPr="0032135B">
        <w:rPr>
          <w:i/>
        </w:rPr>
        <w:t>ψ</w:t>
      </w:r>
      <w:r w:rsidRPr="0032135B">
        <w:rPr>
          <w:i/>
          <w:vertAlign w:val="subscript"/>
        </w:rPr>
        <w:t>a</w:t>
      </w:r>
      <w:r>
        <w:t xml:space="preserve"> </w:t>
      </w:r>
      <w:r>
        <w:rPr>
          <w:rFonts w:eastAsiaTheme="minorEastAsia"/>
          <w:iCs/>
        </w:rPr>
        <w:t>(r = -0.44, R</w:t>
      </w:r>
      <w:r w:rsidRPr="001633D6">
        <w:rPr>
          <w:rFonts w:eastAsiaTheme="minorEastAsia"/>
          <w:iCs/>
          <w:vertAlign w:val="superscript"/>
        </w:rPr>
        <w:t>2</w:t>
      </w:r>
      <w:r>
        <w:rPr>
          <w:rFonts w:eastAsiaTheme="minorEastAsia"/>
          <w:iCs/>
        </w:rPr>
        <w:t xml:space="preserve"> = 0.197). The Shapiro-Wilk (SW) test indicated that both distributions </w:t>
      </w:r>
      <w:r>
        <w:t xml:space="preserve">were significantly different from a normal distribution. As a result these parameters were transformed to yield normal and nearly-normal distributions before moving forward with the geostatistical analysis. </w:t>
      </w:r>
    </w:p>
    <w:p w:rsidR="002F3B63" w:rsidRDefault="002F3B63" w:rsidP="002F3B63">
      <w:pPr>
        <w:spacing w:line="480" w:lineRule="auto"/>
      </w:pPr>
      <w:r>
        <w:tab/>
        <w:t>To satisfy the intrinsic hypothesis and ensure stationarity a trend surface analysis was conducted. The trend surface analysis showed that all four BC parameters contained significant tren</w:t>
      </w:r>
      <w:r w:rsidR="001F468B">
        <w:t>ds. The trend surfaces (Figure 8</w:t>
      </w:r>
      <w:r>
        <w:t>) provided</w:t>
      </w:r>
      <w:r w:rsidR="00B30B80">
        <w:t xml:space="preserve"> some of </w:t>
      </w:r>
      <w:r>
        <w:t xml:space="preserve"> the first evidence that the sample packing and data collection procedures had impacted the BC parameters.  The trends were effectively removed by following the detrending procedure suggested by Vieira et al. (2010). Moving forward the residuals computed during the detrending process were used in place of the original Kang data for ordinary kriging (OK) and co-kriging (CK). </w:t>
      </w:r>
    </w:p>
    <w:p w:rsidR="002F3B63" w:rsidRDefault="002F3B63" w:rsidP="002F3B63">
      <w:pPr>
        <w:spacing w:line="480" w:lineRule="auto"/>
      </w:pPr>
      <w:r>
        <w:tab/>
        <w:t xml:space="preserve">The most critical part of conducting a geostatistical analysis is calculating the empirical semivariogram and fitting it with a theoretical model. The empirical semivariogram identifies spatial correlation by plotting the semivariance versus distance. If this relationship results in a horizontal line no spatial correlation is evident in the parameter. This was true for two of the four parameters, i.e. </w:t>
      </w:r>
      <w:r w:rsidRPr="000869F7">
        <w:rPr>
          <w:rFonts w:eastAsiaTheme="minorEastAsia"/>
          <w:i/>
          <w:iCs/>
        </w:rPr>
        <w:t>Ѳ</w:t>
      </w:r>
      <w:r>
        <w:rPr>
          <w:rFonts w:eastAsiaTheme="minorEastAsia"/>
          <w:i/>
          <w:iCs/>
          <w:vertAlign w:val="subscript"/>
        </w:rPr>
        <w:t>r</w:t>
      </w:r>
      <w:r>
        <w:t xml:space="preserve"> and </w:t>
      </w:r>
      <w:r w:rsidRPr="000869F7">
        <w:rPr>
          <w:i/>
        </w:rPr>
        <w:t>λ</w:t>
      </w:r>
      <w:r>
        <w:t xml:space="preserve">. This lack of spatial correlation indicates that either these parameters were unaffected by the sample </w:t>
      </w:r>
      <w:r>
        <w:lastRenderedPageBreak/>
        <w:t xml:space="preserve">preparation/measurement method or the variability within these parameters exists at a scale smaller than the sampling distance. In contrast, spatial dependency was clearly evident in the </w:t>
      </w:r>
      <w:r w:rsidRPr="00DE2483">
        <w:rPr>
          <w:i/>
        </w:rPr>
        <w:t>ψ</w:t>
      </w:r>
      <w:r w:rsidRPr="00DE2483">
        <w:rPr>
          <w:i/>
          <w:vertAlign w:val="subscript"/>
        </w:rPr>
        <w:t>a</w:t>
      </w:r>
      <w:r>
        <w:t xml:space="preserve"> and </w:t>
      </w:r>
      <w:r w:rsidRPr="00DE2483">
        <w:rPr>
          <w:i/>
        </w:rPr>
        <w:t>Ѳ</w:t>
      </w:r>
      <w:r w:rsidRPr="00DE2483">
        <w:rPr>
          <w:i/>
          <w:vertAlign w:val="subscript"/>
        </w:rPr>
        <w:t>s</w:t>
      </w:r>
      <w:r>
        <w:t xml:space="preserve"> parameters from their semivariograms</w:t>
      </w:r>
      <w:r w:rsidR="00EA1404">
        <w:t xml:space="preserve">; therefore, the null hypothesis was rejected. </w:t>
      </w:r>
      <w:r>
        <w:t xml:space="preserve"> The spherical model achieved the best fit to the empirical semivariogram and cross-variogram for </w:t>
      </w:r>
      <w:r w:rsidRPr="00DE2483">
        <w:rPr>
          <w:i/>
        </w:rPr>
        <w:t>ψ</w:t>
      </w:r>
      <w:r w:rsidRPr="00DE2483">
        <w:rPr>
          <w:i/>
          <w:vertAlign w:val="subscript"/>
        </w:rPr>
        <w:t>a</w:t>
      </w:r>
      <w:r>
        <w:t xml:space="preserve"> and </w:t>
      </w:r>
      <w:r w:rsidRPr="00DE2483">
        <w:rPr>
          <w:i/>
        </w:rPr>
        <w:t>Ѳ</w:t>
      </w:r>
      <w:r w:rsidRPr="00DE2483">
        <w:rPr>
          <w:i/>
          <w:vertAlign w:val="subscript"/>
        </w:rPr>
        <w:t>s</w:t>
      </w:r>
      <w:r>
        <w:t xml:space="preserve"> based on the R</w:t>
      </w:r>
      <w:r w:rsidRPr="00953E7C">
        <w:rPr>
          <w:vertAlign w:val="superscript"/>
        </w:rPr>
        <w:t>2</w:t>
      </w:r>
      <w:r>
        <w:t xml:space="preserve"> and NRMSE </w:t>
      </w:r>
      <w:r w:rsidR="00D3145C">
        <w:t>statistics</w:t>
      </w:r>
      <w:r>
        <w:t xml:space="preserve">. It was shown by the ratio of the nugget to the sill that </w:t>
      </w:r>
      <w:r w:rsidRPr="00594B09">
        <w:rPr>
          <w:i/>
        </w:rPr>
        <w:t>ψ</w:t>
      </w:r>
      <w:r w:rsidRPr="00594B09">
        <w:rPr>
          <w:i/>
          <w:vertAlign w:val="subscript"/>
        </w:rPr>
        <w:t>a</w:t>
      </w:r>
      <w:r>
        <w:t xml:space="preserve"> possessed a higher degree of spatial dependency than </w:t>
      </w:r>
      <w:r w:rsidRPr="00594B09">
        <w:rPr>
          <w:i/>
        </w:rPr>
        <w:t>Ѳ</w:t>
      </w:r>
      <w:r w:rsidRPr="00594B09">
        <w:rPr>
          <w:i/>
          <w:vertAlign w:val="subscript"/>
        </w:rPr>
        <w:t>s</w:t>
      </w:r>
      <w:r>
        <w:t xml:space="preserve">. The first objective of this research listed in section 1.2 was to provide semivariograms of BC parameters; this was accomplished for </w:t>
      </w:r>
      <w:r w:rsidRPr="00DE2483">
        <w:rPr>
          <w:i/>
        </w:rPr>
        <w:t>ψ</w:t>
      </w:r>
      <w:r w:rsidRPr="00DE2483">
        <w:rPr>
          <w:i/>
          <w:vertAlign w:val="subscript"/>
        </w:rPr>
        <w:t>a</w:t>
      </w:r>
      <w:r>
        <w:t xml:space="preserve"> and </w:t>
      </w:r>
      <w:r w:rsidRPr="00DE2483">
        <w:rPr>
          <w:i/>
        </w:rPr>
        <w:t>Ѳ</w:t>
      </w:r>
      <w:r w:rsidRPr="00DE2483">
        <w:rPr>
          <w:i/>
          <w:vertAlign w:val="subscript"/>
        </w:rPr>
        <w:t>s</w:t>
      </w:r>
      <w:r>
        <w:t>.</w:t>
      </w:r>
    </w:p>
    <w:p w:rsidR="002F3B63" w:rsidRDefault="002F3B63" w:rsidP="002F3B63">
      <w:pPr>
        <w:spacing w:line="480" w:lineRule="auto"/>
      </w:pPr>
      <w:r>
        <w:tab/>
        <w:t xml:space="preserve">Leave-one-out cross-validation (CV) was used to determine an optimal geostatistical model to compute the final kriged maps of </w:t>
      </w:r>
      <w:r w:rsidRPr="00DF6E22">
        <w:rPr>
          <w:i/>
        </w:rPr>
        <w:t>ψ</w:t>
      </w:r>
      <w:r w:rsidRPr="00DF6E22">
        <w:rPr>
          <w:i/>
          <w:vertAlign w:val="subscript"/>
        </w:rPr>
        <w:t>a</w:t>
      </w:r>
      <w:r>
        <w:t xml:space="preserve"> and </w:t>
      </w:r>
      <w:r w:rsidRPr="00DF6E22">
        <w:rPr>
          <w:i/>
        </w:rPr>
        <w:t>Ѳ</w:t>
      </w:r>
      <w:r w:rsidRPr="00DF6E22">
        <w:rPr>
          <w:i/>
          <w:vertAlign w:val="subscript"/>
        </w:rPr>
        <w:t>s</w:t>
      </w:r>
      <w:r>
        <w:t>. The geostatistical model consists of the most appropriate semivariogram model and kriging form. Several statistical metrics were used to determine the optimal geostatistical model. In the end</w:t>
      </w:r>
      <w:r w:rsidR="002A4F92">
        <w:t>,</w:t>
      </w:r>
      <w:r>
        <w:t xml:space="preserve"> using the spherical model and CK form resulted in th</w:t>
      </w:r>
      <w:r w:rsidR="00D3145C">
        <w:t xml:space="preserve">e best prediction accuracy. </w:t>
      </w:r>
      <w:r>
        <w:t xml:space="preserve">CV was also used to generate a data set that would later be used to correct for non-geologic spatial structure. </w:t>
      </w:r>
    </w:p>
    <w:p w:rsidR="002F3B63" w:rsidRDefault="002F3B63" w:rsidP="002F3B63">
      <w:pPr>
        <w:spacing w:line="480" w:lineRule="auto"/>
      </w:pPr>
      <w:r>
        <w:tab/>
        <w:t xml:space="preserve">The final CK maps of </w:t>
      </w:r>
      <w:r w:rsidRPr="00DF6E22">
        <w:rPr>
          <w:i/>
        </w:rPr>
        <w:t>ψ</w:t>
      </w:r>
      <w:r w:rsidRPr="00DF6E22">
        <w:rPr>
          <w:i/>
          <w:vertAlign w:val="subscript"/>
        </w:rPr>
        <w:t>a</w:t>
      </w:r>
      <w:r>
        <w:t xml:space="preserve"> and </w:t>
      </w:r>
      <w:r w:rsidRPr="00DF6E22">
        <w:rPr>
          <w:i/>
        </w:rPr>
        <w:t>Ѳ</w:t>
      </w:r>
      <w:r w:rsidRPr="00DF6E22">
        <w:rPr>
          <w:i/>
          <w:vertAlign w:val="subscript"/>
        </w:rPr>
        <w:t>s</w:t>
      </w:r>
      <w:r>
        <w:t xml:space="preserve"> can be see</w:t>
      </w:r>
      <w:r w:rsidR="001F468B">
        <w:t>n in Figure 14</w:t>
      </w:r>
      <w:r>
        <w:t>. They were computed based on the significant linear relationship found between these two parameters. The initial suspicion put forth by Kang et al. (2014) regarding the cause of sub-core scale variability was confirmed. The e</w:t>
      </w:r>
      <w:r w:rsidR="00B30B80">
        <w:t>ffects of packing and compressive stress</w:t>
      </w:r>
      <w:r>
        <w:t xml:space="preserve"> were evident in the CK map for </w:t>
      </w:r>
      <w:r w:rsidRPr="00DF6E22">
        <w:rPr>
          <w:i/>
        </w:rPr>
        <w:t>ψ</w:t>
      </w:r>
      <w:r w:rsidRPr="00DF6E22">
        <w:rPr>
          <w:i/>
          <w:vertAlign w:val="subscript"/>
        </w:rPr>
        <w:t>a</w:t>
      </w:r>
      <w:r w:rsidR="00EA1404">
        <w:t xml:space="preserve">; therefore, the alternate hypothesis was accepted. </w:t>
      </w:r>
      <w:r>
        <w:t>Low values were apparent at the top of the column</w:t>
      </w:r>
      <w:r w:rsidR="00C70ADD">
        <w:t>,</w:t>
      </w:r>
      <w:r>
        <w:t xml:space="preserve"> while</w:t>
      </w:r>
      <w:r w:rsidR="00C70ADD">
        <w:t xml:space="preserve"> generally</w:t>
      </w:r>
      <w:r>
        <w:t xml:space="preserve"> high</w:t>
      </w:r>
      <w:r w:rsidR="00C70ADD">
        <w:t xml:space="preserve">er values occurred </w:t>
      </w:r>
      <w:r>
        <w:t>at th</w:t>
      </w:r>
      <w:r w:rsidR="00B30B80">
        <w:t>e bottom. Packing and compressive stress</w:t>
      </w:r>
      <w:r>
        <w:t xml:space="preserve"> could be used to explain the majority of trends in the map. </w:t>
      </w:r>
      <w:r w:rsidR="00915FEB">
        <w:t xml:space="preserve">These findings are consistent with the work of </w:t>
      </w:r>
      <w:r w:rsidR="00177749">
        <w:fldChar w:fldCharType="begin"/>
      </w:r>
      <w:r w:rsidR="00915FEB">
        <w:instrText xml:space="preserve"> ADDIN ZOTERO_ITEM CSL_CITATION {"citationID":"1is1j4r50u","properties":{"formattedCitation":"{\\rtf (Lewis and Sj\\uc0\\u246{}strom, 2010)}","plainCitation":"(Lewis and Sjöstrom, 2010)"},"citationItems":[{"id":156,"uris":["http://zotero.org/users/1507390/items/245KDVHV"],"uri":["http://zotero.org/users/1507390/items/245KDVHV"],"itemData":{"id":156,"type":"article-journal","title":"Optimizing the experimental design of soil columns in saturated and unsaturated transport experiments","container-title":"Journal of Contaminant Hydrology","page":"1-13","volume":"115","issue":"1-4","source":"PubMed","abstract":"Soil column experiments in both the saturated and unsaturated regimes are widely used for applied and theoretical studies in such diverse fields as transport model evaluation, fate and transport of pesticides, explosives, microbes, heavy metals and non aqueous phase liquids, and for evapotranspiration studies. The apparent simplicity of constructing soil columns conceals a number of technical issues which can seriously affect the outcome of an experiment, such as the presence or absence of macropores, artificial preferential flow paths, non-ideal infiltrate injection and unrealistic moisture regimes. This review examines the literature to provide an analysis of the state of the art for constructing both saturated and unsaturated soil columns. Common design challenges are discussed and best practices for potential solutions are presented. This article discusses both basic principles and the practical advantages and disadvantages of various experimental approaches. Both repacked and monolith-type columns are discussed. The information in this review will assist soil scientists, hydrogeologists and environmental professionals in optimizing the construction and operation of soil column experiments in order to achieve their objectives, while avoiding serious design flaws which can compromise the integrity of their results.","DOI":"10.1016/j.jconhyd.2010.04.001","ISSN":"1873-6009","note":"PMID: 20452088","journalAbbreviation":"J. Contam. Hydrol.","language":"eng","author":[{"family":"Lewis","given":"Jeffrey"},{"family":"Sjöstrom","given":"Jan"}],"issued":{"date-parts":[["2010",6,25]]},"PMID":"20452088"}}],"schema":"https://github.com/citation-style-language/schema/raw/master/csl-citation.json"} </w:instrText>
      </w:r>
      <w:r w:rsidR="00177749">
        <w:fldChar w:fldCharType="separate"/>
      </w:r>
      <w:r w:rsidR="00915FEB" w:rsidRPr="00031ED7">
        <w:rPr>
          <w:rFonts w:ascii="Cambria" w:hAnsi="Cambria" w:cs="Times New Roman"/>
          <w:szCs w:val="24"/>
        </w:rPr>
        <w:t>Lewis and Sjöstrom, 2010</w:t>
      </w:r>
      <w:r w:rsidR="00177749">
        <w:fldChar w:fldCharType="end"/>
      </w:r>
      <w:r w:rsidR="00915FEB">
        <w:t xml:space="preserve">, who stated that packing </w:t>
      </w:r>
      <w:r w:rsidR="00915FEB">
        <w:lastRenderedPageBreak/>
        <w:t xml:space="preserve">of homogeneous material can cause spatial heterogeneity in the form of preferential flow paths which can effect transport of solutes through a porous medium. </w:t>
      </w:r>
      <w:r>
        <w:t xml:space="preserve">The negative correlation between </w:t>
      </w:r>
      <w:r w:rsidRPr="00DF6E22">
        <w:rPr>
          <w:i/>
        </w:rPr>
        <w:t>ψ</w:t>
      </w:r>
      <w:r w:rsidRPr="00DF6E22">
        <w:rPr>
          <w:i/>
          <w:vertAlign w:val="subscript"/>
        </w:rPr>
        <w:t>a</w:t>
      </w:r>
      <w:r>
        <w:t xml:space="preserve"> and </w:t>
      </w:r>
      <w:r w:rsidRPr="00DF6E22">
        <w:rPr>
          <w:i/>
        </w:rPr>
        <w:t>Ѳ</w:t>
      </w:r>
      <w:r w:rsidRPr="00DF6E22">
        <w:rPr>
          <w:i/>
          <w:vertAlign w:val="subscript"/>
        </w:rPr>
        <w:t>s</w:t>
      </w:r>
      <w:r>
        <w:t xml:space="preserve"> was used to explain the concentration of low values in the center of the </w:t>
      </w:r>
      <w:r w:rsidRPr="00DF6E22">
        <w:rPr>
          <w:i/>
        </w:rPr>
        <w:t>ψ</w:t>
      </w:r>
      <w:r w:rsidRPr="00DF6E22">
        <w:rPr>
          <w:i/>
          <w:vertAlign w:val="subscript"/>
        </w:rPr>
        <w:t>a</w:t>
      </w:r>
      <w:r>
        <w:t xml:space="preserve"> kriged map. These low values corresponded to a hot spot of high values in the center of the </w:t>
      </w:r>
      <w:r w:rsidRPr="00DF6E22">
        <w:rPr>
          <w:i/>
        </w:rPr>
        <w:t>Ѳ</w:t>
      </w:r>
      <w:r w:rsidRPr="00DF6E22">
        <w:rPr>
          <w:i/>
          <w:vertAlign w:val="subscript"/>
        </w:rPr>
        <w:t>s</w:t>
      </w:r>
      <w:r>
        <w:t xml:space="preserve"> kriged map. The trends found in this map were explained as a result of the image analysis procedure and could not be attributed to a physical procedure such as packing. Both the hot spot and central tendency of high values in the kriged map of </w:t>
      </w:r>
      <w:r w:rsidRPr="00DF6E22">
        <w:rPr>
          <w:i/>
        </w:rPr>
        <w:t>Ѳ</w:t>
      </w:r>
      <w:r w:rsidRPr="00DF6E22">
        <w:rPr>
          <w:i/>
          <w:vertAlign w:val="subscript"/>
        </w:rPr>
        <w:t>s</w:t>
      </w:r>
      <w:r>
        <w:t xml:space="preserve"> were likely caused by varying thickness of water across the sand column due to its cylindrical shape. Because of the shape of the sand column, a volumetric water content computed for a single pixel in the center of the column could contain a larger quantity of water than a pixel on the edge with the same volumetric water content. The kriged map of </w:t>
      </w:r>
      <w:r w:rsidRPr="00DF6E22">
        <w:rPr>
          <w:i/>
        </w:rPr>
        <w:t>Ѳ</w:t>
      </w:r>
      <w:r w:rsidRPr="00DF6E22">
        <w:rPr>
          <w:i/>
          <w:vertAlign w:val="subscript"/>
        </w:rPr>
        <w:t>s</w:t>
      </w:r>
      <w:r>
        <w:t xml:space="preserve"> shows the image processing technique used to eliminate this effect was not completely successful. Also, greater water thicknesses in the center of the column are thought to be the cause of the hot spot of high values in the center of the column. Because neutrons are attenuated by the hydrogen in water more scattering occurs with an increased presence of water. </w:t>
      </w:r>
    </w:p>
    <w:p w:rsidR="002F3B63" w:rsidRDefault="002F3B63" w:rsidP="002F3B63">
      <w:pPr>
        <w:spacing w:line="480" w:lineRule="auto"/>
      </w:pPr>
      <w:r>
        <w:tab/>
        <w:t xml:space="preserve">The next logical step in this research was to attempt to remove the </w:t>
      </w:r>
      <w:r w:rsidR="00B30B80">
        <w:t>spatial structure caused by methodology</w:t>
      </w:r>
      <w:r>
        <w:t xml:space="preserve"> found in </w:t>
      </w:r>
      <w:r w:rsidRPr="00DF6E22">
        <w:rPr>
          <w:i/>
        </w:rPr>
        <w:t>ψ</w:t>
      </w:r>
      <w:r w:rsidRPr="00DF6E22">
        <w:rPr>
          <w:i/>
          <w:vertAlign w:val="subscript"/>
        </w:rPr>
        <w:t>a</w:t>
      </w:r>
      <w:r>
        <w:t xml:space="preserve"> and </w:t>
      </w:r>
      <w:r w:rsidRPr="00DF6E22">
        <w:rPr>
          <w:i/>
        </w:rPr>
        <w:t>Ѳ</w:t>
      </w:r>
      <w:r w:rsidRPr="00DF6E22">
        <w:rPr>
          <w:i/>
          <w:vertAlign w:val="subscript"/>
        </w:rPr>
        <w:t>s</w:t>
      </w:r>
      <w:r>
        <w:t xml:space="preserve">. In order to accomplish this, a detrending technique similar to the one used to achieve stationarity was employed. During the trend surface analysis computing residual values was simple because it is an inexact interpolation method. Because kriging is an exact interpolator a second set of data generated using leave-one-out CV was used to compute residual values by finding the difference between the original Kang data and the CV data set. The average of the observed data was added to the residuals to create a new variable </w:t>
      </w:r>
      <w:r w:rsidRPr="00393291">
        <w:rPr>
          <w:i/>
        </w:rPr>
        <w:t>z</w:t>
      </w:r>
      <w:r w:rsidRPr="00393291">
        <w:rPr>
          <w:i/>
          <w:vertAlign w:val="subscript"/>
        </w:rPr>
        <w:t>ra</w:t>
      </w:r>
      <w:r>
        <w:t xml:space="preserve">. This variable was mapped for </w:t>
      </w:r>
      <w:r>
        <w:lastRenderedPageBreak/>
        <w:t>both parameters and is shown in Figure 1</w:t>
      </w:r>
      <w:r w:rsidR="001F468B">
        <w:t>6</w:t>
      </w:r>
      <w:r>
        <w:t xml:space="preserve">. It represents the true geologic variability in </w:t>
      </w:r>
      <w:r w:rsidRPr="00DF6E22">
        <w:rPr>
          <w:i/>
        </w:rPr>
        <w:t>ψ</w:t>
      </w:r>
      <w:r w:rsidRPr="00DF6E22">
        <w:rPr>
          <w:i/>
          <w:vertAlign w:val="subscript"/>
        </w:rPr>
        <w:t>a</w:t>
      </w:r>
      <w:r>
        <w:t xml:space="preserve"> and </w:t>
      </w:r>
      <w:r w:rsidRPr="00DF6E22">
        <w:rPr>
          <w:i/>
        </w:rPr>
        <w:t>Ѳ</w:t>
      </w:r>
      <w:r w:rsidRPr="00DF6E22">
        <w:rPr>
          <w:i/>
          <w:vertAlign w:val="subscript"/>
        </w:rPr>
        <w:t>s</w:t>
      </w:r>
      <w:r>
        <w:t xml:space="preserve"> once the trends caused by methodology were removed.  The maps of </w:t>
      </w:r>
      <w:r w:rsidRPr="00DF6E22">
        <w:rPr>
          <w:i/>
        </w:rPr>
        <w:t>ψ</w:t>
      </w:r>
      <w:r w:rsidRPr="00DF6E22">
        <w:rPr>
          <w:i/>
          <w:vertAlign w:val="subscript"/>
        </w:rPr>
        <w:t>a</w:t>
      </w:r>
      <w:r>
        <w:t xml:space="preserve"> and </w:t>
      </w:r>
      <w:r w:rsidRPr="00DF6E22">
        <w:rPr>
          <w:i/>
        </w:rPr>
        <w:t>Ѳ</w:t>
      </w:r>
      <w:r w:rsidRPr="00DF6E22">
        <w:rPr>
          <w:i/>
          <w:vertAlign w:val="subscript"/>
        </w:rPr>
        <w:t>s</w:t>
      </w:r>
      <w:r>
        <w:t xml:space="preserve"> after trend correction show no spatial correlation. To verify this, semivariograms of the </w:t>
      </w:r>
      <w:r w:rsidRPr="0035576E">
        <w:rPr>
          <w:i/>
        </w:rPr>
        <w:t>z</w:t>
      </w:r>
      <w:r w:rsidRPr="0035576E">
        <w:rPr>
          <w:i/>
          <w:vertAlign w:val="subscript"/>
        </w:rPr>
        <w:t>ra</w:t>
      </w:r>
      <w:r>
        <w:t xml:space="preserve"> variable for both parameters resulted in pure nugget effects. To validate the correction process the </w:t>
      </w:r>
      <w:r w:rsidRPr="00393291">
        <w:rPr>
          <w:i/>
        </w:rPr>
        <w:t>z</w:t>
      </w:r>
      <w:r w:rsidRPr="00393291">
        <w:rPr>
          <w:i/>
          <w:vertAlign w:val="subscript"/>
        </w:rPr>
        <w:t>ra</w:t>
      </w:r>
      <w:r>
        <w:t xml:space="preserve"> variable computed for </w:t>
      </w:r>
      <w:r w:rsidRPr="00DF6E22">
        <w:rPr>
          <w:i/>
        </w:rPr>
        <w:t>ψ</w:t>
      </w:r>
      <w:r w:rsidRPr="00DF6E22">
        <w:rPr>
          <w:i/>
          <w:vertAlign w:val="subscript"/>
        </w:rPr>
        <w:t>a</w:t>
      </w:r>
      <w:r>
        <w:t xml:space="preserve"> and </w:t>
      </w:r>
      <w:r w:rsidRPr="00DF6E22">
        <w:rPr>
          <w:i/>
        </w:rPr>
        <w:t>Ѳ</w:t>
      </w:r>
      <w:r w:rsidRPr="00DF6E22">
        <w:rPr>
          <w:i/>
          <w:vertAlign w:val="subscript"/>
        </w:rPr>
        <w:t>s</w:t>
      </w:r>
      <w:r>
        <w:t xml:space="preserve"> was compared to an independent data set of the 9 values for each BC parameter collected by Cropper (2014). </w:t>
      </w:r>
    </w:p>
    <w:p w:rsidR="002F3B63" w:rsidRDefault="002F3B63" w:rsidP="002F3B63">
      <w:pPr>
        <w:spacing w:line="480" w:lineRule="auto"/>
      </w:pPr>
      <w:r>
        <w:tab/>
        <w:t xml:space="preserve">The Mann-Whitney (MW) and Kolmogorov two sample (KS) </w:t>
      </w:r>
      <w:r w:rsidR="00262627">
        <w:t>statistics</w:t>
      </w:r>
      <w:r>
        <w:t xml:space="preserve"> were used to test the null hypothesis that the corrected and independent data had the same median values and frequency distributions, respectively. The MW test is more sensitive to changes in median values; whereas, the KS test has more power to determine changes in the shape of the distribution. Both test statistics ultimately indicated a significant difference between the two group’s distributions. From these results it can be deduced that the trend correction process was unsuccessful.</w:t>
      </w:r>
    </w:p>
    <w:p w:rsidR="002F3B63" w:rsidRDefault="002F3B63" w:rsidP="002F3B63">
      <w:pPr>
        <w:spacing w:line="480" w:lineRule="auto"/>
      </w:pPr>
      <w:r>
        <w:tab/>
        <w:t>This research successfully identified spatial dependency in point BC parameters</w:t>
      </w:r>
      <w:r w:rsidR="002A4F92">
        <w:t xml:space="preserve"> and in doing so determined possible </w:t>
      </w:r>
      <w:r>
        <w:t xml:space="preserve">experimental causes of this sub-core scale heterogeneity in a </w:t>
      </w:r>
      <w:r w:rsidR="00B30B80">
        <w:t xml:space="preserve">nominally </w:t>
      </w:r>
      <w:r>
        <w:t>homogenous sand material.</w:t>
      </w:r>
      <w:r w:rsidR="00077A5C">
        <w:t xml:space="preserve"> Also, spatial structure was found</w:t>
      </w:r>
      <w:r w:rsidR="00EA1404">
        <w:t xml:space="preserve"> to be caused by inconsistency</w:t>
      </w:r>
      <w:r w:rsidR="00077A5C">
        <w:t xml:space="preserve"> in packing for </w:t>
      </w:r>
      <w:r w:rsidR="00077A5C" w:rsidRPr="00077A5C">
        <w:rPr>
          <w:i/>
        </w:rPr>
        <w:t>ψ</w:t>
      </w:r>
      <w:r w:rsidR="00077A5C" w:rsidRPr="00077A5C">
        <w:rPr>
          <w:i/>
          <w:vertAlign w:val="subscript"/>
        </w:rPr>
        <w:t>a</w:t>
      </w:r>
      <w:r w:rsidR="00077A5C">
        <w:t>.</w:t>
      </w:r>
      <w:r>
        <w:t xml:space="preserve"> Although the attempted correction process was unsuccessful, new information was gained about the data collection procedure conducted by Kang et al. (2014).  The newly acquired information from this research can be used to </w:t>
      </w:r>
      <w:r w:rsidR="002A4F92">
        <w:t>improve upon the</w:t>
      </w:r>
      <w:r>
        <w:t xml:space="preserve"> work performed by Kang et al. (2014) before the technique is extended to other natural materials. Identifying the effects of methodology is necessary to improve the modeling of sub-core scale hetero</w:t>
      </w:r>
      <w:r w:rsidR="00B30B80">
        <w:t>geneity resulting from geology in future studies.</w:t>
      </w:r>
    </w:p>
    <w:p w:rsidR="00C70ADD" w:rsidRDefault="002F3B63" w:rsidP="00F63C14">
      <w:pPr>
        <w:spacing w:line="480" w:lineRule="auto"/>
      </w:pPr>
      <w:r>
        <w:lastRenderedPageBreak/>
        <w:tab/>
        <w:t xml:space="preserve">Future work should include a revised correction process. Geostatistics is a viable option for overcoming the effects of methodology in the BC parameters. In the </w:t>
      </w:r>
      <w:r w:rsidR="007061F7">
        <w:t>future an improved means of discrimin</w:t>
      </w:r>
      <w:r w:rsidR="00A1131E">
        <w:t>ating between method</w:t>
      </w:r>
      <w:r w:rsidR="001B1A26">
        <w:t>s</w:t>
      </w:r>
      <w:r w:rsidR="00A1131E">
        <w:t xml:space="preserve"> based and actual</w:t>
      </w:r>
      <w:r w:rsidR="007061F7">
        <w:t xml:space="preserve"> spatial structure is needed. </w:t>
      </w:r>
      <w:r>
        <w:t xml:space="preserve">Now that the effects of varying water thickness have been show in </w:t>
      </w:r>
      <w:r w:rsidRPr="00DF6E22">
        <w:rPr>
          <w:i/>
        </w:rPr>
        <w:t>Ѳ</w:t>
      </w:r>
      <w:r w:rsidRPr="00DF6E22">
        <w:rPr>
          <w:i/>
          <w:vertAlign w:val="subscript"/>
        </w:rPr>
        <w:t>s</w:t>
      </w:r>
      <w:r>
        <w:t xml:space="preserve">, for future work a new geostatistical weighting scheme could be developed to combat it. For instance, if it is assumed that the central tendency of high values is in the center of the column was caused by its cylindrical shape; it might be possible to assign increasingly larger weights to interpolated values from the center to the edge for </w:t>
      </w:r>
      <w:r w:rsidRPr="00DF6E22">
        <w:rPr>
          <w:i/>
        </w:rPr>
        <w:t>Ѳ</w:t>
      </w:r>
      <w:r w:rsidRPr="00DF6E22">
        <w:rPr>
          <w:i/>
          <w:vertAlign w:val="subscript"/>
        </w:rPr>
        <w:t>s</w:t>
      </w:r>
      <w:r>
        <w:t xml:space="preserve"> based on the formula for a chord of a circle. A similar weighting scheme could also be applied to </w:t>
      </w:r>
      <w:r w:rsidRPr="00DF6E22">
        <w:rPr>
          <w:i/>
        </w:rPr>
        <w:t>ψ</w:t>
      </w:r>
      <w:r w:rsidRPr="00DF6E22">
        <w:rPr>
          <w:i/>
          <w:vertAlign w:val="subscript"/>
        </w:rPr>
        <w:t>a</w:t>
      </w:r>
      <w:r>
        <w:t xml:space="preserve"> to remove the trend caused by </w:t>
      </w:r>
      <w:r w:rsidR="00A1131E">
        <w:t>compressive stress</w:t>
      </w:r>
      <w:r>
        <w:t xml:space="preserve"> as a linear function of depth. Weights would then be applied to </w:t>
      </w:r>
      <w:r w:rsidRPr="00DF6E22">
        <w:rPr>
          <w:i/>
        </w:rPr>
        <w:t>ψ</w:t>
      </w:r>
      <w:r w:rsidRPr="00DF6E22">
        <w:rPr>
          <w:i/>
          <w:vertAlign w:val="subscript"/>
        </w:rPr>
        <w:t>a</w:t>
      </w:r>
      <w:r>
        <w:t xml:space="preserve"> in the opposite direction of these trends. This idea offers a quantitative solution for the existing trends in the BC parameters. </w:t>
      </w:r>
    </w:p>
    <w:p w:rsidR="009D32B3" w:rsidRDefault="002F3B63" w:rsidP="00C70ADD">
      <w:pPr>
        <w:spacing w:line="480" w:lineRule="auto"/>
        <w:ind w:firstLine="720"/>
      </w:pPr>
      <w:r>
        <w:t>Possible physical</w:t>
      </w:r>
      <w:r w:rsidR="00C70ADD">
        <w:t xml:space="preserve"> solutions for future exploration </w:t>
      </w:r>
      <w:r>
        <w:t xml:space="preserve">may be to employ consolidated materials </w:t>
      </w:r>
      <w:r w:rsidR="00745F61">
        <w:t>and/or methods to remove the effects of repacking</w:t>
      </w:r>
      <w:r w:rsidR="00215F01">
        <w:t>. S</w:t>
      </w:r>
      <w:r w:rsidR="00745F61">
        <w:t xml:space="preserve">uch </w:t>
      </w:r>
      <w:r w:rsidR="00215F01">
        <w:t xml:space="preserve">methods may include </w:t>
      </w:r>
      <w:r w:rsidR="00745F61">
        <w:t>using low di</w:t>
      </w:r>
      <w:r w:rsidR="00215F01">
        <w:t xml:space="preserve">sturbance techniques that retain </w:t>
      </w:r>
      <w:r w:rsidR="00745F61">
        <w:t>sedimentary layer</w:t>
      </w:r>
      <w:r w:rsidR="00215F01">
        <w:t>s, for example</w:t>
      </w:r>
      <w:r w:rsidR="00745F61">
        <w:t xml:space="preserve"> employing push type coring and</w:t>
      </w:r>
      <w:r w:rsidR="00F63C14">
        <w:t xml:space="preserve"> </w:t>
      </w:r>
      <w:r w:rsidR="00745F61">
        <w:t>frozen cores. T</w:t>
      </w:r>
      <w:r>
        <w:t>he use of rectangular sample geometry</w:t>
      </w:r>
      <w:r w:rsidR="009D32B3">
        <w:t xml:space="preserve"> could be used to</w:t>
      </w:r>
      <w:r w:rsidR="00F63C14">
        <w:t xml:space="preserve"> </w:t>
      </w:r>
      <w:r w:rsidR="00215F01">
        <w:t>eliminate variable neutron pathways</w:t>
      </w:r>
      <w:r w:rsidR="002132E3">
        <w:t xml:space="preserve">. Because employing a rectangular column can introduce edge effects, the column would be large enough so that the imaging procedure could be focused on the center of the column (i.e. the unaffected region). </w:t>
      </w:r>
      <w:r w:rsidR="009D32B3">
        <w:t xml:space="preserve">Additionally, the effectiveness of this correction method could be tested by preparing sand columns with deliberate heterogeneity (e.g. layering), and then attempting to determine spatial variability within BC parameters using geostatistics and neutron imaging. </w:t>
      </w:r>
    </w:p>
    <w:p w:rsidR="006A17D7" w:rsidRDefault="006A17D7" w:rsidP="00885C9E">
      <w:pPr>
        <w:pStyle w:val="Style1"/>
      </w:pPr>
      <w:bookmarkStart w:id="51" w:name="_Toc425427052"/>
      <w:bookmarkEnd w:id="5"/>
      <w:r>
        <w:lastRenderedPageBreak/>
        <w:t>LIST OF REFERENCES</w:t>
      </w:r>
      <w:bookmarkEnd w:id="51"/>
    </w:p>
    <w:p w:rsidR="006A17D7" w:rsidRDefault="006A17D7" w:rsidP="006A17D7">
      <w:r>
        <w:br w:type="page"/>
      </w:r>
    </w:p>
    <w:p w:rsidR="00745F61" w:rsidRDefault="00177749" w:rsidP="00745F61">
      <w:pPr>
        <w:pStyle w:val="Bibliography"/>
      </w:pPr>
      <w:r w:rsidRPr="00177749">
        <w:lastRenderedPageBreak/>
        <w:fldChar w:fldCharType="begin"/>
      </w:r>
      <w:r w:rsidR="00031ED7">
        <w:instrText xml:space="preserve"> ADDIN ZOTERO_BIBL {"custom":[]} CSL_BIBLIOGRAPHY </w:instrText>
      </w:r>
      <w:r w:rsidRPr="00177749">
        <w:fldChar w:fldCharType="separate"/>
      </w:r>
      <w:r w:rsidR="00745F61">
        <w:t>Aylmore, L.A.G., and V. Rasiah. 1998. Computed tomography data on soil structural and hydraulic parameters assessed for spatial continuity by semivariance geostatistics. Aust. J. Soil Res. 36(3): 485+.</w:t>
      </w:r>
    </w:p>
    <w:p w:rsidR="00745F61" w:rsidRDefault="00745F61" w:rsidP="00745F61">
      <w:pPr>
        <w:pStyle w:val="Bibliography"/>
      </w:pPr>
      <w:r>
        <w:t>Bohling, G. 2005. Introduction to Geostatistics and Variogram Analysis. Kans. Geol. Surv.: 20.</w:t>
      </w:r>
    </w:p>
    <w:p w:rsidR="00745F61" w:rsidRDefault="00745F61" w:rsidP="00745F61">
      <w:pPr>
        <w:pStyle w:val="Bibliography"/>
      </w:pPr>
      <w:r>
        <w:t>Bromly, M., C. Hinz, and L. a. G. Aylmore. 2007. Relation of dispersivity to properties of homogeneous saturated repacked soil columns. Eur. J. Soil Sci. 58(1): 293–301.</w:t>
      </w:r>
    </w:p>
    <w:p w:rsidR="00745F61" w:rsidRDefault="00745F61" w:rsidP="00745F61">
      <w:pPr>
        <w:pStyle w:val="Bibliography"/>
      </w:pPr>
      <w:r>
        <w:t>Brooks, R.H., and A.T. Corey. 1964. Hydraulic Properties of Porous Media. Colorado State University.</w:t>
      </w:r>
    </w:p>
    <w:p w:rsidR="00745F61" w:rsidRDefault="00745F61" w:rsidP="00745F61">
      <w:pPr>
        <w:pStyle w:val="Bibliography"/>
      </w:pPr>
      <w:r>
        <w:t>Carducci, C.E., G. César de Oliveira, N. Curi, R.J. Heck, and D.F. Rossoni. 2014. Scaling of pores in 3D images of Latosols (Oxisols) with contrasting mineralogy under a conservation management system. Soil Res. 52(3): 231–243.</w:t>
      </w:r>
    </w:p>
    <w:p w:rsidR="00745F61" w:rsidRDefault="00745F61" w:rsidP="00745F61">
      <w:pPr>
        <w:pStyle w:val="Bibliography"/>
      </w:pPr>
      <w:r>
        <w:t>Cheng, C.L., M. Kang, E. Perfect, S. Voisin, J. Horita, H.Z. Bilheux, J.M. Warren, D.L. Jacobson, and D.S. Hussey. 2012. Average Soil Water Retention Curves Measured by Neutron Radiography. Soil Sci. Soc. Am. J. 76(4): 1184–1191.</w:t>
      </w:r>
    </w:p>
    <w:p w:rsidR="00745F61" w:rsidRDefault="00745F61" w:rsidP="00745F61">
      <w:pPr>
        <w:pStyle w:val="Bibliography"/>
      </w:pPr>
      <w:r>
        <w:t>Cressie, N.A.C. 1993. Statistics for Spatial Data. Wiley, New York.</w:t>
      </w:r>
    </w:p>
    <w:p w:rsidR="00745F61" w:rsidRDefault="00745F61" w:rsidP="00745F61">
      <w:pPr>
        <w:pStyle w:val="Bibliography"/>
      </w:pPr>
      <w:r>
        <w:t>Cropper, S. 2014. Comparison of Point and Average Capillary Pressure - Saturaion Functions for Porous Media. Dr. Diss.Available at http://trace.tennessee.edu/utk_graddiss/3115.</w:t>
      </w:r>
    </w:p>
    <w:p w:rsidR="00745F61" w:rsidRDefault="00745F61" w:rsidP="00745F61">
      <w:pPr>
        <w:pStyle w:val="Bibliography"/>
      </w:pPr>
      <w:r>
        <w:t>Davis, J.C. 2002. Statistics and Data Analysis in Geology. 3rd ed. John Wiley &amp; Sons, New York.</w:t>
      </w:r>
    </w:p>
    <w:p w:rsidR="00745F61" w:rsidRDefault="00745F61" w:rsidP="00745F61">
      <w:pPr>
        <w:pStyle w:val="Bibliography"/>
      </w:pPr>
      <w:r>
        <w:t>Deinert, M.R., J.-Y. Parlange, T. Steenhuis, J. Throop, K. Ünlü, and K.B. Cady. 2004. Measurement of Fluid Contents and Wetting Front Profiles by Real-Time Neutron Radiography. J. Hydrol. 290(3–4): 192–201.</w:t>
      </w:r>
    </w:p>
    <w:p w:rsidR="00745F61" w:rsidRDefault="00745F61" w:rsidP="00745F61">
      <w:pPr>
        <w:pStyle w:val="Bibliography"/>
      </w:pPr>
      <w:r>
        <w:t>Dubrule, O. 2003. Geostatistics for Seismic Data Integration in Earth Models. Society Of Exploration Geophysicists, Tulsa, OK.</w:t>
      </w:r>
    </w:p>
    <w:p w:rsidR="00745F61" w:rsidRDefault="00745F61" w:rsidP="00745F61">
      <w:pPr>
        <w:pStyle w:val="Bibliography"/>
      </w:pPr>
      <w:r>
        <w:t>Duijn, C.J.V., J. Molenaar, and M.J.D. Neef. 1995. The effect of capillary forces on immiscible two-phase flow in heterogeneous porous media. Transp. Porous Media 21(1): 71–93.</w:t>
      </w:r>
    </w:p>
    <w:p w:rsidR="00745F61" w:rsidRDefault="00745F61" w:rsidP="00745F61">
      <w:pPr>
        <w:pStyle w:val="Bibliography"/>
      </w:pPr>
      <w:r>
        <w:t>Dunlap, L.E., and J.M. Spinazola. 1984. Interpolating Water-Table Altitudes in West-Central Kansas Using Kriging Techniques. Geol. Surv. Water-Supply Pap. USA No 2238Available at http://agris.fao.org/agris-search/search.do?f=2012/OV/OV201204180004180.xml;US19850071841 (verified 2 April 2014).</w:t>
      </w:r>
    </w:p>
    <w:p w:rsidR="00745F61" w:rsidRDefault="00745F61" w:rsidP="00745F61">
      <w:pPr>
        <w:pStyle w:val="Bibliography"/>
      </w:pPr>
      <w:r>
        <w:lastRenderedPageBreak/>
        <w:t>Eaton, T.T. 2006. On the importance of geological heterogeneity for flow simulation. Sediment. Geol. 184(3–4): 187–201.</w:t>
      </w:r>
    </w:p>
    <w:p w:rsidR="00745F61" w:rsidRDefault="00745F61" w:rsidP="00745F61">
      <w:pPr>
        <w:pStyle w:val="Bibliography"/>
      </w:pPr>
      <w:r>
        <w:t>Ecker, M.D. 2003. Geostatistics: past, present and future. Environmetrics Dev. Auspices UNESCO Encycl. Life Support Syst. EOLSS Ed AH El-Shaarawi J Jureckova Eolss Publ. Oxf. UK Httpwww Eolss Net.</w:t>
      </w:r>
    </w:p>
    <w:p w:rsidR="00745F61" w:rsidRDefault="00745F61" w:rsidP="00745F61">
      <w:pPr>
        <w:pStyle w:val="Bibliography"/>
      </w:pPr>
      <w:r>
        <w:t>Goovaerts, P. 1997. Geostatistics for Natural Resources Evaluation. Oxford University Press, Oxford, NY.</w:t>
      </w:r>
    </w:p>
    <w:p w:rsidR="00745F61" w:rsidRDefault="00745F61" w:rsidP="00745F61">
      <w:pPr>
        <w:pStyle w:val="Bibliography"/>
      </w:pPr>
      <w:r>
        <w:t>Goovaerts, P. 1998. Ordinary Cokriging Revisited. Math. Geol. 30(1): 21–42.</w:t>
      </w:r>
    </w:p>
    <w:p w:rsidR="00745F61" w:rsidRDefault="00745F61" w:rsidP="00745F61">
      <w:pPr>
        <w:pStyle w:val="Bibliography"/>
      </w:pPr>
      <w:r>
        <w:t>Grevers, M.C., and E. De Jong. 1994. Evaluation of soil-pore continuity using geostatistical analysis on macroporosity in serial sections obtained by computed tomography scanning. Tomogr. Soil-Water-Root Process. (tomographyofsoi): 73–86.</w:t>
      </w:r>
    </w:p>
    <w:p w:rsidR="00745F61" w:rsidRDefault="00745F61" w:rsidP="00745F61">
      <w:pPr>
        <w:pStyle w:val="Bibliography"/>
      </w:pPr>
      <w:r>
        <w:t>De Gryze, S., L. Jassogne, J. Six, H. Bossuyt, M. Wevers, and R. Merckx. 2006. Pore Structure Changes During Decomposition of Fresh Residue: X-Ray Tomography Analyses. Geoderma 134(1–2): 82–96.</w:t>
      </w:r>
    </w:p>
    <w:p w:rsidR="00745F61" w:rsidRDefault="00745F61" w:rsidP="00745F61">
      <w:pPr>
        <w:pStyle w:val="Bibliography"/>
      </w:pPr>
      <w:r>
        <w:t>Harned, D.A. 1995. Effects of agricultural land-management practices on water quality in northeastern Guilford County, North Carolina, 1985-90. U.S. Dept. of the Interior, U.S. Geological Survey ; U.S. G.P.O. ; Copies can be purchased from U.S. Geological Survey, Information Services,.</w:t>
      </w:r>
    </w:p>
    <w:p w:rsidR="00745F61" w:rsidRDefault="00745F61" w:rsidP="00745F61">
      <w:pPr>
        <w:pStyle w:val="Bibliography"/>
      </w:pPr>
      <w:r>
        <w:t>Hartkanmp, D., K. De Beurs, A. Stein, and J. White. 1999. Interpolation Techniques for Climate Variables. Nat. Resour. Group.</w:t>
      </w:r>
    </w:p>
    <w:p w:rsidR="00745F61" w:rsidRDefault="00745F61" w:rsidP="00745F61">
      <w:pPr>
        <w:pStyle w:val="Bibliography"/>
      </w:pPr>
      <w:r>
        <w:t>Houston, A.N., W. Otten, P.C. Baveye, and S. Hapca. 2013. Adaptive-window indicator kriging: A thresholding method for computed tomography images of porous media. Comput. Geosci. 54: 239–248.</w:t>
      </w:r>
    </w:p>
    <w:p w:rsidR="00745F61" w:rsidRDefault="00745F61" w:rsidP="00745F61">
      <w:pPr>
        <w:pStyle w:val="Bibliography"/>
      </w:pPr>
      <w:r>
        <w:t>H. Saito, K. Seki, and J. Šimůnek. 2009. An alternative deterministic method for the spatial interpolation of water retention parameters. Hydrol. Earth Syst. Sci. 13(4): 453.</w:t>
      </w:r>
    </w:p>
    <w:p w:rsidR="00745F61" w:rsidRDefault="00745F61" w:rsidP="00745F61">
      <w:pPr>
        <w:pStyle w:val="Bibliography"/>
      </w:pPr>
      <w:r>
        <w:t>Huysmans, M., and A. Dassargues. 2006. Stochastic analysis of the effect of spatial variability of diffusion parameters on radionuclide transport in a low permeability clay layer. Hydrogeol. J. 14(7): 1094–1106.</w:t>
      </w:r>
    </w:p>
    <w:p w:rsidR="00745F61" w:rsidRDefault="00745F61" w:rsidP="00745F61">
      <w:pPr>
        <w:pStyle w:val="Bibliography"/>
      </w:pPr>
      <w:r>
        <w:t>Iqbal, J., J.A. Thomasson, J.N. Jenkins, P.R. Owens, and F.D. Whisler. 2005. Spatial Variability Analysis of Soil Physical Properties of Alluvial Soils. Soil Sci. Soc. Am. J. 69(4): 1338.</w:t>
      </w:r>
    </w:p>
    <w:p w:rsidR="00745F61" w:rsidRDefault="00745F61" w:rsidP="00745F61">
      <w:pPr>
        <w:pStyle w:val="Bibliography"/>
      </w:pPr>
      <w:r>
        <w:t>Isaaks, E.H., and R.M. Srivastava. 1989. Applied Geostatistics. Oxford University Press, New York.</w:t>
      </w:r>
    </w:p>
    <w:p w:rsidR="00745F61" w:rsidRDefault="00745F61" w:rsidP="00745F61">
      <w:pPr>
        <w:pStyle w:val="Bibliography"/>
      </w:pPr>
      <w:r>
        <w:lastRenderedPageBreak/>
        <w:t>Jalbert, M., J. Dane, and J. Liu. 1999. TrueCell: Physical point Brooks–Corey parameters using pressure cell data. Users guide for version 1.2. Spec Rep Dep Agron Soils Auburn Univ Auburn AL.</w:t>
      </w:r>
    </w:p>
    <w:p w:rsidR="00745F61" w:rsidRDefault="00745F61" w:rsidP="00745F61">
      <w:pPr>
        <w:pStyle w:val="Bibliography"/>
      </w:pPr>
      <w:r>
        <w:t>Journel, A.G., and C.J. Huijbregts. 1978. Mining Geostatistics. Academic Press.</w:t>
      </w:r>
    </w:p>
    <w:p w:rsidR="00745F61" w:rsidRDefault="00745F61" w:rsidP="00745F61">
      <w:pPr>
        <w:pStyle w:val="Bibliography"/>
      </w:pPr>
      <w:r>
        <w:t>Kang, M., E. Perfect, C.L. Cheng, H.Z. Bilheux, J. Lee, J. Horita, and J.M. Warren. 2014. Multiple Pixel-Scale Soil Water Retention Curves Quantified by Neutron Radiography. Adv. Water Resour. 65: 1–8.</w:t>
      </w:r>
    </w:p>
    <w:p w:rsidR="00745F61" w:rsidRDefault="00745F61" w:rsidP="00745F61">
      <w:pPr>
        <w:pStyle w:val="Bibliography"/>
      </w:pPr>
      <w:r>
        <w:t>Kitanidis, P.K. 1997. Introduction to Geostatistics: Applications in Hydrogeology. Cambridge University Press.</w:t>
      </w:r>
    </w:p>
    <w:p w:rsidR="00745F61" w:rsidRDefault="00745F61" w:rsidP="00745F61">
      <w:pPr>
        <w:pStyle w:val="Bibliography"/>
      </w:pPr>
      <w:r>
        <w:t>Krause, M., S. Krevor, and S.M. Benson. 2013. A Procedure for the Accurate Determination of Sub-Core Scale Permeability Distributions with Error Quantification. Transp. Porous Media 98(3): 565–588.</w:t>
      </w:r>
    </w:p>
    <w:p w:rsidR="00745F61" w:rsidRDefault="00745F61" w:rsidP="00745F61">
      <w:pPr>
        <w:pStyle w:val="Bibliography"/>
      </w:pPr>
      <w:r>
        <w:t>Kumar, V., and D. Remadevi. 2006. Kriging of Groundwater Levels – A Case Study. J. Spat. Hydrol. 6(1): 81–94.</w:t>
      </w:r>
    </w:p>
    <w:p w:rsidR="00745F61" w:rsidRDefault="00745F61" w:rsidP="00745F61">
      <w:pPr>
        <w:pStyle w:val="Bibliography"/>
      </w:pPr>
      <w:r>
        <w:t>Lakhankar, T., A.S. Jones, C.L. Combs, M. Sengupta, T.H. Vonder Haar, and R. Khanbilvardi. 2010. Analysis of Large Scale Spatial Variability of Soil Moisture Using a Geostatistical Method. Sensors 10(1): 913–932.</w:t>
      </w:r>
    </w:p>
    <w:p w:rsidR="00745F61" w:rsidRDefault="00745F61" w:rsidP="00745F61">
      <w:pPr>
        <w:pStyle w:val="Bibliography"/>
      </w:pPr>
      <w:r>
        <w:t>Lehmann, E.L., and H.J.M. D’Abrera. 2006. Nonparametrics: Statistical Methods Based on Ranks. 1st ed. 1975. Revised edition 2006 edition. Springer, New York.</w:t>
      </w:r>
    </w:p>
    <w:p w:rsidR="00745F61" w:rsidRDefault="00745F61" w:rsidP="00745F61">
      <w:pPr>
        <w:pStyle w:val="Bibliography"/>
      </w:pPr>
      <w:r>
        <w:t>Lewis, J., and J. Sjöstrom. 2010. Optimizing the experimental design of soil columns in saturated and unsaturated transport experiments. J. Contam. Hydrol. 115(1-4): 1–13.</w:t>
      </w:r>
    </w:p>
    <w:p w:rsidR="00745F61" w:rsidRDefault="00745F61" w:rsidP="00745F61">
      <w:pPr>
        <w:pStyle w:val="Bibliography"/>
      </w:pPr>
      <w:r>
        <w:t>Li, B., and S.M. Benson. 2014. Small-scale Heterogeneities and Buoyancy-driven CO2 Migration in Geological Storage. Energy Procedia 63: 3608–3615.</w:t>
      </w:r>
    </w:p>
    <w:p w:rsidR="00745F61" w:rsidRDefault="00745F61" w:rsidP="00745F61">
      <w:pPr>
        <w:pStyle w:val="Bibliography"/>
      </w:pPr>
      <w:r>
        <w:t>Li, B., H.A. Tchelepi, and S.M. Benson. 2013. Influence of capillary-pressure models on CO2 solubility trapping. Adv. Water Resour. 62, Part C: 488–498.</w:t>
      </w:r>
    </w:p>
    <w:p w:rsidR="00745F61" w:rsidRDefault="00745F61" w:rsidP="00745F61">
      <w:pPr>
        <w:pStyle w:val="Bibliography"/>
      </w:pPr>
      <w:r>
        <w:t>Lloyd, C.D. 2014. Exploring Spatial Scale in Geography. John Wiley &amp; Sons, New York.</w:t>
      </w:r>
    </w:p>
    <w:p w:rsidR="00745F61" w:rsidRDefault="00745F61" w:rsidP="00745F61">
      <w:pPr>
        <w:pStyle w:val="Bibliography"/>
      </w:pPr>
      <w:r>
        <w:t>Majani, B.S. 2007. Analysis of External Drift Kriging Algorithm with application to precipitation estimation in complex orography. Int. Inst. Geo-Inf. Sci. Earth Obs. Enschede Neth.</w:t>
      </w:r>
    </w:p>
    <w:p w:rsidR="00745F61" w:rsidRDefault="00745F61" w:rsidP="00745F61">
      <w:pPr>
        <w:pStyle w:val="Bibliography"/>
      </w:pPr>
      <w:r>
        <w:t>Materon, G. 1971. The Theory of Regionalized Variables and Its Applications.</w:t>
      </w:r>
    </w:p>
    <w:p w:rsidR="00745F61" w:rsidRDefault="00745F61" w:rsidP="00745F61">
      <w:pPr>
        <w:pStyle w:val="Bibliography"/>
      </w:pPr>
      <w:r>
        <w:t>Matheron, G. 1963. Principles of geostatistics. Econ. Geol. 58(8): 1246–1266.</w:t>
      </w:r>
    </w:p>
    <w:p w:rsidR="00745F61" w:rsidRDefault="00745F61" w:rsidP="00745F61">
      <w:pPr>
        <w:pStyle w:val="Bibliography"/>
      </w:pPr>
      <w:r>
        <w:lastRenderedPageBreak/>
        <w:t>Murata, S., and T. Saito. 2003. Environmental Rock Engineering: Proceedings of the First Kyoto International Symposium on Underground Environment, Kyoto, Japan, 17-18 March 2003. CRC Press.</w:t>
      </w:r>
    </w:p>
    <w:p w:rsidR="00745F61" w:rsidRDefault="00745F61" w:rsidP="00745F61">
      <w:pPr>
        <w:pStyle w:val="Bibliography"/>
      </w:pPr>
      <w:r>
        <w:t>Neiman, F. 2007. Spatial Data Analysis in Archaeology. Available at http://people.virginia.edu/~fn9r/anth589b/index.html.</w:t>
      </w:r>
    </w:p>
    <w:p w:rsidR="00745F61" w:rsidRDefault="00745F61" w:rsidP="00745F61">
      <w:pPr>
        <w:pStyle w:val="Bibliography"/>
      </w:pPr>
      <w:r>
        <w:t>Oh, W., and W.B. Lindquist. 1999. Image Thresholding by Indicator Kriging. IEEE Trans. Pattern Anal. Mach. Intell. 21(7): 590–602.</w:t>
      </w:r>
    </w:p>
    <w:p w:rsidR="00745F61" w:rsidRDefault="00745F61" w:rsidP="00745F61">
      <w:pPr>
        <w:pStyle w:val="Bibliography"/>
      </w:pPr>
      <w:r>
        <w:t>Olea, R.A. 1991. Geostatistical Glossary and Multilingual Dictionary. Oxford University Press.</w:t>
      </w:r>
    </w:p>
    <w:p w:rsidR="00745F61" w:rsidRDefault="00745F61" w:rsidP="00745F61">
      <w:pPr>
        <w:pStyle w:val="Bibliography"/>
      </w:pPr>
      <w:r>
        <w:t>Oliver, M. 2010. Geostatistical Applications for Precision Agriculture. 2010th ed. Springer, Dordrecht; New York.</w:t>
      </w:r>
    </w:p>
    <w:p w:rsidR="00745F61" w:rsidRDefault="00745F61" w:rsidP="00745F61">
      <w:pPr>
        <w:pStyle w:val="Bibliography"/>
      </w:pPr>
      <w:r>
        <w:t>Oliviera, I.B., A.H. Demond, and A. Salehzadeh. 1996. Packing of Sands for the Production of Homogeneous Porous Media. Soil Sci. Soc. Am. J. 60(1): 49.</w:t>
      </w:r>
    </w:p>
    <w:p w:rsidR="00745F61" w:rsidRDefault="00745F61" w:rsidP="00745F61">
      <w:pPr>
        <w:pStyle w:val="Bibliography"/>
      </w:pPr>
      <w:r>
        <w:t>Orjuela-Matta, H.M., Y. Rubiano Sanabria, and J.H. Camacho-Tamayo. 2012. Análisis Espacial de la Infiltración en un Oxisol de los Llanos Orientales de Colombia. Chil. J. Agric. Res. 72(3): 404–410.</w:t>
      </w:r>
    </w:p>
    <w:p w:rsidR="00745F61" w:rsidRDefault="00745F61" w:rsidP="00745F61">
      <w:pPr>
        <w:pStyle w:val="Bibliography"/>
      </w:pPr>
      <w:r>
        <w:t>Papafotiou, A., R. Helmig, J. Schaap, P. Lehmann, A. Kaestner, H. Flühler, I. Neuweiler, R. Hassanein, B. Ahrenholz, J. Tölke, A. Peters, and W. Durner. 2008. From the Pore Scale to the Lab Scale: 3-D Lab Experiment and Numerical Simulation of Drainage in Heterogeneous Porous Media. Adv. Water Resour. 31(9): 1253–1268.</w:t>
      </w:r>
    </w:p>
    <w:p w:rsidR="00745F61" w:rsidRDefault="00745F61" w:rsidP="00745F61">
      <w:pPr>
        <w:pStyle w:val="Bibliography"/>
      </w:pPr>
      <w:r>
        <w:t>Papritz, A., H.R. Künsch, and R. Webster. 1993. On the Pseudo Cross-Variogram. Math. Geol. 25(8): 1015–1026.</w:t>
      </w:r>
    </w:p>
    <w:p w:rsidR="00745F61" w:rsidRDefault="00745F61" w:rsidP="00745F61">
      <w:pPr>
        <w:pStyle w:val="Bibliography"/>
      </w:pPr>
      <w:r>
        <w:t>Pebesma, E.J. 2004. Multivariable Geostatistics in S: The Gstat Package. Comput. Geosci. 30(7): 683–691.</w:t>
      </w:r>
    </w:p>
    <w:p w:rsidR="00745F61" w:rsidRDefault="00745F61" w:rsidP="00745F61">
      <w:pPr>
        <w:pStyle w:val="Bibliography"/>
      </w:pPr>
      <w:r>
        <w:t>Perfect, E., C.-L. Cheng, M. Kang, H.Z. Bilheux, J.M. Lamanna, M.J. Gragg, and D.M. Wright. 2014. Neutron Imaging of Hydrogen-Rich Fluids in Geomaterials and Engineered Porous Media: A Review. Earth-Sci. Rev. 129: 120–135.</w:t>
      </w:r>
    </w:p>
    <w:p w:rsidR="00745F61" w:rsidRDefault="00745F61" w:rsidP="00745F61">
      <w:pPr>
        <w:pStyle w:val="Bibliography"/>
      </w:pPr>
      <w:r>
        <w:t>Perret, J., S.O. Prasher, A. Kantzas, and C. Langford. 1998. Characterization of Macropore Morphology in a Sandy Loam Soil Using X-Ray Computer Assisted Tomography and Geostatistical Analysis. Can. Water Resour. J. Rev. Can. Ressour. Hydr. 23(2): 143–165.</w:t>
      </w:r>
    </w:p>
    <w:p w:rsidR="00745F61" w:rsidRDefault="00745F61" w:rsidP="00745F61">
      <w:pPr>
        <w:pStyle w:val="Bibliography"/>
      </w:pPr>
      <w:r>
        <w:t>Perrin, J.-C., and S. Benson. 2009. An Experimental Study on the Influence of Sub-Core Scale Heterogeneities on CO2 Distribution in Reservoir Rocks. Transp. Porous Media 82(1): 93–109.</w:t>
      </w:r>
    </w:p>
    <w:p w:rsidR="00745F61" w:rsidRDefault="00745F61" w:rsidP="00745F61">
      <w:pPr>
        <w:pStyle w:val="Bibliography"/>
      </w:pPr>
      <w:r>
        <w:lastRenderedPageBreak/>
        <w:t>Peters, E.J., and N. Afzal. 1992. Characterization of Heterogeneities in Permeable Media with Computed Tomography Imaging. J. Pet. Sci. Eng. 7(3–4): 283–296.</w:t>
      </w:r>
    </w:p>
    <w:p w:rsidR="00745F61" w:rsidRDefault="00745F61" w:rsidP="00745F61">
      <w:pPr>
        <w:pStyle w:val="Bibliography"/>
      </w:pPr>
      <w:r>
        <w:t>Pini, R., and S.M. Benson. 2013. Characterization and scaling of mesoscale heterogeneities in sandstones. Geophys. Res. Lett. 40(15): 3903–3908.</w:t>
      </w:r>
    </w:p>
    <w:p w:rsidR="00745F61" w:rsidRDefault="00745F61" w:rsidP="00745F61">
      <w:pPr>
        <w:pStyle w:val="Bibliography"/>
      </w:pPr>
      <w:r>
        <w:t>R Core Team. 2014. R: A language and environment for statistical computing. R Foundation for Statistical Computing, Vienna, Austria.</w:t>
      </w:r>
    </w:p>
    <w:p w:rsidR="00745F61" w:rsidRDefault="00745F61" w:rsidP="00745F61">
      <w:pPr>
        <w:pStyle w:val="Bibliography"/>
      </w:pPr>
      <w:r>
        <w:t>R. Pini, S.C.M.K. 2012. Capillary heterogeneity in sandstones rocks during CO2/water core-flooding experiments. Energy Procedia 37: 11375–.</w:t>
      </w:r>
    </w:p>
    <w:p w:rsidR="00745F61" w:rsidRDefault="00745F61" w:rsidP="00745F61">
      <w:pPr>
        <w:pStyle w:val="Bibliography"/>
      </w:pPr>
      <w:r>
        <w:t>SAS Institute, Inc. 1996. SAS/STAT Technical Report: Spatial Prediction Using the SAS System. SAS Institute, Inc., Cary, NC.</w:t>
      </w:r>
    </w:p>
    <w:p w:rsidR="00745F61" w:rsidRDefault="00745F61" w:rsidP="00745F61">
      <w:pPr>
        <w:pStyle w:val="Bibliography"/>
      </w:pPr>
      <w:r>
        <w:t>Shapiro, S., and M. Wilk. 1965. An Analysis of Variance Test for Normality (Complete Samples). Biometrika 52(3/4): 591–611.</w:t>
      </w:r>
    </w:p>
    <w:p w:rsidR="00745F61" w:rsidRDefault="00745F61" w:rsidP="00745F61">
      <w:pPr>
        <w:pStyle w:val="Bibliography"/>
      </w:pPr>
      <w:r>
        <w:t>Tang, H. 2005. Geostatistical Integration of Geophysical, Well Bore and Outcrop Data for Flow Modeling of a Deltaic Reservoir Analogue. Available at http://etd.lsu.edu/docs/available/etd-07032005-090208/ (verified 13 April 2015).</w:t>
      </w:r>
    </w:p>
    <w:p w:rsidR="00745F61" w:rsidRDefault="00745F61" w:rsidP="00745F61">
      <w:pPr>
        <w:pStyle w:val="Bibliography"/>
      </w:pPr>
      <w:r>
        <w:t>Tumlinson, L.G., H. Liu, W.K. Silk, and J.W. Hopmans. 2008. Thermal Neutron Computed Tomography of Soil Water and Plant Roots. Soil Sci. Soc. Am. J. 72(5): 1234.</w:t>
      </w:r>
    </w:p>
    <w:p w:rsidR="00745F61" w:rsidRDefault="00745F61" w:rsidP="00745F61">
      <w:pPr>
        <w:pStyle w:val="Bibliography"/>
      </w:pPr>
      <w:r>
        <w:t>Vasin, M., P. Lehmann, A. Kaestner, R. Hassanein, W. Nowak, R. Helmig, and I. Neuweiler. 2008. Drainage in Heterogeneous Sand Columns with Different Geometric Structures. Adv. Water Resour. 31(9): 1205–1220.</w:t>
      </w:r>
    </w:p>
    <w:p w:rsidR="00745F61" w:rsidRDefault="00745F61" w:rsidP="00745F61">
      <w:pPr>
        <w:pStyle w:val="Bibliography"/>
      </w:pPr>
      <w:r>
        <w:t>Vieira, S.R., J.R.P. de Carvalho, M.B. Ceddia, and A.P. González. 2010. Detrending non stationary data for geostatistical applications. Bragantia 69: 01–08.</w:t>
      </w:r>
    </w:p>
    <w:p w:rsidR="00745F61" w:rsidRDefault="00745F61" w:rsidP="00745F61">
      <w:pPr>
        <w:pStyle w:val="Bibliography"/>
      </w:pPr>
      <w:r>
        <w:t>Vieira, S.R., J.R.P. Carvalho, and A.P. González. 2009. Jack knifing for semivariogram validation. Bragantia 69: 97–105.</w:t>
      </w:r>
    </w:p>
    <w:p w:rsidR="00745F61" w:rsidRDefault="00745F61" w:rsidP="00745F61">
      <w:pPr>
        <w:pStyle w:val="Bibliography"/>
      </w:pPr>
      <w:r>
        <w:t>Vieira, S.R., J.L. Hatfield, D.R. Nielsen, and J.W. Biggar. 1983. Geostatistical theory and application to variability of some agronomical properties. Hilgardia 51(3): 1–75.</w:t>
      </w:r>
    </w:p>
    <w:p w:rsidR="00745F61" w:rsidRDefault="00745F61" w:rsidP="00745F61">
      <w:pPr>
        <w:pStyle w:val="Bibliography"/>
      </w:pPr>
      <w:r>
        <w:t>Warrick, A., D. Myers, and D. Nielsen. 1986. Methods of Soil Analysis. Part 1. Physical and Mineralogical Methods. 2 edition. American Society of Agronomy-Soil Science Society of America, Madison, WI.</w:t>
      </w:r>
    </w:p>
    <w:p w:rsidR="00745F61" w:rsidRDefault="00745F61" w:rsidP="00745F61">
      <w:pPr>
        <w:pStyle w:val="Bibliography"/>
      </w:pPr>
      <w:r>
        <w:t>Zinn, B., and C.F. Harvey. 2003. When good statistical models of aquifer heterogeneity go bad: A comparison of flow, dispersion, and mass transfer in connected and multivariate Gaussian hydraulic conductivity fields. Water Resour. Res. 39(3): 1051.</w:t>
      </w:r>
    </w:p>
    <w:p w:rsidR="00921C07" w:rsidRDefault="00177749" w:rsidP="00921C07">
      <w:pPr>
        <w:pStyle w:val="Bibliography"/>
        <w:spacing w:line="480" w:lineRule="auto"/>
        <w:rPr>
          <w:szCs w:val="24"/>
        </w:rPr>
      </w:pPr>
      <w:r w:rsidRPr="00A669E2">
        <w:rPr>
          <w:szCs w:val="24"/>
        </w:rPr>
        <w:fldChar w:fldCharType="end"/>
      </w:r>
      <w:bookmarkStart w:id="52" w:name="_Toc412485249"/>
    </w:p>
    <w:p w:rsidR="00051438" w:rsidRPr="00921C07" w:rsidRDefault="00051438" w:rsidP="00921C07">
      <w:pPr>
        <w:pStyle w:val="Style1"/>
        <w:rPr>
          <w:rFonts w:eastAsiaTheme="minorHAnsi" w:cstheme="minorBidi"/>
          <w:sz w:val="24"/>
          <w:szCs w:val="22"/>
        </w:rPr>
      </w:pPr>
      <w:bookmarkStart w:id="53" w:name="_Toc425427053"/>
      <w:r>
        <w:lastRenderedPageBreak/>
        <w:t>APPENDICIES</w:t>
      </w:r>
      <w:bookmarkEnd w:id="52"/>
      <w:bookmarkEnd w:id="53"/>
    </w:p>
    <w:p w:rsidR="008316FE" w:rsidRDefault="008316FE">
      <w:pPr>
        <w:rPr>
          <w:rFonts w:eastAsiaTheme="majorEastAsia" w:cstheme="majorBidi"/>
          <w:b/>
          <w:bCs/>
          <w:szCs w:val="28"/>
        </w:rPr>
      </w:pPr>
      <w:bookmarkStart w:id="54" w:name="_Toc412485250"/>
      <w:r>
        <w:br w:type="page"/>
      </w:r>
    </w:p>
    <w:p w:rsidR="002F3B63" w:rsidRDefault="002F3B63" w:rsidP="002F3B63">
      <w:pPr>
        <w:pStyle w:val="Style2"/>
      </w:pPr>
      <w:bookmarkStart w:id="55" w:name="_Toc425427054"/>
      <w:bookmarkEnd w:id="54"/>
      <w:r>
        <w:lastRenderedPageBreak/>
        <w:t>Appendix 1. Tables</w:t>
      </w:r>
      <w:bookmarkEnd w:id="55"/>
    </w:p>
    <w:tbl>
      <w:tblPr>
        <w:tblStyle w:val="TableGrid"/>
        <w:tblW w:w="0" w:type="auto"/>
        <w:tblLook w:val="04A0"/>
      </w:tblPr>
      <w:tblGrid>
        <w:gridCol w:w="1398"/>
        <w:gridCol w:w="1193"/>
        <w:gridCol w:w="1169"/>
        <w:gridCol w:w="1177"/>
        <w:gridCol w:w="1187"/>
        <w:gridCol w:w="1289"/>
        <w:gridCol w:w="1605"/>
      </w:tblGrid>
      <w:tr w:rsidR="002F3B63" w:rsidTr="002F3B63">
        <w:tc>
          <w:tcPr>
            <w:tcW w:w="1398" w:type="dxa"/>
            <w:vAlign w:val="center"/>
          </w:tcPr>
          <w:p w:rsidR="002F3B63" w:rsidRPr="00147AD2" w:rsidRDefault="002F3B63" w:rsidP="002F3B63">
            <w:pPr>
              <w:jc w:val="center"/>
              <w:rPr>
                <w:b/>
                <w:szCs w:val="24"/>
              </w:rPr>
            </w:pPr>
            <w:r w:rsidRPr="00147AD2">
              <w:rPr>
                <w:b/>
                <w:szCs w:val="24"/>
              </w:rPr>
              <w:t>Parameter</w:t>
            </w:r>
          </w:p>
        </w:tc>
        <w:tc>
          <w:tcPr>
            <w:tcW w:w="1193" w:type="dxa"/>
            <w:vAlign w:val="center"/>
          </w:tcPr>
          <w:p w:rsidR="002F3B63" w:rsidRPr="00147AD2" w:rsidRDefault="002F3B63" w:rsidP="002F3B63">
            <w:pPr>
              <w:jc w:val="center"/>
              <w:rPr>
                <w:b/>
                <w:szCs w:val="24"/>
              </w:rPr>
            </w:pPr>
            <w:r w:rsidRPr="00147AD2">
              <w:rPr>
                <w:b/>
                <w:szCs w:val="24"/>
              </w:rPr>
              <w:t>Unit</w:t>
            </w:r>
          </w:p>
        </w:tc>
        <w:tc>
          <w:tcPr>
            <w:tcW w:w="1169" w:type="dxa"/>
            <w:vAlign w:val="center"/>
          </w:tcPr>
          <w:p w:rsidR="002F3B63" w:rsidRPr="00147AD2" w:rsidRDefault="002F3B63" w:rsidP="002F3B63">
            <w:pPr>
              <w:jc w:val="center"/>
              <w:rPr>
                <w:b/>
                <w:szCs w:val="24"/>
              </w:rPr>
            </w:pPr>
            <w:r w:rsidRPr="00147AD2">
              <w:rPr>
                <w:b/>
                <w:szCs w:val="24"/>
              </w:rPr>
              <w:t>N</w:t>
            </w:r>
          </w:p>
        </w:tc>
        <w:tc>
          <w:tcPr>
            <w:tcW w:w="1177" w:type="dxa"/>
            <w:vAlign w:val="center"/>
          </w:tcPr>
          <w:p w:rsidR="002F3B63" w:rsidRPr="00147AD2" w:rsidRDefault="002F3B63" w:rsidP="002F3B63">
            <w:pPr>
              <w:jc w:val="center"/>
              <w:rPr>
                <w:b/>
                <w:szCs w:val="24"/>
              </w:rPr>
            </w:pPr>
            <w:r w:rsidRPr="00147AD2">
              <w:rPr>
                <w:b/>
                <w:szCs w:val="24"/>
              </w:rPr>
              <w:t>Mean</w:t>
            </w:r>
          </w:p>
        </w:tc>
        <w:tc>
          <w:tcPr>
            <w:tcW w:w="1187" w:type="dxa"/>
            <w:vAlign w:val="center"/>
          </w:tcPr>
          <w:p w:rsidR="002F3B63" w:rsidRPr="00147AD2" w:rsidRDefault="002F3B63" w:rsidP="002F3B63">
            <w:pPr>
              <w:jc w:val="center"/>
              <w:rPr>
                <w:b/>
                <w:szCs w:val="24"/>
              </w:rPr>
            </w:pPr>
            <w:r w:rsidRPr="00147AD2">
              <w:rPr>
                <w:b/>
                <w:szCs w:val="24"/>
              </w:rPr>
              <w:t>Median</w:t>
            </w:r>
          </w:p>
        </w:tc>
        <w:tc>
          <w:tcPr>
            <w:tcW w:w="1289" w:type="dxa"/>
            <w:vAlign w:val="center"/>
          </w:tcPr>
          <w:p w:rsidR="002F3B63" w:rsidRPr="00147AD2" w:rsidRDefault="002F3B63" w:rsidP="002F3B63">
            <w:pPr>
              <w:jc w:val="center"/>
              <w:rPr>
                <w:b/>
                <w:szCs w:val="24"/>
              </w:rPr>
            </w:pPr>
            <w:r w:rsidRPr="00147AD2">
              <w:rPr>
                <w:b/>
                <w:szCs w:val="24"/>
              </w:rPr>
              <w:t>Standard Deviation</w:t>
            </w:r>
          </w:p>
        </w:tc>
        <w:tc>
          <w:tcPr>
            <w:tcW w:w="1605" w:type="dxa"/>
          </w:tcPr>
          <w:p w:rsidR="002F3B63" w:rsidRPr="00147AD2" w:rsidRDefault="002F3B63" w:rsidP="002F3B63">
            <w:pPr>
              <w:jc w:val="center"/>
              <w:rPr>
                <w:b/>
                <w:szCs w:val="24"/>
              </w:rPr>
            </w:pPr>
            <w:r w:rsidRPr="00147AD2">
              <w:rPr>
                <w:b/>
                <w:szCs w:val="24"/>
              </w:rPr>
              <w:t>Coefficient of Variation</w:t>
            </w:r>
          </w:p>
        </w:tc>
      </w:tr>
      <w:tr w:rsidR="002F3B63" w:rsidTr="002F3B63">
        <w:tc>
          <w:tcPr>
            <w:tcW w:w="1398" w:type="dxa"/>
            <w:vAlign w:val="center"/>
          </w:tcPr>
          <w:p w:rsidR="002F3B63" w:rsidRPr="00147AD2" w:rsidRDefault="002F3B63" w:rsidP="002F3B63">
            <w:pPr>
              <w:jc w:val="center"/>
              <w:rPr>
                <w:szCs w:val="24"/>
              </w:rPr>
            </w:pPr>
            <w:r w:rsidRPr="00147AD2">
              <w:rPr>
                <w:rFonts w:cstheme="minorHAnsi"/>
                <w:b/>
                <w:szCs w:val="24"/>
              </w:rPr>
              <w:t>ψ</w:t>
            </w:r>
            <w:r w:rsidRPr="00147AD2">
              <w:rPr>
                <w:rFonts w:cstheme="minorHAnsi"/>
                <w:b/>
                <w:szCs w:val="24"/>
                <w:vertAlign w:val="subscript"/>
              </w:rPr>
              <w:t>a</w:t>
            </w:r>
          </w:p>
        </w:tc>
        <w:tc>
          <w:tcPr>
            <w:tcW w:w="1193" w:type="dxa"/>
            <w:vAlign w:val="center"/>
          </w:tcPr>
          <w:p w:rsidR="002F3B63" w:rsidRPr="00147AD2" w:rsidRDefault="002F3B63" w:rsidP="002F3B63">
            <w:pPr>
              <w:jc w:val="center"/>
              <w:rPr>
                <w:szCs w:val="24"/>
              </w:rPr>
            </w:pPr>
            <w:r w:rsidRPr="00147AD2">
              <w:rPr>
                <w:szCs w:val="24"/>
              </w:rPr>
              <w:t>cm</w:t>
            </w:r>
          </w:p>
        </w:tc>
        <w:tc>
          <w:tcPr>
            <w:tcW w:w="1169" w:type="dxa"/>
            <w:vAlign w:val="center"/>
          </w:tcPr>
          <w:p w:rsidR="002F3B63" w:rsidRPr="00147AD2" w:rsidRDefault="002F3B63" w:rsidP="002F3B63">
            <w:pPr>
              <w:jc w:val="center"/>
              <w:rPr>
                <w:szCs w:val="24"/>
              </w:rPr>
            </w:pPr>
            <w:r w:rsidRPr="00147AD2">
              <w:rPr>
                <w:szCs w:val="24"/>
              </w:rPr>
              <w:t>115</w:t>
            </w:r>
          </w:p>
        </w:tc>
        <w:tc>
          <w:tcPr>
            <w:tcW w:w="1177" w:type="dxa"/>
            <w:vAlign w:val="center"/>
          </w:tcPr>
          <w:p w:rsidR="002F3B63" w:rsidRPr="00147AD2" w:rsidRDefault="002F3B63" w:rsidP="002F3B63">
            <w:pPr>
              <w:jc w:val="center"/>
              <w:rPr>
                <w:szCs w:val="24"/>
              </w:rPr>
            </w:pPr>
            <w:r w:rsidRPr="00147AD2">
              <w:rPr>
                <w:szCs w:val="24"/>
              </w:rPr>
              <w:t>17.5</w:t>
            </w:r>
          </w:p>
        </w:tc>
        <w:tc>
          <w:tcPr>
            <w:tcW w:w="1187" w:type="dxa"/>
            <w:vAlign w:val="center"/>
          </w:tcPr>
          <w:p w:rsidR="002F3B63" w:rsidRPr="00147AD2" w:rsidRDefault="002F3B63" w:rsidP="002F3B63">
            <w:pPr>
              <w:jc w:val="center"/>
              <w:rPr>
                <w:szCs w:val="24"/>
              </w:rPr>
            </w:pPr>
            <w:r w:rsidRPr="00147AD2">
              <w:rPr>
                <w:szCs w:val="24"/>
              </w:rPr>
              <w:t>17.5</w:t>
            </w:r>
          </w:p>
        </w:tc>
        <w:tc>
          <w:tcPr>
            <w:tcW w:w="1289" w:type="dxa"/>
            <w:vAlign w:val="center"/>
          </w:tcPr>
          <w:p w:rsidR="002F3B63" w:rsidRPr="00147AD2" w:rsidRDefault="002F3B63" w:rsidP="002F3B63">
            <w:pPr>
              <w:jc w:val="center"/>
              <w:rPr>
                <w:szCs w:val="24"/>
              </w:rPr>
            </w:pPr>
            <w:r w:rsidRPr="00147AD2">
              <w:rPr>
                <w:szCs w:val="24"/>
              </w:rPr>
              <w:t>0.820</w:t>
            </w:r>
          </w:p>
        </w:tc>
        <w:tc>
          <w:tcPr>
            <w:tcW w:w="1605" w:type="dxa"/>
          </w:tcPr>
          <w:p w:rsidR="002F3B63" w:rsidRPr="00147AD2" w:rsidRDefault="002F3B63" w:rsidP="002F3B63">
            <w:pPr>
              <w:jc w:val="center"/>
              <w:rPr>
                <w:szCs w:val="24"/>
              </w:rPr>
            </w:pPr>
            <w:r w:rsidRPr="00147AD2">
              <w:rPr>
                <w:szCs w:val="24"/>
              </w:rPr>
              <w:t>4.69e-2</w:t>
            </w:r>
          </w:p>
        </w:tc>
      </w:tr>
      <w:tr w:rsidR="002F3B63" w:rsidTr="002F3B63">
        <w:tc>
          <w:tcPr>
            <w:tcW w:w="1398" w:type="dxa"/>
            <w:vAlign w:val="center"/>
          </w:tcPr>
          <w:p w:rsidR="002F3B63" w:rsidRPr="00147AD2" w:rsidRDefault="002F3B63" w:rsidP="002F3B63">
            <w:pPr>
              <w:jc w:val="center"/>
              <w:rPr>
                <w:szCs w:val="24"/>
              </w:rPr>
            </w:pPr>
            <w:r w:rsidRPr="00147AD2">
              <w:rPr>
                <w:rFonts w:cstheme="minorHAnsi"/>
                <w:b/>
                <w:szCs w:val="24"/>
              </w:rPr>
              <w:t>Ѳ</w:t>
            </w:r>
            <w:r w:rsidRPr="00147AD2">
              <w:rPr>
                <w:rFonts w:cstheme="minorHAnsi"/>
                <w:b/>
                <w:szCs w:val="24"/>
                <w:vertAlign w:val="subscript"/>
              </w:rPr>
              <w:t>s</w:t>
            </w:r>
          </w:p>
        </w:tc>
        <w:tc>
          <w:tcPr>
            <w:tcW w:w="1193" w:type="dxa"/>
            <w:vAlign w:val="center"/>
          </w:tcPr>
          <w:p w:rsidR="002F3B63" w:rsidRPr="00147AD2" w:rsidRDefault="002F3B63" w:rsidP="002F3B63">
            <w:pPr>
              <w:jc w:val="center"/>
              <w:rPr>
                <w:szCs w:val="24"/>
              </w:rPr>
            </w:pPr>
            <w:r w:rsidRPr="00147AD2">
              <w:rPr>
                <w:szCs w:val="24"/>
              </w:rPr>
              <w:t>cm</w:t>
            </w:r>
            <w:r w:rsidRPr="00147AD2">
              <w:rPr>
                <w:szCs w:val="24"/>
                <w:vertAlign w:val="superscript"/>
              </w:rPr>
              <w:t>3</w:t>
            </w:r>
            <w:r w:rsidRPr="00147AD2">
              <w:rPr>
                <w:szCs w:val="24"/>
              </w:rPr>
              <w:t>/cm</w:t>
            </w:r>
            <w:r w:rsidRPr="00147AD2">
              <w:rPr>
                <w:szCs w:val="24"/>
                <w:vertAlign w:val="superscript"/>
              </w:rPr>
              <w:t>3</w:t>
            </w:r>
          </w:p>
        </w:tc>
        <w:tc>
          <w:tcPr>
            <w:tcW w:w="1169" w:type="dxa"/>
            <w:vAlign w:val="center"/>
          </w:tcPr>
          <w:p w:rsidR="002F3B63" w:rsidRPr="00147AD2" w:rsidRDefault="002F3B63" w:rsidP="002F3B63">
            <w:pPr>
              <w:jc w:val="center"/>
              <w:rPr>
                <w:szCs w:val="24"/>
              </w:rPr>
            </w:pPr>
            <w:r w:rsidRPr="00147AD2">
              <w:rPr>
                <w:szCs w:val="24"/>
              </w:rPr>
              <w:t>115</w:t>
            </w:r>
          </w:p>
        </w:tc>
        <w:tc>
          <w:tcPr>
            <w:tcW w:w="1177" w:type="dxa"/>
            <w:vAlign w:val="center"/>
          </w:tcPr>
          <w:p w:rsidR="002F3B63" w:rsidRPr="00147AD2" w:rsidRDefault="002F3B63" w:rsidP="002F3B63">
            <w:pPr>
              <w:jc w:val="center"/>
              <w:rPr>
                <w:szCs w:val="24"/>
              </w:rPr>
            </w:pPr>
            <w:r w:rsidRPr="00147AD2">
              <w:rPr>
                <w:szCs w:val="24"/>
              </w:rPr>
              <w:t>0.374</w:t>
            </w:r>
          </w:p>
        </w:tc>
        <w:tc>
          <w:tcPr>
            <w:tcW w:w="1187" w:type="dxa"/>
            <w:vAlign w:val="center"/>
          </w:tcPr>
          <w:p w:rsidR="002F3B63" w:rsidRPr="00147AD2" w:rsidRDefault="002F3B63" w:rsidP="002F3B63">
            <w:pPr>
              <w:jc w:val="center"/>
              <w:rPr>
                <w:szCs w:val="24"/>
              </w:rPr>
            </w:pPr>
            <w:r w:rsidRPr="00147AD2">
              <w:rPr>
                <w:szCs w:val="24"/>
              </w:rPr>
              <w:t>0.464</w:t>
            </w:r>
          </w:p>
        </w:tc>
        <w:tc>
          <w:tcPr>
            <w:tcW w:w="1289" w:type="dxa"/>
            <w:vAlign w:val="center"/>
          </w:tcPr>
          <w:p w:rsidR="002F3B63" w:rsidRPr="00147AD2" w:rsidRDefault="002F3B63" w:rsidP="002F3B63">
            <w:pPr>
              <w:jc w:val="center"/>
              <w:rPr>
                <w:szCs w:val="24"/>
              </w:rPr>
            </w:pPr>
            <w:r w:rsidRPr="00147AD2">
              <w:rPr>
                <w:szCs w:val="24"/>
              </w:rPr>
              <w:t>4.44e-2</w:t>
            </w:r>
          </w:p>
        </w:tc>
        <w:tc>
          <w:tcPr>
            <w:tcW w:w="1605" w:type="dxa"/>
          </w:tcPr>
          <w:p w:rsidR="002F3B63" w:rsidRPr="00147AD2" w:rsidRDefault="002F3B63" w:rsidP="002F3B63">
            <w:pPr>
              <w:jc w:val="center"/>
              <w:rPr>
                <w:szCs w:val="24"/>
              </w:rPr>
            </w:pPr>
            <w:r w:rsidRPr="00147AD2">
              <w:rPr>
                <w:szCs w:val="24"/>
              </w:rPr>
              <w:t>0.119</w:t>
            </w:r>
          </w:p>
        </w:tc>
      </w:tr>
      <w:tr w:rsidR="002F3B63" w:rsidTr="002F3B63">
        <w:tc>
          <w:tcPr>
            <w:tcW w:w="1398" w:type="dxa"/>
            <w:vAlign w:val="center"/>
          </w:tcPr>
          <w:p w:rsidR="002F3B63" w:rsidRPr="00147AD2" w:rsidRDefault="002F3B63" w:rsidP="002F3B63">
            <w:pPr>
              <w:jc w:val="center"/>
              <w:rPr>
                <w:szCs w:val="24"/>
              </w:rPr>
            </w:pPr>
            <w:r w:rsidRPr="00147AD2">
              <w:rPr>
                <w:rFonts w:cstheme="minorHAnsi"/>
                <w:b/>
                <w:szCs w:val="24"/>
              </w:rPr>
              <w:t>λ</w:t>
            </w:r>
          </w:p>
        </w:tc>
        <w:tc>
          <w:tcPr>
            <w:tcW w:w="1193" w:type="dxa"/>
            <w:vAlign w:val="center"/>
          </w:tcPr>
          <w:p w:rsidR="002F3B63" w:rsidRPr="00147AD2" w:rsidRDefault="002F3B63" w:rsidP="002F3B63">
            <w:pPr>
              <w:jc w:val="center"/>
              <w:rPr>
                <w:szCs w:val="24"/>
              </w:rPr>
            </w:pPr>
            <w:r w:rsidRPr="00147AD2">
              <w:rPr>
                <w:szCs w:val="24"/>
              </w:rPr>
              <w:t>-</w:t>
            </w:r>
          </w:p>
        </w:tc>
        <w:tc>
          <w:tcPr>
            <w:tcW w:w="1169" w:type="dxa"/>
            <w:vAlign w:val="center"/>
          </w:tcPr>
          <w:p w:rsidR="002F3B63" w:rsidRPr="00147AD2" w:rsidRDefault="002F3B63" w:rsidP="002F3B63">
            <w:pPr>
              <w:jc w:val="center"/>
              <w:rPr>
                <w:szCs w:val="24"/>
              </w:rPr>
            </w:pPr>
            <w:r w:rsidRPr="00147AD2">
              <w:rPr>
                <w:szCs w:val="24"/>
              </w:rPr>
              <w:t>115</w:t>
            </w:r>
          </w:p>
        </w:tc>
        <w:tc>
          <w:tcPr>
            <w:tcW w:w="1177" w:type="dxa"/>
            <w:vAlign w:val="center"/>
          </w:tcPr>
          <w:p w:rsidR="002F3B63" w:rsidRPr="00147AD2" w:rsidRDefault="002F3B63" w:rsidP="002F3B63">
            <w:pPr>
              <w:jc w:val="center"/>
              <w:rPr>
                <w:szCs w:val="24"/>
              </w:rPr>
            </w:pPr>
            <w:r w:rsidRPr="00147AD2">
              <w:rPr>
                <w:szCs w:val="24"/>
              </w:rPr>
              <w:t>7.74</w:t>
            </w:r>
          </w:p>
        </w:tc>
        <w:tc>
          <w:tcPr>
            <w:tcW w:w="1187" w:type="dxa"/>
            <w:vAlign w:val="center"/>
          </w:tcPr>
          <w:p w:rsidR="002F3B63" w:rsidRPr="00147AD2" w:rsidRDefault="002F3B63" w:rsidP="002F3B63">
            <w:pPr>
              <w:jc w:val="center"/>
              <w:rPr>
                <w:szCs w:val="24"/>
              </w:rPr>
            </w:pPr>
            <w:r w:rsidRPr="00147AD2">
              <w:rPr>
                <w:szCs w:val="24"/>
              </w:rPr>
              <w:t>7.42</w:t>
            </w:r>
          </w:p>
        </w:tc>
        <w:tc>
          <w:tcPr>
            <w:tcW w:w="1289" w:type="dxa"/>
            <w:vAlign w:val="center"/>
          </w:tcPr>
          <w:p w:rsidR="002F3B63" w:rsidRPr="00147AD2" w:rsidRDefault="002F3B63" w:rsidP="002F3B63">
            <w:pPr>
              <w:jc w:val="center"/>
              <w:rPr>
                <w:szCs w:val="24"/>
              </w:rPr>
            </w:pPr>
            <w:r w:rsidRPr="00147AD2">
              <w:rPr>
                <w:szCs w:val="24"/>
              </w:rPr>
              <w:t>2.50</w:t>
            </w:r>
          </w:p>
        </w:tc>
        <w:tc>
          <w:tcPr>
            <w:tcW w:w="1605" w:type="dxa"/>
          </w:tcPr>
          <w:p w:rsidR="002F3B63" w:rsidRPr="00147AD2" w:rsidRDefault="002F3B63" w:rsidP="002F3B63">
            <w:pPr>
              <w:jc w:val="center"/>
              <w:rPr>
                <w:szCs w:val="24"/>
              </w:rPr>
            </w:pPr>
            <w:r w:rsidRPr="00147AD2">
              <w:rPr>
                <w:szCs w:val="24"/>
              </w:rPr>
              <w:t>0.323</w:t>
            </w:r>
          </w:p>
        </w:tc>
      </w:tr>
      <w:tr w:rsidR="002F3B63" w:rsidTr="002F3B63">
        <w:tc>
          <w:tcPr>
            <w:tcW w:w="1398" w:type="dxa"/>
            <w:vAlign w:val="center"/>
          </w:tcPr>
          <w:p w:rsidR="002F3B63" w:rsidRPr="00147AD2" w:rsidRDefault="002F3B63" w:rsidP="002F3B63">
            <w:pPr>
              <w:jc w:val="center"/>
              <w:rPr>
                <w:szCs w:val="24"/>
              </w:rPr>
            </w:pPr>
            <w:r w:rsidRPr="00147AD2">
              <w:rPr>
                <w:rFonts w:cstheme="minorHAnsi"/>
                <w:b/>
                <w:szCs w:val="24"/>
              </w:rPr>
              <w:t>Ѳ</w:t>
            </w:r>
            <w:r w:rsidRPr="00147AD2">
              <w:rPr>
                <w:rFonts w:cstheme="minorHAnsi"/>
                <w:b/>
                <w:szCs w:val="24"/>
                <w:vertAlign w:val="subscript"/>
              </w:rPr>
              <w:t>r</w:t>
            </w:r>
          </w:p>
        </w:tc>
        <w:tc>
          <w:tcPr>
            <w:tcW w:w="1193" w:type="dxa"/>
            <w:vAlign w:val="center"/>
          </w:tcPr>
          <w:p w:rsidR="002F3B63" w:rsidRPr="00147AD2" w:rsidRDefault="002F3B63" w:rsidP="002F3B63">
            <w:pPr>
              <w:jc w:val="center"/>
              <w:rPr>
                <w:szCs w:val="24"/>
              </w:rPr>
            </w:pPr>
            <w:r w:rsidRPr="00147AD2">
              <w:rPr>
                <w:szCs w:val="24"/>
              </w:rPr>
              <w:t>cm</w:t>
            </w:r>
            <w:r w:rsidRPr="00147AD2">
              <w:rPr>
                <w:szCs w:val="24"/>
                <w:vertAlign w:val="superscript"/>
              </w:rPr>
              <w:t>3</w:t>
            </w:r>
            <w:r w:rsidRPr="00147AD2">
              <w:rPr>
                <w:szCs w:val="24"/>
              </w:rPr>
              <w:t>/cm</w:t>
            </w:r>
            <w:r w:rsidRPr="00147AD2">
              <w:rPr>
                <w:szCs w:val="24"/>
                <w:vertAlign w:val="superscript"/>
              </w:rPr>
              <w:t>3</w:t>
            </w:r>
          </w:p>
        </w:tc>
        <w:tc>
          <w:tcPr>
            <w:tcW w:w="1169" w:type="dxa"/>
            <w:vAlign w:val="center"/>
          </w:tcPr>
          <w:p w:rsidR="002F3B63" w:rsidRPr="00147AD2" w:rsidRDefault="002F3B63" w:rsidP="002F3B63">
            <w:pPr>
              <w:jc w:val="center"/>
              <w:rPr>
                <w:szCs w:val="24"/>
              </w:rPr>
            </w:pPr>
            <w:r w:rsidRPr="00147AD2">
              <w:rPr>
                <w:szCs w:val="24"/>
              </w:rPr>
              <w:t>115</w:t>
            </w:r>
          </w:p>
        </w:tc>
        <w:tc>
          <w:tcPr>
            <w:tcW w:w="1177" w:type="dxa"/>
            <w:vAlign w:val="center"/>
          </w:tcPr>
          <w:p w:rsidR="002F3B63" w:rsidRPr="00147AD2" w:rsidRDefault="002F3B63" w:rsidP="002F3B63">
            <w:pPr>
              <w:jc w:val="center"/>
              <w:rPr>
                <w:szCs w:val="24"/>
              </w:rPr>
            </w:pPr>
            <w:r w:rsidRPr="00147AD2">
              <w:rPr>
                <w:szCs w:val="24"/>
              </w:rPr>
              <w:t>2.66e-2</w:t>
            </w:r>
          </w:p>
        </w:tc>
        <w:tc>
          <w:tcPr>
            <w:tcW w:w="1187" w:type="dxa"/>
            <w:vAlign w:val="center"/>
          </w:tcPr>
          <w:p w:rsidR="002F3B63" w:rsidRPr="00147AD2" w:rsidRDefault="002F3B63" w:rsidP="002F3B63">
            <w:pPr>
              <w:jc w:val="center"/>
              <w:rPr>
                <w:szCs w:val="24"/>
              </w:rPr>
            </w:pPr>
            <w:r w:rsidRPr="00147AD2">
              <w:rPr>
                <w:szCs w:val="24"/>
              </w:rPr>
              <w:t>2.55e-2</w:t>
            </w:r>
          </w:p>
        </w:tc>
        <w:tc>
          <w:tcPr>
            <w:tcW w:w="1289" w:type="dxa"/>
            <w:vAlign w:val="center"/>
          </w:tcPr>
          <w:p w:rsidR="002F3B63" w:rsidRPr="00147AD2" w:rsidRDefault="002F3B63" w:rsidP="002F3B63">
            <w:pPr>
              <w:jc w:val="center"/>
              <w:rPr>
                <w:szCs w:val="24"/>
              </w:rPr>
            </w:pPr>
            <w:r w:rsidRPr="00147AD2">
              <w:rPr>
                <w:szCs w:val="24"/>
              </w:rPr>
              <w:t>1.08e-2</w:t>
            </w:r>
          </w:p>
        </w:tc>
        <w:tc>
          <w:tcPr>
            <w:tcW w:w="1605" w:type="dxa"/>
          </w:tcPr>
          <w:p w:rsidR="002F3B63" w:rsidRPr="00147AD2" w:rsidRDefault="002F3B63" w:rsidP="002F3B63">
            <w:pPr>
              <w:jc w:val="center"/>
              <w:rPr>
                <w:szCs w:val="24"/>
              </w:rPr>
            </w:pPr>
            <w:r w:rsidRPr="00147AD2">
              <w:rPr>
                <w:szCs w:val="24"/>
              </w:rPr>
              <w:t>0.405</w:t>
            </w:r>
          </w:p>
        </w:tc>
      </w:tr>
    </w:tbl>
    <w:p w:rsidR="002F3B63" w:rsidRDefault="002F3B63" w:rsidP="002F3B63">
      <w:pPr>
        <w:pStyle w:val="Caption"/>
      </w:pPr>
      <w:bookmarkStart w:id="56" w:name="_Toc425427057"/>
      <w:r>
        <w:t xml:space="preserve">Table </w:t>
      </w:r>
      <w:fldSimple w:instr=" SEQ Table \* ARABIC ">
        <w:r w:rsidR="00885C9E">
          <w:rPr>
            <w:noProof/>
          </w:rPr>
          <w:t>1</w:t>
        </w:r>
      </w:fldSimple>
      <w:r>
        <w:t>: Descriptive statistics of observed BC parameters</w:t>
      </w:r>
      <w:r w:rsidR="00FE3B97">
        <w:t xml:space="preserve"> (Equation 1)</w:t>
      </w:r>
      <w:bookmarkEnd w:id="56"/>
    </w:p>
    <w:p w:rsidR="002F3B63" w:rsidRPr="00686053" w:rsidRDefault="002F3B63" w:rsidP="002F3B63"/>
    <w:tbl>
      <w:tblPr>
        <w:tblStyle w:val="TableGrid"/>
        <w:tblW w:w="0" w:type="auto"/>
        <w:tblLayout w:type="fixed"/>
        <w:tblLook w:val="04A0"/>
      </w:tblPr>
      <w:tblGrid>
        <w:gridCol w:w="2358"/>
        <w:gridCol w:w="1260"/>
      </w:tblGrid>
      <w:tr w:rsidR="002F3B63" w:rsidTr="002F3B63">
        <w:tc>
          <w:tcPr>
            <w:tcW w:w="2358" w:type="dxa"/>
          </w:tcPr>
          <w:p w:rsidR="002F3B63" w:rsidRPr="00147AD2" w:rsidRDefault="002F3B63" w:rsidP="002F3B63">
            <w:pPr>
              <w:rPr>
                <w:b/>
                <w:szCs w:val="24"/>
              </w:rPr>
            </w:pPr>
            <w:r w:rsidRPr="00147AD2">
              <w:rPr>
                <w:b/>
                <w:szCs w:val="24"/>
              </w:rPr>
              <w:t>Significance Levels</w:t>
            </w:r>
          </w:p>
        </w:tc>
        <w:tc>
          <w:tcPr>
            <w:tcW w:w="1260" w:type="dxa"/>
          </w:tcPr>
          <w:p w:rsidR="002F3B63" w:rsidRPr="00147AD2" w:rsidRDefault="002F3B63" w:rsidP="002F3B63">
            <w:pPr>
              <w:rPr>
                <w:b/>
                <w:szCs w:val="24"/>
              </w:rPr>
            </w:pPr>
            <w:r w:rsidRPr="00147AD2">
              <w:rPr>
                <w:b/>
                <w:szCs w:val="24"/>
              </w:rPr>
              <w:t>Asterisks</w:t>
            </w:r>
          </w:p>
        </w:tc>
      </w:tr>
      <w:tr w:rsidR="002F3B63" w:rsidTr="002F3B63">
        <w:tc>
          <w:tcPr>
            <w:tcW w:w="2358" w:type="dxa"/>
          </w:tcPr>
          <w:p w:rsidR="002F3B63" w:rsidRPr="00147AD2" w:rsidRDefault="002F3B63" w:rsidP="002F3B63">
            <w:pPr>
              <w:rPr>
                <w:szCs w:val="24"/>
              </w:rPr>
            </w:pPr>
            <w:r w:rsidRPr="00147AD2">
              <w:rPr>
                <w:szCs w:val="24"/>
              </w:rPr>
              <w:t>&lt; 0.001</w:t>
            </w:r>
          </w:p>
        </w:tc>
        <w:tc>
          <w:tcPr>
            <w:tcW w:w="1260" w:type="dxa"/>
          </w:tcPr>
          <w:p w:rsidR="002F3B63" w:rsidRPr="00147AD2" w:rsidRDefault="002F3B63" w:rsidP="002F3B63">
            <w:pPr>
              <w:rPr>
                <w:szCs w:val="24"/>
              </w:rPr>
            </w:pPr>
            <w:r w:rsidRPr="00147AD2">
              <w:rPr>
                <w:szCs w:val="24"/>
              </w:rPr>
              <w:t>***</w:t>
            </w:r>
          </w:p>
        </w:tc>
      </w:tr>
      <w:tr w:rsidR="002F3B63" w:rsidTr="002F3B63">
        <w:tc>
          <w:tcPr>
            <w:tcW w:w="2358" w:type="dxa"/>
          </w:tcPr>
          <w:p w:rsidR="002F3B63" w:rsidRPr="00147AD2" w:rsidRDefault="002F3B63" w:rsidP="002F3B63">
            <w:pPr>
              <w:rPr>
                <w:szCs w:val="24"/>
              </w:rPr>
            </w:pPr>
            <w:r w:rsidRPr="00147AD2">
              <w:rPr>
                <w:szCs w:val="24"/>
              </w:rPr>
              <w:t>&lt; 0.01</w:t>
            </w:r>
          </w:p>
        </w:tc>
        <w:tc>
          <w:tcPr>
            <w:tcW w:w="1260" w:type="dxa"/>
          </w:tcPr>
          <w:p w:rsidR="002F3B63" w:rsidRPr="00147AD2" w:rsidRDefault="002F3B63" w:rsidP="002F3B63">
            <w:pPr>
              <w:rPr>
                <w:szCs w:val="24"/>
              </w:rPr>
            </w:pPr>
            <w:r w:rsidRPr="00147AD2">
              <w:rPr>
                <w:szCs w:val="24"/>
              </w:rPr>
              <w:t>**</w:t>
            </w:r>
          </w:p>
        </w:tc>
      </w:tr>
      <w:tr w:rsidR="002F3B63" w:rsidTr="002F3B63">
        <w:tc>
          <w:tcPr>
            <w:tcW w:w="2358" w:type="dxa"/>
          </w:tcPr>
          <w:p w:rsidR="002F3B63" w:rsidRPr="00147AD2" w:rsidRDefault="002F3B63" w:rsidP="002F3B63">
            <w:pPr>
              <w:rPr>
                <w:szCs w:val="24"/>
              </w:rPr>
            </w:pPr>
            <w:r w:rsidRPr="00147AD2">
              <w:rPr>
                <w:szCs w:val="24"/>
              </w:rPr>
              <w:t>&lt; 0.05</w:t>
            </w:r>
          </w:p>
        </w:tc>
        <w:tc>
          <w:tcPr>
            <w:tcW w:w="1260" w:type="dxa"/>
          </w:tcPr>
          <w:p w:rsidR="002F3B63" w:rsidRPr="00147AD2" w:rsidRDefault="002F3B63" w:rsidP="002F3B63">
            <w:pPr>
              <w:rPr>
                <w:szCs w:val="24"/>
              </w:rPr>
            </w:pPr>
            <w:r w:rsidRPr="00147AD2">
              <w:rPr>
                <w:szCs w:val="24"/>
              </w:rPr>
              <w:t>*</w:t>
            </w:r>
          </w:p>
        </w:tc>
      </w:tr>
      <w:tr w:rsidR="002F3B63" w:rsidTr="002F3B63">
        <w:tc>
          <w:tcPr>
            <w:tcW w:w="2358" w:type="dxa"/>
          </w:tcPr>
          <w:p w:rsidR="002F3B63" w:rsidRPr="00147AD2" w:rsidRDefault="002F3B63" w:rsidP="002F3B63">
            <w:pPr>
              <w:rPr>
                <w:szCs w:val="24"/>
              </w:rPr>
            </w:pPr>
            <w:r w:rsidRPr="00147AD2">
              <w:rPr>
                <w:szCs w:val="24"/>
              </w:rPr>
              <w:t>Not Significant</w:t>
            </w:r>
          </w:p>
        </w:tc>
        <w:tc>
          <w:tcPr>
            <w:tcW w:w="1260" w:type="dxa"/>
          </w:tcPr>
          <w:p w:rsidR="002F3B63" w:rsidRPr="00147AD2" w:rsidRDefault="002F3B63" w:rsidP="002F3B63">
            <w:pPr>
              <w:rPr>
                <w:szCs w:val="24"/>
              </w:rPr>
            </w:pPr>
            <w:r w:rsidRPr="00147AD2">
              <w:rPr>
                <w:szCs w:val="24"/>
              </w:rPr>
              <w:t>NS</w:t>
            </w:r>
          </w:p>
        </w:tc>
      </w:tr>
    </w:tbl>
    <w:p w:rsidR="00FE3B97" w:rsidRDefault="002F3B63" w:rsidP="002F3B63">
      <w:pPr>
        <w:pStyle w:val="Caption"/>
      </w:pPr>
      <w:bookmarkStart w:id="57" w:name="_Toc425427058"/>
      <w:r>
        <w:t xml:space="preserve">Table </w:t>
      </w:r>
      <w:fldSimple w:instr=" SEQ Table \* ARABIC ">
        <w:r w:rsidR="00885C9E">
          <w:rPr>
            <w:noProof/>
          </w:rPr>
          <w:t>2</w:t>
        </w:r>
      </w:fldSimple>
      <w:r>
        <w:t xml:space="preserve">: </w:t>
      </w:r>
      <w:r w:rsidR="00FE3B97">
        <w:t>Asterisks are used to denote the level of significance for multiple statistical tests presented in the study; for example, *** indicates significance at the 99.9% confidence level, ** indicates significance at the 99% confidence level, * indicates significance at</w:t>
      </w:r>
      <w:r w:rsidR="00F72F65">
        <w:t xml:space="preserve"> the 95% confidence level, and non-significant (confidence levels &lt; 95%) results are indicated</w:t>
      </w:r>
      <w:r w:rsidR="00FE3B97">
        <w:t xml:space="preserve"> using NS</w:t>
      </w:r>
      <w:bookmarkEnd w:id="57"/>
    </w:p>
    <w:p w:rsidR="002F3B63" w:rsidRPr="00686053" w:rsidRDefault="002F3B63" w:rsidP="002F3B63"/>
    <w:tbl>
      <w:tblPr>
        <w:tblStyle w:val="TableGrid"/>
        <w:tblW w:w="0" w:type="auto"/>
        <w:tblLook w:val="04A0"/>
      </w:tblPr>
      <w:tblGrid>
        <w:gridCol w:w="1398"/>
        <w:gridCol w:w="1193"/>
        <w:gridCol w:w="1169"/>
        <w:gridCol w:w="1208"/>
      </w:tblGrid>
      <w:tr w:rsidR="002F3B63" w:rsidTr="002F3B63">
        <w:tc>
          <w:tcPr>
            <w:tcW w:w="1398" w:type="dxa"/>
            <w:vAlign w:val="center"/>
          </w:tcPr>
          <w:p w:rsidR="002F3B63" w:rsidRPr="00147AD2" w:rsidRDefault="002F3B63" w:rsidP="002F3B63">
            <w:pPr>
              <w:jc w:val="center"/>
              <w:rPr>
                <w:b/>
                <w:szCs w:val="24"/>
              </w:rPr>
            </w:pPr>
            <w:r w:rsidRPr="00147AD2">
              <w:rPr>
                <w:b/>
                <w:szCs w:val="24"/>
              </w:rPr>
              <w:t>Parameter</w:t>
            </w:r>
          </w:p>
        </w:tc>
        <w:tc>
          <w:tcPr>
            <w:tcW w:w="1193" w:type="dxa"/>
            <w:vAlign w:val="center"/>
          </w:tcPr>
          <w:p w:rsidR="002F3B63" w:rsidRPr="00147AD2" w:rsidRDefault="002F3B63" w:rsidP="002F3B63">
            <w:pPr>
              <w:jc w:val="center"/>
              <w:rPr>
                <w:b/>
                <w:szCs w:val="24"/>
              </w:rPr>
            </w:pPr>
            <w:r w:rsidRPr="00147AD2">
              <w:rPr>
                <w:b/>
                <w:szCs w:val="24"/>
              </w:rPr>
              <w:t>Unit</w:t>
            </w:r>
          </w:p>
        </w:tc>
        <w:tc>
          <w:tcPr>
            <w:tcW w:w="1169" w:type="dxa"/>
            <w:vAlign w:val="center"/>
          </w:tcPr>
          <w:p w:rsidR="002F3B63" w:rsidRPr="00147AD2" w:rsidRDefault="002F3B63" w:rsidP="002F3B63">
            <w:pPr>
              <w:jc w:val="center"/>
              <w:rPr>
                <w:b/>
                <w:szCs w:val="24"/>
              </w:rPr>
            </w:pPr>
            <w:r w:rsidRPr="00147AD2">
              <w:rPr>
                <w:b/>
                <w:szCs w:val="24"/>
              </w:rPr>
              <w:t>N</w:t>
            </w:r>
          </w:p>
        </w:tc>
        <w:tc>
          <w:tcPr>
            <w:tcW w:w="1208" w:type="dxa"/>
            <w:vAlign w:val="center"/>
          </w:tcPr>
          <w:p w:rsidR="002F3B63" w:rsidRPr="00147AD2" w:rsidRDefault="002F3B63" w:rsidP="002F3B63">
            <w:pPr>
              <w:jc w:val="center"/>
              <w:rPr>
                <w:b/>
                <w:szCs w:val="24"/>
              </w:rPr>
            </w:pPr>
            <w:r w:rsidRPr="00147AD2">
              <w:rPr>
                <w:b/>
                <w:szCs w:val="24"/>
              </w:rPr>
              <w:t>W</w:t>
            </w:r>
          </w:p>
        </w:tc>
      </w:tr>
      <w:tr w:rsidR="002F3B63" w:rsidTr="002F3B63">
        <w:tc>
          <w:tcPr>
            <w:tcW w:w="1398" w:type="dxa"/>
            <w:vAlign w:val="center"/>
          </w:tcPr>
          <w:p w:rsidR="002F3B63" w:rsidRPr="00147AD2" w:rsidRDefault="002F3B63" w:rsidP="002F3B63">
            <w:pPr>
              <w:jc w:val="center"/>
              <w:rPr>
                <w:szCs w:val="24"/>
              </w:rPr>
            </w:pPr>
            <w:r w:rsidRPr="00147AD2">
              <w:rPr>
                <w:rFonts w:cstheme="minorHAnsi"/>
                <w:b/>
                <w:szCs w:val="24"/>
              </w:rPr>
              <w:t>ψ</w:t>
            </w:r>
            <w:r w:rsidRPr="00147AD2">
              <w:rPr>
                <w:rFonts w:cstheme="minorHAnsi"/>
                <w:b/>
                <w:szCs w:val="24"/>
                <w:vertAlign w:val="subscript"/>
              </w:rPr>
              <w:t>a</w:t>
            </w:r>
          </w:p>
        </w:tc>
        <w:tc>
          <w:tcPr>
            <w:tcW w:w="1193" w:type="dxa"/>
            <w:vAlign w:val="center"/>
          </w:tcPr>
          <w:p w:rsidR="002F3B63" w:rsidRPr="00147AD2" w:rsidRDefault="002F3B63" w:rsidP="002F3B63">
            <w:pPr>
              <w:jc w:val="center"/>
              <w:rPr>
                <w:szCs w:val="24"/>
              </w:rPr>
            </w:pPr>
            <w:r w:rsidRPr="00147AD2">
              <w:rPr>
                <w:szCs w:val="24"/>
              </w:rPr>
              <w:t>cm</w:t>
            </w:r>
          </w:p>
        </w:tc>
        <w:tc>
          <w:tcPr>
            <w:tcW w:w="1169" w:type="dxa"/>
            <w:vAlign w:val="center"/>
          </w:tcPr>
          <w:p w:rsidR="002F3B63" w:rsidRPr="00147AD2" w:rsidRDefault="002F3B63" w:rsidP="002F3B63">
            <w:pPr>
              <w:jc w:val="center"/>
              <w:rPr>
                <w:szCs w:val="24"/>
              </w:rPr>
            </w:pPr>
            <w:r w:rsidRPr="00147AD2">
              <w:rPr>
                <w:szCs w:val="24"/>
              </w:rPr>
              <w:t>115</w:t>
            </w:r>
          </w:p>
        </w:tc>
        <w:tc>
          <w:tcPr>
            <w:tcW w:w="1208" w:type="dxa"/>
            <w:vAlign w:val="center"/>
          </w:tcPr>
          <w:p w:rsidR="002F3B63" w:rsidRPr="00147AD2" w:rsidRDefault="002F3B63" w:rsidP="002F3B63">
            <w:pPr>
              <w:rPr>
                <w:szCs w:val="24"/>
              </w:rPr>
            </w:pPr>
            <w:r w:rsidRPr="00147AD2">
              <w:rPr>
                <w:szCs w:val="24"/>
              </w:rPr>
              <w:t>0.984</w:t>
            </w:r>
          </w:p>
        </w:tc>
      </w:tr>
      <w:tr w:rsidR="002F3B63" w:rsidTr="002F3B63">
        <w:tc>
          <w:tcPr>
            <w:tcW w:w="1398" w:type="dxa"/>
            <w:vAlign w:val="center"/>
          </w:tcPr>
          <w:p w:rsidR="002F3B63" w:rsidRPr="00147AD2" w:rsidRDefault="002F3B63" w:rsidP="002F3B63">
            <w:pPr>
              <w:jc w:val="center"/>
              <w:rPr>
                <w:szCs w:val="24"/>
              </w:rPr>
            </w:pPr>
            <w:r w:rsidRPr="00147AD2">
              <w:rPr>
                <w:rFonts w:cstheme="minorHAnsi"/>
                <w:b/>
                <w:szCs w:val="24"/>
              </w:rPr>
              <w:t>Ѳ</w:t>
            </w:r>
            <w:r w:rsidRPr="00147AD2">
              <w:rPr>
                <w:rFonts w:cstheme="minorHAnsi"/>
                <w:b/>
                <w:szCs w:val="24"/>
                <w:vertAlign w:val="subscript"/>
              </w:rPr>
              <w:t>s</w:t>
            </w:r>
          </w:p>
        </w:tc>
        <w:tc>
          <w:tcPr>
            <w:tcW w:w="1193" w:type="dxa"/>
            <w:vAlign w:val="center"/>
          </w:tcPr>
          <w:p w:rsidR="002F3B63" w:rsidRPr="00147AD2" w:rsidRDefault="002F3B63" w:rsidP="002F3B63">
            <w:pPr>
              <w:jc w:val="center"/>
              <w:rPr>
                <w:szCs w:val="24"/>
              </w:rPr>
            </w:pPr>
            <w:r w:rsidRPr="00147AD2">
              <w:rPr>
                <w:szCs w:val="24"/>
              </w:rPr>
              <w:t>cm</w:t>
            </w:r>
            <w:r w:rsidRPr="00147AD2">
              <w:rPr>
                <w:szCs w:val="24"/>
                <w:vertAlign w:val="superscript"/>
              </w:rPr>
              <w:t>3</w:t>
            </w:r>
            <w:r w:rsidRPr="00147AD2">
              <w:rPr>
                <w:szCs w:val="24"/>
              </w:rPr>
              <w:t>/cm</w:t>
            </w:r>
            <w:r w:rsidRPr="00147AD2">
              <w:rPr>
                <w:szCs w:val="24"/>
                <w:vertAlign w:val="superscript"/>
              </w:rPr>
              <w:t>3</w:t>
            </w:r>
          </w:p>
        </w:tc>
        <w:tc>
          <w:tcPr>
            <w:tcW w:w="1169" w:type="dxa"/>
            <w:vAlign w:val="center"/>
          </w:tcPr>
          <w:p w:rsidR="002F3B63" w:rsidRPr="00147AD2" w:rsidRDefault="002F3B63" w:rsidP="002F3B63">
            <w:pPr>
              <w:jc w:val="center"/>
              <w:rPr>
                <w:szCs w:val="24"/>
              </w:rPr>
            </w:pPr>
            <w:r w:rsidRPr="00147AD2">
              <w:rPr>
                <w:szCs w:val="24"/>
              </w:rPr>
              <w:t>115</w:t>
            </w:r>
          </w:p>
        </w:tc>
        <w:tc>
          <w:tcPr>
            <w:tcW w:w="1208" w:type="dxa"/>
            <w:vAlign w:val="center"/>
          </w:tcPr>
          <w:p w:rsidR="002F3B63" w:rsidRPr="00147AD2" w:rsidRDefault="002F3B63" w:rsidP="002F3B63">
            <w:pPr>
              <w:rPr>
                <w:szCs w:val="24"/>
              </w:rPr>
            </w:pPr>
            <w:r w:rsidRPr="00147AD2">
              <w:rPr>
                <w:szCs w:val="24"/>
              </w:rPr>
              <w:t>0.901 ***</w:t>
            </w:r>
          </w:p>
        </w:tc>
      </w:tr>
      <w:tr w:rsidR="002F3B63" w:rsidTr="002F3B63">
        <w:tc>
          <w:tcPr>
            <w:tcW w:w="1398" w:type="dxa"/>
            <w:vAlign w:val="center"/>
          </w:tcPr>
          <w:p w:rsidR="002F3B63" w:rsidRPr="00147AD2" w:rsidRDefault="002F3B63" w:rsidP="002F3B63">
            <w:pPr>
              <w:jc w:val="center"/>
              <w:rPr>
                <w:szCs w:val="24"/>
              </w:rPr>
            </w:pPr>
            <w:r w:rsidRPr="00147AD2">
              <w:rPr>
                <w:rFonts w:cstheme="minorHAnsi"/>
                <w:b/>
                <w:szCs w:val="24"/>
              </w:rPr>
              <w:t>λ</w:t>
            </w:r>
          </w:p>
        </w:tc>
        <w:tc>
          <w:tcPr>
            <w:tcW w:w="1193" w:type="dxa"/>
            <w:vAlign w:val="center"/>
          </w:tcPr>
          <w:p w:rsidR="002F3B63" w:rsidRPr="00147AD2" w:rsidRDefault="002F3B63" w:rsidP="002F3B63">
            <w:pPr>
              <w:jc w:val="center"/>
              <w:rPr>
                <w:szCs w:val="24"/>
              </w:rPr>
            </w:pPr>
            <w:r w:rsidRPr="00147AD2">
              <w:rPr>
                <w:szCs w:val="24"/>
              </w:rPr>
              <w:t>-</w:t>
            </w:r>
          </w:p>
        </w:tc>
        <w:tc>
          <w:tcPr>
            <w:tcW w:w="1169" w:type="dxa"/>
            <w:vAlign w:val="center"/>
          </w:tcPr>
          <w:p w:rsidR="002F3B63" w:rsidRPr="00147AD2" w:rsidRDefault="002F3B63" w:rsidP="002F3B63">
            <w:pPr>
              <w:jc w:val="center"/>
              <w:rPr>
                <w:szCs w:val="24"/>
              </w:rPr>
            </w:pPr>
            <w:r w:rsidRPr="00147AD2">
              <w:rPr>
                <w:szCs w:val="24"/>
              </w:rPr>
              <w:t>115</w:t>
            </w:r>
          </w:p>
        </w:tc>
        <w:tc>
          <w:tcPr>
            <w:tcW w:w="1208" w:type="dxa"/>
            <w:vAlign w:val="center"/>
          </w:tcPr>
          <w:p w:rsidR="002F3B63" w:rsidRPr="00147AD2" w:rsidRDefault="002F3B63" w:rsidP="002F3B63">
            <w:pPr>
              <w:rPr>
                <w:szCs w:val="24"/>
              </w:rPr>
            </w:pPr>
            <w:r w:rsidRPr="00147AD2">
              <w:rPr>
                <w:szCs w:val="24"/>
              </w:rPr>
              <w:t>0.951 ***</w:t>
            </w:r>
          </w:p>
        </w:tc>
      </w:tr>
      <w:tr w:rsidR="002F3B63" w:rsidTr="002F3B63">
        <w:tc>
          <w:tcPr>
            <w:tcW w:w="1398" w:type="dxa"/>
            <w:vAlign w:val="center"/>
          </w:tcPr>
          <w:p w:rsidR="002F3B63" w:rsidRPr="00147AD2" w:rsidRDefault="002F3B63" w:rsidP="002F3B63">
            <w:pPr>
              <w:jc w:val="center"/>
              <w:rPr>
                <w:szCs w:val="24"/>
              </w:rPr>
            </w:pPr>
            <w:r w:rsidRPr="00147AD2">
              <w:rPr>
                <w:rFonts w:cstheme="minorHAnsi"/>
                <w:b/>
                <w:szCs w:val="24"/>
              </w:rPr>
              <w:t>Ѳ</w:t>
            </w:r>
            <w:r w:rsidRPr="00147AD2">
              <w:rPr>
                <w:rFonts w:cstheme="minorHAnsi"/>
                <w:b/>
                <w:szCs w:val="24"/>
                <w:vertAlign w:val="subscript"/>
              </w:rPr>
              <w:t>r</w:t>
            </w:r>
          </w:p>
        </w:tc>
        <w:tc>
          <w:tcPr>
            <w:tcW w:w="1193" w:type="dxa"/>
            <w:vAlign w:val="center"/>
          </w:tcPr>
          <w:p w:rsidR="002F3B63" w:rsidRPr="00147AD2" w:rsidRDefault="002F3B63" w:rsidP="002F3B63">
            <w:pPr>
              <w:jc w:val="center"/>
              <w:rPr>
                <w:szCs w:val="24"/>
              </w:rPr>
            </w:pPr>
            <w:r w:rsidRPr="00147AD2">
              <w:rPr>
                <w:szCs w:val="24"/>
              </w:rPr>
              <w:t>cm</w:t>
            </w:r>
            <w:r w:rsidRPr="00147AD2">
              <w:rPr>
                <w:szCs w:val="24"/>
                <w:vertAlign w:val="superscript"/>
              </w:rPr>
              <w:t>3</w:t>
            </w:r>
            <w:r w:rsidRPr="00147AD2">
              <w:rPr>
                <w:szCs w:val="24"/>
              </w:rPr>
              <w:t>/cm</w:t>
            </w:r>
            <w:r w:rsidRPr="00147AD2">
              <w:rPr>
                <w:szCs w:val="24"/>
                <w:vertAlign w:val="superscript"/>
              </w:rPr>
              <w:t>3</w:t>
            </w:r>
          </w:p>
        </w:tc>
        <w:tc>
          <w:tcPr>
            <w:tcW w:w="1169" w:type="dxa"/>
            <w:vAlign w:val="center"/>
          </w:tcPr>
          <w:p w:rsidR="002F3B63" w:rsidRPr="00147AD2" w:rsidRDefault="002F3B63" w:rsidP="002F3B63">
            <w:pPr>
              <w:jc w:val="center"/>
              <w:rPr>
                <w:szCs w:val="24"/>
              </w:rPr>
            </w:pPr>
            <w:r w:rsidRPr="00147AD2">
              <w:rPr>
                <w:szCs w:val="24"/>
              </w:rPr>
              <w:t>115</w:t>
            </w:r>
          </w:p>
        </w:tc>
        <w:tc>
          <w:tcPr>
            <w:tcW w:w="1208" w:type="dxa"/>
            <w:vAlign w:val="center"/>
          </w:tcPr>
          <w:p w:rsidR="002F3B63" w:rsidRPr="00147AD2" w:rsidRDefault="002F3B63" w:rsidP="002F3B63">
            <w:pPr>
              <w:rPr>
                <w:szCs w:val="24"/>
              </w:rPr>
            </w:pPr>
            <w:r w:rsidRPr="00147AD2">
              <w:rPr>
                <w:szCs w:val="24"/>
              </w:rPr>
              <w:t>0.983</w:t>
            </w:r>
          </w:p>
        </w:tc>
      </w:tr>
      <w:tr w:rsidR="002F3B63" w:rsidTr="002F3B63">
        <w:tc>
          <w:tcPr>
            <w:tcW w:w="1398" w:type="dxa"/>
            <w:vAlign w:val="center"/>
          </w:tcPr>
          <w:p w:rsidR="002F3B63" w:rsidRPr="00147AD2" w:rsidRDefault="002F3B63" w:rsidP="002F3B63">
            <w:pPr>
              <w:jc w:val="center"/>
              <w:rPr>
                <w:rFonts w:cstheme="minorHAnsi"/>
                <w:b/>
                <w:szCs w:val="24"/>
              </w:rPr>
            </w:pPr>
            <w:r w:rsidRPr="00147AD2">
              <w:rPr>
                <w:rFonts w:cstheme="minorHAnsi"/>
                <w:b/>
                <w:szCs w:val="24"/>
              </w:rPr>
              <w:t>1/Ѳ</w:t>
            </w:r>
            <w:r w:rsidRPr="00147AD2">
              <w:rPr>
                <w:rFonts w:cstheme="minorHAnsi"/>
                <w:b/>
                <w:szCs w:val="24"/>
                <w:vertAlign w:val="subscript"/>
              </w:rPr>
              <w:t>s</w:t>
            </w:r>
          </w:p>
        </w:tc>
        <w:tc>
          <w:tcPr>
            <w:tcW w:w="1193" w:type="dxa"/>
            <w:vAlign w:val="center"/>
          </w:tcPr>
          <w:p w:rsidR="002F3B63" w:rsidRPr="00147AD2" w:rsidRDefault="002F3B63" w:rsidP="002F3B63">
            <w:pPr>
              <w:jc w:val="center"/>
              <w:rPr>
                <w:szCs w:val="24"/>
              </w:rPr>
            </w:pPr>
            <w:r w:rsidRPr="00147AD2">
              <w:rPr>
                <w:szCs w:val="24"/>
              </w:rPr>
              <w:t>cm</w:t>
            </w:r>
            <w:r w:rsidRPr="00147AD2">
              <w:rPr>
                <w:szCs w:val="24"/>
                <w:vertAlign w:val="superscript"/>
              </w:rPr>
              <w:t>3</w:t>
            </w:r>
            <w:r w:rsidRPr="00147AD2">
              <w:rPr>
                <w:szCs w:val="24"/>
              </w:rPr>
              <w:t>/cm</w:t>
            </w:r>
            <w:r w:rsidRPr="00147AD2">
              <w:rPr>
                <w:szCs w:val="24"/>
                <w:vertAlign w:val="superscript"/>
              </w:rPr>
              <w:t>3</w:t>
            </w:r>
          </w:p>
        </w:tc>
        <w:tc>
          <w:tcPr>
            <w:tcW w:w="1169" w:type="dxa"/>
            <w:vAlign w:val="center"/>
          </w:tcPr>
          <w:p w:rsidR="002F3B63" w:rsidRPr="00147AD2" w:rsidRDefault="002F3B63" w:rsidP="002F3B63">
            <w:pPr>
              <w:jc w:val="center"/>
              <w:rPr>
                <w:szCs w:val="24"/>
              </w:rPr>
            </w:pPr>
            <w:r w:rsidRPr="00147AD2">
              <w:rPr>
                <w:szCs w:val="24"/>
              </w:rPr>
              <w:t>115</w:t>
            </w:r>
          </w:p>
        </w:tc>
        <w:tc>
          <w:tcPr>
            <w:tcW w:w="1208" w:type="dxa"/>
            <w:vAlign w:val="center"/>
          </w:tcPr>
          <w:p w:rsidR="002F3B63" w:rsidRPr="00147AD2" w:rsidRDefault="002F3B63" w:rsidP="002F3B63">
            <w:pPr>
              <w:rPr>
                <w:szCs w:val="24"/>
              </w:rPr>
            </w:pPr>
            <w:r w:rsidRPr="00147AD2">
              <w:rPr>
                <w:szCs w:val="24"/>
              </w:rPr>
              <w:t>0.972 *</w:t>
            </w:r>
          </w:p>
        </w:tc>
      </w:tr>
      <w:tr w:rsidR="002F3B63" w:rsidTr="002F3B63">
        <w:trPr>
          <w:trHeight w:val="341"/>
        </w:trPr>
        <w:tc>
          <w:tcPr>
            <w:tcW w:w="1398" w:type="dxa"/>
            <w:vAlign w:val="center"/>
          </w:tcPr>
          <w:p w:rsidR="002F3B63" w:rsidRPr="00147AD2" w:rsidRDefault="002F3B63" w:rsidP="002F3B63">
            <w:pPr>
              <w:jc w:val="center"/>
              <w:rPr>
                <w:rFonts w:cstheme="minorHAnsi"/>
                <w:b/>
                <w:szCs w:val="24"/>
              </w:rPr>
            </w:pPr>
            <w:r w:rsidRPr="00147AD2">
              <w:rPr>
                <w:rFonts w:cstheme="minorHAnsi"/>
                <w:b/>
                <w:szCs w:val="24"/>
              </w:rPr>
              <w:t>Log</w:t>
            </w:r>
            <w:r w:rsidRPr="00147AD2">
              <w:rPr>
                <w:rFonts w:cstheme="minorHAnsi"/>
                <w:b/>
                <w:szCs w:val="24"/>
                <w:vertAlign w:val="subscript"/>
              </w:rPr>
              <w:t>10</w:t>
            </w:r>
            <w:r w:rsidRPr="00147AD2">
              <w:rPr>
                <w:rFonts w:cstheme="minorHAnsi"/>
                <w:b/>
                <w:szCs w:val="24"/>
              </w:rPr>
              <w:t>(λ)</w:t>
            </w:r>
          </w:p>
        </w:tc>
        <w:tc>
          <w:tcPr>
            <w:tcW w:w="1193" w:type="dxa"/>
            <w:vAlign w:val="center"/>
          </w:tcPr>
          <w:p w:rsidR="002F3B63" w:rsidRPr="00147AD2" w:rsidRDefault="002F3B63" w:rsidP="002F3B63">
            <w:pPr>
              <w:jc w:val="center"/>
              <w:rPr>
                <w:szCs w:val="24"/>
              </w:rPr>
            </w:pPr>
            <w:r w:rsidRPr="00147AD2">
              <w:rPr>
                <w:szCs w:val="24"/>
              </w:rPr>
              <w:t>-</w:t>
            </w:r>
          </w:p>
        </w:tc>
        <w:tc>
          <w:tcPr>
            <w:tcW w:w="1169" w:type="dxa"/>
            <w:vAlign w:val="center"/>
          </w:tcPr>
          <w:p w:rsidR="002F3B63" w:rsidRPr="00147AD2" w:rsidRDefault="002F3B63" w:rsidP="002F3B63">
            <w:pPr>
              <w:jc w:val="center"/>
              <w:rPr>
                <w:szCs w:val="24"/>
              </w:rPr>
            </w:pPr>
            <w:r w:rsidRPr="00147AD2">
              <w:rPr>
                <w:szCs w:val="24"/>
              </w:rPr>
              <w:t>115</w:t>
            </w:r>
          </w:p>
        </w:tc>
        <w:tc>
          <w:tcPr>
            <w:tcW w:w="1208" w:type="dxa"/>
            <w:vAlign w:val="center"/>
          </w:tcPr>
          <w:p w:rsidR="002F3B63" w:rsidRPr="00147AD2" w:rsidRDefault="002F3B63" w:rsidP="002F3B63">
            <w:pPr>
              <w:rPr>
                <w:szCs w:val="24"/>
              </w:rPr>
            </w:pPr>
            <w:r w:rsidRPr="00147AD2">
              <w:rPr>
                <w:szCs w:val="24"/>
              </w:rPr>
              <w:t>0.993</w:t>
            </w:r>
          </w:p>
        </w:tc>
      </w:tr>
    </w:tbl>
    <w:p w:rsidR="002F3B63" w:rsidRDefault="002F3B63" w:rsidP="002F3B63">
      <w:pPr>
        <w:pStyle w:val="Caption"/>
      </w:pPr>
      <w:bookmarkStart w:id="58" w:name="_Toc425427059"/>
      <w:r>
        <w:t xml:space="preserve">Table </w:t>
      </w:r>
      <w:fldSimple w:instr=" SEQ Table \* ARABIC ">
        <w:r w:rsidR="00885C9E">
          <w:rPr>
            <w:noProof/>
          </w:rPr>
          <w:t>3</w:t>
        </w:r>
      </w:fldSimple>
      <w:r>
        <w:t xml:space="preserve">: SW </w:t>
      </w:r>
      <w:r w:rsidRPr="00CD56A7">
        <w:rPr>
          <w:i/>
        </w:rPr>
        <w:t>W</w:t>
      </w:r>
      <w:r>
        <w:t xml:space="preserve"> statistic used to test if the BC parameters come from a normal distribution before employing trend surface analysis and moving forward with the kriging analyses</w:t>
      </w:r>
      <w:bookmarkEnd w:id="58"/>
    </w:p>
    <w:p w:rsidR="002F3B63" w:rsidRPr="00686053" w:rsidRDefault="002F3B63" w:rsidP="002F3B63"/>
    <w:tbl>
      <w:tblPr>
        <w:tblStyle w:val="TableGrid"/>
        <w:tblW w:w="0" w:type="auto"/>
        <w:tblLayout w:type="fixed"/>
        <w:tblLook w:val="04A0"/>
      </w:tblPr>
      <w:tblGrid>
        <w:gridCol w:w="1398"/>
        <w:gridCol w:w="1140"/>
        <w:gridCol w:w="1080"/>
      </w:tblGrid>
      <w:tr w:rsidR="002F3B63" w:rsidTr="002F3B63">
        <w:tc>
          <w:tcPr>
            <w:tcW w:w="1398" w:type="dxa"/>
            <w:vAlign w:val="center"/>
          </w:tcPr>
          <w:p w:rsidR="002F3B63" w:rsidRPr="00147AD2" w:rsidRDefault="002F3B63" w:rsidP="002F3B63">
            <w:pPr>
              <w:jc w:val="center"/>
              <w:rPr>
                <w:b/>
                <w:szCs w:val="24"/>
              </w:rPr>
            </w:pPr>
            <w:r w:rsidRPr="00147AD2">
              <w:rPr>
                <w:b/>
                <w:szCs w:val="24"/>
              </w:rPr>
              <w:t>Parameter</w:t>
            </w:r>
          </w:p>
        </w:tc>
        <w:tc>
          <w:tcPr>
            <w:tcW w:w="1140" w:type="dxa"/>
            <w:vAlign w:val="center"/>
          </w:tcPr>
          <w:p w:rsidR="002F3B63" w:rsidRPr="00147AD2" w:rsidRDefault="002F3B63" w:rsidP="002F3B63">
            <w:pPr>
              <w:jc w:val="center"/>
              <w:rPr>
                <w:b/>
                <w:szCs w:val="24"/>
              </w:rPr>
            </w:pPr>
            <w:r w:rsidRPr="00147AD2">
              <w:rPr>
                <w:b/>
                <w:szCs w:val="24"/>
              </w:rPr>
              <w:t>Unit</w:t>
            </w:r>
          </w:p>
        </w:tc>
        <w:tc>
          <w:tcPr>
            <w:tcW w:w="1080" w:type="dxa"/>
            <w:vAlign w:val="center"/>
          </w:tcPr>
          <w:p w:rsidR="002F3B63" w:rsidRPr="00147AD2" w:rsidRDefault="002F3B63" w:rsidP="002F3B63">
            <w:pPr>
              <w:jc w:val="center"/>
              <w:rPr>
                <w:b/>
                <w:szCs w:val="24"/>
              </w:rPr>
            </w:pPr>
            <w:r w:rsidRPr="00147AD2">
              <w:rPr>
                <w:b/>
                <w:szCs w:val="24"/>
              </w:rPr>
              <w:t>χ</w:t>
            </w:r>
            <w:r w:rsidRPr="00147AD2">
              <w:rPr>
                <w:b/>
                <w:szCs w:val="24"/>
                <w:vertAlign w:val="superscript"/>
              </w:rPr>
              <w:t>2</w:t>
            </w:r>
          </w:p>
        </w:tc>
      </w:tr>
      <w:tr w:rsidR="002F3B63" w:rsidTr="002F3B63">
        <w:tc>
          <w:tcPr>
            <w:tcW w:w="1398" w:type="dxa"/>
            <w:vAlign w:val="center"/>
          </w:tcPr>
          <w:p w:rsidR="002F3B63" w:rsidRPr="00147AD2" w:rsidRDefault="002F3B63" w:rsidP="002F3B63">
            <w:pPr>
              <w:jc w:val="center"/>
              <w:rPr>
                <w:szCs w:val="24"/>
              </w:rPr>
            </w:pPr>
            <w:r w:rsidRPr="00147AD2">
              <w:rPr>
                <w:rFonts w:cstheme="minorHAnsi"/>
                <w:b/>
                <w:szCs w:val="24"/>
              </w:rPr>
              <w:t>ψ</w:t>
            </w:r>
            <w:r w:rsidRPr="00147AD2">
              <w:rPr>
                <w:rFonts w:cstheme="minorHAnsi"/>
                <w:b/>
                <w:szCs w:val="24"/>
                <w:vertAlign w:val="subscript"/>
              </w:rPr>
              <w:t>a</w:t>
            </w:r>
          </w:p>
        </w:tc>
        <w:tc>
          <w:tcPr>
            <w:tcW w:w="1140" w:type="dxa"/>
            <w:vAlign w:val="center"/>
          </w:tcPr>
          <w:p w:rsidR="002F3B63" w:rsidRPr="00147AD2" w:rsidRDefault="002F3B63" w:rsidP="002F3B63">
            <w:pPr>
              <w:jc w:val="center"/>
              <w:rPr>
                <w:szCs w:val="24"/>
              </w:rPr>
            </w:pPr>
            <w:r w:rsidRPr="00147AD2">
              <w:rPr>
                <w:szCs w:val="24"/>
              </w:rPr>
              <w:t>cm</w:t>
            </w:r>
          </w:p>
        </w:tc>
        <w:tc>
          <w:tcPr>
            <w:tcW w:w="1080" w:type="dxa"/>
            <w:vAlign w:val="center"/>
          </w:tcPr>
          <w:p w:rsidR="002F3B63" w:rsidRPr="00147AD2" w:rsidRDefault="002F3B63" w:rsidP="002F3B63">
            <w:pPr>
              <w:jc w:val="center"/>
              <w:rPr>
                <w:szCs w:val="24"/>
              </w:rPr>
            </w:pPr>
            <w:r w:rsidRPr="00147AD2">
              <w:rPr>
                <w:szCs w:val="24"/>
              </w:rPr>
              <w:t xml:space="preserve">NS </w:t>
            </w:r>
          </w:p>
        </w:tc>
      </w:tr>
      <w:tr w:rsidR="002F3B63" w:rsidTr="002F3B63">
        <w:tc>
          <w:tcPr>
            <w:tcW w:w="1398" w:type="dxa"/>
            <w:vAlign w:val="center"/>
          </w:tcPr>
          <w:p w:rsidR="002F3B63" w:rsidRPr="00147AD2" w:rsidRDefault="002F3B63" w:rsidP="002F3B63">
            <w:pPr>
              <w:jc w:val="center"/>
              <w:rPr>
                <w:szCs w:val="24"/>
              </w:rPr>
            </w:pPr>
            <w:r w:rsidRPr="00147AD2">
              <w:rPr>
                <w:rFonts w:cstheme="minorHAnsi"/>
                <w:b/>
                <w:szCs w:val="24"/>
              </w:rPr>
              <w:t>Ѳ</w:t>
            </w:r>
            <w:r w:rsidRPr="00147AD2">
              <w:rPr>
                <w:rFonts w:cstheme="minorHAnsi"/>
                <w:b/>
                <w:szCs w:val="24"/>
                <w:vertAlign w:val="subscript"/>
              </w:rPr>
              <w:t>s</w:t>
            </w:r>
          </w:p>
        </w:tc>
        <w:tc>
          <w:tcPr>
            <w:tcW w:w="1140" w:type="dxa"/>
            <w:vAlign w:val="center"/>
          </w:tcPr>
          <w:p w:rsidR="002F3B63" w:rsidRPr="00147AD2" w:rsidRDefault="002F3B63" w:rsidP="002F3B63">
            <w:pPr>
              <w:jc w:val="center"/>
              <w:rPr>
                <w:szCs w:val="24"/>
              </w:rPr>
            </w:pPr>
            <w:r w:rsidRPr="00147AD2">
              <w:rPr>
                <w:szCs w:val="24"/>
              </w:rPr>
              <w:t>cm</w:t>
            </w:r>
            <w:r w:rsidRPr="00147AD2">
              <w:rPr>
                <w:szCs w:val="24"/>
                <w:vertAlign w:val="superscript"/>
              </w:rPr>
              <w:t>3</w:t>
            </w:r>
            <w:r w:rsidRPr="00147AD2">
              <w:rPr>
                <w:szCs w:val="24"/>
              </w:rPr>
              <w:t>/cm</w:t>
            </w:r>
            <w:r w:rsidRPr="00147AD2">
              <w:rPr>
                <w:szCs w:val="24"/>
                <w:vertAlign w:val="superscript"/>
              </w:rPr>
              <w:t>3</w:t>
            </w:r>
          </w:p>
        </w:tc>
        <w:tc>
          <w:tcPr>
            <w:tcW w:w="1080" w:type="dxa"/>
            <w:vAlign w:val="center"/>
          </w:tcPr>
          <w:p w:rsidR="002F3B63" w:rsidRPr="00147AD2" w:rsidRDefault="002F3B63" w:rsidP="002F3B63">
            <w:pPr>
              <w:jc w:val="center"/>
              <w:rPr>
                <w:szCs w:val="24"/>
              </w:rPr>
            </w:pPr>
            <w:r w:rsidRPr="00147AD2">
              <w:rPr>
                <w:szCs w:val="24"/>
              </w:rPr>
              <w:t>36.1 ***</w:t>
            </w:r>
          </w:p>
        </w:tc>
      </w:tr>
      <w:tr w:rsidR="002F3B63" w:rsidTr="002F3B63">
        <w:tc>
          <w:tcPr>
            <w:tcW w:w="1398" w:type="dxa"/>
            <w:vAlign w:val="center"/>
          </w:tcPr>
          <w:p w:rsidR="002F3B63" w:rsidRPr="00147AD2" w:rsidRDefault="002F3B63" w:rsidP="002F3B63">
            <w:pPr>
              <w:jc w:val="center"/>
              <w:rPr>
                <w:szCs w:val="24"/>
              </w:rPr>
            </w:pPr>
            <w:r w:rsidRPr="00147AD2">
              <w:rPr>
                <w:rFonts w:cstheme="minorHAnsi"/>
                <w:b/>
                <w:szCs w:val="24"/>
              </w:rPr>
              <w:t>λ</w:t>
            </w:r>
          </w:p>
        </w:tc>
        <w:tc>
          <w:tcPr>
            <w:tcW w:w="1140" w:type="dxa"/>
            <w:vAlign w:val="center"/>
          </w:tcPr>
          <w:p w:rsidR="002F3B63" w:rsidRPr="00147AD2" w:rsidRDefault="002F3B63" w:rsidP="002F3B63">
            <w:pPr>
              <w:jc w:val="center"/>
              <w:rPr>
                <w:szCs w:val="24"/>
              </w:rPr>
            </w:pPr>
            <w:r w:rsidRPr="00147AD2">
              <w:rPr>
                <w:szCs w:val="24"/>
              </w:rPr>
              <w:t>-</w:t>
            </w:r>
          </w:p>
        </w:tc>
        <w:tc>
          <w:tcPr>
            <w:tcW w:w="1080" w:type="dxa"/>
            <w:vAlign w:val="center"/>
          </w:tcPr>
          <w:p w:rsidR="002F3B63" w:rsidRPr="00147AD2" w:rsidRDefault="002F3B63" w:rsidP="002F3B63">
            <w:pPr>
              <w:jc w:val="center"/>
              <w:rPr>
                <w:szCs w:val="24"/>
              </w:rPr>
            </w:pPr>
            <w:r w:rsidRPr="00147AD2">
              <w:rPr>
                <w:szCs w:val="24"/>
              </w:rPr>
              <w:t>NS</w:t>
            </w:r>
          </w:p>
        </w:tc>
      </w:tr>
      <w:tr w:rsidR="002F3B63" w:rsidTr="002F3B63">
        <w:tc>
          <w:tcPr>
            <w:tcW w:w="1398" w:type="dxa"/>
            <w:vAlign w:val="center"/>
          </w:tcPr>
          <w:p w:rsidR="002F3B63" w:rsidRPr="00147AD2" w:rsidRDefault="002F3B63" w:rsidP="002F3B63">
            <w:pPr>
              <w:jc w:val="center"/>
              <w:rPr>
                <w:szCs w:val="24"/>
              </w:rPr>
            </w:pPr>
            <w:r w:rsidRPr="00147AD2">
              <w:rPr>
                <w:rFonts w:cstheme="minorHAnsi"/>
                <w:b/>
                <w:szCs w:val="24"/>
              </w:rPr>
              <w:t>Ѳ</w:t>
            </w:r>
            <w:r w:rsidRPr="00147AD2">
              <w:rPr>
                <w:rFonts w:cstheme="minorHAnsi"/>
                <w:b/>
                <w:szCs w:val="24"/>
                <w:vertAlign w:val="subscript"/>
              </w:rPr>
              <w:t>r</w:t>
            </w:r>
          </w:p>
        </w:tc>
        <w:tc>
          <w:tcPr>
            <w:tcW w:w="1140" w:type="dxa"/>
            <w:vAlign w:val="center"/>
          </w:tcPr>
          <w:p w:rsidR="002F3B63" w:rsidRPr="00147AD2" w:rsidRDefault="002F3B63" w:rsidP="002F3B63">
            <w:pPr>
              <w:jc w:val="center"/>
              <w:rPr>
                <w:szCs w:val="24"/>
              </w:rPr>
            </w:pPr>
            <w:r w:rsidRPr="00147AD2">
              <w:rPr>
                <w:szCs w:val="24"/>
              </w:rPr>
              <w:t>cm</w:t>
            </w:r>
            <w:r w:rsidRPr="00147AD2">
              <w:rPr>
                <w:szCs w:val="24"/>
                <w:vertAlign w:val="superscript"/>
              </w:rPr>
              <w:t>3</w:t>
            </w:r>
            <w:r w:rsidRPr="00147AD2">
              <w:rPr>
                <w:szCs w:val="24"/>
              </w:rPr>
              <w:t>/cm</w:t>
            </w:r>
            <w:r w:rsidRPr="00147AD2">
              <w:rPr>
                <w:szCs w:val="24"/>
                <w:vertAlign w:val="superscript"/>
              </w:rPr>
              <w:t>3</w:t>
            </w:r>
          </w:p>
        </w:tc>
        <w:tc>
          <w:tcPr>
            <w:tcW w:w="1080" w:type="dxa"/>
            <w:vAlign w:val="center"/>
          </w:tcPr>
          <w:p w:rsidR="002F3B63" w:rsidRPr="00147AD2" w:rsidRDefault="002F3B63" w:rsidP="002F3B63">
            <w:pPr>
              <w:jc w:val="center"/>
              <w:rPr>
                <w:szCs w:val="24"/>
              </w:rPr>
            </w:pPr>
            <w:r w:rsidRPr="00147AD2">
              <w:rPr>
                <w:szCs w:val="24"/>
              </w:rPr>
              <w:t>14.4 *</w:t>
            </w:r>
          </w:p>
        </w:tc>
      </w:tr>
    </w:tbl>
    <w:p w:rsidR="002F3B63" w:rsidRDefault="002F3B63" w:rsidP="002F3B63">
      <w:pPr>
        <w:pStyle w:val="Caption"/>
      </w:pPr>
      <w:bookmarkStart w:id="59" w:name="_Toc425427060"/>
      <w:r>
        <w:t xml:space="preserve">Table </w:t>
      </w:r>
      <w:fldSimple w:instr=" SEQ Table \* ARABIC ">
        <w:r w:rsidR="00885C9E">
          <w:rPr>
            <w:noProof/>
          </w:rPr>
          <w:t>4</w:t>
        </w:r>
      </w:fldSimple>
      <w:r>
        <w:t>: KW results for sample intervals in the x-direction</w:t>
      </w:r>
      <w:bookmarkEnd w:id="59"/>
    </w:p>
    <w:p w:rsidR="002F3B63" w:rsidRDefault="002F3B63" w:rsidP="002F3B63"/>
    <w:p w:rsidR="002F3B63" w:rsidRPr="00686053" w:rsidRDefault="002F3B63" w:rsidP="002F3B63"/>
    <w:tbl>
      <w:tblPr>
        <w:tblStyle w:val="TableGrid"/>
        <w:tblW w:w="0" w:type="auto"/>
        <w:tblLayout w:type="fixed"/>
        <w:tblLook w:val="04A0"/>
      </w:tblPr>
      <w:tblGrid>
        <w:gridCol w:w="1398"/>
        <w:gridCol w:w="1193"/>
        <w:gridCol w:w="1028"/>
      </w:tblGrid>
      <w:tr w:rsidR="002F3B63" w:rsidTr="002F3B63">
        <w:tc>
          <w:tcPr>
            <w:tcW w:w="1398" w:type="dxa"/>
            <w:vAlign w:val="center"/>
          </w:tcPr>
          <w:p w:rsidR="002F3B63" w:rsidRPr="00147AD2" w:rsidRDefault="002F3B63" w:rsidP="002F3B63">
            <w:pPr>
              <w:jc w:val="center"/>
              <w:rPr>
                <w:b/>
                <w:szCs w:val="24"/>
              </w:rPr>
            </w:pPr>
            <w:r w:rsidRPr="00147AD2">
              <w:rPr>
                <w:b/>
                <w:szCs w:val="24"/>
              </w:rPr>
              <w:lastRenderedPageBreak/>
              <w:t>Parameter</w:t>
            </w:r>
          </w:p>
        </w:tc>
        <w:tc>
          <w:tcPr>
            <w:tcW w:w="1193" w:type="dxa"/>
            <w:vAlign w:val="center"/>
          </w:tcPr>
          <w:p w:rsidR="002F3B63" w:rsidRPr="00147AD2" w:rsidRDefault="002F3B63" w:rsidP="002F3B63">
            <w:pPr>
              <w:jc w:val="center"/>
              <w:rPr>
                <w:b/>
                <w:szCs w:val="24"/>
              </w:rPr>
            </w:pPr>
            <w:r w:rsidRPr="00147AD2">
              <w:rPr>
                <w:b/>
                <w:szCs w:val="24"/>
              </w:rPr>
              <w:t>Unit</w:t>
            </w:r>
          </w:p>
        </w:tc>
        <w:tc>
          <w:tcPr>
            <w:tcW w:w="1028" w:type="dxa"/>
            <w:vAlign w:val="center"/>
          </w:tcPr>
          <w:p w:rsidR="002F3B63" w:rsidRPr="00147AD2" w:rsidRDefault="002F3B63" w:rsidP="002F3B63">
            <w:pPr>
              <w:jc w:val="center"/>
              <w:rPr>
                <w:b/>
                <w:szCs w:val="24"/>
              </w:rPr>
            </w:pPr>
            <w:r w:rsidRPr="00147AD2">
              <w:rPr>
                <w:b/>
                <w:szCs w:val="24"/>
              </w:rPr>
              <w:t>χ</w:t>
            </w:r>
            <w:r w:rsidRPr="00147AD2">
              <w:rPr>
                <w:b/>
                <w:szCs w:val="24"/>
                <w:vertAlign w:val="superscript"/>
              </w:rPr>
              <w:t>2</w:t>
            </w:r>
          </w:p>
        </w:tc>
      </w:tr>
      <w:tr w:rsidR="002F3B63" w:rsidTr="002F3B63">
        <w:tc>
          <w:tcPr>
            <w:tcW w:w="1398" w:type="dxa"/>
            <w:vAlign w:val="center"/>
          </w:tcPr>
          <w:p w:rsidR="002F3B63" w:rsidRPr="00147AD2" w:rsidRDefault="002F3B63" w:rsidP="002F3B63">
            <w:pPr>
              <w:jc w:val="center"/>
              <w:rPr>
                <w:szCs w:val="24"/>
              </w:rPr>
            </w:pPr>
            <w:r w:rsidRPr="00147AD2">
              <w:rPr>
                <w:rFonts w:cstheme="minorHAnsi"/>
                <w:b/>
                <w:szCs w:val="24"/>
              </w:rPr>
              <w:t>ψ</w:t>
            </w:r>
            <w:r w:rsidRPr="00147AD2">
              <w:rPr>
                <w:rFonts w:cstheme="minorHAnsi"/>
                <w:b/>
                <w:szCs w:val="24"/>
                <w:vertAlign w:val="subscript"/>
              </w:rPr>
              <w:t>a</w:t>
            </w:r>
          </w:p>
        </w:tc>
        <w:tc>
          <w:tcPr>
            <w:tcW w:w="1193" w:type="dxa"/>
            <w:vAlign w:val="center"/>
          </w:tcPr>
          <w:p w:rsidR="002F3B63" w:rsidRPr="00147AD2" w:rsidRDefault="002F3B63" w:rsidP="002F3B63">
            <w:pPr>
              <w:jc w:val="center"/>
              <w:rPr>
                <w:szCs w:val="24"/>
              </w:rPr>
            </w:pPr>
            <w:r w:rsidRPr="00147AD2">
              <w:rPr>
                <w:szCs w:val="24"/>
              </w:rPr>
              <w:t>cm</w:t>
            </w:r>
          </w:p>
        </w:tc>
        <w:tc>
          <w:tcPr>
            <w:tcW w:w="1028" w:type="dxa"/>
            <w:vAlign w:val="center"/>
          </w:tcPr>
          <w:p w:rsidR="002F3B63" w:rsidRPr="00147AD2" w:rsidRDefault="002F3B63" w:rsidP="002F3B63">
            <w:pPr>
              <w:jc w:val="center"/>
              <w:rPr>
                <w:szCs w:val="24"/>
              </w:rPr>
            </w:pPr>
            <w:r w:rsidRPr="00147AD2">
              <w:rPr>
                <w:szCs w:val="24"/>
              </w:rPr>
              <w:t>48.7 ***</w:t>
            </w:r>
          </w:p>
        </w:tc>
      </w:tr>
      <w:tr w:rsidR="002F3B63" w:rsidTr="002F3B63">
        <w:tc>
          <w:tcPr>
            <w:tcW w:w="1398" w:type="dxa"/>
            <w:vAlign w:val="center"/>
          </w:tcPr>
          <w:p w:rsidR="002F3B63" w:rsidRPr="00147AD2" w:rsidRDefault="002F3B63" w:rsidP="002F3B63">
            <w:pPr>
              <w:jc w:val="center"/>
              <w:rPr>
                <w:szCs w:val="24"/>
              </w:rPr>
            </w:pPr>
            <w:r w:rsidRPr="00147AD2">
              <w:rPr>
                <w:rFonts w:cstheme="minorHAnsi"/>
                <w:b/>
                <w:szCs w:val="24"/>
              </w:rPr>
              <w:t>Ѳ</w:t>
            </w:r>
            <w:r w:rsidRPr="00147AD2">
              <w:rPr>
                <w:rFonts w:cstheme="minorHAnsi"/>
                <w:b/>
                <w:szCs w:val="24"/>
                <w:vertAlign w:val="subscript"/>
              </w:rPr>
              <w:t>s</w:t>
            </w:r>
          </w:p>
        </w:tc>
        <w:tc>
          <w:tcPr>
            <w:tcW w:w="1193" w:type="dxa"/>
            <w:vAlign w:val="center"/>
          </w:tcPr>
          <w:p w:rsidR="002F3B63" w:rsidRPr="00147AD2" w:rsidRDefault="002F3B63" w:rsidP="002F3B63">
            <w:pPr>
              <w:jc w:val="center"/>
              <w:rPr>
                <w:szCs w:val="24"/>
              </w:rPr>
            </w:pPr>
            <w:r w:rsidRPr="00147AD2">
              <w:rPr>
                <w:szCs w:val="24"/>
              </w:rPr>
              <w:t>cm</w:t>
            </w:r>
            <w:r w:rsidRPr="00147AD2">
              <w:rPr>
                <w:szCs w:val="24"/>
                <w:vertAlign w:val="superscript"/>
              </w:rPr>
              <w:t>3</w:t>
            </w:r>
            <w:r w:rsidRPr="00147AD2">
              <w:rPr>
                <w:szCs w:val="24"/>
              </w:rPr>
              <w:t>/cm</w:t>
            </w:r>
            <w:r w:rsidRPr="00147AD2">
              <w:rPr>
                <w:szCs w:val="24"/>
                <w:vertAlign w:val="superscript"/>
              </w:rPr>
              <w:t>3</w:t>
            </w:r>
          </w:p>
        </w:tc>
        <w:tc>
          <w:tcPr>
            <w:tcW w:w="1028" w:type="dxa"/>
            <w:vAlign w:val="center"/>
          </w:tcPr>
          <w:p w:rsidR="002F3B63" w:rsidRPr="00147AD2" w:rsidRDefault="002F3B63" w:rsidP="002F3B63">
            <w:pPr>
              <w:jc w:val="center"/>
              <w:rPr>
                <w:szCs w:val="24"/>
              </w:rPr>
            </w:pPr>
            <w:r w:rsidRPr="00147AD2">
              <w:rPr>
                <w:szCs w:val="24"/>
              </w:rPr>
              <w:t>NS</w:t>
            </w:r>
          </w:p>
        </w:tc>
      </w:tr>
      <w:tr w:rsidR="002F3B63" w:rsidTr="002F3B63">
        <w:tc>
          <w:tcPr>
            <w:tcW w:w="1398" w:type="dxa"/>
            <w:vAlign w:val="center"/>
          </w:tcPr>
          <w:p w:rsidR="002F3B63" w:rsidRPr="00147AD2" w:rsidRDefault="002F3B63" w:rsidP="002F3B63">
            <w:pPr>
              <w:jc w:val="center"/>
              <w:rPr>
                <w:szCs w:val="24"/>
              </w:rPr>
            </w:pPr>
            <w:r w:rsidRPr="00147AD2">
              <w:rPr>
                <w:rFonts w:cstheme="minorHAnsi"/>
                <w:b/>
                <w:szCs w:val="24"/>
              </w:rPr>
              <w:t>λ</w:t>
            </w:r>
          </w:p>
        </w:tc>
        <w:tc>
          <w:tcPr>
            <w:tcW w:w="1193" w:type="dxa"/>
            <w:vAlign w:val="center"/>
          </w:tcPr>
          <w:p w:rsidR="002F3B63" w:rsidRPr="00147AD2" w:rsidRDefault="002F3B63" w:rsidP="002F3B63">
            <w:pPr>
              <w:jc w:val="center"/>
              <w:rPr>
                <w:szCs w:val="24"/>
              </w:rPr>
            </w:pPr>
            <w:r w:rsidRPr="00147AD2">
              <w:rPr>
                <w:szCs w:val="24"/>
              </w:rPr>
              <w:t>-</w:t>
            </w:r>
          </w:p>
        </w:tc>
        <w:tc>
          <w:tcPr>
            <w:tcW w:w="1028" w:type="dxa"/>
            <w:vAlign w:val="center"/>
          </w:tcPr>
          <w:p w:rsidR="002F3B63" w:rsidRPr="00147AD2" w:rsidRDefault="002F3B63" w:rsidP="002F3B63">
            <w:pPr>
              <w:jc w:val="center"/>
              <w:rPr>
                <w:szCs w:val="24"/>
              </w:rPr>
            </w:pPr>
            <w:r w:rsidRPr="00147AD2">
              <w:rPr>
                <w:szCs w:val="24"/>
              </w:rPr>
              <w:t>29.6 *</w:t>
            </w:r>
          </w:p>
        </w:tc>
      </w:tr>
      <w:tr w:rsidR="002F3B63" w:rsidTr="002F3B63">
        <w:tc>
          <w:tcPr>
            <w:tcW w:w="1398" w:type="dxa"/>
            <w:vAlign w:val="center"/>
          </w:tcPr>
          <w:p w:rsidR="002F3B63" w:rsidRPr="00147AD2" w:rsidRDefault="002F3B63" w:rsidP="002F3B63">
            <w:pPr>
              <w:jc w:val="center"/>
              <w:rPr>
                <w:szCs w:val="24"/>
              </w:rPr>
            </w:pPr>
            <w:r w:rsidRPr="00147AD2">
              <w:rPr>
                <w:rFonts w:cstheme="minorHAnsi"/>
                <w:b/>
                <w:szCs w:val="24"/>
              </w:rPr>
              <w:t>Ѳ</w:t>
            </w:r>
            <w:r w:rsidRPr="00147AD2">
              <w:rPr>
                <w:rFonts w:cstheme="minorHAnsi"/>
                <w:b/>
                <w:szCs w:val="24"/>
                <w:vertAlign w:val="subscript"/>
              </w:rPr>
              <w:t>r</w:t>
            </w:r>
          </w:p>
        </w:tc>
        <w:tc>
          <w:tcPr>
            <w:tcW w:w="1193" w:type="dxa"/>
            <w:vAlign w:val="center"/>
          </w:tcPr>
          <w:p w:rsidR="002F3B63" w:rsidRPr="00147AD2" w:rsidRDefault="002F3B63" w:rsidP="002F3B63">
            <w:pPr>
              <w:jc w:val="center"/>
              <w:rPr>
                <w:szCs w:val="24"/>
              </w:rPr>
            </w:pPr>
            <w:r w:rsidRPr="00147AD2">
              <w:rPr>
                <w:szCs w:val="24"/>
              </w:rPr>
              <w:t>cm</w:t>
            </w:r>
            <w:r w:rsidRPr="00147AD2">
              <w:rPr>
                <w:szCs w:val="24"/>
                <w:vertAlign w:val="superscript"/>
              </w:rPr>
              <w:t>3</w:t>
            </w:r>
            <w:r w:rsidRPr="00147AD2">
              <w:rPr>
                <w:szCs w:val="24"/>
              </w:rPr>
              <w:t>/cm</w:t>
            </w:r>
            <w:r w:rsidRPr="00147AD2">
              <w:rPr>
                <w:szCs w:val="24"/>
                <w:vertAlign w:val="superscript"/>
              </w:rPr>
              <w:t>3</w:t>
            </w:r>
          </w:p>
        </w:tc>
        <w:tc>
          <w:tcPr>
            <w:tcW w:w="1028" w:type="dxa"/>
            <w:vAlign w:val="center"/>
          </w:tcPr>
          <w:p w:rsidR="002F3B63" w:rsidRPr="00147AD2" w:rsidRDefault="002F3B63" w:rsidP="002F3B63">
            <w:pPr>
              <w:jc w:val="center"/>
              <w:rPr>
                <w:szCs w:val="24"/>
              </w:rPr>
            </w:pPr>
            <w:r w:rsidRPr="00147AD2">
              <w:rPr>
                <w:szCs w:val="24"/>
              </w:rPr>
              <w:t>NS</w:t>
            </w:r>
          </w:p>
        </w:tc>
      </w:tr>
    </w:tbl>
    <w:p w:rsidR="002F3B63" w:rsidRPr="00F16EC1" w:rsidRDefault="002F3B63" w:rsidP="002F3B63">
      <w:pPr>
        <w:pStyle w:val="Caption"/>
      </w:pPr>
      <w:bookmarkStart w:id="60" w:name="_Toc425427061"/>
      <w:r>
        <w:t xml:space="preserve">Table </w:t>
      </w:r>
      <w:fldSimple w:instr=" SEQ Table \* ARABIC ">
        <w:r w:rsidR="00885C9E">
          <w:rPr>
            <w:noProof/>
          </w:rPr>
          <w:t>5</w:t>
        </w:r>
      </w:fldSimple>
      <w:r>
        <w:t>: KW results for sample intervals in the y-direction</w:t>
      </w:r>
      <w:bookmarkEnd w:id="60"/>
    </w:p>
    <w:p w:rsidR="002F3B63" w:rsidRPr="00686053" w:rsidRDefault="002F3B63" w:rsidP="002F3B63"/>
    <w:tbl>
      <w:tblPr>
        <w:tblStyle w:val="TableGrid"/>
        <w:tblW w:w="0" w:type="auto"/>
        <w:tblLook w:val="04A0"/>
      </w:tblPr>
      <w:tblGrid>
        <w:gridCol w:w="1398"/>
        <w:gridCol w:w="1193"/>
        <w:gridCol w:w="1169"/>
        <w:gridCol w:w="1177"/>
        <w:gridCol w:w="1471"/>
      </w:tblGrid>
      <w:tr w:rsidR="002F3B63" w:rsidTr="002F3B63">
        <w:tc>
          <w:tcPr>
            <w:tcW w:w="1398" w:type="dxa"/>
            <w:vAlign w:val="center"/>
          </w:tcPr>
          <w:p w:rsidR="002F3B63" w:rsidRPr="00147AD2" w:rsidRDefault="002F3B63" w:rsidP="002F3B63">
            <w:pPr>
              <w:jc w:val="center"/>
              <w:rPr>
                <w:b/>
                <w:szCs w:val="24"/>
              </w:rPr>
            </w:pPr>
            <w:r w:rsidRPr="00147AD2">
              <w:rPr>
                <w:b/>
                <w:szCs w:val="24"/>
              </w:rPr>
              <w:t>Parameter</w:t>
            </w:r>
          </w:p>
        </w:tc>
        <w:tc>
          <w:tcPr>
            <w:tcW w:w="1193" w:type="dxa"/>
            <w:vAlign w:val="center"/>
          </w:tcPr>
          <w:p w:rsidR="002F3B63" w:rsidRPr="00147AD2" w:rsidRDefault="002F3B63" w:rsidP="002F3B63">
            <w:pPr>
              <w:jc w:val="center"/>
              <w:rPr>
                <w:b/>
                <w:szCs w:val="24"/>
              </w:rPr>
            </w:pPr>
            <w:r w:rsidRPr="00147AD2">
              <w:rPr>
                <w:b/>
                <w:szCs w:val="24"/>
              </w:rPr>
              <w:t>Unit</w:t>
            </w:r>
          </w:p>
        </w:tc>
        <w:tc>
          <w:tcPr>
            <w:tcW w:w="1169" w:type="dxa"/>
            <w:vAlign w:val="center"/>
          </w:tcPr>
          <w:p w:rsidR="002F3B63" w:rsidRPr="00147AD2" w:rsidRDefault="002F3B63" w:rsidP="002F3B63">
            <w:pPr>
              <w:jc w:val="center"/>
              <w:rPr>
                <w:b/>
                <w:szCs w:val="24"/>
              </w:rPr>
            </w:pPr>
            <w:r w:rsidRPr="00147AD2">
              <w:rPr>
                <w:b/>
                <w:szCs w:val="24"/>
              </w:rPr>
              <w:t>N</w:t>
            </w:r>
          </w:p>
        </w:tc>
        <w:tc>
          <w:tcPr>
            <w:tcW w:w="1177" w:type="dxa"/>
            <w:vAlign w:val="center"/>
          </w:tcPr>
          <w:p w:rsidR="002F3B63" w:rsidRPr="00147AD2" w:rsidRDefault="002F3B63" w:rsidP="002F3B63">
            <w:pPr>
              <w:jc w:val="center"/>
              <w:rPr>
                <w:b/>
                <w:szCs w:val="24"/>
              </w:rPr>
            </w:pPr>
            <w:r w:rsidRPr="00147AD2">
              <w:rPr>
                <w:b/>
                <w:szCs w:val="24"/>
              </w:rPr>
              <w:t>R</w:t>
            </w:r>
            <w:r w:rsidRPr="00147AD2">
              <w:rPr>
                <w:b/>
                <w:szCs w:val="24"/>
                <w:vertAlign w:val="superscript"/>
              </w:rPr>
              <w:t>2</w:t>
            </w:r>
          </w:p>
        </w:tc>
        <w:tc>
          <w:tcPr>
            <w:tcW w:w="1471" w:type="dxa"/>
            <w:vAlign w:val="center"/>
          </w:tcPr>
          <w:p w:rsidR="002F3B63" w:rsidRPr="00147AD2" w:rsidRDefault="002F3B63" w:rsidP="002F3B63">
            <w:pPr>
              <w:jc w:val="center"/>
              <w:rPr>
                <w:b/>
                <w:szCs w:val="24"/>
              </w:rPr>
            </w:pPr>
            <w:r w:rsidRPr="00147AD2">
              <w:rPr>
                <w:b/>
                <w:szCs w:val="24"/>
              </w:rPr>
              <w:t>F-statistic</w:t>
            </w:r>
          </w:p>
        </w:tc>
      </w:tr>
      <w:tr w:rsidR="002F3B63" w:rsidTr="002F3B63">
        <w:tc>
          <w:tcPr>
            <w:tcW w:w="1398" w:type="dxa"/>
            <w:vAlign w:val="center"/>
          </w:tcPr>
          <w:p w:rsidR="002F3B63" w:rsidRPr="00147AD2" w:rsidRDefault="002F3B63" w:rsidP="002F3B63">
            <w:pPr>
              <w:jc w:val="center"/>
              <w:rPr>
                <w:szCs w:val="24"/>
              </w:rPr>
            </w:pPr>
            <w:r w:rsidRPr="00147AD2">
              <w:rPr>
                <w:rFonts w:cstheme="minorHAnsi"/>
                <w:b/>
                <w:szCs w:val="24"/>
              </w:rPr>
              <w:t>ψ</w:t>
            </w:r>
            <w:r w:rsidRPr="00147AD2">
              <w:rPr>
                <w:rFonts w:cstheme="minorHAnsi"/>
                <w:b/>
                <w:szCs w:val="24"/>
                <w:vertAlign w:val="subscript"/>
              </w:rPr>
              <w:t>a</w:t>
            </w:r>
          </w:p>
        </w:tc>
        <w:tc>
          <w:tcPr>
            <w:tcW w:w="1193" w:type="dxa"/>
            <w:vAlign w:val="center"/>
          </w:tcPr>
          <w:p w:rsidR="002F3B63" w:rsidRPr="00147AD2" w:rsidRDefault="002F3B63" w:rsidP="002F3B63">
            <w:pPr>
              <w:jc w:val="center"/>
              <w:rPr>
                <w:szCs w:val="24"/>
              </w:rPr>
            </w:pPr>
            <w:r w:rsidRPr="00147AD2">
              <w:rPr>
                <w:szCs w:val="24"/>
              </w:rPr>
              <w:t>cm</w:t>
            </w:r>
          </w:p>
        </w:tc>
        <w:tc>
          <w:tcPr>
            <w:tcW w:w="1169" w:type="dxa"/>
            <w:vAlign w:val="center"/>
          </w:tcPr>
          <w:p w:rsidR="002F3B63" w:rsidRPr="00147AD2" w:rsidRDefault="002F3B63" w:rsidP="002F3B63">
            <w:pPr>
              <w:jc w:val="center"/>
              <w:rPr>
                <w:szCs w:val="24"/>
              </w:rPr>
            </w:pPr>
            <w:r w:rsidRPr="00147AD2">
              <w:rPr>
                <w:szCs w:val="24"/>
              </w:rPr>
              <w:t>115</w:t>
            </w:r>
          </w:p>
        </w:tc>
        <w:tc>
          <w:tcPr>
            <w:tcW w:w="1177" w:type="dxa"/>
            <w:vAlign w:val="center"/>
          </w:tcPr>
          <w:p w:rsidR="002F3B63" w:rsidRPr="00147AD2" w:rsidRDefault="002F3B63" w:rsidP="002F3B63">
            <w:pPr>
              <w:jc w:val="center"/>
              <w:rPr>
                <w:szCs w:val="24"/>
              </w:rPr>
            </w:pPr>
            <w:r w:rsidRPr="00147AD2">
              <w:rPr>
                <w:szCs w:val="24"/>
              </w:rPr>
              <w:t>0.342</w:t>
            </w:r>
          </w:p>
        </w:tc>
        <w:tc>
          <w:tcPr>
            <w:tcW w:w="1471" w:type="dxa"/>
            <w:vAlign w:val="center"/>
          </w:tcPr>
          <w:p w:rsidR="002F3B63" w:rsidRPr="00147AD2" w:rsidRDefault="002F3B63" w:rsidP="002F3B63">
            <w:pPr>
              <w:rPr>
                <w:szCs w:val="24"/>
              </w:rPr>
            </w:pPr>
            <w:r w:rsidRPr="00147AD2">
              <w:rPr>
                <w:szCs w:val="24"/>
              </w:rPr>
              <w:t>14.3 ***</w:t>
            </w:r>
          </w:p>
        </w:tc>
      </w:tr>
      <w:tr w:rsidR="002F3B63" w:rsidTr="002F3B63">
        <w:tc>
          <w:tcPr>
            <w:tcW w:w="1398" w:type="dxa"/>
            <w:vAlign w:val="center"/>
          </w:tcPr>
          <w:p w:rsidR="002F3B63" w:rsidRPr="00147AD2" w:rsidRDefault="002F3B63" w:rsidP="002F3B63">
            <w:pPr>
              <w:jc w:val="center"/>
              <w:rPr>
                <w:szCs w:val="24"/>
              </w:rPr>
            </w:pPr>
            <w:r w:rsidRPr="00147AD2">
              <w:rPr>
                <w:rFonts w:cstheme="minorHAnsi"/>
                <w:b/>
                <w:szCs w:val="24"/>
              </w:rPr>
              <w:t>Ѳ</w:t>
            </w:r>
            <w:r w:rsidRPr="00147AD2">
              <w:rPr>
                <w:rFonts w:cstheme="minorHAnsi"/>
                <w:b/>
                <w:szCs w:val="24"/>
                <w:vertAlign w:val="subscript"/>
              </w:rPr>
              <w:t>s</w:t>
            </w:r>
          </w:p>
        </w:tc>
        <w:tc>
          <w:tcPr>
            <w:tcW w:w="1193" w:type="dxa"/>
            <w:vAlign w:val="center"/>
          </w:tcPr>
          <w:p w:rsidR="002F3B63" w:rsidRPr="00147AD2" w:rsidRDefault="002F3B63" w:rsidP="002F3B63">
            <w:pPr>
              <w:jc w:val="center"/>
              <w:rPr>
                <w:szCs w:val="24"/>
              </w:rPr>
            </w:pPr>
            <w:r w:rsidRPr="00147AD2">
              <w:rPr>
                <w:szCs w:val="24"/>
              </w:rPr>
              <w:t>cm</w:t>
            </w:r>
            <w:r w:rsidRPr="00147AD2">
              <w:rPr>
                <w:szCs w:val="24"/>
                <w:vertAlign w:val="superscript"/>
              </w:rPr>
              <w:t>3</w:t>
            </w:r>
            <w:r w:rsidRPr="00147AD2">
              <w:rPr>
                <w:szCs w:val="24"/>
              </w:rPr>
              <w:t>/cm</w:t>
            </w:r>
            <w:r w:rsidRPr="00147AD2">
              <w:rPr>
                <w:szCs w:val="24"/>
                <w:vertAlign w:val="superscript"/>
              </w:rPr>
              <w:t>3</w:t>
            </w:r>
          </w:p>
        </w:tc>
        <w:tc>
          <w:tcPr>
            <w:tcW w:w="1169" w:type="dxa"/>
            <w:vAlign w:val="center"/>
          </w:tcPr>
          <w:p w:rsidR="002F3B63" w:rsidRPr="00147AD2" w:rsidRDefault="002F3B63" w:rsidP="002F3B63">
            <w:pPr>
              <w:jc w:val="center"/>
              <w:rPr>
                <w:szCs w:val="24"/>
              </w:rPr>
            </w:pPr>
            <w:r w:rsidRPr="00147AD2">
              <w:rPr>
                <w:szCs w:val="24"/>
              </w:rPr>
              <w:t>115</w:t>
            </w:r>
          </w:p>
        </w:tc>
        <w:tc>
          <w:tcPr>
            <w:tcW w:w="1177" w:type="dxa"/>
            <w:vAlign w:val="center"/>
          </w:tcPr>
          <w:p w:rsidR="002F3B63" w:rsidRPr="00147AD2" w:rsidRDefault="002F3B63" w:rsidP="002F3B63">
            <w:pPr>
              <w:jc w:val="center"/>
              <w:rPr>
                <w:szCs w:val="24"/>
              </w:rPr>
            </w:pPr>
            <w:r w:rsidRPr="00147AD2">
              <w:rPr>
                <w:szCs w:val="24"/>
              </w:rPr>
              <w:t>0.274</w:t>
            </w:r>
          </w:p>
        </w:tc>
        <w:tc>
          <w:tcPr>
            <w:tcW w:w="1471" w:type="dxa"/>
          </w:tcPr>
          <w:p w:rsidR="002F3B63" w:rsidRPr="00147AD2" w:rsidRDefault="002F3B63" w:rsidP="002F3B63">
            <w:pPr>
              <w:rPr>
                <w:szCs w:val="24"/>
              </w:rPr>
            </w:pPr>
            <w:r w:rsidRPr="00147AD2">
              <w:rPr>
                <w:szCs w:val="24"/>
              </w:rPr>
              <w:t>21.2 ***</w:t>
            </w:r>
          </w:p>
        </w:tc>
      </w:tr>
      <w:tr w:rsidR="002F3B63" w:rsidTr="002F3B63">
        <w:tc>
          <w:tcPr>
            <w:tcW w:w="1398" w:type="dxa"/>
            <w:vAlign w:val="center"/>
          </w:tcPr>
          <w:p w:rsidR="002F3B63" w:rsidRPr="00147AD2" w:rsidRDefault="002F3B63" w:rsidP="002F3B63">
            <w:pPr>
              <w:jc w:val="center"/>
              <w:rPr>
                <w:szCs w:val="24"/>
              </w:rPr>
            </w:pPr>
            <w:r w:rsidRPr="00147AD2">
              <w:rPr>
                <w:rFonts w:cstheme="minorHAnsi"/>
                <w:b/>
                <w:szCs w:val="24"/>
              </w:rPr>
              <w:t>λ</w:t>
            </w:r>
          </w:p>
        </w:tc>
        <w:tc>
          <w:tcPr>
            <w:tcW w:w="1193" w:type="dxa"/>
            <w:vAlign w:val="center"/>
          </w:tcPr>
          <w:p w:rsidR="002F3B63" w:rsidRPr="00147AD2" w:rsidRDefault="002F3B63" w:rsidP="002F3B63">
            <w:pPr>
              <w:jc w:val="center"/>
              <w:rPr>
                <w:szCs w:val="24"/>
              </w:rPr>
            </w:pPr>
            <w:r w:rsidRPr="00147AD2">
              <w:rPr>
                <w:szCs w:val="24"/>
              </w:rPr>
              <w:t>-</w:t>
            </w:r>
          </w:p>
        </w:tc>
        <w:tc>
          <w:tcPr>
            <w:tcW w:w="1169" w:type="dxa"/>
            <w:vAlign w:val="center"/>
          </w:tcPr>
          <w:p w:rsidR="002F3B63" w:rsidRPr="00147AD2" w:rsidRDefault="002F3B63" w:rsidP="002F3B63">
            <w:pPr>
              <w:jc w:val="center"/>
              <w:rPr>
                <w:szCs w:val="24"/>
              </w:rPr>
            </w:pPr>
            <w:r w:rsidRPr="00147AD2">
              <w:rPr>
                <w:szCs w:val="24"/>
              </w:rPr>
              <w:t>115</w:t>
            </w:r>
          </w:p>
        </w:tc>
        <w:tc>
          <w:tcPr>
            <w:tcW w:w="1177" w:type="dxa"/>
            <w:vAlign w:val="center"/>
          </w:tcPr>
          <w:p w:rsidR="002F3B63" w:rsidRPr="00147AD2" w:rsidRDefault="002F3B63" w:rsidP="002F3B63">
            <w:pPr>
              <w:jc w:val="center"/>
              <w:rPr>
                <w:szCs w:val="24"/>
              </w:rPr>
            </w:pPr>
            <w:r w:rsidRPr="00147AD2">
              <w:rPr>
                <w:szCs w:val="24"/>
              </w:rPr>
              <w:t>0.121</w:t>
            </w:r>
          </w:p>
        </w:tc>
        <w:tc>
          <w:tcPr>
            <w:tcW w:w="1471" w:type="dxa"/>
            <w:vAlign w:val="center"/>
          </w:tcPr>
          <w:p w:rsidR="002F3B63" w:rsidRPr="00147AD2" w:rsidRDefault="002F3B63" w:rsidP="002F3B63">
            <w:pPr>
              <w:rPr>
                <w:szCs w:val="24"/>
              </w:rPr>
            </w:pPr>
            <w:r w:rsidRPr="00147AD2">
              <w:rPr>
                <w:szCs w:val="24"/>
              </w:rPr>
              <w:t>5.11 ***</w:t>
            </w:r>
          </w:p>
        </w:tc>
      </w:tr>
      <w:tr w:rsidR="002F3B63" w:rsidTr="002F3B63">
        <w:tc>
          <w:tcPr>
            <w:tcW w:w="1398" w:type="dxa"/>
            <w:vAlign w:val="center"/>
          </w:tcPr>
          <w:p w:rsidR="002F3B63" w:rsidRPr="00147AD2" w:rsidRDefault="002F3B63" w:rsidP="002F3B63">
            <w:pPr>
              <w:jc w:val="center"/>
              <w:rPr>
                <w:szCs w:val="24"/>
              </w:rPr>
            </w:pPr>
            <w:r w:rsidRPr="00147AD2">
              <w:rPr>
                <w:rFonts w:cstheme="minorHAnsi"/>
                <w:b/>
                <w:szCs w:val="24"/>
              </w:rPr>
              <w:t>Ѳ</w:t>
            </w:r>
            <w:r w:rsidRPr="00147AD2">
              <w:rPr>
                <w:rFonts w:cstheme="minorHAnsi"/>
                <w:b/>
                <w:szCs w:val="24"/>
                <w:vertAlign w:val="subscript"/>
              </w:rPr>
              <w:t>r</w:t>
            </w:r>
          </w:p>
        </w:tc>
        <w:tc>
          <w:tcPr>
            <w:tcW w:w="1193" w:type="dxa"/>
            <w:vAlign w:val="center"/>
          </w:tcPr>
          <w:p w:rsidR="002F3B63" w:rsidRPr="00147AD2" w:rsidRDefault="002F3B63" w:rsidP="002F3B63">
            <w:pPr>
              <w:jc w:val="center"/>
              <w:rPr>
                <w:szCs w:val="24"/>
              </w:rPr>
            </w:pPr>
            <w:r w:rsidRPr="00147AD2">
              <w:rPr>
                <w:szCs w:val="24"/>
              </w:rPr>
              <w:t>cm</w:t>
            </w:r>
            <w:r w:rsidRPr="00147AD2">
              <w:rPr>
                <w:szCs w:val="24"/>
                <w:vertAlign w:val="superscript"/>
              </w:rPr>
              <w:t>3</w:t>
            </w:r>
            <w:r w:rsidRPr="00147AD2">
              <w:rPr>
                <w:szCs w:val="24"/>
              </w:rPr>
              <w:t>/cm</w:t>
            </w:r>
            <w:r w:rsidRPr="00147AD2">
              <w:rPr>
                <w:szCs w:val="24"/>
                <w:vertAlign w:val="superscript"/>
              </w:rPr>
              <w:t>3</w:t>
            </w:r>
          </w:p>
        </w:tc>
        <w:tc>
          <w:tcPr>
            <w:tcW w:w="1169" w:type="dxa"/>
            <w:vAlign w:val="center"/>
          </w:tcPr>
          <w:p w:rsidR="002F3B63" w:rsidRPr="00147AD2" w:rsidRDefault="002F3B63" w:rsidP="002F3B63">
            <w:pPr>
              <w:jc w:val="center"/>
              <w:rPr>
                <w:szCs w:val="24"/>
              </w:rPr>
            </w:pPr>
            <w:r w:rsidRPr="00147AD2">
              <w:rPr>
                <w:szCs w:val="24"/>
              </w:rPr>
              <w:t>115</w:t>
            </w:r>
          </w:p>
        </w:tc>
        <w:tc>
          <w:tcPr>
            <w:tcW w:w="1177" w:type="dxa"/>
          </w:tcPr>
          <w:p w:rsidR="002F3B63" w:rsidRPr="00147AD2" w:rsidRDefault="002F3B63" w:rsidP="002F3B63">
            <w:pPr>
              <w:jc w:val="center"/>
              <w:rPr>
                <w:szCs w:val="24"/>
              </w:rPr>
            </w:pPr>
            <w:r w:rsidRPr="00147AD2">
              <w:rPr>
                <w:szCs w:val="24"/>
              </w:rPr>
              <w:t>0.074</w:t>
            </w:r>
          </w:p>
        </w:tc>
        <w:tc>
          <w:tcPr>
            <w:tcW w:w="1471" w:type="dxa"/>
            <w:vAlign w:val="center"/>
          </w:tcPr>
          <w:p w:rsidR="002F3B63" w:rsidRPr="00147AD2" w:rsidRDefault="002F3B63" w:rsidP="002F3B63">
            <w:pPr>
              <w:rPr>
                <w:szCs w:val="24"/>
              </w:rPr>
            </w:pPr>
            <w:r w:rsidRPr="00147AD2">
              <w:rPr>
                <w:szCs w:val="24"/>
              </w:rPr>
              <w:t>4.45 **</w:t>
            </w:r>
          </w:p>
        </w:tc>
      </w:tr>
    </w:tbl>
    <w:p w:rsidR="002F3B63" w:rsidRDefault="002F3B63" w:rsidP="002F3B63">
      <w:pPr>
        <w:pStyle w:val="Caption"/>
      </w:pPr>
      <w:bookmarkStart w:id="61" w:name="_Toc425427062"/>
      <w:r>
        <w:t xml:space="preserve">Table </w:t>
      </w:r>
      <w:fldSimple w:instr=" SEQ Table \* ARABIC ">
        <w:r w:rsidR="00885C9E">
          <w:rPr>
            <w:noProof/>
          </w:rPr>
          <w:t>6</w:t>
        </w:r>
      </w:fldSimple>
      <w:r>
        <w:t>: Trend surface analysis results used to identify significant trends in the BC parameters before kriging</w:t>
      </w:r>
      <w:bookmarkEnd w:id="61"/>
    </w:p>
    <w:p w:rsidR="002F3B63" w:rsidRPr="00686053" w:rsidRDefault="002F3B63" w:rsidP="002F3B63"/>
    <w:tbl>
      <w:tblPr>
        <w:tblStyle w:val="TableGrid"/>
        <w:tblW w:w="0" w:type="auto"/>
        <w:jc w:val="center"/>
        <w:tblInd w:w="-99" w:type="dxa"/>
        <w:tblLook w:val="04A0"/>
      </w:tblPr>
      <w:tblGrid>
        <w:gridCol w:w="1497"/>
        <w:gridCol w:w="1179"/>
        <w:gridCol w:w="1063"/>
        <w:gridCol w:w="1148"/>
        <w:gridCol w:w="1083"/>
        <w:gridCol w:w="1167"/>
        <w:gridCol w:w="1170"/>
        <w:gridCol w:w="1170"/>
      </w:tblGrid>
      <w:tr w:rsidR="002F3B63" w:rsidTr="002F3B63">
        <w:trPr>
          <w:jc w:val="center"/>
        </w:trPr>
        <w:tc>
          <w:tcPr>
            <w:tcW w:w="1497" w:type="dxa"/>
            <w:vAlign w:val="center"/>
          </w:tcPr>
          <w:p w:rsidR="002F3B63" w:rsidRPr="00147AD2" w:rsidRDefault="002F3B63" w:rsidP="002F3B63">
            <w:pPr>
              <w:jc w:val="center"/>
              <w:rPr>
                <w:b/>
                <w:szCs w:val="24"/>
              </w:rPr>
            </w:pPr>
            <w:r w:rsidRPr="00147AD2">
              <w:rPr>
                <w:b/>
                <w:szCs w:val="24"/>
              </w:rPr>
              <w:t>Parameter</w:t>
            </w:r>
          </w:p>
        </w:tc>
        <w:tc>
          <w:tcPr>
            <w:tcW w:w="1179" w:type="dxa"/>
            <w:vAlign w:val="center"/>
          </w:tcPr>
          <w:p w:rsidR="002F3B63" w:rsidRPr="00147AD2" w:rsidRDefault="002F3B63" w:rsidP="002F3B63">
            <w:pPr>
              <w:jc w:val="center"/>
              <w:rPr>
                <w:b/>
                <w:szCs w:val="24"/>
              </w:rPr>
            </w:pPr>
            <w:r w:rsidRPr="00147AD2">
              <w:rPr>
                <w:b/>
                <w:szCs w:val="24"/>
              </w:rPr>
              <w:t>Unit</w:t>
            </w:r>
          </w:p>
        </w:tc>
        <w:tc>
          <w:tcPr>
            <w:tcW w:w="1063" w:type="dxa"/>
            <w:vAlign w:val="center"/>
          </w:tcPr>
          <w:p w:rsidR="002F3B63" w:rsidRPr="00147AD2" w:rsidRDefault="002F3B63" w:rsidP="002F3B63">
            <w:pPr>
              <w:jc w:val="center"/>
              <w:rPr>
                <w:b/>
                <w:szCs w:val="24"/>
              </w:rPr>
            </w:pPr>
            <w:r w:rsidRPr="00147AD2">
              <w:rPr>
                <w:b/>
                <w:szCs w:val="24"/>
              </w:rPr>
              <w:t>N</w:t>
            </w:r>
          </w:p>
        </w:tc>
        <w:tc>
          <w:tcPr>
            <w:tcW w:w="1148" w:type="dxa"/>
            <w:vAlign w:val="center"/>
          </w:tcPr>
          <w:p w:rsidR="002F3B63" w:rsidRPr="00147AD2" w:rsidRDefault="002F3B63" w:rsidP="002F3B63">
            <w:pPr>
              <w:jc w:val="center"/>
              <w:rPr>
                <w:b/>
                <w:szCs w:val="24"/>
              </w:rPr>
            </w:pPr>
            <w:r w:rsidRPr="00147AD2">
              <w:rPr>
                <w:b/>
                <w:szCs w:val="24"/>
              </w:rPr>
              <w:t>x</w:t>
            </w:r>
          </w:p>
        </w:tc>
        <w:tc>
          <w:tcPr>
            <w:tcW w:w="1083" w:type="dxa"/>
            <w:vAlign w:val="center"/>
          </w:tcPr>
          <w:p w:rsidR="002F3B63" w:rsidRPr="00147AD2" w:rsidRDefault="002F3B63" w:rsidP="002F3B63">
            <w:pPr>
              <w:jc w:val="center"/>
              <w:rPr>
                <w:b/>
                <w:szCs w:val="24"/>
              </w:rPr>
            </w:pPr>
            <w:r w:rsidRPr="00147AD2">
              <w:rPr>
                <w:b/>
                <w:szCs w:val="24"/>
              </w:rPr>
              <w:t>y</w:t>
            </w:r>
          </w:p>
        </w:tc>
        <w:tc>
          <w:tcPr>
            <w:tcW w:w="1167" w:type="dxa"/>
          </w:tcPr>
          <w:p w:rsidR="002F3B63" w:rsidRPr="00147AD2" w:rsidRDefault="002F3B63" w:rsidP="002F3B63">
            <w:pPr>
              <w:jc w:val="center"/>
              <w:rPr>
                <w:b/>
                <w:szCs w:val="24"/>
              </w:rPr>
            </w:pPr>
            <w:r w:rsidRPr="00147AD2">
              <w:rPr>
                <w:b/>
                <w:szCs w:val="24"/>
              </w:rPr>
              <w:t>x*y</w:t>
            </w:r>
          </w:p>
        </w:tc>
        <w:tc>
          <w:tcPr>
            <w:tcW w:w="1170" w:type="dxa"/>
          </w:tcPr>
          <w:p w:rsidR="002F3B63" w:rsidRPr="00147AD2" w:rsidRDefault="002F3B63" w:rsidP="002F3B63">
            <w:pPr>
              <w:jc w:val="center"/>
              <w:rPr>
                <w:b/>
                <w:szCs w:val="24"/>
              </w:rPr>
            </w:pPr>
            <w:r w:rsidRPr="00147AD2">
              <w:rPr>
                <w:b/>
                <w:szCs w:val="24"/>
              </w:rPr>
              <w:t>x</w:t>
            </w:r>
            <w:r w:rsidRPr="00147AD2">
              <w:rPr>
                <w:b/>
                <w:szCs w:val="24"/>
                <w:vertAlign w:val="superscript"/>
              </w:rPr>
              <w:t>2</w:t>
            </w:r>
          </w:p>
        </w:tc>
        <w:tc>
          <w:tcPr>
            <w:tcW w:w="1170" w:type="dxa"/>
          </w:tcPr>
          <w:p w:rsidR="002F3B63" w:rsidRPr="00147AD2" w:rsidRDefault="002F3B63" w:rsidP="002F3B63">
            <w:pPr>
              <w:jc w:val="center"/>
              <w:rPr>
                <w:b/>
                <w:szCs w:val="24"/>
              </w:rPr>
            </w:pPr>
            <w:r w:rsidRPr="00147AD2">
              <w:rPr>
                <w:b/>
                <w:szCs w:val="24"/>
              </w:rPr>
              <w:t>y</w:t>
            </w:r>
            <w:r w:rsidRPr="00147AD2">
              <w:rPr>
                <w:b/>
                <w:szCs w:val="24"/>
                <w:vertAlign w:val="superscript"/>
              </w:rPr>
              <w:t>2</w:t>
            </w:r>
          </w:p>
        </w:tc>
      </w:tr>
      <w:tr w:rsidR="002F3B63" w:rsidTr="002F3B63">
        <w:trPr>
          <w:jc w:val="center"/>
        </w:trPr>
        <w:tc>
          <w:tcPr>
            <w:tcW w:w="1497" w:type="dxa"/>
            <w:vAlign w:val="center"/>
          </w:tcPr>
          <w:p w:rsidR="002F3B63" w:rsidRPr="00147AD2" w:rsidRDefault="002F3B63" w:rsidP="002F3B63">
            <w:pPr>
              <w:jc w:val="center"/>
              <w:rPr>
                <w:szCs w:val="24"/>
              </w:rPr>
            </w:pPr>
            <w:r w:rsidRPr="00147AD2">
              <w:rPr>
                <w:rFonts w:cstheme="minorHAnsi"/>
                <w:b/>
                <w:szCs w:val="24"/>
              </w:rPr>
              <w:t>ψ</w:t>
            </w:r>
            <w:r w:rsidRPr="00147AD2">
              <w:rPr>
                <w:rFonts w:cstheme="minorHAnsi"/>
                <w:b/>
                <w:szCs w:val="24"/>
                <w:vertAlign w:val="subscript"/>
              </w:rPr>
              <w:t>a</w:t>
            </w:r>
          </w:p>
        </w:tc>
        <w:tc>
          <w:tcPr>
            <w:tcW w:w="1179" w:type="dxa"/>
            <w:vAlign w:val="center"/>
          </w:tcPr>
          <w:p w:rsidR="002F3B63" w:rsidRPr="00147AD2" w:rsidRDefault="002F3B63" w:rsidP="002F3B63">
            <w:pPr>
              <w:jc w:val="center"/>
              <w:rPr>
                <w:szCs w:val="24"/>
              </w:rPr>
            </w:pPr>
            <w:r w:rsidRPr="00147AD2">
              <w:rPr>
                <w:szCs w:val="24"/>
              </w:rPr>
              <w:t>cm</w:t>
            </w:r>
          </w:p>
        </w:tc>
        <w:tc>
          <w:tcPr>
            <w:tcW w:w="1063" w:type="dxa"/>
            <w:vAlign w:val="center"/>
          </w:tcPr>
          <w:p w:rsidR="002F3B63" w:rsidRPr="00147AD2" w:rsidRDefault="002F3B63" w:rsidP="002F3B63">
            <w:pPr>
              <w:jc w:val="center"/>
              <w:rPr>
                <w:szCs w:val="24"/>
              </w:rPr>
            </w:pPr>
            <w:r w:rsidRPr="00147AD2">
              <w:rPr>
                <w:szCs w:val="24"/>
              </w:rPr>
              <w:t>115</w:t>
            </w:r>
          </w:p>
        </w:tc>
        <w:tc>
          <w:tcPr>
            <w:tcW w:w="1148" w:type="dxa"/>
            <w:vAlign w:val="center"/>
          </w:tcPr>
          <w:p w:rsidR="002F3B63" w:rsidRPr="00147AD2" w:rsidRDefault="002F3B63" w:rsidP="002F3B63">
            <w:pPr>
              <w:rPr>
                <w:szCs w:val="24"/>
              </w:rPr>
            </w:pPr>
            <w:r w:rsidRPr="00147AD2">
              <w:rPr>
                <w:szCs w:val="24"/>
              </w:rPr>
              <w:t>-3.93 ***</w:t>
            </w:r>
          </w:p>
        </w:tc>
        <w:tc>
          <w:tcPr>
            <w:tcW w:w="1083" w:type="dxa"/>
            <w:vAlign w:val="center"/>
          </w:tcPr>
          <w:p w:rsidR="002F3B63" w:rsidRPr="00147AD2" w:rsidRDefault="002F3B63" w:rsidP="002F3B63">
            <w:pPr>
              <w:jc w:val="center"/>
              <w:rPr>
                <w:szCs w:val="24"/>
              </w:rPr>
            </w:pPr>
            <w:r w:rsidRPr="00147AD2">
              <w:rPr>
                <w:szCs w:val="24"/>
              </w:rPr>
              <w:t>NS</w:t>
            </w:r>
          </w:p>
        </w:tc>
        <w:tc>
          <w:tcPr>
            <w:tcW w:w="1167" w:type="dxa"/>
            <w:vAlign w:val="center"/>
          </w:tcPr>
          <w:p w:rsidR="002F3B63" w:rsidRPr="00147AD2" w:rsidRDefault="002F3B63" w:rsidP="002F3B63">
            <w:pPr>
              <w:rPr>
                <w:szCs w:val="24"/>
              </w:rPr>
            </w:pPr>
            <w:r w:rsidRPr="00147AD2">
              <w:rPr>
                <w:szCs w:val="24"/>
              </w:rPr>
              <w:t>4.41 ***</w:t>
            </w:r>
          </w:p>
        </w:tc>
        <w:tc>
          <w:tcPr>
            <w:tcW w:w="1170" w:type="dxa"/>
            <w:vAlign w:val="center"/>
          </w:tcPr>
          <w:p w:rsidR="002F3B63" w:rsidRPr="00147AD2" w:rsidRDefault="002F3B63" w:rsidP="002F3B63">
            <w:pPr>
              <w:rPr>
                <w:szCs w:val="24"/>
              </w:rPr>
            </w:pPr>
            <w:r w:rsidRPr="00147AD2">
              <w:rPr>
                <w:szCs w:val="24"/>
              </w:rPr>
              <w:t>2.30 *</w:t>
            </w:r>
          </w:p>
        </w:tc>
        <w:tc>
          <w:tcPr>
            <w:tcW w:w="1170" w:type="dxa"/>
            <w:vAlign w:val="center"/>
          </w:tcPr>
          <w:p w:rsidR="002F3B63" w:rsidRPr="00147AD2" w:rsidRDefault="002F3B63" w:rsidP="002F3B63">
            <w:pPr>
              <w:rPr>
                <w:szCs w:val="24"/>
              </w:rPr>
            </w:pPr>
            <w:r w:rsidRPr="00147AD2">
              <w:rPr>
                <w:szCs w:val="24"/>
              </w:rPr>
              <w:t>-6.62 ***</w:t>
            </w:r>
          </w:p>
        </w:tc>
      </w:tr>
      <w:tr w:rsidR="002F3B63" w:rsidTr="002F3B63">
        <w:trPr>
          <w:jc w:val="center"/>
        </w:trPr>
        <w:tc>
          <w:tcPr>
            <w:tcW w:w="1497" w:type="dxa"/>
            <w:vAlign w:val="center"/>
          </w:tcPr>
          <w:p w:rsidR="002F3B63" w:rsidRPr="00147AD2" w:rsidRDefault="002F3B63" w:rsidP="002F3B63">
            <w:pPr>
              <w:jc w:val="center"/>
              <w:rPr>
                <w:szCs w:val="24"/>
              </w:rPr>
            </w:pPr>
            <w:r w:rsidRPr="00147AD2">
              <w:rPr>
                <w:rFonts w:cstheme="minorHAnsi"/>
                <w:b/>
                <w:szCs w:val="24"/>
              </w:rPr>
              <w:t>Ѳ</w:t>
            </w:r>
            <w:r w:rsidRPr="00147AD2">
              <w:rPr>
                <w:rFonts w:cstheme="minorHAnsi"/>
                <w:b/>
                <w:szCs w:val="24"/>
                <w:vertAlign w:val="subscript"/>
              </w:rPr>
              <w:t>s</w:t>
            </w:r>
          </w:p>
        </w:tc>
        <w:tc>
          <w:tcPr>
            <w:tcW w:w="1179" w:type="dxa"/>
            <w:vAlign w:val="center"/>
          </w:tcPr>
          <w:p w:rsidR="002F3B63" w:rsidRPr="00147AD2" w:rsidRDefault="002F3B63" w:rsidP="002F3B63">
            <w:pPr>
              <w:jc w:val="center"/>
              <w:rPr>
                <w:szCs w:val="24"/>
              </w:rPr>
            </w:pPr>
            <w:r w:rsidRPr="00147AD2">
              <w:rPr>
                <w:szCs w:val="24"/>
              </w:rPr>
              <w:t>cm</w:t>
            </w:r>
            <w:r w:rsidRPr="00147AD2">
              <w:rPr>
                <w:szCs w:val="24"/>
                <w:vertAlign w:val="superscript"/>
              </w:rPr>
              <w:t>3</w:t>
            </w:r>
            <w:r w:rsidRPr="00147AD2">
              <w:rPr>
                <w:szCs w:val="24"/>
              </w:rPr>
              <w:t>/cm</w:t>
            </w:r>
            <w:r w:rsidRPr="00147AD2">
              <w:rPr>
                <w:szCs w:val="24"/>
                <w:vertAlign w:val="superscript"/>
              </w:rPr>
              <w:t>3</w:t>
            </w:r>
          </w:p>
        </w:tc>
        <w:tc>
          <w:tcPr>
            <w:tcW w:w="1063" w:type="dxa"/>
            <w:vAlign w:val="center"/>
          </w:tcPr>
          <w:p w:rsidR="002F3B63" w:rsidRPr="00147AD2" w:rsidRDefault="002F3B63" w:rsidP="002F3B63">
            <w:pPr>
              <w:jc w:val="center"/>
              <w:rPr>
                <w:szCs w:val="24"/>
              </w:rPr>
            </w:pPr>
            <w:r w:rsidRPr="00147AD2">
              <w:rPr>
                <w:szCs w:val="24"/>
              </w:rPr>
              <w:t>115</w:t>
            </w:r>
          </w:p>
        </w:tc>
        <w:tc>
          <w:tcPr>
            <w:tcW w:w="1148" w:type="dxa"/>
            <w:vAlign w:val="center"/>
          </w:tcPr>
          <w:p w:rsidR="002F3B63" w:rsidRPr="00147AD2" w:rsidRDefault="002F3B63" w:rsidP="002F3B63">
            <w:pPr>
              <w:rPr>
                <w:szCs w:val="24"/>
              </w:rPr>
            </w:pPr>
            <w:r w:rsidRPr="00147AD2">
              <w:rPr>
                <w:szCs w:val="24"/>
              </w:rPr>
              <w:t>5.90 ***</w:t>
            </w:r>
          </w:p>
        </w:tc>
        <w:tc>
          <w:tcPr>
            <w:tcW w:w="1083" w:type="dxa"/>
            <w:vAlign w:val="center"/>
          </w:tcPr>
          <w:p w:rsidR="002F3B63" w:rsidRPr="00147AD2" w:rsidRDefault="002F3B63" w:rsidP="002F3B63">
            <w:pPr>
              <w:jc w:val="center"/>
              <w:rPr>
                <w:szCs w:val="24"/>
              </w:rPr>
            </w:pPr>
            <w:r w:rsidRPr="00147AD2">
              <w:rPr>
                <w:szCs w:val="24"/>
              </w:rPr>
              <w:t>NS</w:t>
            </w:r>
          </w:p>
        </w:tc>
        <w:tc>
          <w:tcPr>
            <w:tcW w:w="1167" w:type="dxa"/>
            <w:vAlign w:val="center"/>
          </w:tcPr>
          <w:p w:rsidR="002F3B63" w:rsidRPr="00147AD2" w:rsidRDefault="002F3B63" w:rsidP="002F3B63">
            <w:pPr>
              <w:jc w:val="center"/>
              <w:rPr>
                <w:szCs w:val="24"/>
              </w:rPr>
            </w:pPr>
            <w:r w:rsidRPr="00147AD2">
              <w:rPr>
                <w:szCs w:val="24"/>
              </w:rPr>
              <w:t>NS</w:t>
            </w:r>
          </w:p>
        </w:tc>
        <w:tc>
          <w:tcPr>
            <w:tcW w:w="1170" w:type="dxa"/>
            <w:vAlign w:val="center"/>
          </w:tcPr>
          <w:p w:rsidR="002F3B63" w:rsidRPr="00147AD2" w:rsidRDefault="002F3B63" w:rsidP="002F3B63">
            <w:pPr>
              <w:rPr>
                <w:szCs w:val="24"/>
              </w:rPr>
            </w:pPr>
            <w:r w:rsidRPr="00147AD2">
              <w:rPr>
                <w:szCs w:val="24"/>
              </w:rPr>
              <w:t>-5.77 ***</w:t>
            </w:r>
          </w:p>
        </w:tc>
        <w:tc>
          <w:tcPr>
            <w:tcW w:w="1170" w:type="dxa"/>
            <w:vAlign w:val="center"/>
          </w:tcPr>
          <w:p w:rsidR="002F3B63" w:rsidRPr="00147AD2" w:rsidRDefault="002F3B63" w:rsidP="002F3B63">
            <w:pPr>
              <w:jc w:val="center"/>
              <w:rPr>
                <w:szCs w:val="24"/>
              </w:rPr>
            </w:pPr>
            <w:r w:rsidRPr="00147AD2">
              <w:rPr>
                <w:szCs w:val="24"/>
              </w:rPr>
              <w:t>NS</w:t>
            </w:r>
          </w:p>
        </w:tc>
      </w:tr>
      <w:tr w:rsidR="002F3B63" w:rsidTr="002F3B63">
        <w:trPr>
          <w:jc w:val="center"/>
        </w:trPr>
        <w:tc>
          <w:tcPr>
            <w:tcW w:w="1497" w:type="dxa"/>
            <w:vAlign w:val="center"/>
          </w:tcPr>
          <w:p w:rsidR="002F3B63" w:rsidRPr="00147AD2" w:rsidRDefault="002F3B63" w:rsidP="002F3B63">
            <w:pPr>
              <w:jc w:val="center"/>
              <w:rPr>
                <w:szCs w:val="24"/>
              </w:rPr>
            </w:pPr>
            <w:r w:rsidRPr="00147AD2">
              <w:rPr>
                <w:rFonts w:cstheme="minorHAnsi"/>
                <w:b/>
                <w:szCs w:val="24"/>
              </w:rPr>
              <w:t>λ</w:t>
            </w:r>
          </w:p>
        </w:tc>
        <w:tc>
          <w:tcPr>
            <w:tcW w:w="1179" w:type="dxa"/>
            <w:vAlign w:val="center"/>
          </w:tcPr>
          <w:p w:rsidR="002F3B63" w:rsidRPr="00147AD2" w:rsidRDefault="002F3B63" w:rsidP="002F3B63">
            <w:pPr>
              <w:jc w:val="center"/>
              <w:rPr>
                <w:szCs w:val="24"/>
              </w:rPr>
            </w:pPr>
            <w:r w:rsidRPr="00147AD2">
              <w:rPr>
                <w:szCs w:val="24"/>
              </w:rPr>
              <w:t>-</w:t>
            </w:r>
          </w:p>
        </w:tc>
        <w:tc>
          <w:tcPr>
            <w:tcW w:w="1063" w:type="dxa"/>
            <w:vAlign w:val="center"/>
          </w:tcPr>
          <w:p w:rsidR="002F3B63" w:rsidRPr="00147AD2" w:rsidRDefault="002F3B63" w:rsidP="002F3B63">
            <w:pPr>
              <w:jc w:val="center"/>
              <w:rPr>
                <w:szCs w:val="24"/>
              </w:rPr>
            </w:pPr>
            <w:r w:rsidRPr="00147AD2">
              <w:rPr>
                <w:szCs w:val="24"/>
              </w:rPr>
              <w:t>115</w:t>
            </w:r>
          </w:p>
        </w:tc>
        <w:tc>
          <w:tcPr>
            <w:tcW w:w="1148" w:type="dxa"/>
            <w:vAlign w:val="center"/>
          </w:tcPr>
          <w:p w:rsidR="002F3B63" w:rsidRPr="00147AD2" w:rsidRDefault="002F3B63" w:rsidP="002F3B63">
            <w:pPr>
              <w:jc w:val="center"/>
              <w:rPr>
                <w:szCs w:val="24"/>
              </w:rPr>
            </w:pPr>
            <w:r w:rsidRPr="00147AD2">
              <w:rPr>
                <w:szCs w:val="24"/>
              </w:rPr>
              <w:t>NS</w:t>
            </w:r>
          </w:p>
        </w:tc>
        <w:tc>
          <w:tcPr>
            <w:tcW w:w="1083" w:type="dxa"/>
            <w:vAlign w:val="center"/>
          </w:tcPr>
          <w:p w:rsidR="002F3B63" w:rsidRPr="00147AD2" w:rsidRDefault="002F3B63" w:rsidP="002F3B63">
            <w:pPr>
              <w:jc w:val="center"/>
              <w:rPr>
                <w:szCs w:val="24"/>
              </w:rPr>
            </w:pPr>
            <w:r w:rsidRPr="00147AD2">
              <w:rPr>
                <w:szCs w:val="24"/>
              </w:rPr>
              <w:t>NS</w:t>
            </w:r>
          </w:p>
        </w:tc>
        <w:tc>
          <w:tcPr>
            <w:tcW w:w="1167" w:type="dxa"/>
            <w:vAlign w:val="center"/>
          </w:tcPr>
          <w:p w:rsidR="002F3B63" w:rsidRPr="00147AD2" w:rsidRDefault="002F3B63" w:rsidP="002F3B63">
            <w:pPr>
              <w:rPr>
                <w:szCs w:val="24"/>
              </w:rPr>
            </w:pPr>
            <w:r w:rsidRPr="00147AD2">
              <w:rPr>
                <w:szCs w:val="24"/>
              </w:rPr>
              <w:t>3.36 **</w:t>
            </w:r>
          </w:p>
        </w:tc>
        <w:tc>
          <w:tcPr>
            <w:tcW w:w="1170" w:type="dxa"/>
            <w:vAlign w:val="center"/>
          </w:tcPr>
          <w:p w:rsidR="002F3B63" w:rsidRPr="00147AD2" w:rsidRDefault="002F3B63" w:rsidP="002F3B63">
            <w:pPr>
              <w:rPr>
                <w:szCs w:val="24"/>
              </w:rPr>
            </w:pPr>
            <w:r w:rsidRPr="00147AD2">
              <w:rPr>
                <w:szCs w:val="24"/>
              </w:rPr>
              <w:t>-2.61 *</w:t>
            </w:r>
          </w:p>
        </w:tc>
        <w:tc>
          <w:tcPr>
            <w:tcW w:w="1170" w:type="dxa"/>
            <w:vAlign w:val="center"/>
          </w:tcPr>
          <w:p w:rsidR="002F3B63" w:rsidRPr="00147AD2" w:rsidRDefault="002F3B63" w:rsidP="002F3B63">
            <w:pPr>
              <w:rPr>
                <w:szCs w:val="24"/>
              </w:rPr>
            </w:pPr>
            <w:r w:rsidRPr="00147AD2">
              <w:rPr>
                <w:szCs w:val="24"/>
              </w:rPr>
              <w:t>-3.86 ***</w:t>
            </w:r>
          </w:p>
        </w:tc>
      </w:tr>
      <w:tr w:rsidR="002F3B63" w:rsidTr="002F3B63">
        <w:trPr>
          <w:jc w:val="center"/>
        </w:trPr>
        <w:tc>
          <w:tcPr>
            <w:tcW w:w="1497" w:type="dxa"/>
            <w:vAlign w:val="center"/>
          </w:tcPr>
          <w:p w:rsidR="002F3B63" w:rsidRPr="00147AD2" w:rsidRDefault="002F3B63" w:rsidP="002F3B63">
            <w:pPr>
              <w:jc w:val="center"/>
              <w:rPr>
                <w:szCs w:val="24"/>
              </w:rPr>
            </w:pPr>
            <w:r w:rsidRPr="00147AD2">
              <w:rPr>
                <w:rFonts w:cstheme="minorHAnsi"/>
                <w:b/>
                <w:szCs w:val="24"/>
              </w:rPr>
              <w:t>Ѳ</w:t>
            </w:r>
            <w:r w:rsidRPr="00147AD2">
              <w:rPr>
                <w:rFonts w:cstheme="minorHAnsi"/>
                <w:b/>
                <w:szCs w:val="24"/>
                <w:vertAlign w:val="subscript"/>
              </w:rPr>
              <w:t>r</w:t>
            </w:r>
          </w:p>
        </w:tc>
        <w:tc>
          <w:tcPr>
            <w:tcW w:w="1179" w:type="dxa"/>
            <w:vAlign w:val="center"/>
          </w:tcPr>
          <w:p w:rsidR="002F3B63" w:rsidRPr="00147AD2" w:rsidRDefault="002F3B63" w:rsidP="002F3B63">
            <w:pPr>
              <w:jc w:val="center"/>
              <w:rPr>
                <w:szCs w:val="24"/>
              </w:rPr>
            </w:pPr>
            <w:r w:rsidRPr="00147AD2">
              <w:rPr>
                <w:szCs w:val="24"/>
              </w:rPr>
              <w:t>cm</w:t>
            </w:r>
            <w:r w:rsidRPr="00147AD2">
              <w:rPr>
                <w:szCs w:val="24"/>
                <w:vertAlign w:val="superscript"/>
              </w:rPr>
              <w:t>3</w:t>
            </w:r>
            <w:r w:rsidRPr="00147AD2">
              <w:rPr>
                <w:szCs w:val="24"/>
              </w:rPr>
              <w:t>/cm</w:t>
            </w:r>
            <w:r w:rsidRPr="00147AD2">
              <w:rPr>
                <w:szCs w:val="24"/>
                <w:vertAlign w:val="superscript"/>
              </w:rPr>
              <w:t>3</w:t>
            </w:r>
          </w:p>
        </w:tc>
        <w:tc>
          <w:tcPr>
            <w:tcW w:w="1063" w:type="dxa"/>
            <w:vAlign w:val="center"/>
          </w:tcPr>
          <w:p w:rsidR="002F3B63" w:rsidRPr="00147AD2" w:rsidRDefault="002F3B63" w:rsidP="002F3B63">
            <w:pPr>
              <w:jc w:val="center"/>
              <w:rPr>
                <w:szCs w:val="24"/>
              </w:rPr>
            </w:pPr>
            <w:r w:rsidRPr="00147AD2">
              <w:rPr>
                <w:szCs w:val="24"/>
              </w:rPr>
              <w:t>115</w:t>
            </w:r>
          </w:p>
        </w:tc>
        <w:tc>
          <w:tcPr>
            <w:tcW w:w="1148" w:type="dxa"/>
            <w:vAlign w:val="center"/>
          </w:tcPr>
          <w:p w:rsidR="002F3B63" w:rsidRPr="00147AD2" w:rsidRDefault="002F3B63" w:rsidP="002F3B63">
            <w:pPr>
              <w:jc w:val="center"/>
              <w:rPr>
                <w:szCs w:val="24"/>
              </w:rPr>
            </w:pPr>
            <w:r w:rsidRPr="00147AD2">
              <w:rPr>
                <w:szCs w:val="24"/>
              </w:rPr>
              <w:t>NS</w:t>
            </w:r>
          </w:p>
        </w:tc>
        <w:tc>
          <w:tcPr>
            <w:tcW w:w="1083" w:type="dxa"/>
            <w:vAlign w:val="center"/>
          </w:tcPr>
          <w:p w:rsidR="002F3B63" w:rsidRPr="00147AD2" w:rsidRDefault="002F3B63" w:rsidP="002F3B63">
            <w:pPr>
              <w:jc w:val="center"/>
              <w:rPr>
                <w:szCs w:val="24"/>
              </w:rPr>
            </w:pPr>
            <w:r w:rsidRPr="00147AD2">
              <w:rPr>
                <w:szCs w:val="24"/>
              </w:rPr>
              <w:t>NS</w:t>
            </w:r>
          </w:p>
        </w:tc>
        <w:tc>
          <w:tcPr>
            <w:tcW w:w="1167" w:type="dxa"/>
            <w:vAlign w:val="center"/>
          </w:tcPr>
          <w:p w:rsidR="002F3B63" w:rsidRPr="00147AD2" w:rsidRDefault="002F3B63" w:rsidP="002F3B63">
            <w:pPr>
              <w:rPr>
                <w:szCs w:val="24"/>
              </w:rPr>
            </w:pPr>
            <w:r w:rsidRPr="00147AD2">
              <w:rPr>
                <w:szCs w:val="24"/>
              </w:rPr>
              <w:t>2.93 **</w:t>
            </w:r>
          </w:p>
        </w:tc>
        <w:tc>
          <w:tcPr>
            <w:tcW w:w="1170" w:type="dxa"/>
            <w:vAlign w:val="center"/>
          </w:tcPr>
          <w:p w:rsidR="002F3B63" w:rsidRPr="00147AD2" w:rsidRDefault="002F3B63" w:rsidP="002F3B63">
            <w:pPr>
              <w:jc w:val="center"/>
              <w:rPr>
                <w:szCs w:val="24"/>
              </w:rPr>
            </w:pPr>
            <w:r w:rsidRPr="00147AD2">
              <w:rPr>
                <w:szCs w:val="24"/>
              </w:rPr>
              <w:t>NS</w:t>
            </w:r>
          </w:p>
        </w:tc>
        <w:tc>
          <w:tcPr>
            <w:tcW w:w="1170" w:type="dxa"/>
            <w:vAlign w:val="center"/>
          </w:tcPr>
          <w:p w:rsidR="002F3B63" w:rsidRPr="00147AD2" w:rsidRDefault="002F3B63" w:rsidP="002F3B63">
            <w:pPr>
              <w:rPr>
                <w:szCs w:val="24"/>
              </w:rPr>
            </w:pPr>
            <w:r w:rsidRPr="00147AD2">
              <w:rPr>
                <w:szCs w:val="24"/>
              </w:rPr>
              <w:t>-2.30 *</w:t>
            </w:r>
          </w:p>
        </w:tc>
      </w:tr>
    </w:tbl>
    <w:p w:rsidR="002F3B63" w:rsidRDefault="002F3B63" w:rsidP="002F3B63">
      <w:pPr>
        <w:pStyle w:val="Caption"/>
      </w:pPr>
      <w:bookmarkStart w:id="62" w:name="_Toc425427063"/>
      <w:r>
        <w:t xml:space="preserve">Table </w:t>
      </w:r>
      <w:fldSimple w:instr=" SEQ Table \* ARABIC ">
        <w:r w:rsidR="00885C9E">
          <w:rPr>
            <w:noProof/>
          </w:rPr>
          <w:t>7</w:t>
        </w:r>
      </w:fldSimple>
      <w:r>
        <w:t>: t-values listed with their corresponding significance levels to determine specific trend directions</w:t>
      </w:r>
      <w:bookmarkEnd w:id="62"/>
    </w:p>
    <w:p w:rsidR="002F3B63" w:rsidRPr="00686053" w:rsidRDefault="002F3B63" w:rsidP="002F3B63"/>
    <w:tbl>
      <w:tblPr>
        <w:tblStyle w:val="TableGrid"/>
        <w:tblW w:w="0" w:type="auto"/>
        <w:tblLayout w:type="fixed"/>
        <w:tblLook w:val="04A0"/>
      </w:tblPr>
      <w:tblGrid>
        <w:gridCol w:w="1398"/>
        <w:gridCol w:w="1193"/>
        <w:gridCol w:w="757"/>
        <w:gridCol w:w="1440"/>
        <w:gridCol w:w="1170"/>
        <w:gridCol w:w="1530"/>
      </w:tblGrid>
      <w:tr w:rsidR="00147AD2" w:rsidTr="002F3B63">
        <w:tc>
          <w:tcPr>
            <w:tcW w:w="1398" w:type="dxa"/>
            <w:vAlign w:val="center"/>
          </w:tcPr>
          <w:p w:rsidR="00147AD2" w:rsidRPr="00147AD2" w:rsidRDefault="00147AD2" w:rsidP="002F3B63">
            <w:pPr>
              <w:jc w:val="center"/>
              <w:rPr>
                <w:b/>
                <w:szCs w:val="24"/>
              </w:rPr>
            </w:pPr>
            <w:r w:rsidRPr="00147AD2">
              <w:rPr>
                <w:b/>
                <w:szCs w:val="24"/>
              </w:rPr>
              <w:t>Parameter</w:t>
            </w:r>
          </w:p>
        </w:tc>
        <w:tc>
          <w:tcPr>
            <w:tcW w:w="1193" w:type="dxa"/>
            <w:vAlign w:val="center"/>
          </w:tcPr>
          <w:p w:rsidR="00147AD2" w:rsidRPr="00147AD2" w:rsidRDefault="00147AD2" w:rsidP="002F3B63">
            <w:pPr>
              <w:jc w:val="center"/>
              <w:rPr>
                <w:b/>
                <w:szCs w:val="24"/>
              </w:rPr>
            </w:pPr>
            <w:r w:rsidRPr="00147AD2">
              <w:rPr>
                <w:b/>
                <w:szCs w:val="24"/>
              </w:rPr>
              <w:t>Unit</w:t>
            </w:r>
          </w:p>
        </w:tc>
        <w:tc>
          <w:tcPr>
            <w:tcW w:w="757" w:type="dxa"/>
            <w:vAlign w:val="center"/>
          </w:tcPr>
          <w:p w:rsidR="00147AD2" w:rsidRPr="00147AD2" w:rsidRDefault="00147AD2" w:rsidP="002F3B63">
            <w:pPr>
              <w:jc w:val="center"/>
              <w:rPr>
                <w:b/>
                <w:szCs w:val="24"/>
              </w:rPr>
            </w:pPr>
            <w:r w:rsidRPr="00147AD2">
              <w:rPr>
                <w:b/>
                <w:szCs w:val="24"/>
              </w:rPr>
              <w:t>N</w:t>
            </w:r>
          </w:p>
        </w:tc>
        <w:tc>
          <w:tcPr>
            <w:tcW w:w="1440" w:type="dxa"/>
            <w:vAlign w:val="center"/>
          </w:tcPr>
          <w:p w:rsidR="00147AD2" w:rsidRPr="00147AD2" w:rsidRDefault="00147AD2" w:rsidP="002F3B63">
            <w:pPr>
              <w:jc w:val="center"/>
              <w:rPr>
                <w:b/>
                <w:szCs w:val="24"/>
              </w:rPr>
            </w:pPr>
            <w:r w:rsidRPr="00147AD2">
              <w:rPr>
                <w:b/>
                <w:szCs w:val="24"/>
              </w:rPr>
              <w:t>Mean</w:t>
            </w:r>
          </w:p>
        </w:tc>
        <w:tc>
          <w:tcPr>
            <w:tcW w:w="1170" w:type="dxa"/>
            <w:vAlign w:val="center"/>
          </w:tcPr>
          <w:p w:rsidR="00147AD2" w:rsidRPr="00147AD2" w:rsidRDefault="00147AD2" w:rsidP="002F3B63">
            <w:pPr>
              <w:jc w:val="center"/>
              <w:rPr>
                <w:b/>
                <w:szCs w:val="24"/>
              </w:rPr>
            </w:pPr>
            <w:r w:rsidRPr="00147AD2">
              <w:rPr>
                <w:b/>
                <w:szCs w:val="24"/>
              </w:rPr>
              <w:t>Median</w:t>
            </w:r>
          </w:p>
        </w:tc>
        <w:tc>
          <w:tcPr>
            <w:tcW w:w="1530" w:type="dxa"/>
            <w:vAlign w:val="center"/>
          </w:tcPr>
          <w:p w:rsidR="00147AD2" w:rsidRPr="00147AD2" w:rsidRDefault="00147AD2" w:rsidP="002F3B63">
            <w:pPr>
              <w:jc w:val="center"/>
              <w:rPr>
                <w:b/>
                <w:szCs w:val="24"/>
              </w:rPr>
            </w:pPr>
            <w:r w:rsidRPr="00147AD2">
              <w:rPr>
                <w:b/>
                <w:szCs w:val="24"/>
              </w:rPr>
              <w:t>Standard Deviation</w:t>
            </w:r>
          </w:p>
        </w:tc>
      </w:tr>
      <w:tr w:rsidR="00147AD2" w:rsidTr="002F3B63">
        <w:tc>
          <w:tcPr>
            <w:tcW w:w="1398" w:type="dxa"/>
            <w:vAlign w:val="center"/>
          </w:tcPr>
          <w:p w:rsidR="00147AD2" w:rsidRPr="00147AD2" w:rsidRDefault="00147AD2" w:rsidP="002F3B63">
            <w:pPr>
              <w:jc w:val="center"/>
              <w:rPr>
                <w:szCs w:val="24"/>
              </w:rPr>
            </w:pPr>
            <w:r w:rsidRPr="00147AD2">
              <w:rPr>
                <w:rFonts w:cstheme="minorHAnsi"/>
                <w:b/>
                <w:szCs w:val="24"/>
              </w:rPr>
              <w:t>ψ</w:t>
            </w:r>
            <w:r w:rsidRPr="00147AD2">
              <w:rPr>
                <w:rFonts w:cstheme="minorHAnsi"/>
                <w:b/>
                <w:szCs w:val="24"/>
                <w:vertAlign w:val="subscript"/>
              </w:rPr>
              <w:t>a</w:t>
            </w:r>
          </w:p>
        </w:tc>
        <w:tc>
          <w:tcPr>
            <w:tcW w:w="1193" w:type="dxa"/>
            <w:vAlign w:val="center"/>
          </w:tcPr>
          <w:p w:rsidR="00147AD2" w:rsidRPr="00147AD2" w:rsidRDefault="00147AD2" w:rsidP="002F3B63">
            <w:pPr>
              <w:jc w:val="center"/>
              <w:rPr>
                <w:szCs w:val="24"/>
              </w:rPr>
            </w:pPr>
            <w:r w:rsidRPr="00147AD2">
              <w:rPr>
                <w:szCs w:val="24"/>
              </w:rPr>
              <w:t>cm</w:t>
            </w:r>
          </w:p>
        </w:tc>
        <w:tc>
          <w:tcPr>
            <w:tcW w:w="757" w:type="dxa"/>
            <w:vAlign w:val="center"/>
          </w:tcPr>
          <w:p w:rsidR="00147AD2" w:rsidRPr="00147AD2" w:rsidRDefault="00147AD2" w:rsidP="002F3B63">
            <w:pPr>
              <w:jc w:val="center"/>
              <w:rPr>
                <w:szCs w:val="24"/>
              </w:rPr>
            </w:pPr>
            <w:r w:rsidRPr="00147AD2">
              <w:rPr>
                <w:szCs w:val="24"/>
              </w:rPr>
              <w:t>115</w:t>
            </w:r>
          </w:p>
        </w:tc>
        <w:tc>
          <w:tcPr>
            <w:tcW w:w="1440" w:type="dxa"/>
            <w:vAlign w:val="center"/>
          </w:tcPr>
          <w:p w:rsidR="00147AD2" w:rsidRPr="00147AD2" w:rsidRDefault="00147AD2" w:rsidP="002F3B63">
            <w:pPr>
              <w:jc w:val="center"/>
              <w:rPr>
                <w:szCs w:val="24"/>
              </w:rPr>
            </w:pPr>
            <w:r w:rsidRPr="00147AD2">
              <w:rPr>
                <w:szCs w:val="24"/>
              </w:rPr>
              <w:t>-1.74e-11</w:t>
            </w:r>
          </w:p>
        </w:tc>
        <w:tc>
          <w:tcPr>
            <w:tcW w:w="1170" w:type="dxa"/>
            <w:vAlign w:val="center"/>
          </w:tcPr>
          <w:p w:rsidR="00147AD2" w:rsidRPr="00147AD2" w:rsidRDefault="00147AD2" w:rsidP="002F3B63">
            <w:pPr>
              <w:jc w:val="center"/>
              <w:rPr>
                <w:szCs w:val="24"/>
              </w:rPr>
            </w:pPr>
            <w:r w:rsidRPr="00147AD2">
              <w:rPr>
                <w:szCs w:val="24"/>
              </w:rPr>
              <w:t>3.67e-2</w:t>
            </w:r>
          </w:p>
        </w:tc>
        <w:tc>
          <w:tcPr>
            <w:tcW w:w="1530" w:type="dxa"/>
            <w:vAlign w:val="center"/>
          </w:tcPr>
          <w:p w:rsidR="00147AD2" w:rsidRPr="00147AD2" w:rsidRDefault="00147AD2" w:rsidP="002F3B63">
            <w:pPr>
              <w:jc w:val="center"/>
              <w:rPr>
                <w:szCs w:val="24"/>
              </w:rPr>
            </w:pPr>
            <w:r w:rsidRPr="00147AD2">
              <w:rPr>
                <w:szCs w:val="24"/>
              </w:rPr>
              <w:t>0.665</w:t>
            </w:r>
          </w:p>
        </w:tc>
      </w:tr>
      <w:tr w:rsidR="00147AD2" w:rsidTr="002F3B63">
        <w:tc>
          <w:tcPr>
            <w:tcW w:w="1398" w:type="dxa"/>
            <w:vAlign w:val="center"/>
          </w:tcPr>
          <w:p w:rsidR="00147AD2" w:rsidRPr="00147AD2" w:rsidRDefault="00147AD2" w:rsidP="002F3B63">
            <w:pPr>
              <w:jc w:val="center"/>
              <w:rPr>
                <w:szCs w:val="24"/>
              </w:rPr>
            </w:pPr>
            <w:r w:rsidRPr="00147AD2">
              <w:rPr>
                <w:rFonts w:cstheme="minorHAnsi"/>
                <w:b/>
                <w:szCs w:val="24"/>
              </w:rPr>
              <w:t>Ѳ</w:t>
            </w:r>
            <w:r w:rsidRPr="00147AD2">
              <w:rPr>
                <w:rFonts w:cstheme="minorHAnsi"/>
                <w:b/>
                <w:szCs w:val="24"/>
                <w:vertAlign w:val="subscript"/>
              </w:rPr>
              <w:t>s</w:t>
            </w:r>
          </w:p>
        </w:tc>
        <w:tc>
          <w:tcPr>
            <w:tcW w:w="1193" w:type="dxa"/>
            <w:vAlign w:val="center"/>
          </w:tcPr>
          <w:p w:rsidR="00147AD2" w:rsidRPr="00147AD2" w:rsidRDefault="00147AD2" w:rsidP="002F3B63">
            <w:pPr>
              <w:jc w:val="center"/>
              <w:rPr>
                <w:szCs w:val="24"/>
              </w:rPr>
            </w:pPr>
            <w:r w:rsidRPr="00147AD2">
              <w:rPr>
                <w:szCs w:val="24"/>
              </w:rPr>
              <w:t>cm</w:t>
            </w:r>
            <w:r w:rsidRPr="00147AD2">
              <w:rPr>
                <w:szCs w:val="24"/>
                <w:vertAlign w:val="superscript"/>
              </w:rPr>
              <w:t>3</w:t>
            </w:r>
            <w:r w:rsidRPr="00147AD2">
              <w:rPr>
                <w:szCs w:val="24"/>
              </w:rPr>
              <w:t>/cm</w:t>
            </w:r>
            <w:r w:rsidRPr="00147AD2">
              <w:rPr>
                <w:szCs w:val="24"/>
                <w:vertAlign w:val="superscript"/>
              </w:rPr>
              <w:t>3</w:t>
            </w:r>
          </w:p>
        </w:tc>
        <w:tc>
          <w:tcPr>
            <w:tcW w:w="757" w:type="dxa"/>
            <w:vAlign w:val="center"/>
          </w:tcPr>
          <w:p w:rsidR="00147AD2" w:rsidRPr="00147AD2" w:rsidRDefault="00147AD2" w:rsidP="002F3B63">
            <w:pPr>
              <w:jc w:val="center"/>
              <w:rPr>
                <w:szCs w:val="24"/>
              </w:rPr>
            </w:pPr>
            <w:r w:rsidRPr="00147AD2">
              <w:rPr>
                <w:szCs w:val="24"/>
              </w:rPr>
              <w:t>115</w:t>
            </w:r>
          </w:p>
        </w:tc>
        <w:tc>
          <w:tcPr>
            <w:tcW w:w="1440" w:type="dxa"/>
            <w:vAlign w:val="center"/>
          </w:tcPr>
          <w:p w:rsidR="00147AD2" w:rsidRPr="00147AD2" w:rsidRDefault="00147AD2" w:rsidP="002F3B63">
            <w:pPr>
              <w:jc w:val="center"/>
              <w:rPr>
                <w:szCs w:val="24"/>
              </w:rPr>
            </w:pPr>
            <w:r w:rsidRPr="00147AD2">
              <w:rPr>
                <w:szCs w:val="24"/>
              </w:rPr>
              <w:t>4.35e-11</w:t>
            </w:r>
          </w:p>
        </w:tc>
        <w:tc>
          <w:tcPr>
            <w:tcW w:w="1170" w:type="dxa"/>
            <w:vAlign w:val="center"/>
          </w:tcPr>
          <w:p w:rsidR="00147AD2" w:rsidRPr="00147AD2" w:rsidRDefault="00147AD2" w:rsidP="002F3B63">
            <w:pPr>
              <w:jc w:val="center"/>
              <w:rPr>
                <w:szCs w:val="24"/>
              </w:rPr>
            </w:pPr>
            <w:r w:rsidRPr="00147AD2">
              <w:rPr>
                <w:szCs w:val="24"/>
              </w:rPr>
              <w:t>-6.93e-3</w:t>
            </w:r>
          </w:p>
        </w:tc>
        <w:tc>
          <w:tcPr>
            <w:tcW w:w="1530" w:type="dxa"/>
            <w:vAlign w:val="center"/>
          </w:tcPr>
          <w:p w:rsidR="00147AD2" w:rsidRPr="00147AD2" w:rsidRDefault="00147AD2" w:rsidP="002F3B63">
            <w:pPr>
              <w:jc w:val="center"/>
              <w:rPr>
                <w:szCs w:val="24"/>
              </w:rPr>
            </w:pPr>
            <w:r w:rsidRPr="00147AD2">
              <w:rPr>
                <w:szCs w:val="24"/>
              </w:rPr>
              <w:t>3.88e-2</w:t>
            </w:r>
          </w:p>
        </w:tc>
      </w:tr>
      <w:tr w:rsidR="00147AD2" w:rsidTr="002F3B63">
        <w:tc>
          <w:tcPr>
            <w:tcW w:w="1398" w:type="dxa"/>
            <w:vAlign w:val="center"/>
          </w:tcPr>
          <w:p w:rsidR="00147AD2" w:rsidRPr="00147AD2" w:rsidRDefault="00147AD2" w:rsidP="002F3B63">
            <w:pPr>
              <w:jc w:val="center"/>
              <w:rPr>
                <w:szCs w:val="24"/>
              </w:rPr>
            </w:pPr>
            <w:r w:rsidRPr="00147AD2">
              <w:rPr>
                <w:rFonts w:cstheme="minorHAnsi"/>
                <w:b/>
                <w:szCs w:val="24"/>
              </w:rPr>
              <w:t>λ</w:t>
            </w:r>
          </w:p>
        </w:tc>
        <w:tc>
          <w:tcPr>
            <w:tcW w:w="1193" w:type="dxa"/>
            <w:vAlign w:val="center"/>
          </w:tcPr>
          <w:p w:rsidR="00147AD2" w:rsidRPr="00147AD2" w:rsidRDefault="00147AD2" w:rsidP="002F3B63">
            <w:pPr>
              <w:jc w:val="center"/>
              <w:rPr>
                <w:szCs w:val="24"/>
              </w:rPr>
            </w:pPr>
            <w:r w:rsidRPr="00147AD2">
              <w:rPr>
                <w:szCs w:val="24"/>
              </w:rPr>
              <w:t>-</w:t>
            </w:r>
          </w:p>
        </w:tc>
        <w:tc>
          <w:tcPr>
            <w:tcW w:w="757" w:type="dxa"/>
            <w:vAlign w:val="center"/>
          </w:tcPr>
          <w:p w:rsidR="00147AD2" w:rsidRPr="00147AD2" w:rsidRDefault="00147AD2" w:rsidP="002F3B63">
            <w:pPr>
              <w:jc w:val="center"/>
              <w:rPr>
                <w:szCs w:val="24"/>
              </w:rPr>
            </w:pPr>
            <w:r w:rsidRPr="00147AD2">
              <w:rPr>
                <w:szCs w:val="24"/>
              </w:rPr>
              <w:t>115</w:t>
            </w:r>
          </w:p>
        </w:tc>
        <w:tc>
          <w:tcPr>
            <w:tcW w:w="1440" w:type="dxa"/>
            <w:vAlign w:val="center"/>
          </w:tcPr>
          <w:p w:rsidR="00147AD2" w:rsidRPr="00147AD2" w:rsidRDefault="00147AD2" w:rsidP="002F3B63">
            <w:pPr>
              <w:jc w:val="center"/>
              <w:rPr>
                <w:szCs w:val="24"/>
              </w:rPr>
            </w:pPr>
            <w:r w:rsidRPr="00147AD2">
              <w:rPr>
                <w:szCs w:val="24"/>
              </w:rPr>
              <w:t>-6.09e-11</w:t>
            </w:r>
          </w:p>
        </w:tc>
        <w:tc>
          <w:tcPr>
            <w:tcW w:w="1170" w:type="dxa"/>
            <w:vAlign w:val="center"/>
          </w:tcPr>
          <w:p w:rsidR="00147AD2" w:rsidRPr="00147AD2" w:rsidRDefault="00147AD2" w:rsidP="002F3B63">
            <w:pPr>
              <w:jc w:val="center"/>
              <w:rPr>
                <w:szCs w:val="24"/>
              </w:rPr>
            </w:pPr>
            <w:r w:rsidRPr="00147AD2">
              <w:rPr>
                <w:szCs w:val="24"/>
              </w:rPr>
              <w:t>-7.32e-4</w:t>
            </w:r>
          </w:p>
        </w:tc>
        <w:tc>
          <w:tcPr>
            <w:tcW w:w="1530" w:type="dxa"/>
            <w:vAlign w:val="center"/>
          </w:tcPr>
          <w:p w:rsidR="00147AD2" w:rsidRPr="00147AD2" w:rsidRDefault="00147AD2" w:rsidP="002F3B63">
            <w:pPr>
              <w:jc w:val="center"/>
              <w:rPr>
                <w:szCs w:val="24"/>
              </w:rPr>
            </w:pPr>
            <w:r w:rsidRPr="00147AD2">
              <w:rPr>
                <w:szCs w:val="24"/>
              </w:rPr>
              <w:t>0.297</w:t>
            </w:r>
          </w:p>
        </w:tc>
      </w:tr>
      <w:tr w:rsidR="00147AD2" w:rsidTr="002F3B63">
        <w:tc>
          <w:tcPr>
            <w:tcW w:w="1398" w:type="dxa"/>
            <w:vAlign w:val="center"/>
          </w:tcPr>
          <w:p w:rsidR="00147AD2" w:rsidRPr="00147AD2" w:rsidRDefault="00147AD2" w:rsidP="002F3B63">
            <w:pPr>
              <w:jc w:val="center"/>
              <w:rPr>
                <w:szCs w:val="24"/>
              </w:rPr>
            </w:pPr>
            <w:r w:rsidRPr="00147AD2">
              <w:rPr>
                <w:rFonts w:cstheme="minorHAnsi"/>
                <w:b/>
                <w:szCs w:val="24"/>
              </w:rPr>
              <w:t>Ѳ</w:t>
            </w:r>
            <w:r w:rsidRPr="00147AD2">
              <w:rPr>
                <w:rFonts w:cstheme="minorHAnsi"/>
                <w:b/>
                <w:szCs w:val="24"/>
                <w:vertAlign w:val="subscript"/>
              </w:rPr>
              <w:t>r</w:t>
            </w:r>
          </w:p>
        </w:tc>
        <w:tc>
          <w:tcPr>
            <w:tcW w:w="1193" w:type="dxa"/>
            <w:vAlign w:val="center"/>
          </w:tcPr>
          <w:p w:rsidR="00147AD2" w:rsidRPr="00147AD2" w:rsidRDefault="00147AD2" w:rsidP="002F3B63">
            <w:pPr>
              <w:jc w:val="center"/>
              <w:rPr>
                <w:szCs w:val="24"/>
              </w:rPr>
            </w:pPr>
            <w:r w:rsidRPr="00147AD2">
              <w:rPr>
                <w:szCs w:val="24"/>
              </w:rPr>
              <w:t>cm</w:t>
            </w:r>
            <w:r w:rsidRPr="00147AD2">
              <w:rPr>
                <w:szCs w:val="24"/>
                <w:vertAlign w:val="superscript"/>
              </w:rPr>
              <w:t>3</w:t>
            </w:r>
            <w:r w:rsidRPr="00147AD2">
              <w:rPr>
                <w:szCs w:val="24"/>
              </w:rPr>
              <w:t>/cm</w:t>
            </w:r>
            <w:r w:rsidRPr="00147AD2">
              <w:rPr>
                <w:szCs w:val="24"/>
                <w:vertAlign w:val="superscript"/>
              </w:rPr>
              <w:t>3</w:t>
            </w:r>
          </w:p>
        </w:tc>
        <w:tc>
          <w:tcPr>
            <w:tcW w:w="757" w:type="dxa"/>
            <w:vAlign w:val="center"/>
          </w:tcPr>
          <w:p w:rsidR="00147AD2" w:rsidRPr="00147AD2" w:rsidRDefault="00147AD2" w:rsidP="002F3B63">
            <w:pPr>
              <w:jc w:val="center"/>
              <w:rPr>
                <w:szCs w:val="24"/>
              </w:rPr>
            </w:pPr>
            <w:r w:rsidRPr="00147AD2">
              <w:rPr>
                <w:szCs w:val="24"/>
              </w:rPr>
              <w:t>115</w:t>
            </w:r>
          </w:p>
        </w:tc>
        <w:tc>
          <w:tcPr>
            <w:tcW w:w="1440" w:type="dxa"/>
            <w:vAlign w:val="center"/>
          </w:tcPr>
          <w:p w:rsidR="00147AD2" w:rsidRPr="00147AD2" w:rsidRDefault="00147AD2" w:rsidP="002F3B63">
            <w:pPr>
              <w:jc w:val="center"/>
              <w:rPr>
                <w:szCs w:val="24"/>
              </w:rPr>
            </w:pPr>
            <w:r w:rsidRPr="00147AD2">
              <w:rPr>
                <w:szCs w:val="24"/>
              </w:rPr>
              <w:t>-2.61e-11</w:t>
            </w:r>
          </w:p>
        </w:tc>
        <w:tc>
          <w:tcPr>
            <w:tcW w:w="1170" w:type="dxa"/>
            <w:vAlign w:val="center"/>
          </w:tcPr>
          <w:p w:rsidR="00147AD2" w:rsidRPr="00147AD2" w:rsidRDefault="00147AD2" w:rsidP="002F3B63">
            <w:pPr>
              <w:jc w:val="center"/>
              <w:rPr>
                <w:szCs w:val="24"/>
              </w:rPr>
            </w:pPr>
            <w:r w:rsidRPr="00147AD2">
              <w:rPr>
                <w:szCs w:val="24"/>
              </w:rPr>
              <w:t>-7.98e-4</w:t>
            </w:r>
          </w:p>
        </w:tc>
        <w:tc>
          <w:tcPr>
            <w:tcW w:w="1530" w:type="dxa"/>
            <w:vAlign w:val="center"/>
          </w:tcPr>
          <w:p w:rsidR="00147AD2" w:rsidRPr="00147AD2" w:rsidRDefault="00147AD2" w:rsidP="002F3B63">
            <w:pPr>
              <w:jc w:val="center"/>
              <w:rPr>
                <w:szCs w:val="24"/>
              </w:rPr>
            </w:pPr>
            <w:r w:rsidRPr="00147AD2">
              <w:rPr>
                <w:szCs w:val="24"/>
              </w:rPr>
              <w:t>1.04e-2</w:t>
            </w:r>
          </w:p>
        </w:tc>
      </w:tr>
    </w:tbl>
    <w:p w:rsidR="00921C07" w:rsidRDefault="002F3B63" w:rsidP="00D83E2D">
      <w:pPr>
        <w:pStyle w:val="Caption"/>
      </w:pPr>
      <w:bookmarkStart w:id="63" w:name="_Toc425427064"/>
      <w:r>
        <w:t xml:space="preserve">Table </w:t>
      </w:r>
      <w:fldSimple w:instr=" SEQ Table \* ARABIC ">
        <w:r w:rsidR="00885C9E">
          <w:rPr>
            <w:noProof/>
          </w:rPr>
          <w:t>8</w:t>
        </w:r>
      </w:fldSimple>
      <w:r>
        <w:t>: Descriptive statistics of trend surface residuals, very small mean values signify successful removal of trends within the BC parameters.</w:t>
      </w:r>
      <w:bookmarkEnd w:id="63"/>
      <w:r>
        <w:t xml:space="preserve"> </w:t>
      </w:r>
    </w:p>
    <w:p w:rsidR="00147AD2" w:rsidRPr="00686053" w:rsidRDefault="00147AD2" w:rsidP="002F3B63"/>
    <w:tbl>
      <w:tblPr>
        <w:tblStyle w:val="TableGrid"/>
        <w:tblW w:w="0" w:type="auto"/>
        <w:tblLayout w:type="fixed"/>
        <w:tblLook w:val="04A0"/>
      </w:tblPr>
      <w:tblGrid>
        <w:gridCol w:w="1398"/>
        <w:gridCol w:w="1193"/>
        <w:gridCol w:w="1169"/>
        <w:gridCol w:w="1028"/>
      </w:tblGrid>
      <w:tr w:rsidR="002F3B63" w:rsidTr="002F3B63">
        <w:tc>
          <w:tcPr>
            <w:tcW w:w="1398" w:type="dxa"/>
            <w:vAlign w:val="center"/>
          </w:tcPr>
          <w:p w:rsidR="002F3B63" w:rsidRPr="00147AD2" w:rsidRDefault="002F3B63" w:rsidP="002F3B63">
            <w:pPr>
              <w:jc w:val="center"/>
              <w:rPr>
                <w:b/>
                <w:szCs w:val="24"/>
              </w:rPr>
            </w:pPr>
            <w:r w:rsidRPr="00147AD2">
              <w:rPr>
                <w:b/>
                <w:szCs w:val="24"/>
              </w:rPr>
              <w:t>Parameter</w:t>
            </w:r>
          </w:p>
        </w:tc>
        <w:tc>
          <w:tcPr>
            <w:tcW w:w="1193" w:type="dxa"/>
            <w:vAlign w:val="center"/>
          </w:tcPr>
          <w:p w:rsidR="002F3B63" w:rsidRPr="00147AD2" w:rsidRDefault="002F3B63" w:rsidP="002F3B63">
            <w:pPr>
              <w:jc w:val="center"/>
              <w:rPr>
                <w:b/>
                <w:szCs w:val="24"/>
              </w:rPr>
            </w:pPr>
            <w:r w:rsidRPr="00147AD2">
              <w:rPr>
                <w:b/>
                <w:szCs w:val="24"/>
              </w:rPr>
              <w:t>Unit</w:t>
            </w:r>
          </w:p>
        </w:tc>
        <w:tc>
          <w:tcPr>
            <w:tcW w:w="1169" w:type="dxa"/>
            <w:vAlign w:val="center"/>
          </w:tcPr>
          <w:p w:rsidR="002F3B63" w:rsidRPr="00147AD2" w:rsidRDefault="002F3B63" w:rsidP="002F3B63">
            <w:pPr>
              <w:jc w:val="center"/>
              <w:rPr>
                <w:b/>
                <w:szCs w:val="24"/>
              </w:rPr>
            </w:pPr>
            <w:r w:rsidRPr="00147AD2">
              <w:rPr>
                <w:b/>
                <w:szCs w:val="24"/>
              </w:rPr>
              <w:t>N</w:t>
            </w:r>
          </w:p>
        </w:tc>
        <w:tc>
          <w:tcPr>
            <w:tcW w:w="1028" w:type="dxa"/>
            <w:vAlign w:val="center"/>
          </w:tcPr>
          <w:p w:rsidR="002F3B63" w:rsidRPr="00147AD2" w:rsidRDefault="002F3B63" w:rsidP="002F3B63">
            <w:pPr>
              <w:jc w:val="center"/>
              <w:rPr>
                <w:b/>
                <w:szCs w:val="24"/>
              </w:rPr>
            </w:pPr>
            <w:r w:rsidRPr="00147AD2">
              <w:rPr>
                <w:b/>
                <w:szCs w:val="24"/>
              </w:rPr>
              <w:t>W</w:t>
            </w:r>
          </w:p>
        </w:tc>
      </w:tr>
      <w:tr w:rsidR="002F3B63" w:rsidTr="002F3B63">
        <w:tc>
          <w:tcPr>
            <w:tcW w:w="1398" w:type="dxa"/>
            <w:vAlign w:val="center"/>
          </w:tcPr>
          <w:p w:rsidR="002F3B63" w:rsidRPr="00147AD2" w:rsidRDefault="002F3B63" w:rsidP="002F3B63">
            <w:pPr>
              <w:jc w:val="center"/>
              <w:rPr>
                <w:szCs w:val="24"/>
              </w:rPr>
            </w:pPr>
            <w:r w:rsidRPr="00147AD2">
              <w:rPr>
                <w:rFonts w:cstheme="minorHAnsi"/>
                <w:b/>
                <w:szCs w:val="24"/>
              </w:rPr>
              <w:t>ψ</w:t>
            </w:r>
            <w:r w:rsidRPr="00147AD2">
              <w:rPr>
                <w:rFonts w:cstheme="minorHAnsi"/>
                <w:b/>
                <w:szCs w:val="24"/>
                <w:vertAlign w:val="subscript"/>
              </w:rPr>
              <w:t>a</w:t>
            </w:r>
          </w:p>
        </w:tc>
        <w:tc>
          <w:tcPr>
            <w:tcW w:w="1193" w:type="dxa"/>
            <w:vAlign w:val="center"/>
          </w:tcPr>
          <w:p w:rsidR="002F3B63" w:rsidRPr="00147AD2" w:rsidRDefault="002F3B63" w:rsidP="002F3B63">
            <w:pPr>
              <w:jc w:val="center"/>
              <w:rPr>
                <w:szCs w:val="24"/>
              </w:rPr>
            </w:pPr>
            <w:r w:rsidRPr="00147AD2">
              <w:rPr>
                <w:szCs w:val="24"/>
              </w:rPr>
              <w:t>cm</w:t>
            </w:r>
          </w:p>
        </w:tc>
        <w:tc>
          <w:tcPr>
            <w:tcW w:w="1169" w:type="dxa"/>
            <w:vAlign w:val="center"/>
          </w:tcPr>
          <w:p w:rsidR="002F3B63" w:rsidRPr="00147AD2" w:rsidRDefault="002F3B63" w:rsidP="002F3B63">
            <w:pPr>
              <w:jc w:val="center"/>
              <w:rPr>
                <w:szCs w:val="24"/>
              </w:rPr>
            </w:pPr>
            <w:r w:rsidRPr="00147AD2">
              <w:rPr>
                <w:szCs w:val="24"/>
              </w:rPr>
              <w:t>115</w:t>
            </w:r>
          </w:p>
        </w:tc>
        <w:tc>
          <w:tcPr>
            <w:tcW w:w="1028" w:type="dxa"/>
            <w:vAlign w:val="center"/>
          </w:tcPr>
          <w:p w:rsidR="002F3B63" w:rsidRPr="00147AD2" w:rsidRDefault="002F3B63" w:rsidP="002F3B63">
            <w:pPr>
              <w:jc w:val="center"/>
              <w:rPr>
                <w:szCs w:val="24"/>
              </w:rPr>
            </w:pPr>
            <w:r w:rsidRPr="00147AD2">
              <w:rPr>
                <w:szCs w:val="24"/>
              </w:rPr>
              <w:t>0.987</w:t>
            </w:r>
          </w:p>
        </w:tc>
      </w:tr>
      <w:tr w:rsidR="002F3B63" w:rsidTr="002F3B63">
        <w:tc>
          <w:tcPr>
            <w:tcW w:w="1398" w:type="dxa"/>
            <w:vAlign w:val="center"/>
          </w:tcPr>
          <w:p w:rsidR="002F3B63" w:rsidRPr="00147AD2" w:rsidRDefault="002F3B63" w:rsidP="002F3B63">
            <w:pPr>
              <w:jc w:val="center"/>
              <w:rPr>
                <w:szCs w:val="24"/>
              </w:rPr>
            </w:pPr>
            <w:r w:rsidRPr="00147AD2">
              <w:rPr>
                <w:rFonts w:cstheme="minorHAnsi"/>
                <w:b/>
                <w:szCs w:val="24"/>
              </w:rPr>
              <w:t>Ѳ</w:t>
            </w:r>
            <w:r w:rsidRPr="00147AD2">
              <w:rPr>
                <w:rFonts w:cstheme="minorHAnsi"/>
                <w:b/>
                <w:szCs w:val="24"/>
                <w:vertAlign w:val="subscript"/>
              </w:rPr>
              <w:t>s</w:t>
            </w:r>
          </w:p>
        </w:tc>
        <w:tc>
          <w:tcPr>
            <w:tcW w:w="1193" w:type="dxa"/>
            <w:vAlign w:val="center"/>
          </w:tcPr>
          <w:p w:rsidR="002F3B63" w:rsidRPr="00147AD2" w:rsidRDefault="002F3B63" w:rsidP="002F3B63">
            <w:pPr>
              <w:jc w:val="center"/>
              <w:rPr>
                <w:szCs w:val="24"/>
              </w:rPr>
            </w:pPr>
            <w:r w:rsidRPr="00147AD2">
              <w:rPr>
                <w:szCs w:val="24"/>
              </w:rPr>
              <w:t>cm</w:t>
            </w:r>
            <w:r w:rsidRPr="00147AD2">
              <w:rPr>
                <w:szCs w:val="24"/>
                <w:vertAlign w:val="superscript"/>
              </w:rPr>
              <w:t>3</w:t>
            </w:r>
            <w:r w:rsidRPr="00147AD2">
              <w:rPr>
                <w:szCs w:val="24"/>
              </w:rPr>
              <w:t>/cm</w:t>
            </w:r>
            <w:r w:rsidRPr="00147AD2">
              <w:rPr>
                <w:szCs w:val="24"/>
                <w:vertAlign w:val="superscript"/>
              </w:rPr>
              <w:t>3</w:t>
            </w:r>
          </w:p>
        </w:tc>
        <w:tc>
          <w:tcPr>
            <w:tcW w:w="1169" w:type="dxa"/>
            <w:vAlign w:val="center"/>
          </w:tcPr>
          <w:p w:rsidR="002F3B63" w:rsidRPr="00147AD2" w:rsidRDefault="002F3B63" w:rsidP="002F3B63">
            <w:pPr>
              <w:jc w:val="center"/>
              <w:rPr>
                <w:szCs w:val="24"/>
              </w:rPr>
            </w:pPr>
            <w:r w:rsidRPr="00147AD2">
              <w:rPr>
                <w:szCs w:val="24"/>
              </w:rPr>
              <w:t>115</w:t>
            </w:r>
          </w:p>
        </w:tc>
        <w:tc>
          <w:tcPr>
            <w:tcW w:w="1028" w:type="dxa"/>
            <w:vAlign w:val="center"/>
          </w:tcPr>
          <w:p w:rsidR="002F3B63" w:rsidRPr="00147AD2" w:rsidRDefault="002F3B63" w:rsidP="002F3B63">
            <w:pPr>
              <w:jc w:val="center"/>
              <w:rPr>
                <w:szCs w:val="24"/>
              </w:rPr>
            </w:pPr>
            <w:r w:rsidRPr="00147AD2">
              <w:rPr>
                <w:szCs w:val="24"/>
              </w:rPr>
              <w:t>0.976 *</w:t>
            </w:r>
          </w:p>
        </w:tc>
      </w:tr>
      <w:tr w:rsidR="002F3B63" w:rsidTr="002F3B63">
        <w:tc>
          <w:tcPr>
            <w:tcW w:w="1398" w:type="dxa"/>
            <w:vAlign w:val="center"/>
          </w:tcPr>
          <w:p w:rsidR="002F3B63" w:rsidRPr="00147AD2" w:rsidRDefault="002F3B63" w:rsidP="002F3B63">
            <w:pPr>
              <w:jc w:val="center"/>
              <w:rPr>
                <w:szCs w:val="24"/>
              </w:rPr>
            </w:pPr>
            <w:r w:rsidRPr="00147AD2">
              <w:rPr>
                <w:rFonts w:cstheme="minorHAnsi"/>
                <w:b/>
                <w:szCs w:val="24"/>
              </w:rPr>
              <w:t>λ</w:t>
            </w:r>
          </w:p>
        </w:tc>
        <w:tc>
          <w:tcPr>
            <w:tcW w:w="1193" w:type="dxa"/>
            <w:vAlign w:val="center"/>
          </w:tcPr>
          <w:p w:rsidR="002F3B63" w:rsidRPr="00147AD2" w:rsidRDefault="002F3B63" w:rsidP="002F3B63">
            <w:pPr>
              <w:jc w:val="center"/>
              <w:rPr>
                <w:szCs w:val="24"/>
              </w:rPr>
            </w:pPr>
            <w:r w:rsidRPr="00147AD2">
              <w:rPr>
                <w:szCs w:val="24"/>
              </w:rPr>
              <w:t>-</w:t>
            </w:r>
          </w:p>
        </w:tc>
        <w:tc>
          <w:tcPr>
            <w:tcW w:w="1169" w:type="dxa"/>
            <w:vAlign w:val="center"/>
          </w:tcPr>
          <w:p w:rsidR="002F3B63" w:rsidRPr="00147AD2" w:rsidRDefault="002F3B63" w:rsidP="002F3B63">
            <w:pPr>
              <w:jc w:val="center"/>
              <w:rPr>
                <w:szCs w:val="24"/>
              </w:rPr>
            </w:pPr>
            <w:r w:rsidRPr="00147AD2">
              <w:rPr>
                <w:szCs w:val="24"/>
              </w:rPr>
              <w:t>115</w:t>
            </w:r>
          </w:p>
        </w:tc>
        <w:tc>
          <w:tcPr>
            <w:tcW w:w="1028" w:type="dxa"/>
            <w:vAlign w:val="center"/>
          </w:tcPr>
          <w:p w:rsidR="002F3B63" w:rsidRPr="00147AD2" w:rsidRDefault="002F3B63" w:rsidP="002F3B63">
            <w:pPr>
              <w:jc w:val="center"/>
              <w:rPr>
                <w:szCs w:val="24"/>
              </w:rPr>
            </w:pPr>
            <w:r w:rsidRPr="00147AD2">
              <w:rPr>
                <w:szCs w:val="24"/>
              </w:rPr>
              <w:t>0.989</w:t>
            </w:r>
          </w:p>
        </w:tc>
      </w:tr>
      <w:tr w:rsidR="002F3B63" w:rsidTr="002F3B63">
        <w:tc>
          <w:tcPr>
            <w:tcW w:w="1398" w:type="dxa"/>
            <w:vAlign w:val="center"/>
          </w:tcPr>
          <w:p w:rsidR="002F3B63" w:rsidRPr="00147AD2" w:rsidRDefault="002F3B63" w:rsidP="002F3B63">
            <w:pPr>
              <w:jc w:val="center"/>
              <w:rPr>
                <w:szCs w:val="24"/>
              </w:rPr>
            </w:pPr>
            <w:r w:rsidRPr="00147AD2">
              <w:rPr>
                <w:rFonts w:cstheme="minorHAnsi"/>
                <w:b/>
                <w:szCs w:val="24"/>
              </w:rPr>
              <w:t>Ѳ</w:t>
            </w:r>
            <w:r w:rsidRPr="00147AD2">
              <w:rPr>
                <w:rFonts w:cstheme="minorHAnsi"/>
                <w:b/>
                <w:szCs w:val="24"/>
                <w:vertAlign w:val="subscript"/>
              </w:rPr>
              <w:t>r</w:t>
            </w:r>
          </w:p>
        </w:tc>
        <w:tc>
          <w:tcPr>
            <w:tcW w:w="1193" w:type="dxa"/>
            <w:vAlign w:val="center"/>
          </w:tcPr>
          <w:p w:rsidR="002F3B63" w:rsidRPr="00147AD2" w:rsidRDefault="002F3B63" w:rsidP="002F3B63">
            <w:pPr>
              <w:jc w:val="center"/>
              <w:rPr>
                <w:szCs w:val="24"/>
              </w:rPr>
            </w:pPr>
            <w:r w:rsidRPr="00147AD2">
              <w:rPr>
                <w:szCs w:val="24"/>
              </w:rPr>
              <w:t>cm</w:t>
            </w:r>
            <w:r w:rsidRPr="00147AD2">
              <w:rPr>
                <w:szCs w:val="24"/>
                <w:vertAlign w:val="superscript"/>
              </w:rPr>
              <w:t>3</w:t>
            </w:r>
            <w:r w:rsidRPr="00147AD2">
              <w:rPr>
                <w:szCs w:val="24"/>
              </w:rPr>
              <w:t>/cm</w:t>
            </w:r>
            <w:r w:rsidRPr="00147AD2">
              <w:rPr>
                <w:szCs w:val="24"/>
                <w:vertAlign w:val="superscript"/>
              </w:rPr>
              <w:t>3</w:t>
            </w:r>
          </w:p>
        </w:tc>
        <w:tc>
          <w:tcPr>
            <w:tcW w:w="1169" w:type="dxa"/>
            <w:vAlign w:val="center"/>
          </w:tcPr>
          <w:p w:rsidR="002F3B63" w:rsidRPr="00147AD2" w:rsidRDefault="002F3B63" w:rsidP="002F3B63">
            <w:pPr>
              <w:jc w:val="center"/>
              <w:rPr>
                <w:szCs w:val="24"/>
              </w:rPr>
            </w:pPr>
            <w:r w:rsidRPr="00147AD2">
              <w:rPr>
                <w:szCs w:val="24"/>
              </w:rPr>
              <w:t>115</w:t>
            </w:r>
          </w:p>
        </w:tc>
        <w:tc>
          <w:tcPr>
            <w:tcW w:w="1028" w:type="dxa"/>
            <w:vAlign w:val="center"/>
          </w:tcPr>
          <w:p w:rsidR="002F3B63" w:rsidRPr="00147AD2" w:rsidRDefault="002F3B63" w:rsidP="002F3B63">
            <w:pPr>
              <w:jc w:val="center"/>
              <w:rPr>
                <w:szCs w:val="24"/>
              </w:rPr>
            </w:pPr>
            <w:r w:rsidRPr="00147AD2">
              <w:rPr>
                <w:szCs w:val="24"/>
              </w:rPr>
              <w:t>0.980</w:t>
            </w:r>
          </w:p>
        </w:tc>
      </w:tr>
    </w:tbl>
    <w:p w:rsidR="00147AD2" w:rsidRPr="00147AD2" w:rsidRDefault="002F3B63" w:rsidP="00FC0169">
      <w:pPr>
        <w:pStyle w:val="Caption"/>
      </w:pPr>
      <w:bookmarkStart w:id="64" w:name="_Toc425427065"/>
      <w:r>
        <w:t xml:space="preserve">Table </w:t>
      </w:r>
      <w:fldSimple w:instr=" SEQ Table \* ARABIC ">
        <w:r w:rsidR="00885C9E">
          <w:rPr>
            <w:noProof/>
          </w:rPr>
          <w:t>9</w:t>
        </w:r>
      </w:fldSimple>
      <w:r>
        <w:t xml:space="preserve">: SW </w:t>
      </w:r>
      <w:r w:rsidRPr="00CD56A7">
        <w:rPr>
          <w:i/>
        </w:rPr>
        <w:t>W</w:t>
      </w:r>
      <w:r>
        <w:t xml:space="preserve"> statistic and significance level for trend surface residuals before kriging, normal to near normal distributions of BC parameters before kriging will result in optimal interpolation</w:t>
      </w:r>
      <w:bookmarkEnd w:id="64"/>
    </w:p>
    <w:tbl>
      <w:tblPr>
        <w:tblStyle w:val="TableGrid"/>
        <w:tblW w:w="9378" w:type="dxa"/>
        <w:tblLayout w:type="fixed"/>
        <w:tblLook w:val="04A0"/>
      </w:tblPr>
      <w:tblGrid>
        <w:gridCol w:w="1368"/>
        <w:gridCol w:w="1080"/>
        <w:gridCol w:w="1170"/>
        <w:gridCol w:w="990"/>
        <w:gridCol w:w="990"/>
        <w:gridCol w:w="900"/>
        <w:gridCol w:w="1080"/>
        <w:gridCol w:w="990"/>
        <w:gridCol w:w="810"/>
      </w:tblGrid>
      <w:tr w:rsidR="008F024F" w:rsidTr="008F024F">
        <w:trPr>
          <w:trHeight w:val="665"/>
        </w:trPr>
        <w:tc>
          <w:tcPr>
            <w:tcW w:w="1368" w:type="dxa"/>
            <w:vAlign w:val="center"/>
          </w:tcPr>
          <w:p w:rsidR="008F024F" w:rsidRPr="00147AD2" w:rsidRDefault="008F024F" w:rsidP="002F3B63">
            <w:pPr>
              <w:jc w:val="center"/>
              <w:rPr>
                <w:b/>
                <w:szCs w:val="24"/>
              </w:rPr>
            </w:pPr>
            <w:r w:rsidRPr="00147AD2">
              <w:rPr>
                <w:b/>
                <w:szCs w:val="24"/>
              </w:rPr>
              <w:lastRenderedPageBreak/>
              <w:t>Parameter</w:t>
            </w:r>
          </w:p>
        </w:tc>
        <w:tc>
          <w:tcPr>
            <w:tcW w:w="1080" w:type="dxa"/>
            <w:vAlign w:val="center"/>
          </w:tcPr>
          <w:p w:rsidR="008F024F" w:rsidRPr="00147AD2" w:rsidRDefault="008F024F" w:rsidP="008F024F">
            <w:pPr>
              <w:jc w:val="center"/>
              <w:rPr>
                <w:b/>
                <w:szCs w:val="24"/>
              </w:rPr>
            </w:pPr>
            <w:r w:rsidRPr="00147AD2">
              <w:rPr>
                <w:b/>
                <w:szCs w:val="24"/>
              </w:rPr>
              <w:t>Unit</w:t>
            </w:r>
          </w:p>
        </w:tc>
        <w:tc>
          <w:tcPr>
            <w:tcW w:w="1170" w:type="dxa"/>
            <w:vAlign w:val="center"/>
          </w:tcPr>
          <w:p w:rsidR="008F024F" w:rsidRPr="00147AD2" w:rsidRDefault="008F024F" w:rsidP="002F3B63">
            <w:pPr>
              <w:jc w:val="center"/>
              <w:rPr>
                <w:b/>
                <w:szCs w:val="24"/>
              </w:rPr>
            </w:pPr>
            <w:r w:rsidRPr="00147AD2">
              <w:rPr>
                <w:b/>
                <w:szCs w:val="24"/>
              </w:rPr>
              <w:t>Model</w:t>
            </w:r>
          </w:p>
        </w:tc>
        <w:tc>
          <w:tcPr>
            <w:tcW w:w="990" w:type="dxa"/>
            <w:vAlign w:val="center"/>
          </w:tcPr>
          <w:p w:rsidR="008F024F" w:rsidRDefault="008F024F" w:rsidP="002F3B63">
            <w:pPr>
              <w:jc w:val="center"/>
              <w:rPr>
                <w:b/>
                <w:szCs w:val="24"/>
              </w:rPr>
            </w:pPr>
            <w:r w:rsidRPr="00147AD2">
              <w:rPr>
                <w:b/>
                <w:szCs w:val="24"/>
              </w:rPr>
              <w:t>Nugget</w:t>
            </w:r>
          </w:p>
          <w:p w:rsidR="008F024F" w:rsidRPr="008F024F" w:rsidRDefault="008F024F" w:rsidP="00D42C45">
            <w:pPr>
              <w:jc w:val="center"/>
              <w:rPr>
                <w:b/>
                <w:szCs w:val="24"/>
              </w:rPr>
            </w:pPr>
            <w:r>
              <w:rPr>
                <w:b/>
                <w:szCs w:val="24"/>
              </w:rPr>
              <w:t>(unit)</w:t>
            </w:r>
            <w:r w:rsidR="00D42C45" w:rsidRPr="00D42C45">
              <w:rPr>
                <w:b/>
                <w:szCs w:val="24"/>
                <w:vertAlign w:val="superscript"/>
              </w:rPr>
              <w:t>2</w:t>
            </w:r>
          </w:p>
        </w:tc>
        <w:tc>
          <w:tcPr>
            <w:tcW w:w="990" w:type="dxa"/>
            <w:vAlign w:val="center"/>
          </w:tcPr>
          <w:p w:rsidR="008F024F" w:rsidRDefault="008F024F" w:rsidP="002F3B63">
            <w:pPr>
              <w:jc w:val="center"/>
              <w:rPr>
                <w:b/>
                <w:szCs w:val="24"/>
              </w:rPr>
            </w:pPr>
            <w:r w:rsidRPr="00147AD2">
              <w:rPr>
                <w:b/>
                <w:szCs w:val="24"/>
              </w:rPr>
              <w:t>Sill</w:t>
            </w:r>
          </w:p>
          <w:p w:rsidR="008F024F" w:rsidRPr="00147AD2" w:rsidRDefault="008F024F" w:rsidP="002F3B63">
            <w:pPr>
              <w:jc w:val="center"/>
              <w:rPr>
                <w:b/>
                <w:szCs w:val="24"/>
              </w:rPr>
            </w:pPr>
            <w:r>
              <w:rPr>
                <w:b/>
                <w:szCs w:val="24"/>
              </w:rPr>
              <w:t>(unit)</w:t>
            </w:r>
            <w:r w:rsidR="00D42C45" w:rsidRPr="00D42C45">
              <w:rPr>
                <w:b/>
                <w:szCs w:val="24"/>
                <w:vertAlign w:val="superscript"/>
              </w:rPr>
              <w:t>2</w:t>
            </w:r>
          </w:p>
        </w:tc>
        <w:tc>
          <w:tcPr>
            <w:tcW w:w="900" w:type="dxa"/>
            <w:vAlign w:val="center"/>
          </w:tcPr>
          <w:p w:rsidR="008F024F" w:rsidRPr="00147AD2" w:rsidRDefault="008F024F" w:rsidP="002F3B63">
            <w:pPr>
              <w:jc w:val="center"/>
              <w:rPr>
                <w:b/>
                <w:szCs w:val="24"/>
              </w:rPr>
            </w:pPr>
            <w:r w:rsidRPr="00147AD2">
              <w:rPr>
                <w:b/>
                <w:szCs w:val="24"/>
              </w:rPr>
              <w:t>Range</w:t>
            </w:r>
            <w:r>
              <w:rPr>
                <w:b/>
                <w:szCs w:val="24"/>
              </w:rPr>
              <w:t xml:space="preserve"> (mm)</w:t>
            </w:r>
          </w:p>
        </w:tc>
        <w:tc>
          <w:tcPr>
            <w:tcW w:w="1080" w:type="dxa"/>
            <w:vAlign w:val="center"/>
          </w:tcPr>
          <w:p w:rsidR="008F024F" w:rsidRPr="00147AD2" w:rsidRDefault="008F024F" w:rsidP="002F3B63">
            <w:pPr>
              <w:jc w:val="center"/>
              <w:rPr>
                <w:b/>
                <w:szCs w:val="24"/>
              </w:rPr>
            </w:pPr>
            <w:r w:rsidRPr="00147AD2">
              <w:rPr>
                <w:b/>
                <w:szCs w:val="24"/>
              </w:rPr>
              <w:t>R</w:t>
            </w:r>
            <w:r w:rsidRPr="00147AD2">
              <w:rPr>
                <w:b/>
                <w:szCs w:val="24"/>
                <w:vertAlign w:val="superscript"/>
              </w:rPr>
              <w:t>2</w:t>
            </w:r>
          </w:p>
        </w:tc>
        <w:tc>
          <w:tcPr>
            <w:tcW w:w="990" w:type="dxa"/>
            <w:vAlign w:val="center"/>
          </w:tcPr>
          <w:p w:rsidR="008F024F" w:rsidRPr="00147AD2" w:rsidRDefault="008F024F" w:rsidP="002F3B63">
            <w:pPr>
              <w:jc w:val="center"/>
              <w:rPr>
                <w:b/>
                <w:szCs w:val="24"/>
              </w:rPr>
            </w:pPr>
            <w:r w:rsidRPr="00147AD2">
              <w:rPr>
                <w:b/>
                <w:szCs w:val="24"/>
              </w:rPr>
              <w:t>NRMSE</w:t>
            </w:r>
          </w:p>
        </w:tc>
        <w:tc>
          <w:tcPr>
            <w:tcW w:w="810" w:type="dxa"/>
            <w:vAlign w:val="center"/>
          </w:tcPr>
          <w:p w:rsidR="008F024F" w:rsidRPr="00147AD2" w:rsidRDefault="008F024F" w:rsidP="002F3B63">
            <w:pPr>
              <w:jc w:val="center"/>
              <w:rPr>
                <w:b/>
                <w:szCs w:val="24"/>
              </w:rPr>
            </w:pPr>
            <w:r w:rsidRPr="00147AD2">
              <w:rPr>
                <w:b/>
                <w:szCs w:val="24"/>
              </w:rPr>
              <w:t>DSD</w:t>
            </w:r>
          </w:p>
        </w:tc>
      </w:tr>
      <w:tr w:rsidR="008F024F" w:rsidTr="008F024F">
        <w:tc>
          <w:tcPr>
            <w:tcW w:w="1368" w:type="dxa"/>
            <w:vAlign w:val="center"/>
          </w:tcPr>
          <w:p w:rsidR="008F024F" w:rsidRPr="00147AD2" w:rsidRDefault="008F024F" w:rsidP="002F3B63">
            <w:pPr>
              <w:jc w:val="center"/>
              <w:rPr>
                <w:szCs w:val="24"/>
              </w:rPr>
            </w:pPr>
            <w:r w:rsidRPr="00147AD2">
              <w:rPr>
                <w:rFonts w:cstheme="minorHAnsi"/>
                <w:b/>
                <w:szCs w:val="24"/>
              </w:rPr>
              <w:t>ψ</w:t>
            </w:r>
            <w:r w:rsidRPr="00147AD2">
              <w:rPr>
                <w:rFonts w:cstheme="minorHAnsi"/>
                <w:b/>
                <w:szCs w:val="24"/>
                <w:vertAlign w:val="subscript"/>
              </w:rPr>
              <w:t>a</w:t>
            </w:r>
          </w:p>
        </w:tc>
        <w:tc>
          <w:tcPr>
            <w:tcW w:w="1080" w:type="dxa"/>
            <w:vAlign w:val="center"/>
          </w:tcPr>
          <w:p w:rsidR="008F024F" w:rsidRPr="00147AD2" w:rsidRDefault="008F024F" w:rsidP="008F024F">
            <w:pPr>
              <w:jc w:val="center"/>
              <w:rPr>
                <w:szCs w:val="24"/>
              </w:rPr>
            </w:pPr>
            <w:r w:rsidRPr="00147AD2">
              <w:rPr>
                <w:szCs w:val="24"/>
              </w:rPr>
              <w:t>cm</w:t>
            </w:r>
          </w:p>
        </w:tc>
        <w:tc>
          <w:tcPr>
            <w:tcW w:w="1170" w:type="dxa"/>
            <w:vAlign w:val="center"/>
          </w:tcPr>
          <w:p w:rsidR="008F024F" w:rsidRPr="00147AD2" w:rsidRDefault="008F024F" w:rsidP="002F3B63">
            <w:pPr>
              <w:jc w:val="center"/>
              <w:rPr>
                <w:szCs w:val="24"/>
              </w:rPr>
            </w:pPr>
            <w:r w:rsidRPr="00147AD2">
              <w:rPr>
                <w:szCs w:val="24"/>
              </w:rPr>
              <w:t>Spherical</w:t>
            </w:r>
          </w:p>
        </w:tc>
        <w:tc>
          <w:tcPr>
            <w:tcW w:w="990" w:type="dxa"/>
            <w:vAlign w:val="center"/>
          </w:tcPr>
          <w:p w:rsidR="008F024F" w:rsidRPr="00147AD2" w:rsidRDefault="008F024F" w:rsidP="002F3B63">
            <w:pPr>
              <w:jc w:val="center"/>
              <w:rPr>
                <w:szCs w:val="24"/>
              </w:rPr>
            </w:pPr>
            <w:r w:rsidRPr="00147AD2">
              <w:rPr>
                <w:szCs w:val="24"/>
              </w:rPr>
              <w:t>0.206</w:t>
            </w:r>
          </w:p>
        </w:tc>
        <w:tc>
          <w:tcPr>
            <w:tcW w:w="990" w:type="dxa"/>
            <w:vAlign w:val="center"/>
          </w:tcPr>
          <w:p w:rsidR="008F024F" w:rsidRPr="00147AD2" w:rsidRDefault="008F024F" w:rsidP="002F3B63">
            <w:pPr>
              <w:jc w:val="center"/>
              <w:rPr>
                <w:szCs w:val="24"/>
              </w:rPr>
            </w:pPr>
            <w:r w:rsidRPr="00147AD2">
              <w:rPr>
                <w:szCs w:val="24"/>
              </w:rPr>
              <w:t>0.535</w:t>
            </w:r>
          </w:p>
        </w:tc>
        <w:tc>
          <w:tcPr>
            <w:tcW w:w="900" w:type="dxa"/>
            <w:vAlign w:val="center"/>
          </w:tcPr>
          <w:p w:rsidR="008F024F" w:rsidRPr="00147AD2" w:rsidRDefault="008F024F" w:rsidP="002F3B63">
            <w:pPr>
              <w:jc w:val="center"/>
              <w:rPr>
                <w:szCs w:val="24"/>
              </w:rPr>
            </w:pPr>
            <w:r w:rsidRPr="00147AD2">
              <w:rPr>
                <w:szCs w:val="24"/>
              </w:rPr>
              <w:t>14.8</w:t>
            </w:r>
          </w:p>
        </w:tc>
        <w:tc>
          <w:tcPr>
            <w:tcW w:w="1080" w:type="dxa"/>
            <w:vAlign w:val="center"/>
          </w:tcPr>
          <w:p w:rsidR="008F024F" w:rsidRPr="00147AD2" w:rsidRDefault="008F024F" w:rsidP="002F3B63">
            <w:pPr>
              <w:jc w:val="center"/>
              <w:rPr>
                <w:szCs w:val="24"/>
              </w:rPr>
            </w:pPr>
            <w:r w:rsidRPr="00147AD2">
              <w:rPr>
                <w:szCs w:val="24"/>
              </w:rPr>
              <w:t>0.884 ***</w:t>
            </w:r>
          </w:p>
        </w:tc>
        <w:tc>
          <w:tcPr>
            <w:tcW w:w="990" w:type="dxa"/>
          </w:tcPr>
          <w:p w:rsidR="008F024F" w:rsidRPr="00147AD2" w:rsidRDefault="008F024F" w:rsidP="002F3B63">
            <w:pPr>
              <w:jc w:val="center"/>
              <w:rPr>
                <w:szCs w:val="24"/>
              </w:rPr>
            </w:pPr>
            <w:r w:rsidRPr="00147AD2">
              <w:rPr>
                <w:szCs w:val="24"/>
              </w:rPr>
              <w:t>0.107</w:t>
            </w:r>
          </w:p>
        </w:tc>
        <w:tc>
          <w:tcPr>
            <w:tcW w:w="810" w:type="dxa"/>
            <w:vAlign w:val="center"/>
          </w:tcPr>
          <w:p w:rsidR="008F024F" w:rsidRPr="00147AD2" w:rsidRDefault="008F024F" w:rsidP="002F3B63">
            <w:pPr>
              <w:jc w:val="center"/>
              <w:rPr>
                <w:szCs w:val="24"/>
              </w:rPr>
            </w:pPr>
            <w:r w:rsidRPr="00147AD2">
              <w:rPr>
                <w:szCs w:val="24"/>
              </w:rPr>
              <w:t>0.385</w:t>
            </w:r>
          </w:p>
        </w:tc>
      </w:tr>
      <w:tr w:rsidR="008F024F" w:rsidTr="008F024F">
        <w:tc>
          <w:tcPr>
            <w:tcW w:w="1368" w:type="dxa"/>
            <w:vAlign w:val="center"/>
          </w:tcPr>
          <w:p w:rsidR="008F024F" w:rsidRPr="00147AD2" w:rsidRDefault="008F024F" w:rsidP="002F3B63">
            <w:pPr>
              <w:jc w:val="center"/>
              <w:rPr>
                <w:szCs w:val="24"/>
              </w:rPr>
            </w:pPr>
            <w:r w:rsidRPr="00147AD2">
              <w:rPr>
                <w:rFonts w:cstheme="minorHAnsi"/>
                <w:b/>
                <w:szCs w:val="24"/>
              </w:rPr>
              <w:t>Ѳ</w:t>
            </w:r>
            <w:r w:rsidRPr="00147AD2">
              <w:rPr>
                <w:rFonts w:cstheme="minorHAnsi"/>
                <w:b/>
                <w:szCs w:val="24"/>
                <w:vertAlign w:val="subscript"/>
              </w:rPr>
              <w:t>s</w:t>
            </w:r>
          </w:p>
        </w:tc>
        <w:tc>
          <w:tcPr>
            <w:tcW w:w="1080" w:type="dxa"/>
            <w:vAlign w:val="center"/>
          </w:tcPr>
          <w:p w:rsidR="008F024F" w:rsidRPr="00147AD2" w:rsidRDefault="008F024F" w:rsidP="008F024F">
            <w:pPr>
              <w:jc w:val="center"/>
              <w:rPr>
                <w:szCs w:val="24"/>
              </w:rPr>
            </w:pPr>
            <w:r w:rsidRPr="00147AD2">
              <w:rPr>
                <w:szCs w:val="24"/>
              </w:rPr>
              <w:t>cm</w:t>
            </w:r>
            <w:r w:rsidRPr="00147AD2">
              <w:rPr>
                <w:szCs w:val="24"/>
                <w:vertAlign w:val="superscript"/>
              </w:rPr>
              <w:t>3</w:t>
            </w:r>
            <w:r w:rsidRPr="00147AD2">
              <w:rPr>
                <w:szCs w:val="24"/>
              </w:rPr>
              <w:t>/cm</w:t>
            </w:r>
            <w:r w:rsidRPr="00147AD2">
              <w:rPr>
                <w:szCs w:val="24"/>
                <w:vertAlign w:val="superscript"/>
              </w:rPr>
              <w:t>3</w:t>
            </w:r>
          </w:p>
        </w:tc>
        <w:tc>
          <w:tcPr>
            <w:tcW w:w="1170" w:type="dxa"/>
            <w:vAlign w:val="center"/>
          </w:tcPr>
          <w:p w:rsidR="008F024F" w:rsidRPr="00147AD2" w:rsidRDefault="008F024F" w:rsidP="002F3B63">
            <w:pPr>
              <w:jc w:val="center"/>
              <w:rPr>
                <w:szCs w:val="24"/>
              </w:rPr>
            </w:pPr>
            <w:r w:rsidRPr="00147AD2">
              <w:rPr>
                <w:szCs w:val="24"/>
              </w:rPr>
              <w:t>Spherical</w:t>
            </w:r>
          </w:p>
        </w:tc>
        <w:tc>
          <w:tcPr>
            <w:tcW w:w="990" w:type="dxa"/>
            <w:vAlign w:val="center"/>
          </w:tcPr>
          <w:p w:rsidR="008F024F" w:rsidRPr="00147AD2" w:rsidRDefault="008F024F" w:rsidP="002F3B63">
            <w:pPr>
              <w:jc w:val="center"/>
              <w:rPr>
                <w:szCs w:val="24"/>
              </w:rPr>
            </w:pPr>
            <w:r w:rsidRPr="00147AD2">
              <w:rPr>
                <w:szCs w:val="24"/>
              </w:rPr>
              <w:t>1.09e-3</w:t>
            </w:r>
          </w:p>
        </w:tc>
        <w:tc>
          <w:tcPr>
            <w:tcW w:w="990" w:type="dxa"/>
            <w:vAlign w:val="center"/>
          </w:tcPr>
          <w:p w:rsidR="008F024F" w:rsidRPr="00147AD2" w:rsidRDefault="008F024F" w:rsidP="002F3B63">
            <w:pPr>
              <w:jc w:val="center"/>
              <w:rPr>
                <w:szCs w:val="24"/>
              </w:rPr>
            </w:pPr>
            <w:r w:rsidRPr="00147AD2">
              <w:rPr>
                <w:szCs w:val="24"/>
              </w:rPr>
              <w:t>1.84e-3</w:t>
            </w:r>
          </w:p>
        </w:tc>
        <w:tc>
          <w:tcPr>
            <w:tcW w:w="900" w:type="dxa"/>
            <w:vAlign w:val="center"/>
          </w:tcPr>
          <w:p w:rsidR="008F024F" w:rsidRPr="00147AD2" w:rsidRDefault="008F024F" w:rsidP="002F3B63">
            <w:pPr>
              <w:jc w:val="center"/>
              <w:rPr>
                <w:szCs w:val="24"/>
              </w:rPr>
            </w:pPr>
            <w:r w:rsidRPr="00147AD2">
              <w:rPr>
                <w:szCs w:val="24"/>
              </w:rPr>
              <w:t>16.2</w:t>
            </w:r>
          </w:p>
        </w:tc>
        <w:tc>
          <w:tcPr>
            <w:tcW w:w="1080" w:type="dxa"/>
            <w:vAlign w:val="center"/>
          </w:tcPr>
          <w:p w:rsidR="008F024F" w:rsidRPr="00147AD2" w:rsidRDefault="008F024F" w:rsidP="002F3B63">
            <w:pPr>
              <w:jc w:val="center"/>
              <w:rPr>
                <w:szCs w:val="24"/>
              </w:rPr>
            </w:pPr>
            <w:r w:rsidRPr="00147AD2">
              <w:rPr>
                <w:szCs w:val="24"/>
              </w:rPr>
              <w:t>0.784 ***</w:t>
            </w:r>
          </w:p>
        </w:tc>
        <w:tc>
          <w:tcPr>
            <w:tcW w:w="990" w:type="dxa"/>
          </w:tcPr>
          <w:p w:rsidR="008F024F" w:rsidRPr="00147AD2" w:rsidRDefault="008F024F" w:rsidP="002F3B63">
            <w:pPr>
              <w:jc w:val="center"/>
              <w:rPr>
                <w:szCs w:val="24"/>
              </w:rPr>
            </w:pPr>
            <w:r w:rsidRPr="00147AD2">
              <w:rPr>
                <w:szCs w:val="24"/>
              </w:rPr>
              <w:t>0.127</w:t>
            </w:r>
          </w:p>
        </w:tc>
        <w:tc>
          <w:tcPr>
            <w:tcW w:w="810" w:type="dxa"/>
            <w:vAlign w:val="center"/>
          </w:tcPr>
          <w:p w:rsidR="008F024F" w:rsidRPr="00147AD2" w:rsidRDefault="008F024F" w:rsidP="002F3B63">
            <w:pPr>
              <w:jc w:val="center"/>
              <w:rPr>
                <w:szCs w:val="24"/>
              </w:rPr>
            </w:pPr>
            <w:r w:rsidRPr="00147AD2">
              <w:rPr>
                <w:szCs w:val="24"/>
              </w:rPr>
              <w:t>0.592</w:t>
            </w:r>
          </w:p>
        </w:tc>
      </w:tr>
      <w:tr w:rsidR="008F024F" w:rsidTr="008F024F">
        <w:tc>
          <w:tcPr>
            <w:tcW w:w="1368" w:type="dxa"/>
            <w:vAlign w:val="center"/>
          </w:tcPr>
          <w:p w:rsidR="008F024F" w:rsidRPr="00147AD2" w:rsidRDefault="008F024F" w:rsidP="002F3B63">
            <w:pPr>
              <w:jc w:val="center"/>
              <w:rPr>
                <w:szCs w:val="24"/>
              </w:rPr>
            </w:pPr>
            <w:r w:rsidRPr="00147AD2">
              <w:rPr>
                <w:rFonts w:cstheme="minorHAnsi"/>
                <w:b/>
                <w:szCs w:val="24"/>
              </w:rPr>
              <w:t>λ</w:t>
            </w:r>
          </w:p>
        </w:tc>
        <w:tc>
          <w:tcPr>
            <w:tcW w:w="1080" w:type="dxa"/>
            <w:vAlign w:val="center"/>
          </w:tcPr>
          <w:p w:rsidR="008F024F" w:rsidRPr="00147AD2" w:rsidRDefault="008F024F" w:rsidP="008F024F">
            <w:pPr>
              <w:jc w:val="center"/>
              <w:rPr>
                <w:szCs w:val="24"/>
              </w:rPr>
            </w:pPr>
            <w:r w:rsidRPr="00147AD2">
              <w:rPr>
                <w:szCs w:val="24"/>
              </w:rPr>
              <w:t>-</w:t>
            </w:r>
          </w:p>
        </w:tc>
        <w:tc>
          <w:tcPr>
            <w:tcW w:w="1170" w:type="dxa"/>
            <w:vAlign w:val="center"/>
          </w:tcPr>
          <w:p w:rsidR="008F024F" w:rsidRPr="00147AD2" w:rsidRDefault="008F024F" w:rsidP="002F3B63">
            <w:pPr>
              <w:jc w:val="center"/>
              <w:rPr>
                <w:szCs w:val="24"/>
              </w:rPr>
            </w:pPr>
            <w:r w:rsidRPr="00147AD2">
              <w:rPr>
                <w:szCs w:val="24"/>
              </w:rPr>
              <w:t>Spherical</w:t>
            </w:r>
          </w:p>
        </w:tc>
        <w:tc>
          <w:tcPr>
            <w:tcW w:w="990" w:type="dxa"/>
            <w:vAlign w:val="center"/>
          </w:tcPr>
          <w:p w:rsidR="008F024F" w:rsidRPr="00147AD2" w:rsidRDefault="008F024F" w:rsidP="002F3B63">
            <w:pPr>
              <w:jc w:val="center"/>
              <w:rPr>
                <w:szCs w:val="24"/>
              </w:rPr>
            </w:pPr>
            <w:r w:rsidRPr="00147AD2">
              <w:rPr>
                <w:szCs w:val="24"/>
              </w:rPr>
              <w:t>4.78</w:t>
            </w:r>
          </w:p>
        </w:tc>
        <w:tc>
          <w:tcPr>
            <w:tcW w:w="990" w:type="dxa"/>
            <w:vAlign w:val="center"/>
          </w:tcPr>
          <w:p w:rsidR="008F024F" w:rsidRPr="00147AD2" w:rsidRDefault="008F024F" w:rsidP="002F3B63">
            <w:pPr>
              <w:jc w:val="center"/>
              <w:rPr>
                <w:szCs w:val="24"/>
              </w:rPr>
            </w:pPr>
            <w:r w:rsidRPr="00147AD2">
              <w:rPr>
                <w:szCs w:val="24"/>
              </w:rPr>
              <w:t>5.63</w:t>
            </w:r>
          </w:p>
        </w:tc>
        <w:tc>
          <w:tcPr>
            <w:tcW w:w="900" w:type="dxa"/>
            <w:vAlign w:val="center"/>
          </w:tcPr>
          <w:p w:rsidR="008F024F" w:rsidRPr="00147AD2" w:rsidRDefault="008F024F" w:rsidP="002F3B63">
            <w:pPr>
              <w:jc w:val="center"/>
              <w:rPr>
                <w:szCs w:val="24"/>
              </w:rPr>
            </w:pPr>
            <w:r w:rsidRPr="00147AD2">
              <w:rPr>
                <w:szCs w:val="24"/>
              </w:rPr>
              <w:t>8.12</w:t>
            </w:r>
          </w:p>
        </w:tc>
        <w:tc>
          <w:tcPr>
            <w:tcW w:w="1080" w:type="dxa"/>
            <w:vAlign w:val="center"/>
          </w:tcPr>
          <w:p w:rsidR="008F024F" w:rsidRPr="00147AD2" w:rsidRDefault="008F024F" w:rsidP="002F3B63">
            <w:pPr>
              <w:jc w:val="center"/>
              <w:rPr>
                <w:szCs w:val="24"/>
              </w:rPr>
            </w:pPr>
            <w:r w:rsidRPr="00147AD2">
              <w:rPr>
                <w:szCs w:val="24"/>
              </w:rPr>
              <w:t>0.119</w:t>
            </w:r>
          </w:p>
        </w:tc>
        <w:tc>
          <w:tcPr>
            <w:tcW w:w="990" w:type="dxa"/>
            <w:vAlign w:val="center"/>
          </w:tcPr>
          <w:p w:rsidR="008F024F" w:rsidRPr="00147AD2" w:rsidRDefault="008F024F" w:rsidP="002F3B63">
            <w:pPr>
              <w:jc w:val="center"/>
              <w:rPr>
                <w:szCs w:val="24"/>
              </w:rPr>
            </w:pPr>
            <w:r w:rsidRPr="00147AD2">
              <w:rPr>
                <w:szCs w:val="24"/>
              </w:rPr>
              <w:t>0.268</w:t>
            </w:r>
          </w:p>
        </w:tc>
        <w:tc>
          <w:tcPr>
            <w:tcW w:w="810" w:type="dxa"/>
            <w:vAlign w:val="center"/>
          </w:tcPr>
          <w:p w:rsidR="008F024F" w:rsidRPr="00147AD2" w:rsidRDefault="008F024F" w:rsidP="002F3B63">
            <w:pPr>
              <w:jc w:val="center"/>
              <w:rPr>
                <w:szCs w:val="24"/>
              </w:rPr>
            </w:pPr>
            <w:r w:rsidRPr="00147AD2">
              <w:rPr>
                <w:szCs w:val="24"/>
              </w:rPr>
              <w:t>0.928</w:t>
            </w:r>
          </w:p>
        </w:tc>
      </w:tr>
      <w:tr w:rsidR="008F024F" w:rsidTr="008F024F">
        <w:tc>
          <w:tcPr>
            <w:tcW w:w="1368" w:type="dxa"/>
            <w:vAlign w:val="center"/>
          </w:tcPr>
          <w:p w:rsidR="008F024F" w:rsidRPr="00147AD2" w:rsidRDefault="008F024F" w:rsidP="002F3B63">
            <w:pPr>
              <w:jc w:val="center"/>
              <w:rPr>
                <w:szCs w:val="24"/>
              </w:rPr>
            </w:pPr>
            <w:r w:rsidRPr="00147AD2">
              <w:rPr>
                <w:rFonts w:cstheme="minorHAnsi"/>
                <w:b/>
                <w:szCs w:val="24"/>
              </w:rPr>
              <w:t>Ѳ</w:t>
            </w:r>
            <w:r w:rsidRPr="00147AD2">
              <w:rPr>
                <w:rFonts w:cstheme="minorHAnsi"/>
                <w:b/>
                <w:szCs w:val="24"/>
                <w:vertAlign w:val="subscript"/>
              </w:rPr>
              <w:t>r</w:t>
            </w:r>
          </w:p>
        </w:tc>
        <w:tc>
          <w:tcPr>
            <w:tcW w:w="1080" w:type="dxa"/>
            <w:vAlign w:val="center"/>
          </w:tcPr>
          <w:p w:rsidR="008F024F" w:rsidRPr="00147AD2" w:rsidRDefault="008F024F" w:rsidP="008F024F">
            <w:pPr>
              <w:jc w:val="center"/>
              <w:rPr>
                <w:szCs w:val="24"/>
              </w:rPr>
            </w:pPr>
            <w:r w:rsidRPr="00147AD2">
              <w:rPr>
                <w:szCs w:val="24"/>
              </w:rPr>
              <w:t>cm</w:t>
            </w:r>
            <w:r w:rsidRPr="00147AD2">
              <w:rPr>
                <w:szCs w:val="24"/>
                <w:vertAlign w:val="superscript"/>
              </w:rPr>
              <w:t>3</w:t>
            </w:r>
            <w:r w:rsidRPr="00147AD2">
              <w:rPr>
                <w:szCs w:val="24"/>
              </w:rPr>
              <w:t>/cm</w:t>
            </w:r>
            <w:r w:rsidRPr="00147AD2">
              <w:rPr>
                <w:szCs w:val="24"/>
                <w:vertAlign w:val="superscript"/>
              </w:rPr>
              <w:t>3</w:t>
            </w:r>
          </w:p>
        </w:tc>
        <w:tc>
          <w:tcPr>
            <w:tcW w:w="1170" w:type="dxa"/>
            <w:vAlign w:val="center"/>
          </w:tcPr>
          <w:p w:rsidR="008F024F" w:rsidRPr="00147AD2" w:rsidRDefault="008F024F" w:rsidP="002F3B63">
            <w:pPr>
              <w:jc w:val="center"/>
              <w:rPr>
                <w:szCs w:val="24"/>
              </w:rPr>
            </w:pPr>
            <w:r w:rsidRPr="00147AD2">
              <w:rPr>
                <w:szCs w:val="24"/>
              </w:rPr>
              <w:t>Spherical</w:t>
            </w:r>
          </w:p>
        </w:tc>
        <w:tc>
          <w:tcPr>
            <w:tcW w:w="990" w:type="dxa"/>
            <w:vAlign w:val="center"/>
          </w:tcPr>
          <w:p w:rsidR="008F024F" w:rsidRPr="00147AD2" w:rsidRDefault="008F024F" w:rsidP="002F3B63">
            <w:pPr>
              <w:jc w:val="center"/>
              <w:rPr>
                <w:szCs w:val="24"/>
              </w:rPr>
            </w:pPr>
            <w:r w:rsidRPr="00147AD2">
              <w:rPr>
                <w:szCs w:val="24"/>
              </w:rPr>
              <w:t>1.15e-4</w:t>
            </w:r>
          </w:p>
        </w:tc>
        <w:tc>
          <w:tcPr>
            <w:tcW w:w="990" w:type="dxa"/>
            <w:vAlign w:val="center"/>
          </w:tcPr>
          <w:p w:rsidR="008F024F" w:rsidRPr="00147AD2" w:rsidRDefault="008F024F" w:rsidP="002F3B63">
            <w:pPr>
              <w:jc w:val="center"/>
              <w:rPr>
                <w:szCs w:val="24"/>
              </w:rPr>
            </w:pPr>
            <w:r w:rsidRPr="00147AD2">
              <w:rPr>
                <w:szCs w:val="24"/>
              </w:rPr>
              <w:t>1.15e-4</w:t>
            </w:r>
          </w:p>
        </w:tc>
        <w:tc>
          <w:tcPr>
            <w:tcW w:w="900" w:type="dxa"/>
            <w:vAlign w:val="center"/>
          </w:tcPr>
          <w:p w:rsidR="008F024F" w:rsidRPr="00147AD2" w:rsidRDefault="008F024F" w:rsidP="002F3B63">
            <w:pPr>
              <w:jc w:val="center"/>
              <w:rPr>
                <w:szCs w:val="24"/>
              </w:rPr>
            </w:pPr>
            <w:r w:rsidRPr="00147AD2">
              <w:rPr>
                <w:szCs w:val="24"/>
              </w:rPr>
              <w:t>NA</w:t>
            </w:r>
          </w:p>
        </w:tc>
        <w:tc>
          <w:tcPr>
            <w:tcW w:w="1080" w:type="dxa"/>
            <w:vAlign w:val="center"/>
          </w:tcPr>
          <w:p w:rsidR="008F024F" w:rsidRPr="00147AD2" w:rsidRDefault="008F024F" w:rsidP="002F3B63">
            <w:pPr>
              <w:jc w:val="center"/>
              <w:rPr>
                <w:szCs w:val="24"/>
              </w:rPr>
            </w:pPr>
            <w:r w:rsidRPr="00147AD2">
              <w:rPr>
                <w:szCs w:val="24"/>
              </w:rPr>
              <w:t>2.49e-2</w:t>
            </w:r>
          </w:p>
        </w:tc>
        <w:tc>
          <w:tcPr>
            <w:tcW w:w="990" w:type="dxa"/>
            <w:vAlign w:val="center"/>
          </w:tcPr>
          <w:p w:rsidR="008F024F" w:rsidRPr="00147AD2" w:rsidRDefault="008F024F" w:rsidP="002F3B63">
            <w:pPr>
              <w:jc w:val="center"/>
              <w:rPr>
                <w:szCs w:val="24"/>
              </w:rPr>
            </w:pPr>
            <w:r w:rsidRPr="00147AD2">
              <w:rPr>
                <w:szCs w:val="24"/>
              </w:rPr>
              <w:t>0.316</w:t>
            </w:r>
          </w:p>
        </w:tc>
        <w:tc>
          <w:tcPr>
            <w:tcW w:w="810" w:type="dxa"/>
            <w:vAlign w:val="center"/>
          </w:tcPr>
          <w:p w:rsidR="008F024F" w:rsidRPr="00147AD2" w:rsidRDefault="008F024F" w:rsidP="002F3B63">
            <w:pPr>
              <w:jc w:val="center"/>
              <w:rPr>
                <w:szCs w:val="24"/>
              </w:rPr>
            </w:pPr>
            <w:r w:rsidRPr="00147AD2">
              <w:rPr>
                <w:szCs w:val="24"/>
              </w:rPr>
              <w:t>1.00</w:t>
            </w:r>
          </w:p>
        </w:tc>
      </w:tr>
    </w:tbl>
    <w:p w:rsidR="002F3B63" w:rsidRDefault="002F3B63" w:rsidP="002F3B63">
      <w:pPr>
        <w:pStyle w:val="Caption"/>
      </w:pPr>
      <w:bookmarkStart w:id="65" w:name="_Toc425427066"/>
      <w:r>
        <w:t xml:space="preserve">Table </w:t>
      </w:r>
      <w:fldSimple w:instr=" SEQ Table \* ARABIC ">
        <w:r w:rsidR="00885C9E">
          <w:rPr>
            <w:noProof/>
          </w:rPr>
          <w:t>10</w:t>
        </w:r>
      </w:fldSimple>
      <w:r>
        <w:t>: Semivariogram model results computed for residual BC parameters</w:t>
      </w:r>
      <w:bookmarkEnd w:id="65"/>
    </w:p>
    <w:p w:rsidR="008F024F" w:rsidRPr="008F024F" w:rsidRDefault="008F024F" w:rsidP="008F024F"/>
    <w:tbl>
      <w:tblPr>
        <w:tblStyle w:val="TableGrid"/>
        <w:tblW w:w="9378" w:type="dxa"/>
        <w:tblLayout w:type="fixed"/>
        <w:tblLook w:val="04A0"/>
      </w:tblPr>
      <w:tblGrid>
        <w:gridCol w:w="1368"/>
        <w:gridCol w:w="1080"/>
        <w:gridCol w:w="1170"/>
        <w:gridCol w:w="990"/>
        <w:gridCol w:w="990"/>
        <w:gridCol w:w="900"/>
        <w:gridCol w:w="1080"/>
        <w:gridCol w:w="990"/>
        <w:gridCol w:w="810"/>
      </w:tblGrid>
      <w:tr w:rsidR="008F024F" w:rsidTr="008F024F">
        <w:trPr>
          <w:trHeight w:val="665"/>
        </w:trPr>
        <w:tc>
          <w:tcPr>
            <w:tcW w:w="1368" w:type="dxa"/>
            <w:vAlign w:val="center"/>
          </w:tcPr>
          <w:p w:rsidR="008F024F" w:rsidRPr="00147AD2" w:rsidRDefault="008F024F" w:rsidP="008F024F">
            <w:pPr>
              <w:jc w:val="center"/>
              <w:rPr>
                <w:b/>
                <w:szCs w:val="24"/>
              </w:rPr>
            </w:pPr>
            <w:r w:rsidRPr="00147AD2">
              <w:rPr>
                <w:b/>
                <w:szCs w:val="24"/>
              </w:rPr>
              <w:t>Parameter</w:t>
            </w:r>
          </w:p>
        </w:tc>
        <w:tc>
          <w:tcPr>
            <w:tcW w:w="1080" w:type="dxa"/>
            <w:vAlign w:val="center"/>
          </w:tcPr>
          <w:p w:rsidR="008F024F" w:rsidRPr="00147AD2" w:rsidRDefault="008F024F" w:rsidP="008F024F">
            <w:pPr>
              <w:jc w:val="center"/>
              <w:rPr>
                <w:b/>
                <w:szCs w:val="24"/>
              </w:rPr>
            </w:pPr>
            <w:r w:rsidRPr="00147AD2">
              <w:rPr>
                <w:b/>
                <w:szCs w:val="24"/>
              </w:rPr>
              <w:t>Unit</w:t>
            </w:r>
          </w:p>
        </w:tc>
        <w:tc>
          <w:tcPr>
            <w:tcW w:w="1170" w:type="dxa"/>
            <w:vAlign w:val="center"/>
          </w:tcPr>
          <w:p w:rsidR="008F024F" w:rsidRPr="00147AD2" w:rsidRDefault="008F024F" w:rsidP="008F024F">
            <w:pPr>
              <w:jc w:val="center"/>
              <w:rPr>
                <w:b/>
                <w:szCs w:val="24"/>
              </w:rPr>
            </w:pPr>
            <w:r w:rsidRPr="00147AD2">
              <w:rPr>
                <w:b/>
                <w:szCs w:val="24"/>
              </w:rPr>
              <w:t>Model</w:t>
            </w:r>
          </w:p>
        </w:tc>
        <w:tc>
          <w:tcPr>
            <w:tcW w:w="990" w:type="dxa"/>
            <w:vAlign w:val="center"/>
          </w:tcPr>
          <w:p w:rsidR="008F024F" w:rsidRDefault="008F024F" w:rsidP="008F024F">
            <w:pPr>
              <w:jc w:val="center"/>
              <w:rPr>
                <w:b/>
                <w:szCs w:val="24"/>
              </w:rPr>
            </w:pPr>
            <w:r w:rsidRPr="00147AD2">
              <w:rPr>
                <w:b/>
                <w:szCs w:val="24"/>
              </w:rPr>
              <w:t>Nugget</w:t>
            </w:r>
          </w:p>
          <w:p w:rsidR="008F024F" w:rsidRPr="008F024F" w:rsidRDefault="008F024F" w:rsidP="008F024F">
            <w:pPr>
              <w:jc w:val="center"/>
              <w:rPr>
                <w:b/>
                <w:szCs w:val="24"/>
              </w:rPr>
            </w:pPr>
            <w:r>
              <w:rPr>
                <w:b/>
                <w:szCs w:val="24"/>
              </w:rPr>
              <w:t>(unit)</w:t>
            </w:r>
            <w:r w:rsidR="00D42C45" w:rsidRPr="00D42C45">
              <w:rPr>
                <w:b/>
                <w:szCs w:val="24"/>
                <w:vertAlign w:val="superscript"/>
              </w:rPr>
              <w:t>2</w:t>
            </w:r>
          </w:p>
        </w:tc>
        <w:tc>
          <w:tcPr>
            <w:tcW w:w="990" w:type="dxa"/>
            <w:vAlign w:val="center"/>
          </w:tcPr>
          <w:p w:rsidR="008F024F" w:rsidRDefault="008F024F" w:rsidP="008F024F">
            <w:pPr>
              <w:jc w:val="center"/>
              <w:rPr>
                <w:b/>
                <w:szCs w:val="24"/>
              </w:rPr>
            </w:pPr>
            <w:r w:rsidRPr="00147AD2">
              <w:rPr>
                <w:b/>
                <w:szCs w:val="24"/>
              </w:rPr>
              <w:t>Sill</w:t>
            </w:r>
          </w:p>
          <w:p w:rsidR="008F024F" w:rsidRPr="00147AD2" w:rsidRDefault="008F024F" w:rsidP="008F024F">
            <w:pPr>
              <w:jc w:val="center"/>
              <w:rPr>
                <w:b/>
                <w:szCs w:val="24"/>
              </w:rPr>
            </w:pPr>
            <w:r>
              <w:rPr>
                <w:b/>
                <w:szCs w:val="24"/>
              </w:rPr>
              <w:t>(unit)</w:t>
            </w:r>
            <w:r w:rsidR="00D42C45" w:rsidRPr="00D42C45">
              <w:rPr>
                <w:b/>
                <w:szCs w:val="24"/>
                <w:vertAlign w:val="superscript"/>
              </w:rPr>
              <w:t>2</w:t>
            </w:r>
          </w:p>
        </w:tc>
        <w:tc>
          <w:tcPr>
            <w:tcW w:w="900" w:type="dxa"/>
            <w:vAlign w:val="center"/>
          </w:tcPr>
          <w:p w:rsidR="008F024F" w:rsidRPr="00147AD2" w:rsidRDefault="008F024F" w:rsidP="008F024F">
            <w:pPr>
              <w:jc w:val="center"/>
              <w:rPr>
                <w:b/>
                <w:szCs w:val="24"/>
              </w:rPr>
            </w:pPr>
            <w:r w:rsidRPr="00147AD2">
              <w:rPr>
                <w:b/>
                <w:szCs w:val="24"/>
              </w:rPr>
              <w:t>Range</w:t>
            </w:r>
            <w:r>
              <w:rPr>
                <w:b/>
                <w:szCs w:val="24"/>
              </w:rPr>
              <w:t xml:space="preserve"> (mm)</w:t>
            </w:r>
          </w:p>
        </w:tc>
        <w:tc>
          <w:tcPr>
            <w:tcW w:w="1080" w:type="dxa"/>
            <w:vAlign w:val="center"/>
          </w:tcPr>
          <w:p w:rsidR="008F024F" w:rsidRPr="00147AD2" w:rsidRDefault="008F024F" w:rsidP="008F024F">
            <w:pPr>
              <w:jc w:val="center"/>
              <w:rPr>
                <w:b/>
                <w:szCs w:val="24"/>
              </w:rPr>
            </w:pPr>
            <w:r w:rsidRPr="00147AD2">
              <w:rPr>
                <w:b/>
                <w:szCs w:val="24"/>
              </w:rPr>
              <w:t>R</w:t>
            </w:r>
            <w:r w:rsidRPr="00147AD2">
              <w:rPr>
                <w:b/>
                <w:szCs w:val="24"/>
                <w:vertAlign w:val="superscript"/>
              </w:rPr>
              <w:t>2</w:t>
            </w:r>
          </w:p>
        </w:tc>
        <w:tc>
          <w:tcPr>
            <w:tcW w:w="990" w:type="dxa"/>
            <w:vAlign w:val="center"/>
          </w:tcPr>
          <w:p w:rsidR="008F024F" w:rsidRPr="00147AD2" w:rsidRDefault="008F024F" w:rsidP="008F024F">
            <w:pPr>
              <w:jc w:val="center"/>
              <w:rPr>
                <w:b/>
                <w:szCs w:val="24"/>
              </w:rPr>
            </w:pPr>
            <w:r w:rsidRPr="00147AD2">
              <w:rPr>
                <w:b/>
                <w:szCs w:val="24"/>
              </w:rPr>
              <w:t>NRMSE</w:t>
            </w:r>
          </w:p>
        </w:tc>
        <w:tc>
          <w:tcPr>
            <w:tcW w:w="810" w:type="dxa"/>
            <w:vAlign w:val="center"/>
          </w:tcPr>
          <w:p w:rsidR="008F024F" w:rsidRPr="00147AD2" w:rsidRDefault="008F024F" w:rsidP="008F024F">
            <w:pPr>
              <w:jc w:val="center"/>
              <w:rPr>
                <w:b/>
                <w:szCs w:val="24"/>
              </w:rPr>
            </w:pPr>
            <w:r w:rsidRPr="00147AD2">
              <w:rPr>
                <w:b/>
                <w:szCs w:val="24"/>
              </w:rPr>
              <w:t>DSD</w:t>
            </w:r>
          </w:p>
        </w:tc>
      </w:tr>
      <w:tr w:rsidR="008F024F" w:rsidTr="008F024F">
        <w:tc>
          <w:tcPr>
            <w:tcW w:w="1368" w:type="dxa"/>
            <w:vAlign w:val="center"/>
          </w:tcPr>
          <w:p w:rsidR="008F024F" w:rsidRPr="00147AD2" w:rsidRDefault="008F024F" w:rsidP="008F024F">
            <w:pPr>
              <w:jc w:val="center"/>
              <w:rPr>
                <w:szCs w:val="24"/>
              </w:rPr>
            </w:pPr>
            <w:r w:rsidRPr="00147AD2">
              <w:rPr>
                <w:rFonts w:cstheme="minorHAnsi"/>
                <w:b/>
                <w:szCs w:val="24"/>
              </w:rPr>
              <w:t>ψ</w:t>
            </w:r>
            <w:r w:rsidRPr="00147AD2">
              <w:rPr>
                <w:rFonts w:cstheme="minorHAnsi"/>
                <w:b/>
                <w:szCs w:val="24"/>
                <w:vertAlign w:val="subscript"/>
              </w:rPr>
              <w:t>a</w:t>
            </w:r>
          </w:p>
        </w:tc>
        <w:tc>
          <w:tcPr>
            <w:tcW w:w="1080" w:type="dxa"/>
            <w:vAlign w:val="center"/>
          </w:tcPr>
          <w:p w:rsidR="008F024F" w:rsidRPr="00147AD2" w:rsidRDefault="008F024F" w:rsidP="008F024F">
            <w:pPr>
              <w:jc w:val="center"/>
              <w:rPr>
                <w:szCs w:val="24"/>
              </w:rPr>
            </w:pPr>
            <w:r w:rsidRPr="00147AD2">
              <w:rPr>
                <w:szCs w:val="24"/>
              </w:rPr>
              <w:t>cm</w:t>
            </w:r>
          </w:p>
        </w:tc>
        <w:tc>
          <w:tcPr>
            <w:tcW w:w="1170" w:type="dxa"/>
            <w:vAlign w:val="center"/>
          </w:tcPr>
          <w:p w:rsidR="008F024F" w:rsidRPr="00147AD2" w:rsidRDefault="008F024F" w:rsidP="008F024F">
            <w:pPr>
              <w:jc w:val="center"/>
              <w:rPr>
                <w:szCs w:val="24"/>
              </w:rPr>
            </w:pPr>
            <w:r w:rsidRPr="00147AD2">
              <w:rPr>
                <w:szCs w:val="24"/>
              </w:rPr>
              <w:t>Spherical</w:t>
            </w:r>
          </w:p>
        </w:tc>
        <w:tc>
          <w:tcPr>
            <w:tcW w:w="990" w:type="dxa"/>
            <w:vAlign w:val="center"/>
          </w:tcPr>
          <w:p w:rsidR="008F024F" w:rsidRPr="00147AD2" w:rsidRDefault="008F024F" w:rsidP="008F024F">
            <w:pPr>
              <w:jc w:val="center"/>
              <w:rPr>
                <w:szCs w:val="24"/>
              </w:rPr>
            </w:pPr>
            <w:r w:rsidRPr="00147AD2">
              <w:rPr>
                <w:szCs w:val="24"/>
              </w:rPr>
              <w:t>0.186</w:t>
            </w:r>
          </w:p>
        </w:tc>
        <w:tc>
          <w:tcPr>
            <w:tcW w:w="990" w:type="dxa"/>
            <w:vAlign w:val="center"/>
          </w:tcPr>
          <w:p w:rsidR="008F024F" w:rsidRPr="00147AD2" w:rsidRDefault="008F024F" w:rsidP="008F024F">
            <w:pPr>
              <w:jc w:val="center"/>
              <w:rPr>
                <w:szCs w:val="24"/>
              </w:rPr>
            </w:pPr>
            <w:r w:rsidRPr="00147AD2">
              <w:rPr>
                <w:szCs w:val="24"/>
              </w:rPr>
              <w:t>0.553</w:t>
            </w:r>
          </w:p>
        </w:tc>
        <w:tc>
          <w:tcPr>
            <w:tcW w:w="900" w:type="dxa"/>
            <w:vAlign w:val="center"/>
          </w:tcPr>
          <w:p w:rsidR="008F024F" w:rsidRPr="00147AD2" w:rsidRDefault="008F024F" w:rsidP="008F024F">
            <w:pPr>
              <w:jc w:val="center"/>
              <w:rPr>
                <w:szCs w:val="24"/>
              </w:rPr>
            </w:pPr>
            <w:r w:rsidRPr="00147AD2">
              <w:rPr>
                <w:szCs w:val="24"/>
              </w:rPr>
              <w:t>12.9</w:t>
            </w:r>
          </w:p>
        </w:tc>
        <w:tc>
          <w:tcPr>
            <w:tcW w:w="1080" w:type="dxa"/>
            <w:vAlign w:val="center"/>
          </w:tcPr>
          <w:p w:rsidR="008F024F" w:rsidRPr="00147AD2" w:rsidRDefault="008F024F" w:rsidP="008F024F">
            <w:pPr>
              <w:jc w:val="center"/>
              <w:rPr>
                <w:rFonts w:cs="Calibri"/>
                <w:color w:val="000000"/>
                <w:szCs w:val="24"/>
              </w:rPr>
            </w:pPr>
            <w:r w:rsidRPr="00147AD2">
              <w:rPr>
                <w:rFonts w:cs="Calibri"/>
                <w:color w:val="000000"/>
                <w:szCs w:val="24"/>
              </w:rPr>
              <w:t>0.833 ***</w:t>
            </w:r>
          </w:p>
        </w:tc>
        <w:tc>
          <w:tcPr>
            <w:tcW w:w="990" w:type="dxa"/>
            <w:vAlign w:val="center"/>
          </w:tcPr>
          <w:p w:rsidR="008F024F" w:rsidRPr="00147AD2" w:rsidRDefault="008F024F" w:rsidP="008F024F">
            <w:pPr>
              <w:jc w:val="center"/>
              <w:rPr>
                <w:szCs w:val="24"/>
              </w:rPr>
            </w:pPr>
            <w:r w:rsidRPr="00147AD2">
              <w:rPr>
                <w:szCs w:val="24"/>
              </w:rPr>
              <w:t>0.121</w:t>
            </w:r>
          </w:p>
        </w:tc>
        <w:tc>
          <w:tcPr>
            <w:tcW w:w="810" w:type="dxa"/>
            <w:vAlign w:val="center"/>
          </w:tcPr>
          <w:p w:rsidR="008F024F" w:rsidRPr="00147AD2" w:rsidRDefault="008F024F" w:rsidP="008F024F">
            <w:pPr>
              <w:jc w:val="center"/>
              <w:rPr>
                <w:szCs w:val="24"/>
              </w:rPr>
            </w:pPr>
            <w:r w:rsidRPr="00147AD2">
              <w:rPr>
                <w:szCs w:val="24"/>
              </w:rPr>
              <w:t>0.336</w:t>
            </w:r>
          </w:p>
        </w:tc>
      </w:tr>
      <w:tr w:rsidR="008F024F" w:rsidTr="008F024F">
        <w:tc>
          <w:tcPr>
            <w:tcW w:w="1368" w:type="dxa"/>
            <w:vAlign w:val="center"/>
          </w:tcPr>
          <w:p w:rsidR="008F024F" w:rsidRPr="00147AD2" w:rsidRDefault="008F024F" w:rsidP="008F024F">
            <w:pPr>
              <w:jc w:val="center"/>
              <w:rPr>
                <w:szCs w:val="24"/>
              </w:rPr>
            </w:pPr>
            <w:r w:rsidRPr="00147AD2">
              <w:rPr>
                <w:rFonts w:cstheme="minorHAnsi"/>
                <w:b/>
                <w:szCs w:val="24"/>
              </w:rPr>
              <w:t>Ѳ</w:t>
            </w:r>
            <w:r w:rsidRPr="00147AD2">
              <w:rPr>
                <w:rFonts w:cstheme="minorHAnsi"/>
                <w:b/>
                <w:szCs w:val="24"/>
                <w:vertAlign w:val="subscript"/>
              </w:rPr>
              <w:t>s</w:t>
            </w:r>
          </w:p>
        </w:tc>
        <w:tc>
          <w:tcPr>
            <w:tcW w:w="1080" w:type="dxa"/>
            <w:vAlign w:val="center"/>
          </w:tcPr>
          <w:p w:rsidR="008F024F" w:rsidRPr="00147AD2" w:rsidRDefault="008F024F" w:rsidP="008F024F">
            <w:pPr>
              <w:jc w:val="center"/>
              <w:rPr>
                <w:szCs w:val="24"/>
              </w:rPr>
            </w:pPr>
            <w:r w:rsidRPr="00147AD2">
              <w:rPr>
                <w:szCs w:val="24"/>
              </w:rPr>
              <w:t>cm</w:t>
            </w:r>
            <w:r w:rsidRPr="00147AD2">
              <w:rPr>
                <w:szCs w:val="24"/>
                <w:vertAlign w:val="superscript"/>
              </w:rPr>
              <w:t>3</w:t>
            </w:r>
            <w:r w:rsidRPr="00147AD2">
              <w:rPr>
                <w:szCs w:val="24"/>
              </w:rPr>
              <w:t>/cm</w:t>
            </w:r>
            <w:r w:rsidRPr="00147AD2">
              <w:rPr>
                <w:szCs w:val="24"/>
                <w:vertAlign w:val="superscript"/>
              </w:rPr>
              <w:t>3</w:t>
            </w:r>
          </w:p>
        </w:tc>
        <w:tc>
          <w:tcPr>
            <w:tcW w:w="1170" w:type="dxa"/>
            <w:vAlign w:val="center"/>
          </w:tcPr>
          <w:p w:rsidR="008F024F" w:rsidRPr="00147AD2" w:rsidRDefault="008F024F" w:rsidP="008F024F">
            <w:pPr>
              <w:jc w:val="center"/>
              <w:rPr>
                <w:szCs w:val="24"/>
              </w:rPr>
            </w:pPr>
            <w:r w:rsidRPr="00147AD2">
              <w:rPr>
                <w:szCs w:val="24"/>
              </w:rPr>
              <w:t>Spherical</w:t>
            </w:r>
          </w:p>
        </w:tc>
        <w:tc>
          <w:tcPr>
            <w:tcW w:w="990" w:type="dxa"/>
            <w:vAlign w:val="center"/>
          </w:tcPr>
          <w:p w:rsidR="008F024F" w:rsidRPr="00147AD2" w:rsidRDefault="008F024F" w:rsidP="008F024F">
            <w:pPr>
              <w:jc w:val="center"/>
              <w:rPr>
                <w:szCs w:val="24"/>
              </w:rPr>
            </w:pPr>
            <w:r w:rsidRPr="00147AD2">
              <w:rPr>
                <w:szCs w:val="24"/>
              </w:rPr>
              <w:t>4.15e-2</w:t>
            </w:r>
          </w:p>
        </w:tc>
        <w:tc>
          <w:tcPr>
            <w:tcW w:w="990" w:type="dxa"/>
            <w:vAlign w:val="center"/>
          </w:tcPr>
          <w:p w:rsidR="008F024F" w:rsidRPr="00147AD2" w:rsidRDefault="008F024F" w:rsidP="008F024F">
            <w:pPr>
              <w:jc w:val="center"/>
              <w:rPr>
                <w:szCs w:val="24"/>
              </w:rPr>
            </w:pPr>
            <w:r w:rsidRPr="00147AD2">
              <w:rPr>
                <w:szCs w:val="24"/>
              </w:rPr>
              <w:t>9.77e-2</w:t>
            </w:r>
          </w:p>
        </w:tc>
        <w:tc>
          <w:tcPr>
            <w:tcW w:w="900" w:type="dxa"/>
            <w:vAlign w:val="center"/>
          </w:tcPr>
          <w:p w:rsidR="008F024F" w:rsidRPr="00147AD2" w:rsidRDefault="008F024F" w:rsidP="008F024F">
            <w:pPr>
              <w:jc w:val="center"/>
              <w:rPr>
                <w:szCs w:val="24"/>
              </w:rPr>
            </w:pPr>
            <w:r w:rsidRPr="00147AD2">
              <w:rPr>
                <w:szCs w:val="24"/>
              </w:rPr>
              <w:t>16.9</w:t>
            </w:r>
          </w:p>
        </w:tc>
        <w:tc>
          <w:tcPr>
            <w:tcW w:w="1080" w:type="dxa"/>
            <w:vAlign w:val="center"/>
          </w:tcPr>
          <w:p w:rsidR="008F024F" w:rsidRPr="00147AD2" w:rsidRDefault="008F024F" w:rsidP="008F024F">
            <w:pPr>
              <w:jc w:val="center"/>
              <w:rPr>
                <w:rFonts w:cs="Calibri"/>
                <w:color w:val="000000"/>
                <w:szCs w:val="24"/>
              </w:rPr>
            </w:pPr>
            <w:r w:rsidRPr="00147AD2">
              <w:rPr>
                <w:rFonts w:cs="Calibri"/>
                <w:color w:val="000000"/>
                <w:szCs w:val="24"/>
              </w:rPr>
              <w:t>0.859 ***</w:t>
            </w:r>
          </w:p>
        </w:tc>
        <w:tc>
          <w:tcPr>
            <w:tcW w:w="990" w:type="dxa"/>
            <w:vAlign w:val="center"/>
          </w:tcPr>
          <w:p w:rsidR="008F024F" w:rsidRPr="00147AD2" w:rsidRDefault="008F024F" w:rsidP="008F024F">
            <w:pPr>
              <w:jc w:val="center"/>
              <w:rPr>
                <w:szCs w:val="24"/>
              </w:rPr>
            </w:pPr>
            <w:r w:rsidRPr="00147AD2">
              <w:rPr>
                <w:szCs w:val="24"/>
              </w:rPr>
              <w:t>0.107</w:t>
            </w:r>
          </w:p>
        </w:tc>
        <w:tc>
          <w:tcPr>
            <w:tcW w:w="810" w:type="dxa"/>
            <w:vAlign w:val="center"/>
          </w:tcPr>
          <w:p w:rsidR="008F024F" w:rsidRPr="00147AD2" w:rsidRDefault="008F024F" w:rsidP="008F024F">
            <w:pPr>
              <w:jc w:val="center"/>
              <w:rPr>
                <w:szCs w:val="24"/>
              </w:rPr>
            </w:pPr>
            <w:r w:rsidRPr="00147AD2">
              <w:rPr>
                <w:szCs w:val="24"/>
              </w:rPr>
              <w:t>0.425</w:t>
            </w:r>
          </w:p>
        </w:tc>
      </w:tr>
      <w:tr w:rsidR="008F024F" w:rsidTr="008F024F">
        <w:tc>
          <w:tcPr>
            <w:tcW w:w="1368" w:type="dxa"/>
            <w:vAlign w:val="center"/>
          </w:tcPr>
          <w:p w:rsidR="008F024F" w:rsidRPr="00147AD2" w:rsidRDefault="008F024F" w:rsidP="008F024F">
            <w:pPr>
              <w:jc w:val="center"/>
              <w:rPr>
                <w:szCs w:val="24"/>
              </w:rPr>
            </w:pPr>
            <w:r w:rsidRPr="00147AD2">
              <w:rPr>
                <w:rFonts w:cstheme="minorHAnsi"/>
                <w:b/>
                <w:szCs w:val="24"/>
              </w:rPr>
              <w:t>λ</w:t>
            </w:r>
          </w:p>
        </w:tc>
        <w:tc>
          <w:tcPr>
            <w:tcW w:w="1080" w:type="dxa"/>
            <w:vAlign w:val="center"/>
          </w:tcPr>
          <w:p w:rsidR="008F024F" w:rsidRPr="00147AD2" w:rsidRDefault="008F024F" w:rsidP="008F024F">
            <w:pPr>
              <w:jc w:val="center"/>
              <w:rPr>
                <w:szCs w:val="24"/>
              </w:rPr>
            </w:pPr>
            <w:r w:rsidRPr="00147AD2">
              <w:rPr>
                <w:szCs w:val="24"/>
              </w:rPr>
              <w:t>-</w:t>
            </w:r>
          </w:p>
        </w:tc>
        <w:tc>
          <w:tcPr>
            <w:tcW w:w="1170" w:type="dxa"/>
            <w:vAlign w:val="center"/>
          </w:tcPr>
          <w:p w:rsidR="008F024F" w:rsidRPr="00147AD2" w:rsidRDefault="008F024F" w:rsidP="008F024F">
            <w:pPr>
              <w:jc w:val="center"/>
              <w:rPr>
                <w:szCs w:val="24"/>
              </w:rPr>
            </w:pPr>
            <w:r w:rsidRPr="00147AD2">
              <w:rPr>
                <w:szCs w:val="24"/>
              </w:rPr>
              <w:t>Spherical</w:t>
            </w:r>
          </w:p>
        </w:tc>
        <w:tc>
          <w:tcPr>
            <w:tcW w:w="990" w:type="dxa"/>
            <w:vAlign w:val="center"/>
          </w:tcPr>
          <w:p w:rsidR="008F024F" w:rsidRPr="00147AD2" w:rsidRDefault="008F024F" w:rsidP="008F024F">
            <w:pPr>
              <w:jc w:val="center"/>
              <w:rPr>
                <w:szCs w:val="24"/>
              </w:rPr>
            </w:pPr>
            <w:r w:rsidRPr="00147AD2">
              <w:rPr>
                <w:szCs w:val="24"/>
              </w:rPr>
              <w:t>1.47e-2</w:t>
            </w:r>
          </w:p>
        </w:tc>
        <w:tc>
          <w:tcPr>
            <w:tcW w:w="990" w:type="dxa"/>
            <w:vAlign w:val="center"/>
          </w:tcPr>
          <w:p w:rsidR="008F024F" w:rsidRPr="00147AD2" w:rsidRDefault="008F024F" w:rsidP="008F024F">
            <w:pPr>
              <w:jc w:val="center"/>
              <w:rPr>
                <w:szCs w:val="24"/>
              </w:rPr>
            </w:pPr>
            <w:r w:rsidRPr="00147AD2">
              <w:rPr>
                <w:szCs w:val="24"/>
              </w:rPr>
              <w:t>1.71e-2</w:t>
            </w:r>
          </w:p>
        </w:tc>
        <w:tc>
          <w:tcPr>
            <w:tcW w:w="900" w:type="dxa"/>
            <w:vAlign w:val="center"/>
          </w:tcPr>
          <w:p w:rsidR="008F024F" w:rsidRPr="00147AD2" w:rsidRDefault="008F024F" w:rsidP="008F024F">
            <w:pPr>
              <w:jc w:val="center"/>
              <w:rPr>
                <w:szCs w:val="24"/>
              </w:rPr>
            </w:pPr>
            <w:r w:rsidRPr="00147AD2">
              <w:rPr>
                <w:szCs w:val="24"/>
              </w:rPr>
              <w:t>9.67</w:t>
            </w:r>
          </w:p>
        </w:tc>
        <w:tc>
          <w:tcPr>
            <w:tcW w:w="1080" w:type="dxa"/>
            <w:vAlign w:val="center"/>
          </w:tcPr>
          <w:p w:rsidR="008F024F" w:rsidRPr="00147AD2" w:rsidRDefault="008F024F" w:rsidP="008F024F">
            <w:pPr>
              <w:jc w:val="center"/>
              <w:rPr>
                <w:szCs w:val="24"/>
              </w:rPr>
            </w:pPr>
            <w:r w:rsidRPr="00147AD2">
              <w:rPr>
                <w:szCs w:val="24"/>
              </w:rPr>
              <w:t>0.188</w:t>
            </w:r>
          </w:p>
        </w:tc>
        <w:tc>
          <w:tcPr>
            <w:tcW w:w="990" w:type="dxa"/>
            <w:vAlign w:val="center"/>
          </w:tcPr>
          <w:p w:rsidR="008F024F" w:rsidRPr="00147AD2" w:rsidRDefault="008F024F" w:rsidP="008F024F">
            <w:pPr>
              <w:jc w:val="center"/>
              <w:rPr>
                <w:szCs w:val="24"/>
              </w:rPr>
            </w:pPr>
            <w:r w:rsidRPr="00147AD2">
              <w:rPr>
                <w:szCs w:val="24"/>
              </w:rPr>
              <w:t>0.266</w:t>
            </w:r>
          </w:p>
        </w:tc>
        <w:tc>
          <w:tcPr>
            <w:tcW w:w="810" w:type="dxa"/>
            <w:vAlign w:val="center"/>
          </w:tcPr>
          <w:p w:rsidR="008F024F" w:rsidRPr="00147AD2" w:rsidRDefault="008F024F" w:rsidP="008F024F">
            <w:pPr>
              <w:jc w:val="center"/>
              <w:rPr>
                <w:szCs w:val="24"/>
              </w:rPr>
            </w:pPr>
            <w:r w:rsidRPr="00147AD2">
              <w:rPr>
                <w:szCs w:val="24"/>
              </w:rPr>
              <w:t>0.859</w:t>
            </w:r>
          </w:p>
        </w:tc>
      </w:tr>
      <w:tr w:rsidR="008F024F" w:rsidTr="008F024F">
        <w:tc>
          <w:tcPr>
            <w:tcW w:w="1368" w:type="dxa"/>
            <w:vAlign w:val="center"/>
          </w:tcPr>
          <w:p w:rsidR="008F024F" w:rsidRPr="00147AD2" w:rsidRDefault="008F024F" w:rsidP="008F024F">
            <w:pPr>
              <w:jc w:val="center"/>
              <w:rPr>
                <w:szCs w:val="24"/>
              </w:rPr>
            </w:pPr>
            <w:r w:rsidRPr="00147AD2">
              <w:rPr>
                <w:rFonts w:cstheme="minorHAnsi"/>
                <w:b/>
                <w:szCs w:val="24"/>
              </w:rPr>
              <w:t>Ѳ</w:t>
            </w:r>
            <w:r w:rsidRPr="00147AD2">
              <w:rPr>
                <w:rFonts w:cstheme="minorHAnsi"/>
                <w:b/>
                <w:szCs w:val="24"/>
                <w:vertAlign w:val="subscript"/>
              </w:rPr>
              <w:t>r</w:t>
            </w:r>
          </w:p>
        </w:tc>
        <w:tc>
          <w:tcPr>
            <w:tcW w:w="1080" w:type="dxa"/>
            <w:vAlign w:val="center"/>
          </w:tcPr>
          <w:p w:rsidR="008F024F" w:rsidRPr="00147AD2" w:rsidRDefault="008F024F" w:rsidP="008F024F">
            <w:pPr>
              <w:jc w:val="center"/>
              <w:rPr>
                <w:szCs w:val="24"/>
              </w:rPr>
            </w:pPr>
            <w:r w:rsidRPr="00147AD2">
              <w:rPr>
                <w:szCs w:val="24"/>
              </w:rPr>
              <w:t>cm</w:t>
            </w:r>
            <w:r w:rsidRPr="00147AD2">
              <w:rPr>
                <w:szCs w:val="24"/>
                <w:vertAlign w:val="superscript"/>
              </w:rPr>
              <w:t>3</w:t>
            </w:r>
            <w:r w:rsidRPr="00147AD2">
              <w:rPr>
                <w:szCs w:val="24"/>
              </w:rPr>
              <w:t>/cm</w:t>
            </w:r>
            <w:r w:rsidRPr="00147AD2">
              <w:rPr>
                <w:szCs w:val="24"/>
                <w:vertAlign w:val="superscript"/>
              </w:rPr>
              <w:t>3</w:t>
            </w:r>
          </w:p>
        </w:tc>
        <w:tc>
          <w:tcPr>
            <w:tcW w:w="1170" w:type="dxa"/>
            <w:vAlign w:val="center"/>
          </w:tcPr>
          <w:p w:rsidR="008F024F" w:rsidRPr="00147AD2" w:rsidRDefault="008F024F" w:rsidP="008F024F">
            <w:pPr>
              <w:jc w:val="center"/>
              <w:rPr>
                <w:szCs w:val="24"/>
              </w:rPr>
            </w:pPr>
            <w:r>
              <w:rPr>
                <w:szCs w:val="24"/>
              </w:rPr>
              <w:t>-</w:t>
            </w:r>
          </w:p>
        </w:tc>
        <w:tc>
          <w:tcPr>
            <w:tcW w:w="990" w:type="dxa"/>
            <w:vAlign w:val="center"/>
          </w:tcPr>
          <w:p w:rsidR="008F024F" w:rsidRPr="00147AD2" w:rsidRDefault="008F024F" w:rsidP="008F024F">
            <w:pPr>
              <w:jc w:val="center"/>
              <w:rPr>
                <w:szCs w:val="24"/>
              </w:rPr>
            </w:pPr>
            <w:r w:rsidRPr="00147AD2">
              <w:rPr>
                <w:szCs w:val="24"/>
              </w:rPr>
              <w:t>1.14e-4</w:t>
            </w:r>
          </w:p>
        </w:tc>
        <w:tc>
          <w:tcPr>
            <w:tcW w:w="990" w:type="dxa"/>
            <w:vAlign w:val="center"/>
          </w:tcPr>
          <w:p w:rsidR="008F024F" w:rsidRPr="00147AD2" w:rsidRDefault="008F024F" w:rsidP="008F024F">
            <w:pPr>
              <w:jc w:val="center"/>
              <w:rPr>
                <w:szCs w:val="24"/>
              </w:rPr>
            </w:pPr>
            <w:r w:rsidRPr="00147AD2">
              <w:rPr>
                <w:szCs w:val="24"/>
              </w:rPr>
              <w:t>1.14e-4</w:t>
            </w:r>
          </w:p>
        </w:tc>
        <w:tc>
          <w:tcPr>
            <w:tcW w:w="900" w:type="dxa"/>
            <w:vAlign w:val="center"/>
          </w:tcPr>
          <w:p w:rsidR="008F024F" w:rsidRPr="00147AD2" w:rsidRDefault="008F024F" w:rsidP="008F024F">
            <w:pPr>
              <w:jc w:val="center"/>
              <w:rPr>
                <w:szCs w:val="24"/>
              </w:rPr>
            </w:pPr>
            <w:r w:rsidRPr="00147AD2">
              <w:rPr>
                <w:szCs w:val="24"/>
              </w:rPr>
              <w:t>NA</w:t>
            </w:r>
          </w:p>
        </w:tc>
        <w:tc>
          <w:tcPr>
            <w:tcW w:w="1080" w:type="dxa"/>
            <w:vAlign w:val="center"/>
          </w:tcPr>
          <w:p w:rsidR="008F024F" w:rsidRPr="00147AD2" w:rsidRDefault="008F024F" w:rsidP="008F024F">
            <w:pPr>
              <w:jc w:val="center"/>
              <w:rPr>
                <w:szCs w:val="24"/>
              </w:rPr>
            </w:pPr>
            <w:r w:rsidRPr="00147AD2">
              <w:rPr>
                <w:szCs w:val="24"/>
              </w:rPr>
              <w:t>NA</w:t>
            </w:r>
          </w:p>
        </w:tc>
        <w:tc>
          <w:tcPr>
            <w:tcW w:w="990" w:type="dxa"/>
            <w:vAlign w:val="center"/>
          </w:tcPr>
          <w:p w:rsidR="008F024F" w:rsidRPr="00147AD2" w:rsidRDefault="008F024F" w:rsidP="008F024F">
            <w:pPr>
              <w:jc w:val="center"/>
              <w:rPr>
                <w:szCs w:val="24"/>
              </w:rPr>
            </w:pPr>
            <w:r w:rsidRPr="00147AD2">
              <w:rPr>
                <w:szCs w:val="24"/>
              </w:rPr>
              <w:t>NA</w:t>
            </w:r>
          </w:p>
        </w:tc>
        <w:tc>
          <w:tcPr>
            <w:tcW w:w="810" w:type="dxa"/>
            <w:vAlign w:val="center"/>
          </w:tcPr>
          <w:p w:rsidR="008F024F" w:rsidRPr="00147AD2" w:rsidRDefault="008F024F" w:rsidP="008F024F">
            <w:pPr>
              <w:jc w:val="center"/>
              <w:rPr>
                <w:szCs w:val="24"/>
              </w:rPr>
            </w:pPr>
            <w:r w:rsidRPr="00147AD2">
              <w:rPr>
                <w:szCs w:val="24"/>
              </w:rPr>
              <w:t>1.00</w:t>
            </w:r>
          </w:p>
        </w:tc>
      </w:tr>
    </w:tbl>
    <w:p w:rsidR="008F024F" w:rsidRDefault="008F024F" w:rsidP="008F024F">
      <w:pPr>
        <w:pStyle w:val="Caption"/>
      </w:pPr>
      <w:bookmarkStart w:id="66" w:name="_Toc425427067"/>
      <w:r>
        <w:t xml:space="preserve">Table </w:t>
      </w:r>
      <w:fldSimple w:instr=" SEQ Table \* ARABIC ">
        <w:r w:rsidR="00885C9E">
          <w:rPr>
            <w:noProof/>
          </w:rPr>
          <w:t>11</w:t>
        </w:r>
      </w:fldSimple>
      <w:r>
        <w:t>: Semivariogram model results computed for observed BC parameters</w:t>
      </w:r>
      <w:bookmarkEnd w:id="66"/>
    </w:p>
    <w:p w:rsidR="00FC0169" w:rsidRPr="00FC0169" w:rsidRDefault="00FC0169" w:rsidP="00FC0169"/>
    <w:tbl>
      <w:tblPr>
        <w:tblStyle w:val="TableGrid"/>
        <w:tblW w:w="9468" w:type="dxa"/>
        <w:tblLayout w:type="fixed"/>
        <w:tblLook w:val="04A0"/>
      </w:tblPr>
      <w:tblGrid>
        <w:gridCol w:w="1368"/>
        <w:gridCol w:w="810"/>
        <w:gridCol w:w="1170"/>
        <w:gridCol w:w="1080"/>
        <w:gridCol w:w="1080"/>
        <w:gridCol w:w="900"/>
        <w:gridCol w:w="1080"/>
        <w:gridCol w:w="990"/>
        <w:gridCol w:w="990"/>
      </w:tblGrid>
      <w:tr w:rsidR="00FC0169" w:rsidTr="00FC0169">
        <w:trPr>
          <w:trHeight w:val="665"/>
        </w:trPr>
        <w:tc>
          <w:tcPr>
            <w:tcW w:w="1368" w:type="dxa"/>
            <w:vAlign w:val="center"/>
          </w:tcPr>
          <w:p w:rsidR="008F024F" w:rsidRPr="00147AD2" w:rsidRDefault="008F024F" w:rsidP="008F024F">
            <w:pPr>
              <w:jc w:val="center"/>
              <w:rPr>
                <w:b/>
                <w:szCs w:val="24"/>
              </w:rPr>
            </w:pPr>
            <w:r w:rsidRPr="00147AD2">
              <w:rPr>
                <w:b/>
                <w:szCs w:val="24"/>
              </w:rPr>
              <w:t>Parameter</w:t>
            </w:r>
          </w:p>
        </w:tc>
        <w:tc>
          <w:tcPr>
            <w:tcW w:w="810" w:type="dxa"/>
            <w:vAlign w:val="center"/>
          </w:tcPr>
          <w:p w:rsidR="008F024F" w:rsidRPr="00147AD2" w:rsidRDefault="008F024F" w:rsidP="008F024F">
            <w:pPr>
              <w:jc w:val="center"/>
              <w:rPr>
                <w:b/>
                <w:szCs w:val="24"/>
              </w:rPr>
            </w:pPr>
            <w:r w:rsidRPr="00147AD2">
              <w:rPr>
                <w:b/>
                <w:szCs w:val="24"/>
              </w:rPr>
              <w:t>Unit</w:t>
            </w:r>
          </w:p>
        </w:tc>
        <w:tc>
          <w:tcPr>
            <w:tcW w:w="1170" w:type="dxa"/>
            <w:vAlign w:val="center"/>
          </w:tcPr>
          <w:p w:rsidR="008F024F" w:rsidRPr="00147AD2" w:rsidRDefault="008F024F" w:rsidP="008F024F">
            <w:pPr>
              <w:jc w:val="center"/>
              <w:rPr>
                <w:b/>
                <w:szCs w:val="24"/>
              </w:rPr>
            </w:pPr>
            <w:r w:rsidRPr="00147AD2">
              <w:rPr>
                <w:b/>
                <w:szCs w:val="24"/>
              </w:rPr>
              <w:t>Model</w:t>
            </w:r>
          </w:p>
        </w:tc>
        <w:tc>
          <w:tcPr>
            <w:tcW w:w="1080" w:type="dxa"/>
            <w:vAlign w:val="center"/>
          </w:tcPr>
          <w:p w:rsidR="008F024F" w:rsidRPr="008F024F" w:rsidRDefault="008F024F" w:rsidP="00FC0169">
            <w:pPr>
              <w:jc w:val="center"/>
              <w:rPr>
                <w:b/>
                <w:szCs w:val="24"/>
              </w:rPr>
            </w:pPr>
            <w:r w:rsidRPr="00147AD2">
              <w:rPr>
                <w:b/>
                <w:szCs w:val="24"/>
              </w:rPr>
              <w:t>Nugget</w:t>
            </w:r>
          </w:p>
        </w:tc>
        <w:tc>
          <w:tcPr>
            <w:tcW w:w="1080" w:type="dxa"/>
            <w:vAlign w:val="center"/>
          </w:tcPr>
          <w:p w:rsidR="008F024F" w:rsidRPr="00147AD2" w:rsidRDefault="008F024F" w:rsidP="00FC0169">
            <w:pPr>
              <w:jc w:val="center"/>
              <w:rPr>
                <w:b/>
                <w:szCs w:val="24"/>
              </w:rPr>
            </w:pPr>
            <w:r w:rsidRPr="00147AD2">
              <w:rPr>
                <w:b/>
                <w:szCs w:val="24"/>
              </w:rPr>
              <w:t>Sill</w:t>
            </w:r>
          </w:p>
        </w:tc>
        <w:tc>
          <w:tcPr>
            <w:tcW w:w="900" w:type="dxa"/>
            <w:vAlign w:val="center"/>
          </w:tcPr>
          <w:p w:rsidR="008F024F" w:rsidRPr="00147AD2" w:rsidRDefault="008F024F" w:rsidP="008F024F">
            <w:pPr>
              <w:jc w:val="center"/>
              <w:rPr>
                <w:b/>
                <w:szCs w:val="24"/>
              </w:rPr>
            </w:pPr>
            <w:r w:rsidRPr="00147AD2">
              <w:rPr>
                <w:b/>
                <w:szCs w:val="24"/>
              </w:rPr>
              <w:t>Range</w:t>
            </w:r>
            <w:r>
              <w:rPr>
                <w:b/>
                <w:szCs w:val="24"/>
              </w:rPr>
              <w:t xml:space="preserve"> (mm)</w:t>
            </w:r>
          </w:p>
        </w:tc>
        <w:tc>
          <w:tcPr>
            <w:tcW w:w="1080" w:type="dxa"/>
            <w:vAlign w:val="center"/>
          </w:tcPr>
          <w:p w:rsidR="008F024F" w:rsidRPr="00147AD2" w:rsidRDefault="008F024F" w:rsidP="008F024F">
            <w:pPr>
              <w:jc w:val="center"/>
              <w:rPr>
                <w:b/>
                <w:szCs w:val="24"/>
              </w:rPr>
            </w:pPr>
            <w:r w:rsidRPr="00147AD2">
              <w:rPr>
                <w:b/>
                <w:szCs w:val="24"/>
              </w:rPr>
              <w:t>R</w:t>
            </w:r>
            <w:r w:rsidRPr="00147AD2">
              <w:rPr>
                <w:b/>
                <w:szCs w:val="24"/>
                <w:vertAlign w:val="superscript"/>
              </w:rPr>
              <w:t>2</w:t>
            </w:r>
          </w:p>
        </w:tc>
        <w:tc>
          <w:tcPr>
            <w:tcW w:w="990" w:type="dxa"/>
            <w:vAlign w:val="center"/>
          </w:tcPr>
          <w:p w:rsidR="008F024F" w:rsidRPr="00147AD2" w:rsidRDefault="008F024F" w:rsidP="008F024F">
            <w:pPr>
              <w:jc w:val="center"/>
              <w:rPr>
                <w:b/>
                <w:szCs w:val="24"/>
              </w:rPr>
            </w:pPr>
            <w:r w:rsidRPr="00147AD2">
              <w:rPr>
                <w:b/>
                <w:szCs w:val="24"/>
              </w:rPr>
              <w:t>NRMSE</w:t>
            </w:r>
          </w:p>
        </w:tc>
        <w:tc>
          <w:tcPr>
            <w:tcW w:w="990" w:type="dxa"/>
            <w:vAlign w:val="center"/>
          </w:tcPr>
          <w:p w:rsidR="008F024F" w:rsidRPr="00147AD2" w:rsidRDefault="008F024F" w:rsidP="008F024F">
            <w:pPr>
              <w:jc w:val="center"/>
              <w:rPr>
                <w:b/>
                <w:szCs w:val="24"/>
              </w:rPr>
            </w:pPr>
            <w:r w:rsidRPr="00147AD2">
              <w:rPr>
                <w:b/>
                <w:szCs w:val="24"/>
              </w:rPr>
              <w:t>DSD</w:t>
            </w:r>
          </w:p>
        </w:tc>
      </w:tr>
      <w:tr w:rsidR="00FC0169" w:rsidTr="00FC0169">
        <w:trPr>
          <w:trHeight w:val="305"/>
        </w:trPr>
        <w:tc>
          <w:tcPr>
            <w:tcW w:w="1368" w:type="dxa"/>
            <w:vAlign w:val="center"/>
          </w:tcPr>
          <w:p w:rsidR="008F024F" w:rsidRPr="00147AD2" w:rsidRDefault="00FC0169" w:rsidP="008F024F">
            <w:pPr>
              <w:jc w:val="center"/>
              <w:rPr>
                <w:szCs w:val="24"/>
              </w:rPr>
            </w:pPr>
            <w:r w:rsidRPr="00147AD2">
              <w:rPr>
                <w:rFonts w:cstheme="minorHAnsi"/>
                <w:b/>
                <w:szCs w:val="24"/>
              </w:rPr>
              <w:t>ψ</w:t>
            </w:r>
            <w:r w:rsidRPr="00147AD2">
              <w:rPr>
                <w:rFonts w:cstheme="minorHAnsi"/>
                <w:b/>
                <w:szCs w:val="24"/>
                <w:vertAlign w:val="subscript"/>
              </w:rPr>
              <w:t xml:space="preserve">a </w:t>
            </w:r>
            <w:r w:rsidRPr="00147AD2">
              <w:rPr>
                <w:rFonts w:cstheme="minorHAnsi"/>
                <w:b/>
                <w:szCs w:val="24"/>
              </w:rPr>
              <w:t>vs. Ѳ</w:t>
            </w:r>
            <w:r w:rsidRPr="00147AD2">
              <w:rPr>
                <w:rFonts w:cstheme="minorHAnsi"/>
                <w:b/>
                <w:szCs w:val="24"/>
                <w:vertAlign w:val="subscript"/>
              </w:rPr>
              <w:t>s</w:t>
            </w:r>
          </w:p>
        </w:tc>
        <w:tc>
          <w:tcPr>
            <w:tcW w:w="810" w:type="dxa"/>
            <w:vAlign w:val="center"/>
          </w:tcPr>
          <w:p w:rsidR="008F024F" w:rsidRPr="00147AD2" w:rsidRDefault="00FC0169" w:rsidP="008F024F">
            <w:pPr>
              <w:jc w:val="center"/>
              <w:rPr>
                <w:szCs w:val="24"/>
              </w:rPr>
            </w:pPr>
            <w:r>
              <w:rPr>
                <w:szCs w:val="24"/>
              </w:rPr>
              <w:t>-</w:t>
            </w:r>
          </w:p>
        </w:tc>
        <w:tc>
          <w:tcPr>
            <w:tcW w:w="1170" w:type="dxa"/>
            <w:vAlign w:val="center"/>
          </w:tcPr>
          <w:p w:rsidR="008F024F" w:rsidRPr="00147AD2" w:rsidRDefault="008F024F" w:rsidP="008F024F">
            <w:pPr>
              <w:jc w:val="center"/>
              <w:rPr>
                <w:szCs w:val="24"/>
              </w:rPr>
            </w:pPr>
            <w:r w:rsidRPr="00147AD2">
              <w:rPr>
                <w:szCs w:val="24"/>
              </w:rPr>
              <w:t>Spherical</w:t>
            </w:r>
          </w:p>
        </w:tc>
        <w:tc>
          <w:tcPr>
            <w:tcW w:w="1080" w:type="dxa"/>
            <w:vAlign w:val="center"/>
          </w:tcPr>
          <w:p w:rsidR="008F024F" w:rsidRPr="00147AD2" w:rsidRDefault="008F024F" w:rsidP="008F024F">
            <w:pPr>
              <w:jc w:val="center"/>
              <w:rPr>
                <w:szCs w:val="24"/>
              </w:rPr>
            </w:pPr>
            <w:r w:rsidRPr="00147AD2">
              <w:rPr>
                <w:szCs w:val="24"/>
              </w:rPr>
              <w:t>-1.17e-3</w:t>
            </w:r>
          </w:p>
        </w:tc>
        <w:tc>
          <w:tcPr>
            <w:tcW w:w="1080" w:type="dxa"/>
            <w:vAlign w:val="center"/>
          </w:tcPr>
          <w:p w:rsidR="008F024F" w:rsidRPr="00147AD2" w:rsidRDefault="008F024F" w:rsidP="008F024F">
            <w:pPr>
              <w:jc w:val="center"/>
              <w:rPr>
                <w:szCs w:val="24"/>
              </w:rPr>
            </w:pPr>
            <w:r w:rsidRPr="00147AD2">
              <w:rPr>
                <w:szCs w:val="24"/>
              </w:rPr>
              <w:t>-1.69e-2</w:t>
            </w:r>
          </w:p>
        </w:tc>
        <w:tc>
          <w:tcPr>
            <w:tcW w:w="900" w:type="dxa"/>
            <w:vAlign w:val="center"/>
          </w:tcPr>
          <w:p w:rsidR="008F024F" w:rsidRPr="00147AD2" w:rsidRDefault="008F024F" w:rsidP="008F024F">
            <w:pPr>
              <w:jc w:val="center"/>
              <w:rPr>
                <w:szCs w:val="24"/>
              </w:rPr>
            </w:pPr>
            <w:r w:rsidRPr="00147AD2">
              <w:rPr>
                <w:szCs w:val="24"/>
              </w:rPr>
              <w:t>15.5</w:t>
            </w:r>
          </w:p>
        </w:tc>
        <w:tc>
          <w:tcPr>
            <w:tcW w:w="1080" w:type="dxa"/>
            <w:vAlign w:val="center"/>
          </w:tcPr>
          <w:p w:rsidR="008F024F" w:rsidRPr="00147AD2" w:rsidRDefault="008F024F" w:rsidP="008F024F">
            <w:pPr>
              <w:jc w:val="center"/>
              <w:rPr>
                <w:rFonts w:cs="Calibri"/>
                <w:color w:val="000000"/>
                <w:szCs w:val="24"/>
              </w:rPr>
            </w:pPr>
            <w:r w:rsidRPr="00147AD2">
              <w:rPr>
                <w:rFonts w:cs="Calibri"/>
                <w:color w:val="000000"/>
                <w:szCs w:val="24"/>
              </w:rPr>
              <w:t>0.936 ***</w:t>
            </w:r>
          </w:p>
        </w:tc>
        <w:tc>
          <w:tcPr>
            <w:tcW w:w="990" w:type="dxa"/>
            <w:vAlign w:val="center"/>
          </w:tcPr>
          <w:p w:rsidR="008F024F" w:rsidRPr="00147AD2" w:rsidRDefault="008F024F" w:rsidP="008F024F">
            <w:pPr>
              <w:jc w:val="center"/>
              <w:rPr>
                <w:szCs w:val="24"/>
              </w:rPr>
            </w:pPr>
            <w:r w:rsidRPr="00147AD2">
              <w:rPr>
                <w:szCs w:val="24"/>
              </w:rPr>
              <w:t>7.83e-2</w:t>
            </w:r>
          </w:p>
        </w:tc>
        <w:tc>
          <w:tcPr>
            <w:tcW w:w="990" w:type="dxa"/>
            <w:vAlign w:val="center"/>
          </w:tcPr>
          <w:p w:rsidR="008F024F" w:rsidRPr="00147AD2" w:rsidRDefault="008F024F" w:rsidP="008F024F">
            <w:pPr>
              <w:jc w:val="center"/>
              <w:rPr>
                <w:szCs w:val="24"/>
              </w:rPr>
            </w:pPr>
            <w:r w:rsidRPr="00147AD2">
              <w:rPr>
                <w:szCs w:val="24"/>
              </w:rPr>
              <w:t>6.92e-2</w:t>
            </w:r>
          </w:p>
        </w:tc>
      </w:tr>
    </w:tbl>
    <w:p w:rsidR="00FC0169" w:rsidRDefault="00FC0169" w:rsidP="00FC0169">
      <w:pPr>
        <w:pStyle w:val="Caption"/>
      </w:pPr>
      <w:bookmarkStart w:id="67" w:name="_Toc425427068"/>
      <w:r>
        <w:t xml:space="preserve">Table </w:t>
      </w:r>
      <w:fldSimple w:instr=" SEQ Table \* ARABIC ">
        <w:r w:rsidR="00885C9E">
          <w:rPr>
            <w:noProof/>
          </w:rPr>
          <w:t>12</w:t>
        </w:r>
      </w:fldSimple>
      <w:r>
        <w:t xml:space="preserve">: Cross-variogram with spherical model computed for the residual values of </w:t>
      </w:r>
      <w:r w:rsidRPr="00046D93">
        <w:rPr>
          <w:i/>
        </w:rPr>
        <w:t>ψ</w:t>
      </w:r>
      <w:r w:rsidRPr="00046D93">
        <w:rPr>
          <w:i/>
          <w:vertAlign w:val="subscript"/>
        </w:rPr>
        <w:t>a</w:t>
      </w:r>
      <w:r>
        <w:t xml:space="preserve"> versus </w:t>
      </w:r>
      <w:r w:rsidRPr="00046D93">
        <w:rPr>
          <w:i/>
        </w:rPr>
        <w:t>Ѳ</w:t>
      </w:r>
      <w:r w:rsidRPr="00046D93">
        <w:rPr>
          <w:i/>
          <w:vertAlign w:val="subscript"/>
        </w:rPr>
        <w:t>s</w:t>
      </w:r>
      <w:r>
        <w:t>.</w:t>
      </w:r>
      <w:bookmarkEnd w:id="67"/>
      <w:r w:rsidR="004D14FC">
        <w:t xml:space="preserve"> </w:t>
      </w:r>
    </w:p>
    <w:p w:rsidR="002F3B63" w:rsidRPr="00686053" w:rsidRDefault="002F3B63" w:rsidP="002F3B63"/>
    <w:tbl>
      <w:tblPr>
        <w:tblStyle w:val="TableGrid"/>
        <w:tblW w:w="6948" w:type="dxa"/>
        <w:tblLayout w:type="fixed"/>
        <w:tblLook w:val="04A0"/>
      </w:tblPr>
      <w:tblGrid>
        <w:gridCol w:w="1998"/>
        <w:gridCol w:w="1260"/>
        <w:gridCol w:w="810"/>
        <w:gridCol w:w="1080"/>
        <w:gridCol w:w="900"/>
        <w:gridCol w:w="900"/>
      </w:tblGrid>
      <w:tr w:rsidR="002F3B63" w:rsidRPr="000C0064" w:rsidTr="002F3B63">
        <w:tc>
          <w:tcPr>
            <w:tcW w:w="1998" w:type="dxa"/>
          </w:tcPr>
          <w:p w:rsidR="002F3B63" w:rsidRPr="00147AD2" w:rsidRDefault="002F3B63" w:rsidP="002F3B63">
            <w:pPr>
              <w:jc w:val="center"/>
              <w:rPr>
                <w:b/>
                <w:szCs w:val="24"/>
              </w:rPr>
            </w:pPr>
            <w:r w:rsidRPr="00147AD2">
              <w:rPr>
                <w:b/>
                <w:szCs w:val="24"/>
              </w:rPr>
              <w:t>Kriging Method</w:t>
            </w:r>
          </w:p>
        </w:tc>
        <w:tc>
          <w:tcPr>
            <w:tcW w:w="1260" w:type="dxa"/>
            <w:vAlign w:val="center"/>
          </w:tcPr>
          <w:p w:rsidR="002F3B63" w:rsidRPr="00147AD2" w:rsidRDefault="002F3B63" w:rsidP="002F3B63">
            <w:pPr>
              <w:jc w:val="center"/>
              <w:rPr>
                <w:b/>
                <w:szCs w:val="24"/>
              </w:rPr>
            </w:pPr>
            <w:r w:rsidRPr="00147AD2">
              <w:rPr>
                <w:b/>
                <w:szCs w:val="24"/>
              </w:rPr>
              <w:t>Model</w:t>
            </w:r>
          </w:p>
        </w:tc>
        <w:tc>
          <w:tcPr>
            <w:tcW w:w="810" w:type="dxa"/>
            <w:vAlign w:val="center"/>
          </w:tcPr>
          <w:p w:rsidR="002F3B63" w:rsidRPr="00147AD2" w:rsidRDefault="002F3B63" w:rsidP="002F3B63">
            <w:pPr>
              <w:jc w:val="center"/>
              <w:rPr>
                <w:b/>
                <w:szCs w:val="24"/>
              </w:rPr>
            </w:pPr>
            <w:r w:rsidRPr="00147AD2">
              <w:rPr>
                <w:b/>
                <w:szCs w:val="24"/>
              </w:rPr>
              <w:t>r</w:t>
            </w:r>
          </w:p>
        </w:tc>
        <w:tc>
          <w:tcPr>
            <w:tcW w:w="1080" w:type="dxa"/>
            <w:vAlign w:val="center"/>
          </w:tcPr>
          <w:p w:rsidR="002F3B63" w:rsidRPr="00147AD2" w:rsidRDefault="002F3B63" w:rsidP="002F3B63">
            <w:pPr>
              <w:jc w:val="center"/>
              <w:rPr>
                <w:b/>
                <w:szCs w:val="24"/>
              </w:rPr>
            </w:pPr>
            <w:r w:rsidRPr="00147AD2">
              <w:rPr>
                <w:b/>
                <w:szCs w:val="24"/>
              </w:rPr>
              <w:t>NRMSE</w:t>
            </w:r>
          </w:p>
        </w:tc>
        <w:tc>
          <w:tcPr>
            <w:tcW w:w="900" w:type="dxa"/>
          </w:tcPr>
          <w:p w:rsidR="002F3B63" w:rsidRPr="00147AD2" w:rsidRDefault="002F3B63" w:rsidP="002F3B63">
            <w:pPr>
              <w:jc w:val="center"/>
              <w:rPr>
                <w:b/>
                <w:szCs w:val="24"/>
              </w:rPr>
            </w:pPr>
            <w:r w:rsidRPr="00147AD2">
              <w:rPr>
                <w:b/>
                <w:szCs w:val="24"/>
              </w:rPr>
              <w:t>a</w:t>
            </w:r>
          </w:p>
        </w:tc>
        <w:tc>
          <w:tcPr>
            <w:tcW w:w="900" w:type="dxa"/>
          </w:tcPr>
          <w:p w:rsidR="002F3B63" w:rsidRPr="00147AD2" w:rsidRDefault="002F3B63" w:rsidP="002F3B63">
            <w:pPr>
              <w:jc w:val="center"/>
              <w:rPr>
                <w:b/>
                <w:szCs w:val="24"/>
              </w:rPr>
            </w:pPr>
            <w:r w:rsidRPr="00147AD2">
              <w:rPr>
                <w:b/>
                <w:szCs w:val="24"/>
              </w:rPr>
              <w:t>b</w:t>
            </w:r>
          </w:p>
        </w:tc>
      </w:tr>
      <w:tr w:rsidR="002F3B63" w:rsidRPr="000C0064" w:rsidTr="002F3B63">
        <w:tc>
          <w:tcPr>
            <w:tcW w:w="1998" w:type="dxa"/>
          </w:tcPr>
          <w:p w:rsidR="002F3B63" w:rsidRPr="00147AD2" w:rsidRDefault="002F3B63" w:rsidP="002F3B63">
            <w:pPr>
              <w:jc w:val="center"/>
              <w:rPr>
                <w:szCs w:val="24"/>
              </w:rPr>
            </w:pPr>
            <w:r w:rsidRPr="00147AD2">
              <w:rPr>
                <w:szCs w:val="24"/>
              </w:rPr>
              <w:t>OK</w:t>
            </w:r>
          </w:p>
        </w:tc>
        <w:tc>
          <w:tcPr>
            <w:tcW w:w="1260" w:type="dxa"/>
            <w:vAlign w:val="center"/>
          </w:tcPr>
          <w:p w:rsidR="002F3B63" w:rsidRPr="00147AD2" w:rsidRDefault="002F3B63" w:rsidP="002F3B63">
            <w:pPr>
              <w:jc w:val="center"/>
              <w:rPr>
                <w:szCs w:val="24"/>
              </w:rPr>
            </w:pPr>
            <w:r w:rsidRPr="00147AD2">
              <w:rPr>
                <w:szCs w:val="24"/>
              </w:rPr>
              <w:t>Spherical</w:t>
            </w:r>
          </w:p>
        </w:tc>
        <w:tc>
          <w:tcPr>
            <w:tcW w:w="810" w:type="dxa"/>
            <w:vAlign w:val="center"/>
          </w:tcPr>
          <w:p w:rsidR="002F3B63" w:rsidRPr="00147AD2" w:rsidRDefault="002F3B63" w:rsidP="002F3B63">
            <w:pPr>
              <w:jc w:val="center"/>
              <w:rPr>
                <w:szCs w:val="24"/>
              </w:rPr>
            </w:pPr>
            <w:r w:rsidRPr="00147AD2">
              <w:rPr>
                <w:szCs w:val="24"/>
              </w:rPr>
              <w:t>0.704</w:t>
            </w:r>
          </w:p>
        </w:tc>
        <w:tc>
          <w:tcPr>
            <w:tcW w:w="1080" w:type="dxa"/>
            <w:vAlign w:val="center"/>
          </w:tcPr>
          <w:p w:rsidR="002F3B63" w:rsidRPr="00147AD2" w:rsidRDefault="002F3B63" w:rsidP="002F3B63">
            <w:pPr>
              <w:jc w:val="center"/>
              <w:rPr>
                <w:szCs w:val="24"/>
              </w:rPr>
            </w:pPr>
            <w:r w:rsidRPr="00147AD2">
              <w:rPr>
                <w:szCs w:val="24"/>
              </w:rPr>
              <w:t>0.126</w:t>
            </w:r>
          </w:p>
        </w:tc>
        <w:tc>
          <w:tcPr>
            <w:tcW w:w="900" w:type="dxa"/>
          </w:tcPr>
          <w:p w:rsidR="002F3B63" w:rsidRPr="00147AD2" w:rsidRDefault="002F3B63" w:rsidP="002F3B63">
            <w:pPr>
              <w:jc w:val="center"/>
              <w:rPr>
                <w:szCs w:val="24"/>
              </w:rPr>
            </w:pPr>
            <w:r w:rsidRPr="00147AD2">
              <w:rPr>
                <w:szCs w:val="24"/>
              </w:rPr>
              <w:t>8.47</w:t>
            </w:r>
          </w:p>
        </w:tc>
        <w:tc>
          <w:tcPr>
            <w:tcW w:w="900" w:type="dxa"/>
          </w:tcPr>
          <w:p w:rsidR="002F3B63" w:rsidRPr="00147AD2" w:rsidRDefault="002F3B63" w:rsidP="002F3B63">
            <w:pPr>
              <w:jc w:val="center"/>
              <w:rPr>
                <w:szCs w:val="24"/>
              </w:rPr>
            </w:pPr>
            <w:r w:rsidRPr="00147AD2">
              <w:rPr>
                <w:szCs w:val="24"/>
              </w:rPr>
              <w:t>0.515</w:t>
            </w:r>
          </w:p>
        </w:tc>
      </w:tr>
      <w:tr w:rsidR="002F3B63" w:rsidRPr="000C0064" w:rsidTr="002F3B63">
        <w:tc>
          <w:tcPr>
            <w:tcW w:w="1998" w:type="dxa"/>
          </w:tcPr>
          <w:p w:rsidR="002F3B63" w:rsidRPr="00147AD2" w:rsidRDefault="002F3B63" w:rsidP="002F3B63">
            <w:pPr>
              <w:jc w:val="center"/>
              <w:rPr>
                <w:szCs w:val="24"/>
              </w:rPr>
            </w:pPr>
            <w:r w:rsidRPr="00147AD2">
              <w:rPr>
                <w:szCs w:val="24"/>
              </w:rPr>
              <w:t>UK</w:t>
            </w:r>
          </w:p>
        </w:tc>
        <w:tc>
          <w:tcPr>
            <w:tcW w:w="1260" w:type="dxa"/>
            <w:vAlign w:val="center"/>
          </w:tcPr>
          <w:p w:rsidR="002F3B63" w:rsidRPr="00147AD2" w:rsidRDefault="002F3B63" w:rsidP="002F3B63">
            <w:pPr>
              <w:jc w:val="center"/>
              <w:rPr>
                <w:szCs w:val="24"/>
              </w:rPr>
            </w:pPr>
            <w:r w:rsidRPr="00147AD2">
              <w:rPr>
                <w:szCs w:val="24"/>
              </w:rPr>
              <w:t>Gaussian</w:t>
            </w:r>
          </w:p>
        </w:tc>
        <w:tc>
          <w:tcPr>
            <w:tcW w:w="810" w:type="dxa"/>
            <w:vAlign w:val="center"/>
          </w:tcPr>
          <w:p w:rsidR="002F3B63" w:rsidRPr="00147AD2" w:rsidRDefault="002F3B63" w:rsidP="002F3B63">
            <w:pPr>
              <w:jc w:val="center"/>
              <w:rPr>
                <w:szCs w:val="24"/>
              </w:rPr>
            </w:pPr>
            <w:r w:rsidRPr="00147AD2">
              <w:rPr>
                <w:szCs w:val="24"/>
              </w:rPr>
              <w:t>0.681</w:t>
            </w:r>
          </w:p>
        </w:tc>
        <w:tc>
          <w:tcPr>
            <w:tcW w:w="1080" w:type="dxa"/>
            <w:vAlign w:val="center"/>
          </w:tcPr>
          <w:p w:rsidR="002F3B63" w:rsidRPr="00147AD2" w:rsidRDefault="002F3B63" w:rsidP="002F3B63">
            <w:pPr>
              <w:jc w:val="center"/>
              <w:rPr>
                <w:szCs w:val="24"/>
              </w:rPr>
            </w:pPr>
            <w:r w:rsidRPr="00147AD2">
              <w:rPr>
                <w:szCs w:val="24"/>
              </w:rPr>
              <w:t>0.130</w:t>
            </w:r>
          </w:p>
        </w:tc>
        <w:tc>
          <w:tcPr>
            <w:tcW w:w="900" w:type="dxa"/>
          </w:tcPr>
          <w:p w:rsidR="002F3B63" w:rsidRPr="00147AD2" w:rsidRDefault="002F3B63" w:rsidP="002F3B63">
            <w:pPr>
              <w:jc w:val="center"/>
              <w:rPr>
                <w:szCs w:val="24"/>
              </w:rPr>
            </w:pPr>
            <w:r w:rsidRPr="00147AD2">
              <w:rPr>
                <w:szCs w:val="24"/>
              </w:rPr>
              <w:t>9.85</w:t>
            </w:r>
          </w:p>
        </w:tc>
        <w:tc>
          <w:tcPr>
            <w:tcW w:w="900" w:type="dxa"/>
          </w:tcPr>
          <w:p w:rsidR="002F3B63" w:rsidRPr="00147AD2" w:rsidRDefault="002F3B63" w:rsidP="002F3B63">
            <w:pPr>
              <w:jc w:val="center"/>
              <w:rPr>
                <w:szCs w:val="24"/>
              </w:rPr>
            </w:pPr>
            <w:r w:rsidRPr="00147AD2">
              <w:rPr>
                <w:szCs w:val="24"/>
              </w:rPr>
              <w:t>0.436</w:t>
            </w:r>
          </w:p>
        </w:tc>
      </w:tr>
      <w:tr w:rsidR="002F3B63" w:rsidRPr="000C0064" w:rsidTr="002F3B63">
        <w:tc>
          <w:tcPr>
            <w:tcW w:w="1998" w:type="dxa"/>
          </w:tcPr>
          <w:p w:rsidR="002F3B63" w:rsidRPr="00147AD2" w:rsidRDefault="002F3B63" w:rsidP="002F3B63">
            <w:pPr>
              <w:jc w:val="center"/>
              <w:rPr>
                <w:szCs w:val="24"/>
              </w:rPr>
            </w:pPr>
            <w:r w:rsidRPr="00147AD2">
              <w:rPr>
                <w:szCs w:val="24"/>
              </w:rPr>
              <w:t>CK</w:t>
            </w:r>
          </w:p>
        </w:tc>
        <w:tc>
          <w:tcPr>
            <w:tcW w:w="1260" w:type="dxa"/>
            <w:vAlign w:val="center"/>
          </w:tcPr>
          <w:p w:rsidR="002F3B63" w:rsidRPr="00147AD2" w:rsidRDefault="002F3B63" w:rsidP="002F3B63">
            <w:pPr>
              <w:jc w:val="center"/>
              <w:rPr>
                <w:szCs w:val="24"/>
              </w:rPr>
            </w:pPr>
            <w:r w:rsidRPr="00147AD2">
              <w:rPr>
                <w:szCs w:val="24"/>
              </w:rPr>
              <w:t>Spherical</w:t>
            </w:r>
          </w:p>
        </w:tc>
        <w:tc>
          <w:tcPr>
            <w:tcW w:w="810" w:type="dxa"/>
            <w:vAlign w:val="center"/>
          </w:tcPr>
          <w:p w:rsidR="002F3B63" w:rsidRPr="00147AD2" w:rsidRDefault="002F3B63" w:rsidP="002F3B63">
            <w:pPr>
              <w:jc w:val="center"/>
              <w:rPr>
                <w:szCs w:val="24"/>
              </w:rPr>
            </w:pPr>
            <w:r w:rsidRPr="00147AD2">
              <w:rPr>
                <w:szCs w:val="24"/>
              </w:rPr>
              <w:t>0.726</w:t>
            </w:r>
          </w:p>
        </w:tc>
        <w:tc>
          <w:tcPr>
            <w:tcW w:w="1080" w:type="dxa"/>
            <w:vAlign w:val="center"/>
          </w:tcPr>
          <w:p w:rsidR="002F3B63" w:rsidRPr="00147AD2" w:rsidRDefault="002F3B63" w:rsidP="002F3B63">
            <w:pPr>
              <w:jc w:val="center"/>
              <w:rPr>
                <w:szCs w:val="24"/>
              </w:rPr>
            </w:pPr>
            <w:r w:rsidRPr="00147AD2">
              <w:rPr>
                <w:szCs w:val="24"/>
              </w:rPr>
              <w:t>0.122</w:t>
            </w:r>
          </w:p>
        </w:tc>
        <w:tc>
          <w:tcPr>
            <w:tcW w:w="900" w:type="dxa"/>
          </w:tcPr>
          <w:p w:rsidR="002F3B63" w:rsidRPr="00147AD2" w:rsidRDefault="002F3B63" w:rsidP="002F3B63">
            <w:pPr>
              <w:jc w:val="center"/>
              <w:rPr>
                <w:szCs w:val="24"/>
              </w:rPr>
            </w:pPr>
            <w:r w:rsidRPr="00147AD2">
              <w:rPr>
                <w:szCs w:val="24"/>
              </w:rPr>
              <w:t>7.87</w:t>
            </w:r>
          </w:p>
        </w:tc>
        <w:tc>
          <w:tcPr>
            <w:tcW w:w="900" w:type="dxa"/>
          </w:tcPr>
          <w:p w:rsidR="002F3B63" w:rsidRPr="00147AD2" w:rsidRDefault="002F3B63" w:rsidP="002F3B63">
            <w:pPr>
              <w:jc w:val="center"/>
              <w:rPr>
                <w:szCs w:val="24"/>
              </w:rPr>
            </w:pPr>
            <w:r w:rsidRPr="00147AD2">
              <w:rPr>
                <w:szCs w:val="24"/>
              </w:rPr>
              <w:t>0.550</w:t>
            </w:r>
          </w:p>
        </w:tc>
      </w:tr>
    </w:tbl>
    <w:p w:rsidR="002F3B63" w:rsidRPr="00C77606" w:rsidRDefault="002F3B63" w:rsidP="002F3B63">
      <w:pPr>
        <w:pStyle w:val="Caption"/>
      </w:pPr>
      <w:bookmarkStart w:id="68" w:name="_Toc425427069"/>
      <w:r>
        <w:t xml:space="preserve">Table </w:t>
      </w:r>
      <w:fldSimple w:instr=" SEQ Table \* ARABIC ">
        <w:r w:rsidR="00885C9E">
          <w:rPr>
            <w:noProof/>
          </w:rPr>
          <w:t>13</w:t>
        </w:r>
      </w:fldSimple>
      <w:r>
        <w:t xml:space="preserve">: CV results for </w:t>
      </w:r>
      <w:r w:rsidRPr="00046D93">
        <w:rPr>
          <w:i/>
        </w:rPr>
        <w:t>ψ</w:t>
      </w:r>
      <w:r w:rsidRPr="00046D93">
        <w:rPr>
          <w:i/>
          <w:vertAlign w:val="subscript"/>
        </w:rPr>
        <w:t>a</w:t>
      </w:r>
      <w:r w:rsidR="0063148C">
        <w:t xml:space="preserve"> – compares different kriging methods and their semivariogram model which resulted in the best prediction accuracy as indicated by r and NRMSE</w:t>
      </w:r>
      <w:bookmarkEnd w:id="68"/>
    </w:p>
    <w:p w:rsidR="00147AD2" w:rsidRPr="00686053" w:rsidRDefault="00147AD2" w:rsidP="002F3B63"/>
    <w:tbl>
      <w:tblPr>
        <w:tblStyle w:val="TableGrid"/>
        <w:tblW w:w="6948" w:type="dxa"/>
        <w:tblLayout w:type="fixed"/>
        <w:tblLook w:val="04A0"/>
      </w:tblPr>
      <w:tblGrid>
        <w:gridCol w:w="1998"/>
        <w:gridCol w:w="1260"/>
        <w:gridCol w:w="810"/>
        <w:gridCol w:w="1080"/>
        <w:gridCol w:w="900"/>
        <w:gridCol w:w="900"/>
      </w:tblGrid>
      <w:tr w:rsidR="002F3B63" w:rsidRPr="000C0064" w:rsidTr="002F3B63">
        <w:tc>
          <w:tcPr>
            <w:tcW w:w="1998" w:type="dxa"/>
          </w:tcPr>
          <w:p w:rsidR="002F3B63" w:rsidRPr="00147AD2" w:rsidRDefault="002F3B63" w:rsidP="002F3B63">
            <w:pPr>
              <w:jc w:val="center"/>
              <w:rPr>
                <w:b/>
                <w:szCs w:val="24"/>
              </w:rPr>
            </w:pPr>
            <w:r w:rsidRPr="00147AD2">
              <w:rPr>
                <w:b/>
                <w:szCs w:val="24"/>
              </w:rPr>
              <w:t>Kriging Method</w:t>
            </w:r>
          </w:p>
        </w:tc>
        <w:tc>
          <w:tcPr>
            <w:tcW w:w="1260" w:type="dxa"/>
            <w:vAlign w:val="center"/>
          </w:tcPr>
          <w:p w:rsidR="002F3B63" w:rsidRPr="00147AD2" w:rsidRDefault="002F3B63" w:rsidP="002F3B63">
            <w:pPr>
              <w:jc w:val="center"/>
              <w:rPr>
                <w:b/>
                <w:szCs w:val="24"/>
              </w:rPr>
            </w:pPr>
            <w:r w:rsidRPr="00147AD2">
              <w:rPr>
                <w:b/>
                <w:szCs w:val="24"/>
              </w:rPr>
              <w:t>Model</w:t>
            </w:r>
          </w:p>
        </w:tc>
        <w:tc>
          <w:tcPr>
            <w:tcW w:w="810" w:type="dxa"/>
            <w:vAlign w:val="center"/>
          </w:tcPr>
          <w:p w:rsidR="002F3B63" w:rsidRPr="00147AD2" w:rsidRDefault="002F3B63" w:rsidP="002F3B63">
            <w:pPr>
              <w:jc w:val="center"/>
              <w:rPr>
                <w:b/>
                <w:szCs w:val="24"/>
              </w:rPr>
            </w:pPr>
            <w:r w:rsidRPr="00147AD2">
              <w:rPr>
                <w:b/>
                <w:szCs w:val="24"/>
              </w:rPr>
              <w:t>r</w:t>
            </w:r>
          </w:p>
        </w:tc>
        <w:tc>
          <w:tcPr>
            <w:tcW w:w="1080" w:type="dxa"/>
            <w:vAlign w:val="center"/>
          </w:tcPr>
          <w:p w:rsidR="002F3B63" w:rsidRPr="00147AD2" w:rsidRDefault="002F3B63" w:rsidP="002F3B63">
            <w:pPr>
              <w:jc w:val="center"/>
              <w:rPr>
                <w:b/>
                <w:szCs w:val="24"/>
              </w:rPr>
            </w:pPr>
            <w:r w:rsidRPr="00147AD2">
              <w:rPr>
                <w:b/>
                <w:szCs w:val="24"/>
              </w:rPr>
              <w:t>NRMSE</w:t>
            </w:r>
          </w:p>
        </w:tc>
        <w:tc>
          <w:tcPr>
            <w:tcW w:w="900" w:type="dxa"/>
          </w:tcPr>
          <w:p w:rsidR="002F3B63" w:rsidRPr="00147AD2" w:rsidRDefault="002F3B63" w:rsidP="002F3B63">
            <w:pPr>
              <w:jc w:val="center"/>
              <w:rPr>
                <w:b/>
                <w:szCs w:val="24"/>
              </w:rPr>
            </w:pPr>
            <w:r w:rsidRPr="00147AD2">
              <w:rPr>
                <w:b/>
                <w:szCs w:val="24"/>
              </w:rPr>
              <w:t>a</w:t>
            </w:r>
          </w:p>
        </w:tc>
        <w:tc>
          <w:tcPr>
            <w:tcW w:w="900" w:type="dxa"/>
          </w:tcPr>
          <w:p w:rsidR="002F3B63" w:rsidRPr="00147AD2" w:rsidRDefault="002F3B63" w:rsidP="002F3B63">
            <w:pPr>
              <w:jc w:val="center"/>
              <w:rPr>
                <w:b/>
                <w:szCs w:val="24"/>
              </w:rPr>
            </w:pPr>
            <w:r w:rsidRPr="00147AD2">
              <w:rPr>
                <w:b/>
                <w:szCs w:val="24"/>
              </w:rPr>
              <w:t>b</w:t>
            </w:r>
          </w:p>
        </w:tc>
      </w:tr>
      <w:tr w:rsidR="002F3B63" w:rsidRPr="000C0064" w:rsidTr="002F3B63">
        <w:tc>
          <w:tcPr>
            <w:tcW w:w="1998" w:type="dxa"/>
          </w:tcPr>
          <w:p w:rsidR="002F3B63" w:rsidRPr="00147AD2" w:rsidRDefault="002F3B63" w:rsidP="002F3B63">
            <w:pPr>
              <w:jc w:val="center"/>
              <w:rPr>
                <w:szCs w:val="24"/>
              </w:rPr>
            </w:pPr>
            <w:r w:rsidRPr="00147AD2">
              <w:rPr>
                <w:szCs w:val="24"/>
              </w:rPr>
              <w:t>OK</w:t>
            </w:r>
          </w:p>
        </w:tc>
        <w:tc>
          <w:tcPr>
            <w:tcW w:w="1260" w:type="dxa"/>
            <w:vAlign w:val="center"/>
          </w:tcPr>
          <w:p w:rsidR="002F3B63" w:rsidRPr="00147AD2" w:rsidRDefault="002F3B63" w:rsidP="002F3B63">
            <w:pPr>
              <w:jc w:val="center"/>
              <w:rPr>
                <w:szCs w:val="24"/>
              </w:rPr>
            </w:pPr>
            <w:r w:rsidRPr="00147AD2">
              <w:rPr>
                <w:szCs w:val="24"/>
              </w:rPr>
              <w:t>Spherical</w:t>
            </w:r>
          </w:p>
        </w:tc>
        <w:tc>
          <w:tcPr>
            <w:tcW w:w="810" w:type="dxa"/>
            <w:vAlign w:val="center"/>
          </w:tcPr>
          <w:p w:rsidR="002F3B63" w:rsidRPr="00147AD2" w:rsidRDefault="002F3B63" w:rsidP="002F3B63">
            <w:pPr>
              <w:jc w:val="center"/>
              <w:rPr>
                <w:szCs w:val="24"/>
              </w:rPr>
            </w:pPr>
            <w:r w:rsidRPr="00147AD2">
              <w:rPr>
                <w:szCs w:val="24"/>
              </w:rPr>
              <w:t>0.541</w:t>
            </w:r>
          </w:p>
        </w:tc>
        <w:tc>
          <w:tcPr>
            <w:tcW w:w="1080" w:type="dxa"/>
            <w:vAlign w:val="center"/>
          </w:tcPr>
          <w:p w:rsidR="002F3B63" w:rsidRPr="00147AD2" w:rsidRDefault="002F3B63" w:rsidP="002F3B63">
            <w:pPr>
              <w:jc w:val="center"/>
              <w:rPr>
                <w:szCs w:val="24"/>
              </w:rPr>
            </w:pPr>
            <w:r w:rsidRPr="00147AD2">
              <w:rPr>
                <w:szCs w:val="24"/>
              </w:rPr>
              <w:t>0.150</w:t>
            </w:r>
          </w:p>
        </w:tc>
        <w:tc>
          <w:tcPr>
            <w:tcW w:w="900" w:type="dxa"/>
          </w:tcPr>
          <w:p w:rsidR="002F3B63" w:rsidRPr="00147AD2" w:rsidRDefault="002F3B63" w:rsidP="002F3B63">
            <w:pPr>
              <w:jc w:val="center"/>
              <w:rPr>
                <w:szCs w:val="24"/>
              </w:rPr>
            </w:pPr>
            <w:r w:rsidRPr="00147AD2">
              <w:rPr>
                <w:szCs w:val="24"/>
              </w:rPr>
              <w:t>0.257</w:t>
            </w:r>
          </w:p>
        </w:tc>
        <w:tc>
          <w:tcPr>
            <w:tcW w:w="900" w:type="dxa"/>
          </w:tcPr>
          <w:p w:rsidR="002F3B63" w:rsidRPr="00147AD2" w:rsidRDefault="002F3B63" w:rsidP="002F3B63">
            <w:pPr>
              <w:jc w:val="center"/>
              <w:rPr>
                <w:szCs w:val="24"/>
              </w:rPr>
            </w:pPr>
            <w:r w:rsidRPr="00147AD2">
              <w:rPr>
                <w:szCs w:val="24"/>
              </w:rPr>
              <w:t>0.310</w:t>
            </w:r>
          </w:p>
        </w:tc>
      </w:tr>
      <w:tr w:rsidR="002F3B63" w:rsidRPr="000C0064" w:rsidTr="002F3B63">
        <w:tc>
          <w:tcPr>
            <w:tcW w:w="1998" w:type="dxa"/>
          </w:tcPr>
          <w:p w:rsidR="002F3B63" w:rsidRPr="00147AD2" w:rsidRDefault="002F3B63" w:rsidP="002F3B63">
            <w:pPr>
              <w:jc w:val="center"/>
              <w:rPr>
                <w:szCs w:val="24"/>
              </w:rPr>
            </w:pPr>
            <w:r w:rsidRPr="00147AD2">
              <w:rPr>
                <w:szCs w:val="24"/>
              </w:rPr>
              <w:t>UK</w:t>
            </w:r>
          </w:p>
        </w:tc>
        <w:tc>
          <w:tcPr>
            <w:tcW w:w="1260" w:type="dxa"/>
            <w:vAlign w:val="center"/>
          </w:tcPr>
          <w:p w:rsidR="002F3B63" w:rsidRPr="00147AD2" w:rsidRDefault="002F3B63" w:rsidP="002F3B63">
            <w:pPr>
              <w:jc w:val="center"/>
              <w:rPr>
                <w:szCs w:val="24"/>
              </w:rPr>
            </w:pPr>
            <w:r w:rsidRPr="00147AD2">
              <w:rPr>
                <w:szCs w:val="24"/>
              </w:rPr>
              <w:t>Spherical</w:t>
            </w:r>
          </w:p>
        </w:tc>
        <w:tc>
          <w:tcPr>
            <w:tcW w:w="810" w:type="dxa"/>
            <w:vAlign w:val="center"/>
          </w:tcPr>
          <w:p w:rsidR="002F3B63" w:rsidRPr="00147AD2" w:rsidRDefault="002F3B63" w:rsidP="002F3B63">
            <w:pPr>
              <w:jc w:val="center"/>
              <w:rPr>
                <w:szCs w:val="24"/>
              </w:rPr>
            </w:pPr>
            <w:r w:rsidRPr="00147AD2">
              <w:rPr>
                <w:szCs w:val="24"/>
              </w:rPr>
              <w:t>0.503</w:t>
            </w:r>
          </w:p>
        </w:tc>
        <w:tc>
          <w:tcPr>
            <w:tcW w:w="1080" w:type="dxa"/>
            <w:vAlign w:val="center"/>
          </w:tcPr>
          <w:p w:rsidR="002F3B63" w:rsidRPr="00147AD2" w:rsidRDefault="002F3B63" w:rsidP="002F3B63">
            <w:pPr>
              <w:jc w:val="center"/>
              <w:rPr>
                <w:szCs w:val="24"/>
              </w:rPr>
            </w:pPr>
            <w:r w:rsidRPr="00147AD2">
              <w:rPr>
                <w:szCs w:val="24"/>
              </w:rPr>
              <w:t>0.155</w:t>
            </w:r>
          </w:p>
        </w:tc>
        <w:tc>
          <w:tcPr>
            <w:tcW w:w="900" w:type="dxa"/>
          </w:tcPr>
          <w:p w:rsidR="002F3B63" w:rsidRPr="00147AD2" w:rsidRDefault="002F3B63" w:rsidP="002F3B63">
            <w:pPr>
              <w:jc w:val="center"/>
              <w:rPr>
                <w:szCs w:val="24"/>
              </w:rPr>
            </w:pPr>
            <w:r w:rsidRPr="00147AD2">
              <w:rPr>
                <w:szCs w:val="24"/>
              </w:rPr>
              <w:t>0.278</w:t>
            </w:r>
          </w:p>
        </w:tc>
        <w:tc>
          <w:tcPr>
            <w:tcW w:w="900" w:type="dxa"/>
          </w:tcPr>
          <w:p w:rsidR="002F3B63" w:rsidRPr="00147AD2" w:rsidRDefault="002F3B63" w:rsidP="002F3B63">
            <w:pPr>
              <w:jc w:val="center"/>
              <w:rPr>
                <w:szCs w:val="24"/>
              </w:rPr>
            </w:pPr>
            <w:r w:rsidRPr="00147AD2">
              <w:rPr>
                <w:szCs w:val="24"/>
              </w:rPr>
              <w:t>0.246</w:t>
            </w:r>
          </w:p>
        </w:tc>
      </w:tr>
      <w:tr w:rsidR="002F3B63" w:rsidRPr="000C0064" w:rsidTr="002F3B63">
        <w:tc>
          <w:tcPr>
            <w:tcW w:w="1998" w:type="dxa"/>
          </w:tcPr>
          <w:p w:rsidR="002F3B63" w:rsidRPr="00147AD2" w:rsidRDefault="002F3B63" w:rsidP="002F3B63">
            <w:pPr>
              <w:jc w:val="center"/>
              <w:rPr>
                <w:szCs w:val="24"/>
              </w:rPr>
            </w:pPr>
            <w:r w:rsidRPr="00147AD2">
              <w:rPr>
                <w:szCs w:val="24"/>
              </w:rPr>
              <w:t>CK</w:t>
            </w:r>
          </w:p>
        </w:tc>
        <w:tc>
          <w:tcPr>
            <w:tcW w:w="1260" w:type="dxa"/>
            <w:vAlign w:val="center"/>
          </w:tcPr>
          <w:p w:rsidR="002F3B63" w:rsidRPr="00147AD2" w:rsidRDefault="002F3B63" w:rsidP="002F3B63">
            <w:pPr>
              <w:jc w:val="center"/>
              <w:rPr>
                <w:szCs w:val="24"/>
              </w:rPr>
            </w:pPr>
            <w:r w:rsidRPr="00147AD2">
              <w:rPr>
                <w:szCs w:val="24"/>
              </w:rPr>
              <w:t>Spherical</w:t>
            </w:r>
          </w:p>
        </w:tc>
        <w:tc>
          <w:tcPr>
            <w:tcW w:w="810" w:type="dxa"/>
            <w:vAlign w:val="center"/>
          </w:tcPr>
          <w:p w:rsidR="002F3B63" w:rsidRPr="00147AD2" w:rsidRDefault="002F3B63" w:rsidP="002F3B63">
            <w:pPr>
              <w:jc w:val="center"/>
              <w:rPr>
                <w:szCs w:val="24"/>
              </w:rPr>
            </w:pPr>
            <w:r w:rsidRPr="00147AD2">
              <w:rPr>
                <w:szCs w:val="24"/>
              </w:rPr>
              <w:t>0.573</w:t>
            </w:r>
          </w:p>
        </w:tc>
        <w:tc>
          <w:tcPr>
            <w:tcW w:w="1080" w:type="dxa"/>
            <w:vAlign w:val="center"/>
          </w:tcPr>
          <w:p w:rsidR="002F3B63" w:rsidRPr="00147AD2" w:rsidRDefault="002F3B63" w:rsidP="002F3B63">
            <w:pPr>
              <w:jc w:val="center"/>
              <w:rPr>
                <w:szCs w:val="24"/>
              </w:rPr>
            </w:pPr>
            <w:r w:rsidRPr="00147AD2">
              <w:rPr>
                <w:szCs w:val="24"/>
              </w:rPr>
              <w:t>0.146</w:t>
            </w:r>
          </w:p>
        </w:tc>
        <w:tc>
          <w:tcPr>
            <w:tcW w:w="900" w:type="dxa"/>
          </w:tcPr>
          <w:p w:rsidR="002F3B63" w:rsidRPr="00147AD2" w:rsidRDefault="002F3B63" w:rsidP="002F3B63">
            <w:pPr>
              <w:jc w:val="center"/>
              <w:rPr>
                <w:szCs w:val="24"/>
              </w:rPr>
            </w:pPr>
            <w:r w:rsidRPr="00147AD2">
              <w:rPr>
                <w:szCs w:val="24"/>
              </w:rPr>
              <w:t>0.241</w:t>
            </w:r>
          </w:p>
        </w:tc>
        <w:tc>
          <w:tcPr>
            <w:tcW w:w="900" w:type="dxa"/>
          </w:tcPr>
          <w:p w:rsidR="002F3B63" w:rsidRPr="00147AD2" w:rsidRDefault="002F3B63" w:rsidP="002F3B63">
            <w:pPr>
              <w:jc w:val="center"/>
              <w:rPr>
                <w:szCs w:val="24"/>
              </w:rPr>
            </w:pPr>
            <w:r w:rsidRPr="00147AD2">
              <w:rPr>
                <w:szCs w:val="24"/>
              </w:rPr>
              <w:t>0.356</w:t>
            </w:r>
          </w:p>
        </w:tc>
      </w:tr>
    </w:tbl>
    <w:p w:rsidR="002F3B63" w:rsidRPr="0063148C" w:rsidRDefault="002F3B63" w:rsidP="002F3B63">
      <w:pPr>
        <w:pStyle w:val="Caption"/>
      </w:pPr>
      <w:bookmarkStart w:id="69" w:name="_Toc425427070"/>
      <w:r>
        <w:t xml:space="preserve">Table </w:t>
      </w:r>
      <w:fldSimple w:instr=" SEQ Table \* ARABIC ">
        <w:r w:rsidR="00885C9E">
          <w:rPr>
            <w:noProof/>
          </w:rPr>
          <w:t>14</w:t>
        </w:r>
      </w:fldSimple>
      <w:r>
        <w:t xml:space="preserve">: CV results for </w:t>
      </w:r>
      <w:r w:rsidRPr="00046D93">
        <w:rPr>
          <w:i/>
        </w:rPr>
        <w:t>Ѳ</w:t>
      </w:r>
      <w:r w:rsidRPr="00046D93">
        <w:rPr>
          <w:i/>
          <w:vertAlign w:val="subscript"/>
        </w:rPr>
        <w:t>s</w:t>
      </w:r>
      <w:r w:rsidR="0063148C">
        <w:t xml:space="preserve"> – compares different kriging methods and their semivariogram model which resulted in the best prediction accuracy as indicated by r and NRMSE</w:t>
      </w:r>
      <w:bookmarkEnd w:id="69"/>
    </w:p>
    <w:p w:rsidR="002F3B63" w:rsidRDefault="002F3B63" w:rsidP="002F3B63"/>
    <w:p w:rsidR="00D83E2D" w:rsidRPr="00686053" w:rsidRDefault="00D83E2D" w:rsidP="002F3B63"/>
    <w:tbl>
      <w:tblPr>
        <w:tblStyle w:val="TableGrid"/>
        <w:tblW w:w="0" w:type="auto"/>
        <w:tblLook w:val="04A0"/>
      </w:tblPr>
      <w:tblGrid>
        <w:gridCol w:w="1278"/>
        <w:gridCol w:w="1378"/>
        <w:gridCol w:w="782"/>
      </w:tblGrid>
      <w:tr w:rsidR="002F3B63" w:rsidTr="002F3B63">
        <w:tc>
          <w:tcPr>
            <w:tcW w:w="1278" w:type="dxa"/>
          </w:tcPr>
          <w:p w:rsidR="002F3B63" w:rsidRPr="00147AD2" w:rsidRDefault="002F3B63" w:rsidP="002F3B63">
            <w:pPr>
              <w:jc w:val="center"/>
              <w:rPr>
                <w:b/>
                <w:szCs w:val="24"/>
              </w:rPr>
            </w:pPr>
            <w:r w:rsidRPr="00147AD2">
              <w:rPr>
                <w:b/>
                <w:szCs w:val="24"/>
              </w:rPr>
              <w:lastRenderedPageBreak/>
              <w:t>Kriging Method</w:t>
            </w:r>
          </w:p>
        </w:tc>
        <w:tc>
          <w:tcPr>
            <w:tcW w:w="1378" w:type="dxa"/>
          </w:tcPr>
          <w:p w:rsidR="002F3B63" w:rsidRPr="00147AD2" w:rsidRDefault="002F3B63" w:rsidP="002F3B63">
            <w:pPr>
              <w:jc w:val="center"/>
              <w:rPr>
                <w:b/>
                <w:szCs w:val="24"/>
              </w:rPr>
            </w:pPr>
            <w:r w:rsidRPr="00147AD2">
              <w:rPr>
                <w:b/>
                <w:szCs w:val="24"/>
              </w:rPr>
              <w:t>Best Prediction</w:t>
            </w:r>
          </w:p>
        </w:tc>
        <w:tc>
          <w:tcPr>
            <w:tcW w:w="782" w:type="dxa"/>
            <w:vAlign w:val="center"/>
          </w:tcPr>
          <w:p w:rsidR="002F3B63" w:rsidRPr="00147AD2" w:rsidRDefault="002F3B63" w:rsidP="002F3B63">
            <w:pPr>
              <w:jc w:val="center"/>
              <w:rPr>
                <w:b/>
                <w:szCs w:val="24"/>
              </w:rPr>
            </w:pPr>
            <w:r w:rsidRPr="00147AD2">
              <w:rPr>
                <w:b/>
                <w:szCs w:val="24"/>
              </w:rPr>
              <w:t>%PA</w:t>
            </w:r>
          </w:p>
        </w:tc>
      </w:tr>
      <w:tr w:rsidR="002F3B63" w:rsidTr="002F3B63">
        <w:tc>
          <w:tcPr>
            <w:tcW w:w="1278" w:type="dxa"/>
          </w:tcPr>
          <w:p w:rsidR="002F3B63" w:rsidRPr="00147AD2" w:rsidRDefault="002F3B63" w:rsidP="002F3B63">
            <w:pPr>
              <w:jc w:val="center"/>
              <w:rPr>
                <w:szCs w:val="24"/>
              </w:rPr>
            </w:pPr>
            <w:r w:rsidRPr="00147AD2">
              <w:rPr>
                <w:szCs w:val="24"/>
              </w:rPr>
              <w:t>OK</w:t>
            </w:r>
          </w:p>
        </w:tc>
        <w:tc>
          <w:tcPr>
            <w:tcW w:w="1378" w:type="dxa"/>
          </w:tcPr>
          <w:p w:rsidR="002F3B63" w:rsidRPr="00147AD2" w:rsidRDefault="002F3B63" w:rsidP="002F3B63">
            <w:pPr>
              <w:jc w:val="center"/>
              <w:rPr>
                <w:szCs w:val="24"/>
              </w:rPr>
            </w:pPr>
            <w:r w:rsidRPr="00147AD2">
              <w:rPr>
                <w:szCs w:val="24"/>
              </w:rPr>
              <w:t>32/115</w:t>
            </w:r>
          </w:p>
        </w:tc>
        <w:tc>
          <w:tcPr>
            <w:tcW w:w="782" w:type="dxa"/>
          </w:tcPr>
          <w:p w:rsidR="002F3B63" w:rsidRPr="00147AD2" w:rsidRDefault="002F3B63" w:rsidP="002F3B63">
            <w:pPr>
              <w:jc w:val="center"/>
              <w:rPr>
                <w:szCs w:val="24"/>
              </w:rPr>
            </w:pPr>
            <w:r w:rsidRPr="00147AD2">
              <w:rPr>
                <w:szCs w:val="24"/>
              </w:rPr>
              <w:t>28</w:t>
            </w:r>
          </w:p>
        </w:tc>
      </w:tr>
      <w:tr w:rsidR="002F3B63" w:rsidTr="002F3B63">
        <w:tc>
          <w:tcPr>
            <w:tcW w:w="1278" w:type="dxa"/>
          </w:tcPr>
          <w:p w:rsidR="002F3B63" w:rsidRPr="00147AD2" w:rsidRDefault="002F3B63" w:rsidP="002F3B63">
            <w:pPr>
              <w:jc w:val="center"/>
              <w:rPr>
                <w:szCs w:val="24"/>
              </w:rPr>
            </w:pPr>
            <w:r w:rsidRPr="00147AD2">
              <w:rPr>
                <w:szCs w:val="24"/>
              </w:rPr>
              <w:t>UK</w:t>
            </w:r>
          </w:p>
        </w:tc>
        <w:tc>
          <w:tcPr>
            <w:tcW w:w="1378" w:type="dxa"/>
          </w:tcPr>
          <w:p w:rsidR="002F3B63" w:rsidRPr="00147AD2" w:rsidRDefault="002F3B63" w:rsidP="002F3B63">
            <w:pPr>
              <w:jc w:val="center"/>
              <w:rPr>
                <w:szCs w:val="24"/>
              </w:rPr>
            </w:pPr>
            <w:r w:rsidRPr="00147AD2">
              <w:rPr>
                <w:szCs w:val="24"/>
              </w:rPr>
              <w:t>27/115</w:t>
            </w:r>
          </w:p>
        </w:tc>
        <w:tc>
          <w:tcPr>
            <w:tcW w:w="782" w:type="dxa"/>
          </w:tcPr>
          <w:p w:rsidR="002F3B63" w:rsidRPr="00147AD2" w:rsidRDefault="002F3B63" w:rsidP="002F3B63">
            <w:pPr>
              <w:jc w:val="center"/>
              <w:rPr>
                <w:szCs w:val="24"/>
              </w:rPr>
            </w:pPr>
            <w:r w:rsidRPr="00147AD2">
              <w:rPr>
                <w:szCs w:val="24"/>
              </w:rPr>
              <w:t>23</w:t>
            </w:r>
          </w:p>
        </w:tc>
      </w:tr>
      <w:tr w:rsidR="002F3B63" w:rsidTr="002F3B63">
        <w:tc>
          <w:tcPr>
            <w:tcW w:w="1278" w:type="dxa"/>
          </w:tcPr>
          <w:p w:rsidR="002F3B63" w:rsidRPr="00147AD2" w:rsidRDefault="002F3B63" w:rsidP="002F3B63">
            <w:pPr>
              <w:jc w:val="center"/>
              <w:rPr>
                <w:szCs w:val="24"/>
              </w:rPr>
            </w:pPr>
            <w:r w:rsidRPr="00147AD2">
              <w:rPr>
                <w:szCs w:val="24"/>
              </w:rPr>
              <w:t>CK</w:t>
            </w:r>
          </w:p>
        </w:tc>
        <w:tc>
          <w:tcPr>
            <w:tcW w:w="1378" w:type="dxa"/>
          </w:tcPr>
          <w:p w:rsidR="002F3B63" w:rsidRPr="00147AD2" w:rsidRDefault="002F3B63" w:rsidP="002F3B63">
            <w:pPr>
              <w:jc w:val="center"/>
              <w:rPr>
                <w:szCs w:val="24"/>
              </w:rPr>
            </w:pPr>
            <w:r w:rsidRPr="00147AD2">
              <w:rPr>
                <w:szCs w:val="24"/>
              </w:rPr>
              <w:t>56/115</w:t>
            </w:r>
          </w:p>
        </w:tc>
        <w:tc>
          <w:tcPr>
            <w:tcW w:w="782" w:type="dxa"/>
          </w:tcPr>
          <w:p w:rsidR="002F3B63" w:rsidRPr="00147AD2" w:rsidRDefault="002F3B63" w:rsidP="002F3B63">
            <w:pPr>
              <w:jc w:val="center"/>
              <w:rPr>
                <w:szCs w:val="24"/>
              </w:rPr>
            </w:pPr>
            <w:r w:rsidRPr="00147AD2">
              <w:rPr>
                <w:szCs w:val="24"/>
              </w:rPr>
              <w:t>49</w:t>
            </w:r>
          </w:p>
        </w:tc>
      </w:tr>
    </w:tbl>
    <w:p w:rsidR="002F3B63" w:rsidRDefault="002F3B63" w:rsidP="002F3B63">
      <w:pPr>
        <w:pStyle w:val="Caption"/>
        <w:rPr>
          <w:i/>
          <w:vertAlign w:val="subscript"/>
        </w:rPr>
      </w:pPr>
      <w:bookmarkStart w:id="70" w:name="_Toc425427071"/>
      <w:r>
        <w:t xml:space="preserve">Table </w:t>
      </w:r>
      <w:fldSimple w:instr=" SEQ Table \* ARABIC ">
        <w:r w:rsidR="00885C9E">
          <w:rPr>
            <w:noProof/>
          </w:rPr>
          <w:t>15</w:t>
        </w:r>
      </w:fldSimple>
      <w:r>
        <w:t>:</w:t>
      </w:r>
      <w:r w:rsidRPr="0048367A">
        <w:t xml:space="preserve"> </w:t>
      </w:r>
      <w:r>
        <w:t xml:space="preserve">Presents the results of the kriging form with the best prediction accuracy for </w:t>
      </w:r>
      <w:r w:rsidRPr="00046D93">
        <w:rPr>
          <w:i/>
        </w:rPr>
        <w:t>ψ</w:t>
      </w:r>
      <w:r w:rsidRPr="00046D93">
        <w:rPr>
          <w:i/>
          <w:vertAlign w:val="subscript"/>
        </w:rPr>
        <w:t>a</w:t>
      </w:r>
      <w:bookmarkEnd w:id="70"/>
    </w:p>
    <w:p w:rsidR="002F3B63" w:rsidRPr="00686053" w:rsidRDefault="002F3B63" w:rsidP="002F3B63"/>
    <w:tbl>
      <w:tblPr>
        <w:tblStyle w:val="TableGrid"/>
        <w:tblW w:w="0" w:type="auto"/>
        <w:tblLook w:val="04A0"/>
      </w:tblPr>
      <w:tblGrid>
        <w:gridCol w:w="1278"/>
        <w:gridCol w:w="1378"/>
        <w:gridCol w:w="782"/>
      </w:tblGrid>
      <w:tr w:rsidR="002F3B63" w:rsidTr="002F3B63">
        <w:tc>
          <w:tcPr>
            <w:tcW w:w="1278" w:type="dxa"/>
          </w:tcPr>
          <w:p w:rsidR="002F3B63" w:rsidRPr="00147AD2" w:rsidRDefault="002F3B63" w:rsidP="002F3B63">
            <w:pPr>
              <w:jc w:val="center"/>
              <w:rPr>
                <w:b/>
                <w:szCs w:val="24"/>
              </w:rPr>
            </w:pPr>
            <w:r w:rsidRPr="00147AD2">
              <w:rPr>
                <w:b/>
                <w:szCs w:val="24"/>
              </w:rPr>
              <w:t>Kriging Method</w:t>
            </w:r>
          </w:p>
        </w:tc>
        <w:tc>
          <w:tcPr>
            <w:tcW w:w="1378" w:type="dxa"/>
          </w:tcPr>
          <w:p w:rsidR="002F3B63" w:rsidRPr="00147AD2" w:rsidRDefault="002F3B63" w:rsidP="002F3B63">
            <w:pPr>
              <w:jc w:val="center"/>
              <w:rPr>
                <w:b/>
                <w:szCs w:val="24"/>
              </w:rPr>
            </w:pPr>
            <w:r w:rsidRPr="00147AD2">
              <w:rPr>
                <w:b/>
                <w:szCs w:val="24"/>
              </w:rPr>
              <w:t>Best Prediction</w:t>
            </w:r>
          </w:p>
        </w:tc>
        <w:tc>
          <w:tcPr>
            <w:tcW w:w="782" w:type="dxa"/>
            <w:vAlign w:val="center"/>
          </w:tcPr>
          <w:p w:rsidR="002F3B63" w:rsidRPr="00147AD2" w:rsidRDefault="002F3B63" w:rsidP="002F3B63">
            <w:pPr>
              <w:jc w:val="center"/>
              <w:rPr>
                <w:b/>
                <w:szCs w:val="24"/>
              </w:rPr>
            </w:pPr>
            <w:r w:rsidRPr="00147AD2">
              <w:rPr>
                <w:b/>
                <w:szCs w:val="24"/>
              </w:rPr>
              <w:t>%PA</w:t>
            </w:r>
          </w:p>
        </w:tc>
      </w:tr>
      <w:tr w:rsidR="002F3B63" w:rsidTr="002F3B63">
        <w:tc>
          <w:tcPr>
            <w:tcW w:w="1278" w:type="dxa"/>
          </w:tcPr>
          <w:p w:rsidR="002F3B63" w:rsidRPr="00147AD2" w:rsidRDefault="002F3B63" w:rsidP="002F3B63">
            <w:pPr>
              <w:jc w:val="center"/>
              <w:rPr>
                <w:szCs w:val="24"/>
              </w:rPr>
            </w:pPr>
            <w:r w:rsidRPr="00147AD2">
              <w:rPr>
                <w:szCs w:val="24"/>
              </w:rPr>
              <w:t>OK</w:t>
            </w:r>
          </w:p>
        </w:tc>
        <w:tc>
          <w:tcPr>
            <w:tcW w:w="1378" w:type="dxa"/>
          </w:tcPr>
          <w:p w:rsidR="002F3B63" w:rsidRPr="00147AD2" w:rsidRDefault="002F3B63" w:rsidP="002F3B63">
            <w:pPr>
              <w:jc w:val="center"/>
              <w:rPr>
                <w:szCs w:val="24"/>
              </w:rPr>
            </w:pPr>
            <w:r w:rsidRPr="00147AD2">
              <w:rPr>
                <w:szCs w:val="24"/>
              </w:rPr>
              <w:t>22/115</w:t>
            </w:r>
          </w:p>
        </w:tc>
        <w:tc>
          <w:tcPr>
            <w:tcW w:w="782" w:type="dxa"/>
          </w:tcPr>
          <w:p w:rsidR="002F3B63" w:rsidRPr="00147AD2" w:rsidRDefault="002F3B63" w:rsidP="002F3B63">
            <w:pPr>
              <w:jc w:val="center"/>
              <w:rPr>
                <w:szCs w:val="24"/>
              </w:rPr>
            </w:pPr>
            <w:r w:rsidRPr="00147AD2">
              <w:rPr>
                <w:szCs w:val="24"/>
              </w:rPr>
              <w:t>19</w:t>
            </w:r>
          </w:p>
        </w:tc>
      </w:tr>
      <w:tr w:rsidR="002F3B63" w:rsidTr="002F3B63">
        <w:tc>
          <w:tcPr>
            <w:tcW w:w="1278" w:type="dxa"/>
          </w:tcPr>
          <w:p w:rsidR="002F3B63" w:rsidRPr="00147AD2" w:rsidRDefault="002F3B63" w:rsidP="002F3B63">
            <w:pPr>
              <w:jc w:val="center"/>
              <w:rPr>
                <w:szCs w:val="24"/>
              </w:rPr>
            </w:pPr>
            <w:r w:rsidRPr="00147AD2">
              <w:rPr>
                <w:szCs w:val="24"/>
              </w:rPr>
              <w:t>UK</w:t>
            </w:r>
          </w:p>
        </w:tc>
        <w:tc>
          <w:tcPr>
            <w:tcW w:w="1378" w:type="dxa"/>
          </w:tcPr>
          <w:p w:rsidR="002F3B63" w:rsidRPr="00147AD2" w:rsidRDefault="002F3B63" w:rsidP="002F3B63">
            <w:pPr>
              <w:jc w:val="center"/>
              <w:rPr>
                <w:szCs w:val="24"/>
              </w:rPr>
            </w:pPr>
            <w:r w:rsidRPr="00147AD2">
              <w:rPr>
                <w:szCs w:val="24"/>
              </w:rPr>
              <w:t>46/115</w:t>
            </w:r>
          </w:p>
        </w:tc>
        <w:tc>
          <w:tcPr>
            <w:tcW w:w="782" w:type="dxa"/>
          </w:tcPr>
          <w:p w:rsidR="002F3B63" w:rsidRPr="00147AD2" w:rsidRDefault="002F3B63" w:rsidP="002F3B63">
            <w:pPr>
              <w:jc w:val="center"/>
              <w:rPr>
                <w:szCs w:val="24"/>
              </w:rPr>
            </w:pPr>
            <w:r w:rsidRPr="00147AD2">
              <w:rPr>
                <w:szCs w:val="24"/>
              </w:rPr>
              <w:t>40</w:t>
            </w:r>
          </w:p>
        </w:tc>
      </w:tr>
      <w:tr w:rsidR="002F3B63" w:rsidTr="00147AD2">
        <w:trPr>
          <w:trHeight w:val="287"/>
        </w:trPr>
        <w:tc>
          <w:tcPr>
            <w:tcW w:w="1278" w:type="dxa"/>
          </w:tcPr>
          <w:p w:rsidR="002F3B63" w:rsidRPr="00147AD2" w:rsidRDefault="002F3B63" w:rsidP="002F3B63">
            <w:pPr>
              <w:jc w:val="center"/>
              <w:rPr>
                <w:szCs w:val="24"/>
              </w:rPr>
            </w:pPr>
            <w:r w:rsidRPr="00147AD2">
              <w:rPr>
                <w:szCs w:val="24"/>
              </w:rPr>
              <w:t>CK</w:t>
            </w:r>
          </w:p>
        </w:tc>
        <w:tc>
          <w:tcPr>
            <w:tcW w:w="1378" w:type="dxa"/>
          </w:tcPr>
          <w:p w:rsidR="002F3B63" w:rsidRPr="00147AD2" w:rsidRDefault="002F3B63" w:rsidP="002F3B63">
            <w:pPr>
              <w:jc w:val="center"/>
              <w:rPr>
                <w:szCs w:val="24"/>
              </w:rPr>
            </w:pPr>
            <w:r w:rsidRPr="00147AD2">
              <w:rPr>
                <w:szCs w:val="24"/>
              </w:rPr>
              <w:t>47/115</w:t>
            </w:r>
          </w:p>
        </w:tc>
        <w:tc>
          <w:tcPr>
            <w:tcW w:w="782" w:type="dxa"/>
          </w:tcPr>
          <w:p w:rsidR="002F3B63" w:rsidRPr="00147AD2" w:rsidRDefault="002F3B63" w:rsidP="002F3B63">
            <w:pPr>
              <w:jc w:val="center"/>
              <w:rPr>
                <w:szCs w:val="24"/>
              </w:rPr>
            </w:pPr>
            <w:r w:rsidRPr="00147AD2">
              <w:rPr>
                <w:szCs w:val="24"/>
              </w:rPr>
              <w:t>41</w:t>
            </w:r>
          </w:p>
        </w:tc>
      </w:tr>
    </w:tbl>
    <w:p w:rsidR="002F3B63" w:rsidRDefault="002F3B63" w:rsidP="002F3B63">
      <w:pPr>
        <w:pStyle w:val="Caption"/>
      </w:pPr>
      <w:bookmarkStart w:id="71" w:name="_Toc425427072"/>
      <w:r>
        <w:t xml:space="preserve">Table </w:t>
      </w:r>
      <w:fldSimple w:instr=" SEQ Table \* ARABIC ">
        <w:r w:rsidR="00885C9E">
          <w:rPr>
            <w:noProof/>
          </w:rPr>
          <w:t>16</w:t>
        </w:r>
      </w:fldSimple>
      <w:r>
        <w:t xml:space="preserve">: Presents the results of the kriging form with the best prediction accuracy for </w:t>
      </w:r>
      <w:r w:rsidRPr="00046D93">
        <w:rPr>
          <w:i/>
        </w:rPr>
        <w:t>Ѳ</w:t>
      </w:r>
      <w:r w:rsidRPr="00046D93">
        <w:rPr>
          <w:i/>
          <w:vertAlign w:val="subscript"/>
        </w:rPr>
        <w:t>s</w:t>
      </w:r>
      <w:bookmarkEnd w:id="71"/>
    </w:p>
    <w:p w:rsidR="00147AD2" w:rsidRPr="00147AD2" w:rsidRDefault="00147AD2" w:rsidP="00147AD2"/>
    <w:tbl>
      <w:tblPr>
        <w:tblStyle w:val="TableGrid"/>
        <w:tblW w:w="0" w:type="auto"/>
        <w:tblLayout w:type="fixed"/>
        <w:tblLook w:val="04A0"/>
      </w:tblPr>
      <w:tblGrid>
        <w:gridCol w:w="1398"/>
        <w:gridCol w:w="1193"/>
        <w:gridCol w:w="667"/>
        <w:gridCol w:w="1080"/>
        <w:gridCol w:w="1080"/>
        <w:gridCol w:w="1350"/>
        <w:gridCol w:w="1530"/>
      </w:tblGrid>
      <w:tr w:rsidR="002F3B63" w:rsidTr="002F3B63">
        <w:tc>
          <w:tcPr>
            <w:tcW w:w="1398" w:type="dxa"/>
            <w:vAlign w:val="center"/>
          </w:tcPr>
          <w:p w:rsidR="002F3B63" w:rsidRPr="00147AD2" w:rsidRDefault="002F3B63" w:rsidP="002F3B63">
            <w:pPr>
              <w:jc w:val="center"/>
              <w:rPr>
                <w:b/>
                <w:szCs w:val="24"/>
              </w:rPr>
            </w:pPr>
            <w:r w:rsidRPr="00147AD2">
              <w:rPr>
                <w:b/>
                <w:szCs w:val="24"/>
              </w:rPr>
              <w:t>Parameter</w:t>
            </w:r>
          </w:p>
        </w:tc>
        <w:tc>
          <w:tcPr>
            <w:tcW w:w="1193" w:type="dxa"/>
            <w:vAlign w:val="center"/>
          </w:tcPr>
          <w:p w:rsidR="002F3B63" w:rsidRPr="00147AD2" w:rsidRDefault="002F3B63" w:rsidP="002F3B63">
            <w:pPr>
              <w:jc w:val="center"/>
              <w:rPr>
                <w:b/>
                <w:szCs w:val="24"/>
              </w:rPr>
            </w:pPr>
            <w:r w:rsidRPr="00147AD2">
              <w:rPr>
                <w:b/>
                <w:szCs w:val="24"/>
              </w:rPr>
              <w:t>Unit</w:t>
            </w:r>
          </w:p>
        </w:tc>
        <w:tc>
          <w:tcPr>
            <w:tcW w:w="667" w:type="dxa"/>
            <w:vAlign w:val="center"/>
          </w:tcPr>
          <w:p w:rsidR="002F3B63" w:rsidRPr="00147AD2" w:rsidRDefault="002F3B63" w:rsidP="002F3B63">
            <w:pPr>
              <w:jc w:val="center"/>
              <w:rPr>
                <w:b/>
                <w:szCs w:val="24"/>
              </w:rPr>
            </w:pPr>
            <w:r w:rsidRPr="00147AD2">
              <w:rPr>
                <w:b/>
                <w:szCs w:val="24"/>
              </w:rPr>
              <w:t>N</w:t>
            </w:r>
          </w:p>
        </w:tc>
        <w:tc>
          <w:tcPr>
            <w:tcW w:w="1080" w:type="dxa"/>
            <w:vAlign w:val="center"/>
          </w:tcPr>
          <w:p w:rsidR="002F3B63" w:rsidRPr="00147AD2" w:rsidRDefault="002F3B63" w:rsidP="002F3B63">
            <w:pPr>
              <w:jc w:val="center"/>
              <w:rPr>
                <w:b/>
                <w:szCs w:val="24"/>
              </w:rPr>
            </w:pPr>
            <w:r w:rsidRPr="00147AD2">
              <w:rPr>
                <w:b/>
                <w:szCs w:val="24"/>
              </w:rPr>
              <w:t>Mean</w:t>
            </w:r>
          </w:p>
        </w:tc>
        <w:tc>
          <w:tcPr>
            <w:tcW w:w="1080" w:type="dxa"/>
            <w:vAlign w:val="center"/>
          </w:tcPr>
          <w:p w:rsidR="002F3B63" w:rsidRPr="00147AD2" w:rsidRDefault="002F3B63" w:rsidP="002F3B63">
            <w:pPr>
              <w:jc w:val="center"/>
              <w:rPr>
                <w:b/>
                <w:szCs w:val="24"/>
              </w:rPr>
            </w:pPr>
            <w:r w:rsidRPr="00147AD2">
              <w:rPr>
                <w:b/>
                <w:szCs w:val="24"/>
              </w:rPr>
              <w:t>Median</w:t>
            </w:r>
          </w:p>
        </w:tc>
        <w:tc>
          <w:tcPr>
            <w:tcW w:w="1350" w:type="dxa"/>
            <w:vAlign w:val="center"/>
          </w:tcPr>
          <w:p w:rsidR="002F3B63" w:rsidRPr="00147AD2" w:rsidRDefault="002F3B63" w:rsidP="002F3B63">
            <w:pPr>
              <w:jc w:val="center"/>
              <w:rPr>
                <w:b/>
                <w:szCs w:val="24"/>
              </w:rPr>
            </w:pPr>
            <w:r w:rsidRPr="00147AD2">
              <w:rPr>
                <w:b/>
                <w:szCs w:val="24"/>
              </w:rPr>
              <w:t>Standard Deviation</w:t>
            </w:r>
          </w:p>
        </w:tc>
        <w:tc>
          <w:tcPr>
            <w:tcW w:w="1530" w:type="dxa"/>
            <w:vAlign w:val="center"/>
          </w:tcPr>
          <w:p w:rsidR="002F3B63" w:rsidRPr="00147AD2" w:rsidRDefault="002F3B63" w:rsidP="002F3B63">
            <w:pPr>
              <w:jc w:val="center"/>
              <w:rPr>
                <w:b/>
                <w:szCs w:val="24"/>
              </w:rPr>
            </w:pPr>
            <w:r w:rsidRPr="00147AD2">
              <w:rPr>
                <w:b/>
                <w:szCs w:val="24"/>
              </w:rPr>
              <w:t>Coefficient of Variation</w:t>
            </w:r>
          </w:p>
        </w:tc>
      </w:tr>
      <w:tr w:rsidR="002F3B63" w:rsidTr="002F3B63">
        <w:tc>
          <w:tcPr>
            <w:tcW w:w="1398" w:type="dxa"/>
            <w:vAlign w:val="center"/>
          </w:tcPr>
          <w:p w:rsidR="002F3B63" w:rsidRPr="00147AD2" w:rsidRDefault="002F3B63" w:rsidP="002F3B63">
            <w:pPr>
              <w:jc w:val="center"/>
              <w:rPr>
                <w:szCs w:val="24"/>
              </w:rPr>
            </w:pPr>
            <w:r w:rsidRPr="00147AD2">
              <w:rPr>
                <w:rFonts w:cstheme="minorHAnsi"/>
                <w:b/>
                <w:szCs w:val="24"/>
              </w:rPr>
              <w:t>ψ</w:t>
            </w:r>
            <w:r w:rsidRPr="00147AD2">
              <w:rPr>
                <w:rFonts w:cstheme="minorHAnsi"/>
                <w:b/>
                <w:szCs w:val="24"/>
                <w:vertAlign w:val="subscript"/>
              </w:rPr>
              <w:t>a</w:t>
            </w:r>
          </w:p>
        </w:tc>
        <w:tc>
          <w:tcPr>
            <w:tcW w:w="1193" w:type="dxa"/>
            <w:vAlign w:val="center"/>
          </w:tcPr>
          <w:p w:rsidR="002F3B63" w:rsidRPr="00147AD2" w:rsidRDefault="002F3B63" w:rsidP="002F3B63">
            <w:pPr>
              <w:jc w:val="center"/>
              <w:rPr>
                <w:szCs w:val="24"/>
              </w:rPr>
            </w:pPr>
            <w:r w:rsidRPr="00147AD2">
              <w:rPr>
                <w:szCs w:val="24"/>
              </w:rPr>
              <w:t>cm</w:t>
            </w:r>
          </w:p>
        </w:tc>
        <w:tc>
          <w:tcPr>
            <w:tcW w:w="667" w:type="dxa"/>
            <w:vAlign w:val="center"/>
          </w:tcPr>
          <w:p w:rsidR="002F3B63" w:rsidRPr="00147AD2" w:rsidRDefault="002F3B63" w:rsidP="002F3B63">
            <w:pPr>
              <w:jc w:val="center"/>
              <w:rPr>
                <w:szCs w:val="24"/>
              </w:rPr>
            </w:pPr>
            <w:r w:rsidRPr="00147AD2">
              <w:rPr>
                <w:szCs w:val="24"/>
              </w:rPr>
              <w:t>115</w:t>
            </w:r>
          </w:p>
        </w:tc>
        <w:tc>
          <w:tcPr>
            <w:tcW w:w="1080" w:type="dxa"/>
            <w:vAlign w:val="center"/>
          </w:tcPr>
          <w:p w:rsidR="002F3B63" w:rsidRPr="00147AD2" w:rsidRDefault="002F3B63" w:rsidP="002F3B63">
            <w:pPr>
              <w:jc w:val="center"/>
              <w:rPr>
                <w:szCs w:val="24"/>
              </w:rPr>
            </w:pPr>
            <w:r w:rsidRPr="00147AD2">
              <w:rPr>
                <w:szCs w:val="24"/>
              </w:rPr>
              <w:t>17.5</w:t>
            </w:r>
          </w:p>
        </w:tc>
        <w:tc>
          <w:tcPr>
            <w:tcW w:w="1080" w:type="dxa"/>
            <w:vAlign w:val="center"/>
          </w:tcPr>
          <w:p w:rsidR="002F3B63" w:rsidRPr="00147AD2" w:rsidRDefault="002F3B63" w:rsidP="002F3B63">
            <w:pPr>
              <w:jc w:val="center"/>
              <w:rPr>
                <w:szCs w:val="24"/>
              </w:rPr>
            </w:pPr>
            <w:r w:rsidRPr="00147AD2">
              <w:rPr>
                <w:szCs w:val="24"/>
              </w:rPr>
              <w:t>17.5</w:t>
            </w:r>
          </w:p>
        </w:tc>
        <w:tc>
          <w:tcPr>
            <w:tcW w:w="1350" w:type="dxa"/>
            <w:vAlign w:val="center"/>
          </w:tcPr>
          <w:p w:rsidR="002F3B63" w:rsidRPr="00147AD2" w:rsidRDefault="002F3B63" w:rsidP="002F3B63">
            <w:pPr>
              <w:jc w:val="center"/>
              <w:rPr>
                <w:szCs w:val="24"/>
              </w:rPr>
            </w:pPr>
            <w:r w:rsidRPr="00147AD2">
              <w:rPr>
                <w:szCs w:val="24"/>
              </w:rPr>
              <w:t>0.621</w:t>
            </w:r>
          </w:p>
        </w:tc>
        <w:tc>
          <w:tcPr>
            <w:tcW w:w="1530" w:type="dxa"/>
          </w:tcPr>
          <w:p w:rsidR="002F3B63" w:rsidRPr="00147AD2" w:rsidRDefault="00147AD2" w:rsidP="00FC16A9">
            <w:pPr>
              <w:jc w:val="center"/>
              <w:rPr>
                <w:szCs w:val="24"/>
              </w:rPr>
            </w:pPr>
            <w:r w:rsidRPr="00147AD2">
              <w:rPr>
                <w:szCs w:val="24"/>
              </w:rPr>
              <w:t>3.55e-2</w:t>
            </w:r>
          </w:p>
        </w:tc>
      </w:tr>
      <w:tr w:rsidR="002F3B63" w:rsidTr="00147AD2">
        <w:trPr>
          <w:trHeight w:val="251"/>
        </w:trPr>
        <w:tc>
          <w:tcPr>
            <w:tcW w:w="1398" w:type="dxa"/>
            <w:vAlign w:val="center"/>
          </w:tcPr>
          <w:p w:rsidR="002F3B63" w:rsidRPr="00147AD2" w:rsidRDefault="002F3B63" w:rsidP="002F3B63">
            <w:pPr>
              <w:jc w:val="center"/>
              <w:rPr>
                <w:szCs w:val="24"/>
              </w:rPr>
            </w:pPr>
            <w:r w:rsidRPr="00147AD2">
              <w:rPr>
                <w:rFonts w:cstheme="minorHAnsi"/>
                <w:b/>
                <w:szCs w:val="24"/>
              </w:rPr>
              <w:t>Ѳ</w:t>
            </w:r>
            <w:r w:rsidRPr="00147AD2">
              <w:rPr>
                <w:rFonts w:cstheme="minorHAnsi"/>
                <w:b/>
                <w:szCs w:val="24"/>
                <w:vertAlign w:val="subscript"/>
              </w:rPr>
              <w:t>s</w:t>
            </w:r>
          </w:p>
        </w:tc>
        <w:tc>
          <w:tcPr>
            <w:tcW w:w="1193" w:type="dxa"/>
            <w:vAlign w:val="center"/>
          </w:tcPr>
          <w:p w:rsidR="002F3B63" w:rsidRPr="00147AD2" w:rsidRDefault="002F3B63" w:rsidP="002F3B63">
            <w:pPr>
              <w:jc w:val="center"/>
              <w:rPr>
                <w:szCs w:val="24"/>
              </w:rPr>
            </w:pPr>
            <w:r w:rsidRPr="00147AD2">
              <w:rPr>
                <w:szCs w:val="24"/>
              </w:rPr>
              <w:t>cm</w:t>
            </w:r>
            <w:r w:rsidRPr="00147AD2">
              <w:rPr>
                <w:szCs w:val="24"/>
                <w:vertAlign w:val="superscript"/>
              </w:rPr>
              <w:t>3</w:t>
            </w:r>
            <w:r w:rsidRPr="00147AD2">
              <w:rPr>
                <w:szCs w:val="24"/>
              </w:rPr>
              <w:t>/cm</w:t>
            </w:r>
            <w:r w:rsidRPr="00147AD2">
              <w:rPr>
                <w:szCs w:val="24"/>
                <w:vertAlign w:val="superscript"/>
              </w:rPr>
              <w:t>3</w:t>
            </w:r>
          </w:p>
        </w:tc>
        <w:tc>
          <w:tcPr>
            <w:tcW w:w="667" w:type="dxa"/>
            <w:vAlign w:val="center"/>
          </w:tcPr>
          <w:p w:rsidR="002F3B63" w:rsidRPr="00147AD2" w:rsidRDefault="002F3B63" w:rsidP="002F3B63">
            <w:pPr>
              <w:jc w:val="center"/>
              <w:rPr>
                <w:szCs w:val="24"/>
              </w:rPr>
            </w:pPr>
            <w:r w:rsidRPr="00147AD2">
              <w:rPr>
                <w:szCs w:val="24"/>
              </w:rPr>
              <w:t>115</w:t>
            </w:r>
          </w:p>
        </w:tc>
        <w:tc>
          <w:tcPr>
            <w:tcW w:w="1080" w:type="dxa"/>
            <w:vAlign w:val="center"/>
          </w:tcPr>
          <w:p w:rsidR="002F3B63" w:rsidRPr="00147AD2" w:rsidRDefault="002F3B63" w:rsidP="002F3B63">
            <w:pPr>
              <w:jc w:val="center"/>
              <w:rPr>
                <w:szCs w:val="24"/>
              </w:rPr>
            </w:pPr>
            <w:r w:rsidRPr="00147AD2">
              <w:rPr>
                <w:szCs w:val="24"/>
              </w:rPr>
              <w:t>0.374</w:t>
            </w:r>
          </w:p>
        </w:tc>
        <w:tc>
          <w:tcPr>
            <w:tcW w:w="1080" w:type="dxa"/>
            <w:vAlign w:val="center"/>
          </w:tcPr>
          <w:p w:rsidR="002F3B63" w:rsidRPr="00147AD2" w:rsidRDefault="002F3B63" w:rsidP="002F3B63">
            <w:pPr>
              <w:jc w:val="center"/>
              <w:rPr>
                <w:szCs w:val="24"/>
              </w:rPr>
            </w:pPr>
            <w:r w:rsidRPr="00147AD2">
              <w:rPr>
                <w:szCs w:val="24"/>
              </w:rPr>
              <w:t>0.372</w:t>
            </w:r>
          </w:p>
        </w:tc>
        <w:tc>
          <w:tcPr>
            <w:tcW w:w="1350" w:type="dxa"/>
            <w:vAlign w:val="center"/>
          </w:tcPr>
          <w:p w:rsidR="002F3B63" w:rsidRPr="00147AD2" w:rsidRDefault="002F3B63" w:rsidP="002F3B63">
            <w:pPr>
              <w:jc w:val="center"/>
              <w:rPr>
                <w:szCs w:val="24"/>
              </w:rPr>
            </w:pPr>
            <w:r w:rsidRPr="00147AD2">
              <w:rPr>
                <w:szCs w:val="24"/>
              </w:rPr>
              <w:t>2.77e-2</w:t>
            </w:r>
          </w:p>
        </w:tc>
        <w:tc>
          <w:tcPr>
            <w:tcW w:w="1530" w:type="dxa"/>
          </w:tcPr>
          <w:p w:rsidR="002F3B63" w:rsidRPr="00147AD2" w:rsidRDefault="00147AD2" w:rsidP="00FC16A9">
            <w:pPr>
              <w:jc w:val="center"/>
              <w:rPr>
                <w:szCs w:val="24"/>
              </w:rPr>
            </w:pPr>
            <w:r w:rsidRPr="00147AD2">
              <w:rPr>
                <w:szCs w:val="24"/>
              </w:rPr>
              <w:t>7.39e-2</w:t>
            </w:r>
          </w:p>
        </w:tc>
      </w:tr>
    </w:tbl>
    <w:p w:rsidR="002F3B63" w:rsidRDefault="002F3B63" w:rsidP="002F3B63">
      <w:pPr>
        <w:pStyle w:val="Caption"/>
      </w:pPr>
      <w:bookmarkStart w:id="72" w:name="_Toc425427073"/>
      <w:r>
        <w:t xml:space="preserve">Table </w:t>
      </w:r>
      <w:fldSimple w:instr=" SEQ Table \* ARABIC ">
        <w:r w:rsidR="00885C9E">
          <w:rPr>
            <w:noProof/>
          </w:rPr>
          <w:t>17</w:t>
        </w:r>
      </w:fldSimple>
      <w:r>
        <w:t>: Descriptive statistics of the data set generated during leave-one-out CV</w:t>
      </w:r>
      <w:bookmarkEnd w:id="72"/>
    </w:p>
    <w:p w:rsidR="00084042" w:rsidRPr="00686053" w:rsidRDefault="00084042" w:rsidP="002F3B63"/>
    <w:tbl>
      <w:tblPr>
        <w:tblStyle w:val="TableGrid"/>
        <w:tblW w:w="0" w:type="auto"/>
        <w:tblLayout w:type="fixed"/>
        <w:tblLook w:val="04A0"/>
      </w:tblPr>
      <w:tblGrid>
        <w:gridCol w:w="1398"/>
        <w:gridCol w:w="1193"/>
        <w:gridCol w:w="937"/>
        <w:gridCol w:w="1170"/>
      </w:tblGrid>
      <w:tr w:rsidR="002F3B63" w:rsidTr="002F3B63">
        <w:tc>
          <w:tcPr>
            <w:tcW w:w="1398" w:type="dxa"/>
            <w:vAlign w:val="center"/>
          </w:tcPr>
          <w:p w:rsidR="002F3B63" w:rsidRPr="00147AD2" w:rsidRDefault="002F3B63" w:rsidP="002F3B63">
            <w:pPr>
              <w:jc w:val="center"/>
              <w:rPr>
                <w:b/>
                <w:szCs w:val="24"/>
              </w:rPr>
            </w:pPr>
            <w:r w:rsidRPr="00147AD2">
              <w:rPr>
                <w:b/>
                <w:szCs w:val="24"/>
              </w:rPr>
              <w:t>Parameter</w:t>
            </w:r>
          </w:p>
        </w:tc>
        <w:tc>
          <w:tcPr>
            <w:tcW w:w="1193" w:type="dxa"/>
            <w:vAlign w:val="center"/>
          </w:tcPr>
          <w:p w:rsidR="002F3B63" w:rsidRPr="00147AD2" w:rsidRDefault="002F3B63" w:rsidP="002F3B63">
            <w:pPr>
              <w:jc w:val="center"/>
              <w:rPr>
                <w:b/>
                <w:szCs w:val="24"/>
              </w:rPr>
            </w:pPr>
            <w:r w:rsidRPr="00147AD2">
              <w:rPr>
                <w:b/>
                <w:szCs w:val="24"/>
              </w:rPr>
              <w:t>Unit</w:t>
            </w:r>
          </w:p>
        </w:tc>
        <w:tc>
          <w:tcPr>
            <w:tcW w:w="937" w:type="dxa"/>
            <w:vAlign w:val="center"/>
          </w:tcPr>
          <w:p w:rsidR="002F3B63" w:rsidRPr="00147AD2" w:rsidRDefault="002F3B63" w:rsidP="002F3B63">
            <w:pPr>
              <w:jc w:val="center"/>
              <w:rPr>
                <w:b/>
                <w:szCs w:val="24"/>
              </w:rPr>
            </w:pPr>
            <w:r w:rsidRPr="00147AD2">
              <w:rPr>
                <w:b/>
                <w:szCs w:val="24"/>
              </w:rPr>
              <w:t>N</w:t>
            </w:r>
          </w:p>
        </w:tc>
        <w:tc>
          <w:tcPr>
            <w:tcW w:w="1170" w:type="dxa"/>
            <w:vAlign w:val="center"/>
          </w:tcPr>
          <w:p w:rsidR="002F3B63" w:rsidRPr="00147AD2" w:rsidRDefault="002F3B63" w:rsidP="002F3B63">
            <w:pPr>
              <w:jc w:val="center"/>
              <w:rPr>
                <w:b/>
                <w:szCs w:val="24"/>
              </w:rPr>
            </w:pPr>
            <w:r w:rsidRPr="00147AD2">
              <w:rPr>
                <w:b/>
                <w:szCs w:val="24"/>
              </w:rPr>
              <w:t>W</w:t>
            </w:r>
          </w:p>
        </w:tc>
      </w:tr>
      <w:tr w:rsidR="002F3B63" w:rsidTr="002F3B63">
        <w:tc>
          <w:tcPr>
            <w:tcW w:w="1398" w:type="dxa"/>
            <w:vAlign w:val="center"/>
          </w:tcPr>
          <w:p w:rsidR="002F3B63" w:rsidRPr="00147AD2" w:rsidRDefault="002F3B63" w:rsidP="002F3B63">
            <w:pPr>
              <w:jc w:val="center"/>
              <w:rPr>
                <w:szCs w:val="24"/>
              </w:rPr>
            </w:pPr>
            <w:r w:rsidRPr="00147AD2">
              <w:rPr>
                <w:rFonts w:cstheme="minorHAnsi"/>
                <w:b/>
                <w:szCs w:val="24"/>
              </w:rPr>
              <w:t>ψ</w:t>
            </w:r>
            <w:r w:rsidRPr="00147AD2">
              <w:rPr>
                <w:rFonts w:cstheme="minorHAnsi"/>
                <w:b/>
                <w:szCs w:val="24"/>
                <w:vertAlign w:val="subscript"/>
              </w:rPr>
              <w:t>a</w:t>
            </w:r>
          </w:p>
        </w:tc>
        <w:tc>
          <w:tcPr>
            <w:tcW w:w="1193" w:type="dxa"/>
            <w:vAlign w:val="center"/>
          </w:tcPr>
          <w:p w:rsidR="002F3B63" w:rsidRPr="00147AD2" w:rsidRDefault="002F3B63" w:rsidP="002F3B63">
            <w:pPr>
              <w:jc w:val="center"/>
              <w:rPr>
                <w:szCs w:val="24"/>
              </w:rPr>
            </w:pPr>
            <w:r w:rsidRPr="00147AD2">
              <w:rPr>
                <w:szCs w:val="24"/>
              </w:rPr>
              <w:t>cm</w:t>
            </w:r>
          </w:p>
        </w:tc>
        <w:tc>
          <w:tcPr>
            <w:tcW w:w="937" w:type="dxa"/>
            <w:vAlign w:val="center"/>
          </w:tcPr>
          <w:p w:rsidR="002F3B63" w:rsidRPr="00147AD2" w:rsidRDefault="002F3B63" w:rsidP="002F3B63">
            <w:pPr>
              <w:jc w:val="center"/>
              <w:rPr>
                <w:szCs w:val="24"/>
              </w:rPr>
            </w:pPr>
            <w:r w:rsidRPr="00147AD2">
              <w:rPr>
                <w:szCs w:val="24"/>
              </w:rPr>
              <w:t>115</w:t>
            </w:r>
          </w:p>
        </w:tc>
        <w:tc>
          <w:tcPr>
            <w:tcW w:w="1170" w:type="dxa"/>
            <w:vAlign w:val="center"/>
          </w:tcPr>
          <w:p w:rsidR="002F3B63" w:rsidRPr="00147AD2" w:rsidRDefault="002F3B63" w:rsidP="002F3B63">
            <w:pPr>
              <w:rPr>
                <w:szCs w:val="24"/>
              </w:rPr>
            </w:pPr>
            <w:r w:rsidRPr="00147AD2">
              <w:rPr>
                <w:szCs w:val="24"/>
              </w:rPr>
              <w:t>0.989</w:t>
            </w:r>
          </w:p>
        </w:tc>
      </w:tr>
      <w:tr w:rsidR="002F3B63" w:rsidTr="002F3B63">
        <w:tc>
          <w:tcPr>
            <w:tcW w:w="1398" w:type="dxa"/>
            <w:vAlign w:val="center"/>
          </w:tcPr>
          <w:p w:rsidR="002F3B63" w:rsidRPr="00147AD2" w:rsidRDefault="002F3B63" w:rsidP="002F3B63">
            <w:pPr>
              <w:jc w:val="center"/>
              <w:rPr>
                <w:szCs w:val="24"/>
              </w:rPr>
            </w:pPr>
            <w:r w:rsidRPr="00147AD2">
              <w:rPr>
                <w:rFonts w:cstheme="minorHAnsi"/>
                <w:b/>
                <w:szCs w:val="24"/>
              </w:rPr>
              <w:t>Ѳ</w:t>
            </w:r>
            <w:r w:rsidRPr="00147AD2">
              <w:rPr>
                <w:rFonts w:cstheme="minorHAnsi"/>
                <w:b/>
                <w:szCs w:val="24"/>
                <w:vertAlign w:val="subscript"/>
              </w:rPr>
              <w:t>s</w:t>
            </w:r>
          </w:p>
        </w:tc>
        <w:tc>
          <w:tcPr>
            <w:tcW w:w="1193" w:type="dxa"/>
            <w:vAlign w:val="center"/>
          </w:tcPr>
          <w:p w:rsidR="002F3B63" w:rsidRPr="00147AD2" w:rsidRDefault="002F3B63" w:rsidP="002F3B63">
            <w:pPr>
              <w:jc w:val="center"/>
              <w:rPr>
                <w:szCs w:val="24"/>
              </w:rPr>
            </w:pPr>
            <w:r w:rsidRPr="00147AD2">
              <w:rPr>
                <w:szCs w:val="24"/>
              </w:rPr>
              <w:t>cm</w:t>
            </w:r>
            <w:r w:rsidRPr="00147AD2">
              <w:rPr>
                <w:szCs w:val="24"/>
                <w:vertAlign w:val="superscript"/>
              </w:rPr>
              <w:t>3</w:t>
            </w:r>
            <w:r w:rsidRPr="00147AD2">
              <w:rPr>
                <w:szCs w:val="24"/>
              </w:rPr>
              <w:t>/cm</w:t>
            </w:r>
            <w:r w:rsidRPr="00147AD2">
              <w:rPr>
                <w:szCs w:val="24"/>
                <w:vertAlign w:val="superscript"/>
              </w:rPr>
              <w:t>3</w:t>
            </w:r>
          </w:p>
        </w:tc>
        <w:tc>
          <w:tcPr>
            <w:tcW w:w="937" w:type="dxa"/>
            <w:vAlign w:val="center"/>
          </w:tcPr>
          <w:p w:rsidR="002F3B63" w:rsidRPr="00147AD2" w:rsidRDefault="002F3B63" w:rsidP="002F3B63">
            <w:pPr>
              <w:jc w:val="center"/>
              <w:rPr>
                <w:szCs w:val="24"/>
              </w:rPr>
            </w:pPr>
            <w:r w:rsidRPr="00147AD2">
              <w:rPr>
                <w:szCs w:val="24"/>
              </w:rPr>
              <w:t>115</w:t>
            </w:r>
          </w:p>
        </w:tc>
        <w:tc>
          <w:tcPr>
            <w:tcW w:w="1170" w:type="dxa"/>
            <w:vAlign w:val="center"/>
          </w:tcPr>
          <w:p w:rsidR="002F3B63" w:rsidRPr="00147AD2" w:rsidRDefault="002F3B63" w:rsidP="002F3B63">
            <w:pPr>
              <w:rPr>
                <w:szCs w:val="24"/>
              </w:rPr>
            </w:pPr>
            <w:r w:rsidRPr="00147AD2">
              <w:rPr>
                <w:szCs w:val="24"/>
              </w:rPr>
              <w:t>0.964 **</w:t>
            </w:r>
          </w:p>
        </w:tc>
      </w:tr>
      <w:tr w:rsidR="002F3B63" w:rsidTr="002F3B63">
        <w:tc>
          <w:tcPr>
            <w:tcW w:w="1398" w:type="dxa"/>
            <w:vAlign w:val="center"/>
          </w:tcPr>
          <w:p w:rsidR="002F3B63" w:rsidRPr="00147AD2" w:rsidRDefault="002F3B63" w:rsidP="002F3B63">
            <w:pPr>
              <w:jc w:val="center"/>
              <w:rPr>
                <w:szCs w:val="24"/>
              </w:rPr>
            </w:pPr>
            <w:r w:rsidRPr="00147AD2">
              <w:rPr>
                <w:rFonts w:cstheme="minorHAnsi"/>
                <w:b/>
                <w:szCs w:val="24"/>
              </w:rPr>
              <w:t>1/Ѳ</w:t>
            </w:r>
            <w:r w:rsidRPr="00147AD2">
              <w:rPr>
                <w:rFonts w:cstheme="minorHAnsi"/>
                <w:b/>
                <w:szCs w:val="24"/>
                <w:vertAlign w:val="subscript"/>
              </w:rPr>
              <w:t>s</w:t>
            </w:r>
          </w:p>
        </w:tc>
        <w:tc>
          <w:tcPr>
            <w:tcW w:w="1193" w:type="dxa"/>
            <w:vAlign w:val="center"/>
          </w:tcPr>
          <w:p w:rsidR="002F3B63" w:rsidRPr="00147AD2" w:rsidRDefault="002F3B63" w:rsidP="002F3B63">
            <w:pPr>
              <w:jc w:val="center"/>
              <w:rPr>
                <w:szCs w:val="24"/>
              </w:rPr>
            </w:pPr>
            <w:r w:rsidRPr="00147AD2">
              <w:rPr>
                <w:szCs w:val="24"/>
              </w:rPr>
              <w:t>cm</w:t>
            </w:r>
            <w:r w:rsidRPr="00147AD2">
              <w:rPr>
                <w:szCs w:val="24"/>
                <w:vertAlign w:val="superscript"/>
              </w:rPr>
              <w:t>3</w:t>
            </w:r>
            <w:r w:rsidRPr="00147AD2">
              <w:rPr>
                <w:szCs w:val="24"/>
              </w:rPr>
              <w:t>/cm</w:t>
            </w:r>
            <w:r w:rsidRPr="00147AD2">
              <w:rPr>
                <w:szCs w:val="24"/>
                <w:vertAlign w:val="superscript"/>
              </w:rPr>
              <w:t>3</w:t>
            </w:r>
          </w:p>
        </w:tc>
        <w:tc>
          <w:tcPr>
            <w:tcW w:w="937" w:type="dxa"/>
            <w:vAlign w:val="center"/>
          </w:tcPr>
          <w:p w:rsidR="002F3B63" w:rsidRPr="00147AD2" w:rsidRDefault="002F3B63" w:rsidP="002F3B63">
            <w:pPr>
              <w:jc w:val="center"/>
              <w:rPr>
                <w:szCs w:val="24"/>
              </w:rPr>
            </w:pPr>
            <w:r w:rsidRPr="00147AD2">
              <w:rPr>
                <w:szCs w:val="24"/>
              </w:rPr>
              <w:t>115</w:t>
            </w:r>
          </w:p>
        </w:tc>
        <w:tc>
          <w:tcPr>
            <w:tcW w:w="1170" w:type="dxa"/>
            <w:vAlign w:val="center"/>
          </w:tcPr>
          <w:p w:rsidR="002F3B63" w:rsidRPr="00147AD2" w:rsidRDefault="002F3B63" w:rsidP="002F3B63">
            <w:pPr>
              <w:rPr>
                <w:szCs w:val="24"/>
              </w:rPr>
            </w:pPr>
            <w:r w:rsidRPr="00147AD2">
              <w:rPr>
                <w:szCs w:val="24"/>
              </w:rPr>
              <w:t>0.982</w:t>
            </w:r>
          </w:p>
        </w:tc>
      </w:tr>
    </w:tbl>
    <w:p w:rsidR="00C77606" w:rsidRDefault="002F3B63" w:rsidP="00084042">
      <w:pPr>
        <w:pStyle w:val="Caption"/>
      </w:pPr>
      <w:bookmarkStart w:id="73" w:name="_Toc425427074"/>
      <w:r>
        <w:t xml:space="preserve">Table </w:t>
      </w:r>
      <w:fldSimple w:instr=" SEQ Table \* ARABIC ">
        <w:r w:rsidR="00885C9E">
          <w:rPr>
            <w:noProof/>
          </w:rPr>
          <w:t>18</w:t>
        </w:r>
      </w:fldSimple>
      <w:r>
        <w:t xml:space="preserve">: SW </w:t>
      </w:r>
      <w:r w:rsidRPr="00CD56A7">
        <w:rPr>
          <w:i/>
        </w:rPr>
        <w:t xml:space="preserve">W </w:t>
      </w:r>
      <w:r>
        <w:t>statistic and significance levels for the CV data set</w:t>
      </w:r>
      <w:bookmarkEnd w:id="73"/>
    </w:p>
    <w:p w:rsidR="00921C07" w:rsidRPr="00686053" w:rsidRDefault="00921C07" w:rsidP="002F3B63"/>
    <w:tbl>
      <w:tblPr>
        <w:tblStyle w:val="TableGrid"/>
        <w:tblW w:w="0" w:type="auto"/>
        <w:tblLook w:val="04A0"/>
      </w:tblPr>
      <w:tblGrid>
        <w:gridCol w:w="1398"/>
        <w:gridCol w:w="1193"/>
        <w:gridCol w:w="937"/>
        <w:gridCol w:w="1409"/>
        <w:gridCol w:w="1471"/>
      </w:tblGrid>
      <w:tr w:rsidR="002F3B63" w:rsidTr="002F3B63">
        <w:tc>
          <w:tcPr>
            <w:tcW w:w="1398" w:type="dxa"/>
            <w:vAlign w:val="center"/>
          </w:tcPr>
          <w:p w:rsidR="002F3B63" w:rsidRPr="00147AD2" w:rsidRDefault="002F3B63" w:rsidP="002F3B63">
            <w:pPr>
              <w:jc w:val="center"/>
              <w:rPr>
                <w:b/>
                <w:szCs w:val="24"/>
              </w:rPr>
            </w:pPr>
            <w:r w:rsidRPr="00147AD2">
              <w:rPr>
                <w:b/>
                <w:szCs w:val="24"/>
              </w:rPr>
              <w:t>Parameter</w:t>
            </w:r>
          </w:p>
        </w:tc>
        <w:tc>
          <w:tcPr>
            <w:tcW w:w="1193" w:type="dxa"/>
            <w:vAlign w:val="center"/>
          </w:tcPr>
          <w:p w:rsidR="002F3B63" w:rsidRPr="00147AD2" w:rsidRDefault="002F3B63" w:rsidP="002F3B63">
            <w:pPr>
              <w:jc w:val="center"/>
              <w:rPr>
                <w:b/>
                <w:szCs w:val="24"/>
              </w:rPr>
            </w:pPr>
            <w:r w:rsidRPr="00147AD2">
              <w:rPr>
                <w:b/>
                <w:szCs w:val="24"/>
              </w:rPr>
              <w:t>Unit</w:t>
            </w:r>
          </w:p>
        </w:tc>
        <w:tc>
          <w:tcPr>
            <w:tcW w:w="937" w:type="dxa"/>
            <w:vAlign w:val="center"/>
          </w:tcPr>
          <w:p w:rsidR="002F3B63" w:rsidRPr="00147AD2" w:rsidRDefault="002F3B63" w:rsidP="002F3B63">
            <w:pPr>
              <w:jc w:val="center"/>
              <w:rPr>
                <w:b/>
                <w:szCs w:val="24"/>
              </w:rPr>
            </w:pPr>
            <w:r w:rsidRPr="00147AD2">
              <w:rPr>
                <w:b/>
                <w:szCs w:val="24"/>
              </w:rPr>
              <w:t>N</w:t>
            </w:r>
          </w:p>
        </w:tc>
        <w:tc>
          <w:tcPr>
            <w:tcW w:w="1409" w:type="dxa"/>
            <w:vAlign w:val="center"/>
          </w:tcPr>
          <w:p w:rsidR="002F3B63" w:rsidRPr="00147AD2" w:rsidRDefault="002F3B63" w:rsidP="002F3B63">
            <w:pPr>
              <w:jc w:val="center"/>
              <w:rPr>
                <w:b/>
                <w:szCs w:val="24"/>
              </w:rPr>
            </w:pPr>
            <w:r w:rsidRPr="00147AD2">
              <w:rPr>
                <w:b/>
                <w:szCs w:val="24"/>
              </w:rPr>
              <w:t>R</w:t>
            </w:r>
            <w:r w:rsidRPr="00147AD2">
              <w:rPr>
                <w:b/>
                <w:szCs w:val="24"/>
                <w:vertAlign w:val="superscript"/>
              </w:rPr>
              <w:t>2</w:t>
            </w:r>
          </w:p>
        </w:tc>
        <w:tc>
          <w:tcPr>
            <w:tcW w:w="1471" w:type="dxa"/>
            <w:vAlign w:val="center"/>
          </w:tcPr>
          <w:p w:rsidR="002F3B63" w:rsidRPr="00147AD2" w:rsidRDefault="002F3B63" w:rsidP="002F3B63">
            <w:pPr>
              <w:jc w:val="center"/>
              <w:rPr>
                <w:b/>
                <w:szCs w:val="24"/>
              </w:rPr>
            </w:pPr>
            <w:r w:rsidRPr="00147AD2">
              <w:rPr>
                <w:b/>
                <w:szCs w:val="24"/>
              </w:rPr>
              <w:t>F-statistic</w:t>
            </w:r>
          </w:p>
        </w:tc>
      </w:tr>
      <w:tr w:rsidR="002F3B63" w:rsidTr="002F3B63">
        <w:tc>
          <w:tcPr>
            <w:tcW w:w="1398" w:type="dxa"/>
            <w:vAlign w:val="center"/>
          </w:tcPr>
          <w:p w:rsidR="002F3B63" w:rsidRPr="00147AD2" w:rsidRDefault="002F3B63" w:rsidP="002F3B63">
            <w:pPr>
              <w:jc w:val="center"/>
              <w:rPr>
                <w:szCs w:val="24"/>
              </w:rPr>
            </w:pPr>
            <w:r w:rsidRPr="00147AD2">
              <w:rPr>
                <w:rFonts w:cstheme="minorHAnsi"/>
                <w:b/>
                <w:szCs w:val="24"/>
              </w:rPr>
              <w:t>ψ</w:t>
            </w:r>
            <w:r w:rsidRPr="00147AD2">
              <w:rPr>
                <w:rFonts w:cstheme="minorHAnsi"/>
                <w:b/>
                <w:szCs w:val="24"/>
                <w:vertAlign w:val="subscript"/>
              </w:rPr>
              <w:t>a</w:t>
            </w:r>
          </w:p>
        </w:tc>
        <w:tc>
          <w:tcPr>
            <w:tcW w:w="1193" w:type="dxa"/>
            <w:vAlign w:val="center"/>
          </w:tcPr>
          <w:p w:rsidR="002F3B63" w:rsidRPr="00147AD2" w:rsidRDefault="002F3B63" w:rsidP="002F3B63">
            <w:pPr>
              <w:jc w:val="center"/>
              <w:rPr>
                <w:szCs w:val="24"/>
              </w:rPr>
            </w:pPr>
            <w:r w:rsidRPr="00147AD2">
              <w:rPr>
                <w:szCs w:val="24"/>
              </w:rPr>
              <w:t>cm</w:t>
            </w:r>
          </w:p>
        </w:tc>
        <w:tc>
          <w:tcPr>
            <w:tcW w:w="937" w:type="dxa"/>
            <w:vAlign w:val="center"/>
          </w:tcPr>
          <w:p w:rsidR="002F3B63" w:rsidRPr="00147AD2" w:rsidRDefault="002F3B63" w:rsidP="002F3B63">
            <w:pPr>
              <w:jc w:val="center"/>
              <w:rPr>
                <w:szCs w:val="24"/>
              </w:rPr>
            </w:pPr>
            <w:r w:rsidRPr="00147AD2">
              <w:rPr>
                <w:szCs w:val="24"/>
              </w:rPr>
              <w:t>115</w:t>
            </w:r>
          </w:p>
        </w:tc>
        <w:tc>
          <w:tcPr>
            <w:tcW w:w="1409" w:type="dxa"/>
            <w:vAlign w:val="center"/>
          </w:tcPr>
          <w:p w:rsidR="002F3B63" w:rsidRPr="00147AD2" w:rsidRDefault="002F3B63" w:rsidP="002F3B63">
            <w:pPr>
              <w:jc w:val="center"/>
              <w:rPr>
                <w:szCs w:val="24"/>
              </w:rPr>
            </w:pPr>
            <w:r w:rsidRPr="00147AD2">
              <w:rPr>
                <w:szCs w:val="24"/>
              </w:rPr>
              <w:t>0.603</w:t>
            </w:r>
          </w:p>
        </w:tc>
        <w:tc>
          <w:tcPr>
            <w:tcW w:w="1471" w:type="dxa"/>
            <w:vAlign w:val="center"/>
          </w:tcPr>
          <w:p w:rsidR="002F3B63" w:rsidRPr="00147AD2" w:rsidRDefault="002F3B63" w:rsidP="002F3B63">
            <w:pPr>
              <w:jc w:val="center"/>
              <w:rPr>
                <w:szCs w:val="24"/>
              </w:rPr>
            </w:pPr>
            <w:r w:rsidRPr="00147AD2">
              <w:rPr>
                <w:szCs w:val="24"/>
              </w:rPr>
              <w:t>33.1 ***</w:t>
            </w:r>
          </w:p>
        </w:tc>
      </w:tr>
      <w:tr w:rsidR="002F3B63" w:rsidTr="002F3B63">
        <w:tc>
          <w:tcPr>
            <w:tcW w:w="1398" w:type="dxa"/>
            <w:vAlign w:val="center"/>
          </w:tcPr>
          <w:p w:rsidR="002F3B63" w:rsidRPr="00147AD2" w:rsidRDefault="002F3B63" w:rsidP="002F3B63">
            <w:pPr>
              <w:jc w:val="center"/>
              <w:rPr>
                <w:szCs w:val="24"/>
              </w:rPr>
            </w:pPr>
            <w:r w:rsidRPr="00147AD2">
              <w:rPr>
                <w:rFonts w:cstheme="minorHAnsi"/>
                <w:b/>
                <w:szCs w:val="24"/>
              </w:rPr>
              <w:t>Ѳ</w:t>
            </w:r>
            <w:r w:rsidRPr="00147AD2">
              <w:rPr>
                <w:rFonts w:cstheme="minorHAnsi"/>
                <w:b/>
                <w:szCs w:val="24"/>
                <w:vertAlign w:val="subscript"/>
              </w:rPr>
              <w:t>s</w:t>
            </w:r>
          </w:p>
        </w:tc>
        <w:tc>
          <w:tcPr>
            <w:tcW w:w="1193" w:type="dxa"/>
            <w:vAlign w:val="center"/>
          </w:tcPr>
          <w:p w:rsidR="002F3B63" w:rsidRPr="00147AD2" w:rsidRDefault="002F3B63" w:rsidP="002F3B63">
            <w:pPr>
              <w:jc w:val="center"/>
              <w:rPr>
                <w:szCs w:val="24"/>
              </w:rPr>
            </w:pPr>
            <w:r w:rsidRPr="00147AD2">
              <w:rPr>
                <w:szCs w:val="24"/>
              </w:rPr>
              <w:t>cm</w:t>
            </w:r>
            <w:r w:rsidRPr="00147AD2">
              <w:rPr>
                <w:szCs w:val="24"/>
                <w:vertAlign w:val="superscript"/>
              </w:rPr>
              <w:t>3</w:t>
            </w:r>
            <w:r w:rsidRPr="00147AD2">
              <w:rPr>
                <w:szCs w:val="24"/>
              </w:rPr>
              <w:t>/cm</w:t>
            </w:r>
            <w:r w:rsidRPr="00147AD2">
              <w:rPr>
                <w:szCs w:val="24"/>
                <w:vertAlign w:val="superscript"/>
              </w:rPr>
              <w:t>3</w:t>
            </w:r>
          </w:p>
        </w:tc>
        <w:tc>
          <w:tcPr>
            <w:tcW w:w="937" w:type="dxa"/>
            <w:vAlign w:val="center"/>
          </w:tcPr>
          <w:p w:rsidR="002F3B63" w:rsidRPr="00147AD2" w:rsidRDefault="002F3B63" w:rsidP="002F3B63">
            <w:pPr>
              <w:jc w:val="center"/>
              <w:rPr>
                <w:szCs w:val="24"/>
              </w:rPr>
            </w:pPr>
            <w:r w:rsidRPr="00147AD2">
              <w:rPr>
                <w:szCs w:val="24"/>
              </w:rPr>
              <w:t>115</w:t>
            </w:r>
          </w:p>
        </w:tc>
        <w:tc>
          <w:tcPr>
            <w:tcW w:w="1409" w:type="dxa"/>
            <w:vAlign w:val="center"/>
          </w:tcPr>
          <w:p w:rsidR="002F3B63" w:rsidRPr="00147AD2" w:rsidRDefault="002F3B63" w:rsidP="002F3B63">
            <w:pPr>
              <w:jc w:val="center"/>
              <w:rPr>
                <w:szCs w:val="24"/>
              </w:rPr>
            </w:pPr>
            <w:r w:rsidRPr="00147AD2">
              <w:rPr>
                <w:szCs w:val="24"/>
              </w:rPr>
              <w:t>0.562</w:t>
            </w:r>
          </w:p>
        </w:tc>
        <w:tc>
          <w:tcPr>
            <w:tcW w:w="1471" w:type="dxa"/>
          </w:tcPr>
          <w:p w:rsidR="002F3B63" w:rsidRPr="00147AD2" w:rsidRDefault="002F3B63" w:rsidP="002F3B63">
            <w:pPr>
              <w:jc w:val="center"/>
              <w:rPr>
                <w:szCs w:val="24"/>
              </w:rPr>
            </w:pPr>
            <w:r w:rsidRPr="00147AD2">
              <w:rPr>
                <w:szCs w:val="24"/>
              </w:rPr>
              <w:t>35.3 ***</w:t>
            </w:r>
          </w:p>
        </w:tc>
      </w:tr>
    </w:tbl>
    <w:p w:rsidR="002F3B63" w:rsidRDefault="002F3B63" w:rsidP="00147AD2">
      <w:pPr>
        <w:pStyle w:val="Caption"/>
      </w:pPr>
      <w:bookmarkStart w:id="74" w:name="_Toc425427075"/>
      <w:r>
        <w:t xml:space="preserve">Table </w:t>
      </w:r>
      <w:fldSimple w:instr=" SEQ Table \* ARABIC ">
        <w:r w:rsidR="00885C9E">
          <w:rPr>
            <w:noProof/>
          </w:rPr>
          <w:t>19</w:t>
        </w:r>
      </w:fldSimple>
      <w:r>
        <w:t>: Trend surface analysis results conducted for the CV data set to determine if the parameter contains a geographic trend</w:t>
      </w:r>
      <w:bookmarkEnd w:id="74"/>
      <w:r>
        <w:t xml:space="preserve">  </w:t>
      </w:r>
    </w:p>
    <w:p w:rsidR="00C77606" w:rsidRPr="00C77606" w:rsidRDefault="00C77606" w:rsidP="00C77606"/>
    <w:tbl>
      <w:tblPr>
        <w:tblStyle w:val="TableGrid"/>
        <w:tblW w:w="9574" w:type="dxa"/>
        <w:jc w:val="center"/>
        <w:tblInd w:w="-130" w:type="dxa"/>
        <w:tblLook w:val="04A0"/>
      </w:tblPr>
      <w:tblGrid>
        <w:gridCol w:w="1398"/>
        <w:gridCol w:w="1196"/>
        <w:gridCol w:w="917"/>
        <w:gridCol w:w="1294"/>
        <w:gridCol w:w="1083"/>
        <w:gridCol w:w="1167"/>
        <w:gridCol w:w="1170"/>
        <w:gridCol w:w="1349"/>
      </w:tblGrid>
      <w:tr w:rsidR="002F3B63" w:rsidTr="002F3B63">
        <w:trPr>
          <w:jc w:val="center"/>
        </w:trPr>
        <w:tc>
          <w:tcPr>
            <w:tcW w:w="1398" w:type="dxa"/>
            <w:vAlign w:val="center"/>
          </w:tcPr>
          <w:p w:rsidR="002F3B63" w:rsidRPr="00147AD2" w:rsidRDefault="002F3B63" w:rsidP="002F3B63">
            <w:pPr>
              <w:jc w:val="center"/>
              <w:rPr>
                <w:b/>
                <w:szCs w:val="24"/>
              </w:rPr>
            </w:pPr>
            <w:r w:rsidRPr="00147AD2">
              <w:rPr>
                <w:b/>
                <w:szCs w:val="24"/>
              </w:rPr>
              <w:t>Parameter</w:t>
            </w:r>
          </w:p>
        </w:tc>
        <w:tc>
          <w:tcPr>
            <w:tcW w:w="1196" w:type="dxa"/>
            <w:vAlign w:val="center"/>
          </w:tcPr>
          <w:p w:rsidR="002F3B63" w:rsidRPr="00147AD2" w:rsidRDefault="002F3B63" w:rsidP="002F3B63">
            <w:pPr>
              <w:jc w:val="center"/>
              <w:rPr>
                <w:b/>
                <w:szCs w:val="24"/>
              </w:rPr>
            </w:pPr>
            <w:r w:rsidRPr="00147AD2">
              <w:rPr>
                <w:b/>
                <w:szCs w:val="24"/>
              </w:rPr>
              <w:t>Unit</w:t>
            </w:r>
          </w:p>
        </w:tc>
        <w:tc>
          <w:tcPr>
            <w:tcW w:w="917" w:type="dxa"/>
            <w:vAlign w:val="center"/>
          </w:tcPr>
          <w:p w:rsidR="002F3B63" w:rsidRPr="00147AD2" w:rsidRDefault="002F3B63" w:rsidP="002F3B63">
            <w:pPr>
              <w:jc w:val="center"/>
              <w:rPr>
                <w:b/>
                <w:szCs w:val="24"/>
              </w:rPr>
            </w:pPr>
            <w:r w:rsidRPr="00147AD2">
              <w:rPr>
                <w:b/>
                <w:szCs w:val="24"/>
              </w:rPr>
              <w:t>N</w:t>
            </w:r>
          </w:p>
        </w:tc>
        <w:tc>
          <w:tcPr>
            <w:tcW w:w="1294" w:type="dxa"/>
            <w:vAlign w:val="center"/>
          </w:tcPr>
          <w:p w:rsidR="002F3B63" w:rsidRPr="00147AD2" w:rsidRDefault="002F3B63" w:rsidP="002F3B63">
            <w:pPr>
              <w:jc w:val="center"/>
              <w:rPr>
                <w:b/>
                <w:szCs w:val="24"/>
              </w:rPr>
            </w:pPr>
            <w:r w:rsidRPr="00147AD2">
              <w:rPr>
                <w:b/>
                <w:szCs w:val="24"/>
              </w:rPr>
              <w:t>x</w:t>
            </w:r>
          </w:p>
        </w:tc>
        <w:tc>
          <w:tcPr>
            <w:tcW w:w="1083" w:type="dxa"/>
            <w:vAlign w:val="center"/>
          </w:tcPr>
          <w:p w:rsidR="002F3B63" w:rsidRPr="00147AD2" w:rsidRDefault="002F3B63" w:rsidP="002F3B63">
            <w:pPr>
              <w:jc w:val="center"/>
              <w:rPr>
                <w:b/>
                <w:szCs w:val="24"/>
              </w:rPr>
            </w:pPr>
            <w:r w:rsidRPr="00147AD2">
              <w:rPr>
                <w:b/>
                <w:szCs w:val="24"/>
              </w:rPr>
              <w:t>y</w:t>
            </w:r>
          </w:p>
        </w:tc>
        <w:tc>
          <w:tcPr>
            <w:tcW w:w="1167" w:type="dxa"/>
          </w:tcPr>
          <w:p w:rsidR="002F3B63" w:rsidRPr="00147AD2" w:rsidRDefault="002F3B63" w:rsidP="002F3B63">
            <w:pPr>
              <w:jc w:val="center"/>
              <w:rPr>
                <w:b/>
                <w:szCs w:val="24"/>
              </w:rPr>
            </w:pPr>
            <w:r w:rsidRPr="00147AD2">
              <w:rPr>
                <w:b/>
                <w:szCs w:val="24"/>
              </w:rPr>
              <w:t>x*y</w:t>
            </w:r>
          </w:p>
        </w:tc>
        <w:tc>
          <w:tcPr>
            <w:tcW w:w="1170" w:type="dxa"/>
          </w:tcPr>
          <w:p w:rsidR="002F3B63" w:rsidRPr="00147AD2" w:rsidRDefault="002F3B63" w:rsidP="002F3B63">
            <w:pPr>
              <w:jc w:val="center"/>
              <w:rPr>
                <w:b/>
                <w:szCs w:val="24"/>
              </w:rPr>
            </w:pPr>
            <w:r w:rsidRPr="00147AD2">
              <w:rPr>
                <w:b/>
                <w:szCs w:val="24"/>
              </w:rPr>
              <w:t>x</w:t>
            </w:r>
            <w:r w:rsidRPr="00147AD2">
              <w:rPr>
                <w:b/>
                <w:szCs w:val="24"/>
                <w:vertAlign w:val="superscript"/>
              </w:rPr>
              <w:t>2</w:t>
            </w:r>
          </w:p>
        </w:tc>
        <w:tc>
          <w:tcPr>
            <w:tcW w:w="1349" w:type="dxa"/>
          </w:tcPr>
          <w:p w:rsidR="002F3B63" w:rsidRPr="00147AD2" w:rsidRDefault="002F3B63" w:rsidP="002F3B63">
            <w:pPr>
              <w:jc w:val="center"/>
              <w:rPr>
                <w:b/>
                <w:szCs w:val="24"/>
              </w:rPr>
            </w:pPr>
            <w:r w:rsidRPr="00147AD2">
              <w:rPr>
                <w:b/>
                <w:szCs w:val="24"/>
              </w:rPr>
              <w:t>y</w:t>
            </w:r>
            <w:r w:rsidRPr="00147AD2">
              <w:rPr>
                <w:b/>
                <w:szCs w:val="24"/>
                <w:vertAlign w:val="superscript"/>
              </w:rPr>
              <w:t>2</w:t>
            </w:r>
          </w:p>
        </w:tc>
      </w:tr>
      <w:tr w:rsidR="002F3B63" w:rsidTr="002F3B63">
        <w:trPr>
          <w:jc w:val="center"/>
        </w:trPr>
        <w:tc>
          <w:tcPr>
            <w:tcW w:w="1398" w:type="dxa"/>
            <w:vAlign w:val="center"/>
          </w:tcPr>
          <w:p w:rsidR="002F3B63" w:rsidRPr="00147AD2" w:rsidRDefault="002F3B63" w:rsidP="002F3B63">
            <w:pPr>
              <w:jc w:val="center"/>
              <w:rPr>
                <w:szCs w:val="24"/>
              </w:rPr>
            </w:pPr>
            <w:r w:rsidRPr="00147AD2">
              <w:rPr>
                <w:rFonts w:cstheme="minorHAnsi"/>
                <w:b/>
                <w:szCs w:val="24"/>
              </w:rPr>
              <w:t>ψ</w:t>
            </w:r>
            <w:r w:rsidRPr="00147AD2">
              <w:rPr>
                <w:rFonts w:cstheme="minorHAnsi"/>
                <w:b/>
                <w:szCs w:val="24"/>
                <w:vertAlign w:val="subscript"/>
              </w:rPr>
              <w:t>a</w:t>
            </w:r>
          </w:p>
        </w:tc>
        <w:tc>
          <w:tcPr>
            <w:tcW w:w="1196" w:type="dxa"/>
            <w:vAlign w:val="center"/>
          </w:tcPr>
          <w:p w:rsidR="002F3B63" w:rsidRPr="00147AD2" w:rsidRDefault="002F3B63" w:rsidP="002F3B63">
            <w:pPr>
              <w:jc w:val="center"/>
              <w:rPr>
                <w:szCs w:val="24"/>
              </w:rPr>
            </w:pPr>
            <w:r w:rsidRPr="00147AD2">
              <w:rPr>
                <w:szCs w:val="24"/>
              </w:rPr>
              <w:t>cm</w:t>
            </w:r>
          </w:p>
        </w:tc>
        <w:tc>
          <w:tcPr>
            <w:tcW w:w="917" w:type="dxa"/>
            <w:vAlign w:val="center"/>
          </w:tcPr>
          <w:p w:rsidR="002F3B63" w:rsidRPr="00147AD2" w:rsidRDefault="002F3B63" w:rsidP="002F3B63">
            <w:pPr>
              <w:jc w:val="center"/>
              <w:rPr>
                <w:szCs w:val="24"/>
              </w:rPr>
            </w:pPr>
            <w:r w:rsidRPr="00147AD2">
              <w:rPr>
                <w:szCs w:val="24"/>
              </w:rPr>
              <w:t>115</w:t>
            </w:r>
          </w:p>
        </w:tc>
        <w:tc>
          <w:tcPr>
            <w:tcW w:w="1294" w:type="dxa"/>
            <w:vAlign w:val="center"/>
          </w:tcPr>
          <w:p w:rsidR="002F3B63" w:rsidRPr="00147AD2" w:rsidRDefault="002F3B63" w:rsidP="002F3B63">
            <w:pPr>
              <w:jc w:val="center"/>
              <w:rPr>
                <w:szCs w:val="24"/>
              </w:rPr>
            </w:pPr>
            <w:r w:rsidRPr="00147AD2">
              <w:rPr>
                <w:szCs w:val="24"/>
              </w:rPr>
              <w:t>-7.20 ***</w:t>
            </w:r>
          </w:p>
        </w:tc>
        <w:tc>
          <w:tcPr>
            <w:tcW w:w="1083" w:type="dxa"/>
            <w:vAlign w:val="center"/>
          </w:tcPr>
          <w:p w:rsidR="002F3B63" w:rsidRPr="00147AD2" w:rsidRDefault="002F3B63" w:rsidP="002F3B63">
            <w:pPr>
              <w:jc w:val="center"/>
              <w:rPr>
                <w:szCs w:val="24"/>
              </w:rPr>
            </w:pPr>
            <w:r w:rsidRPr="00147AD2">
              <w:rPr>
                <w:szCs w:val="24"/>
              </w:rPr>
              <w:t>NS</w:t>
            </w:r>
          </w:p>
        </w:tc>
        <w:tc>
          <w:tcPr>
            <w:tcW w:w="1167" w:type="dxa"/>
            <w:vAlign w:val="center"/>
          </w:tcPr>
          <w:p w:rsidR="002F3B63" w:rsidRPr="00147AD2" w:rsidRDefault="002F3B63" w:rsidP="002F3B63">
            <w:pPr>
              <w:jc w:val="center"/>
              <w:rPr>
                <w:szCs w:val="24"/>
              </w:rPr>
            </w:pPr>
            <w:r w:rsidRPr="00147AD2">
              <w:rPr>
                <w:szCs w:val="24"/>
              </w:rPr>
              <w:t>7.77 ***</w:t>
            </w:r>
          </w:p>
        </w:tc>
        <w:tc>
          <w:tcPr>
            <w:tcW w:w="1170" w:type="dxa"/>
            <w:vAlign w:val="center"/>
          </w:tcPr>
          <w:p w:rsidR="002F3B63" w:rsidRPr="00147AD2" w:rsidRDefault="002F3B63" w:rsidP="002F3B63">
            <w:pPr>
              <w:jc w:val="center"/>
              <w:rPr>
                <w:szCs w:val="24"/>
              </w:rPr>
            </w:pPr>
            <w:r w:rsidRPr="00147AD2">
              <w:rPr>
                <w:szCs w:val="24"/>
              </w:rPr>
              <w:t>4.27 ***</w:t>
            </w:r>
          </w:p>
        </w:tc>
        <w:tc>
          <w:tcPr>
            <w:tcW w:w="1349" w:type="dxa"/>
            <w:vAlign w:val="center"/>
          </w:tcPr>
          <w:p w:rsidR="002F3B63" w:rsidRPr="00147AD2" w:rsidRDefault="002F3B63" w:rsidP="002F3B63">
            <w:pPr>
              <w:jc w:val="center"/>
              <w:rPr>
                <w:szCs w:val="24"/>
              </w:rPr>
            </w:pPr>
            <w:r w:rsidRPr="00147AD2">
              <w:rPr>
                <w:szCs w:val="24"/>
              </w:rPr>
              <w:t>-3.06 **</w:t>
            </w:r>
          </w:p>
        </w:tc>
      </w:tr>
      <w:tr w:rsidR="002F3B63" w:rsidTr="002F3B63">
        <w:trPr>
          <w:jc w:val="center"/>
        </w:trPr>
        <w:tc>
          <w:tcPr>
            <w:tcW w:w="1398" w:type="dxa"/>
            <w:vAlign w:val="center"/>
          </w:tcPr>
          <w:p w:rsidR="002F3B63" w:rsidRPr="00147AD2" w:rsidRDefault="002F3B63" w:rsidP="002F3B63">
            <w:pPr>
              <w:jc w:val="center"/>
              <w:rPr>
                <w:szCs w:val="24"/>
              </w:rPr>
            </w:pPr>
            <w:r w:rsidRPr="00147AD2">
              <w:rPr>
                <w:rFonts w:cstheme="minorHAnsi"/>
                <w:b/>
                <w:szCs w:val="24"/>
              </w:rPr>
              <w:t>Ѳ</w:t>
            </w:r>
            <w:r w:rsidRPr="00147AD2">
              <w:rPr>
                <w:rFonts w:cstheme="minorHAnsi"/>
                <w:b/>
                <w:szCs w:val="24"/>
                <w:vertAlign w:val="subscript"/>
              </w:rPr>
              <w:t>s</w:t>
            </w:r>
          </w:p>
        </w:tc>
        <w:tc>
          <w:tcPr>
            <w:tcW w:w="1196" w:type="dxa"/>
            <w:vAlign w:val="center"/>
          </w:tcPr>
          <w:p w:rsidR="002F3B63" w:rsidRPr="00147AD2" w:rsidRDefault="002F3B63" w:rsidP="002F3B63">
            <w:pPr>
              <w:jc w:val="center"/>
              <w:rPr>
                <w:szCs w:val="24"/>
              </w:rPr>
            </w:pPr>
            <w:r w:rsidRPr="00147AD2">
              <w:rPr>
                <w:szCs w:val="24"/>
              </w:rPr>
              <w:t>cm</w:t>
            </w:r>
            <w:r w:rsidRPr="00147AD2">
              <w:rPr>
                <w:szCs w:val="24"/>
                <w:vertAlign w:val="superscript"/>
              </w:rPr>
              <w:t>3</w:t>
            </w:r>
            <w:r w:rsidRPr="00147AD2">
              <w:rPr>
                <w:szCs w:val="24"/>
              </w:rPr>
              <w:t>/cm</w:t>
            </w:r>
            <w:r w:rsidRPr="00147AD2">
              <w:rPr>
                <w:szCs w:val="24"/>
                <w:vertAlign w:val="superscript"/>
              </w:rPr>
              <w:t>3</w:t>
            </w:r>
          </w:p>
        </w:tc>
        <w:tc>
          <w:tcPr>
            <w:tcW w:w="917" w:type="dxa"/>
            <w:vAlign w:val="center"/>
          </w:tcPr>
          <w:p w:rsidR="002F3B63" w:rsidRPr="00147AD2" w:rsidRDefault="002F3B63" w:rsidP="002F3B63">
            <w:pPr>
              <w:jc w:val="center"/>
              <w:rPr>
                <w:szCs w:val="24"/>
              </w:rPr>
            </w:pPr>
            <w:r w:rsidRPr="00147AD2">
              <w:rPr>
                <w:szCs w:val="24"/>
              </w:rPr>
              <w:t>115</w:t>
            </w:r>
          </w:p>
        </w:tc>
        <w:tc>
          <w:tcPr>
            <w:tcW w:w="1294" w:type="dxa"/>
            <w:vAlign w:val="center"/>
          </w:tcPr>
          <w:p w:rsidR="002F3B63" w:rsidRPr="00147AD2" w:rsidRDefault="002F3B63" w:rsidP="002F3B63">
            <w:pPr>
              <w:jc w:val="center"/>
              <w:rPr>
                <w:szCs w:val="24"/>
              </w:rPr>
            </w:pPr>
            <w:r w:rsidRPr="00147AD2">
              <w:rPr>
                <w:szCs w:val="24"/>
              </w:rPr>
              <w:t>-11.6 ***</w:t>
            </w:r>
          </w:p>
        </w:tc>
        <w:tc>
          <w:tcPr>
            <w:tcW w:w="1083" w:type="dxa"/>
            <w:vAlign w:val="center"/>
          </w:tcPr>
          <w:p w:rsidR="002F3B63" w:rsidRPr="00147AD2" w:rsidRDefault="002F3B63" w:rsidP="002F3B63">
            <w:pPr>
              <w:jc w:val="center"/>
              <w:rPr>
                <w:szCs w:val="24"/>
              </w:rPr>
            </w:pPr>
            <w:r w:rsidRPr="00147AD2">
              <w:rPr>
                <w:szCs w:val="24"/>
              </w:rPr>
              <w:t>NS</w:t>
            </w:r>
          </w:p>
        </w:tc>
        <w:tc>
          <w:tcPr>
            <w:tcW w:w="1167" w:type="dxa"/>
            <w:vAlign w:val="center"/>
          </w:tcPr>
          <w:p w:rsidR="002F3B63" w:rsidRPr="00147AD2" w:rsidRDefault="002F3B63" w:rsidP="002F3B63">
            <w:pPr>
              <w:jc w:val="center"/>
              <w:rPr>
                <w:szCs w:val="24"/>
              </w:rPr>
            </w:pPr>
            <w:r w:rsidRPr="00147AD2">
              <w:rPr>
                <w:szCs w:val="24"/>
              </w:rPr>
              <w:t>NS</w:t>
            </w:r>
          </w:p>
        </w:tc>
        <w:tc>
          <w:tcPr>
            <w:tcW w:w="1170" w:type="dxa"/>
            <w:vAlign w:val="center"/>
          </w:tcPr>
          <w:p w:rsidR="002F3B63" w:rsidRPr="00147AD2" w:rsidRDefault="002F3B63" w:rsidP="002F3B63">
            <w:pPr>
              <w:jc w:val="center"/>
              <w:rPr>
                <w:szCs w:val="24"/>
              </w:rPr>
            </w:pPr>
            <w:r w:rsidRPr="00147AD2">
              <w:rPr>
                <w:szCs w:val="24"/>
              </w:rPr>
              <w:t>11.2 ***</w:t>
            </w:r>
          </w:p>
        </w:tc>
        <w:tc>
          <w:tcPr>
            <w:tcW w:w="1349" w:type="dxa"/>
            <w:vAlign w:val="center"/>
          </w:tcPr>
          <w:p w:rsidR="002F3B63" w:rsidRPr="00147AD2" w:rsidRDefault="002F3B63" w:rsidP="002F3B63">
            <w:pPr>
              <w:jc w:val="center"/>
              <w:rPr>
                <w:szCs w:val="24"/>
              </w:rPr>
            </w:pPr>
            <w:r w:rsidRPr="00147AD2">
              <w:rPr>
                <w:szCs w:val="24"/>
              </w:rPr>
              <w:t>NS</w:t>
            </w:r>
          </w:p>
        </w:tc>
      </w:tr>
    </w:tbl>
    <w:p w:rsidR="002F3B63" w:rsidRDefault="002F3B63" w:rsidP="002F3B63">
      <w:pPr>
        <w:pStyle w:val="Caption"/>
      </w:pPr>
      <w:bookmarkStart w:id="75" w:name="_Toc425427076"/>
      <w:r>
        <w:t xml:space="preserve">Table </w:t>
      </w:r>
      <w:fldSimple w:instr=" SEQ Table \* ARABIC ">
        <w:r w:rsidR="00885C9E">
          <w:rPr>
            <w:noProof/>
          </w:rPr>
          <w:t>20</w:t>
        </w:r>
      </w:fldSimple>
      <w:r>
        <w:t>: t-values used to identify specific trend directions for the CV data set</w:t>
      </w:r>
      <w:bookmarkEnd w:id="75"/>
    </w:p>
    <w:p w:rsidR="002F3B63" w:rsidRPr="00686053" w:rsidRDefault="002F3B63" w:rsidP="002F3B63"/>
    <w:tbl>
      <w:tblPr>
        <w:tblStyle w:val="TableGrid"/>
        <w:tblW w:w="0" w:type="auto"/>
        <w:tblLayout w:type="fixed"/>
        <w:tblLook w:val="04A0"/>
      </w:tblPr>
      <w:tblGrid>
        <w:gridCol w:w="1398"/>
        <w:gridCol w:w="1193"/>
        <w:gridCol w:w="937"/>
        <w:gridCol w:w="1350"/>
        <w:gridCol w:w="1260"/>
        <w:gridCol w:w="1350"/>
      </w:tblGrid>
      <w:tr w:rsidR="00147AD2" w:rsidTr="002F3B63">
        <w:tc>
          <w:tcPr>
            <w:tcW w:w="1398" w:type="dxa"/>
            <w:vAlign w:val="center"/>
          </w:tcPr>
          <w:p w:rsidR="00147AD2" w:rsidRPr="00147AD2" w:rsidRDefault="00147AD2" w:rsidP="002F3B63">
            <w:pPr>
              <w:jc w:val="center"/>
              <w:rPr>
                <w:b/>
                <w:szCs w:val="24"/>
              </w:rPr>
            </w:pPr>
            <w:r w:rsidRPr="00147AD2">
              <w:rPr>
                <w:b/>
                <w:szCs w:val="24"/>
              </w:rPr>
              <w:lastRenderedPageBreak/>
              <w:t>Parameter</w:t>
            </w:r>
          </w:p>
        </w:tc>
        <w:tc>
          <w:tcPr>
            <w:tcW w:w="1193" w:type="dxa"/>
            <w:vAlign w:val="center"/>
          </w:tcPr>
          <w:p w:rsidR="00147AD2" w:rsidRPr="00147AD2" w:rsidRDefault="00147AD2" w:rsidP="002F3B63">
            <w:pPr>
              <w:jc w:val="center"/>
              <w:rPr>
                <w:b/>
                <w:szCs w:val="24"/>
              </w:rPr>
            </w:pPr>
            <w:r w:rsidRPr="00147AD2">
              <w:rPr>
                <w:b/>
                <w:szCs w:val="24"/>
              </w:rPr>
              <w:t>Unit</w:t>
            </w:r>
          </w:p>
        </w:tc>
        <w:tc>
          <w:tcPr>
            <w:tcW w:w="937" w:type="dxa"/>
            <w:vAlign w:val="center"/>
          </w:tcPr>
          <w:p w:rsidR="00147AD2" w:rsidRPr="00147AD2" w:rsidRDefault="00147AD2" w:rsidP="002F3B63">
            <w:pPr>
              <w:jc w:val="center"/>
              <w:rPr>
                <w:b/>
                <w:szCs w:val="24"/>
              </w:rPr>
            </w:pPr>
            <w:r w:rsidRPr="00147AD2">
              <w:rPr>
                <w:b/>
                <w:szCs w:val="24"/>
              </w:rPr>
              <w:t>N</w:t>
            </w:r>
          </w:p>
        </w:tc>
        <w:tc>
          <w:tcPr>
            <w:tcW w:w="1350" w:type="dxa"/>
            <w:vAlign w:val="center"/>
          </w:tcPr>
          <w:p w:rsidR="00147AD2" w:rsidRPr="00147AD2" w:rsidRDefault="00147AD2" w:rsidP="002F3B63">
            <w:pPr>
              <w:jc w:val="center"/>
              <w:rPr>
                <w:b/>
                <w:szCs w:val="24"/>
              </w:rPr>
            </w:pPr>
            <w:r w:rsidRPr="00147AD2">
              <w:rPr>
                <w:b/>
                <w:szCs w:val="24"/>
              </w:rPr>
              <w:t>Mean</w:t>
            </w:r>
          </w:p>
        </w:tc>
        <w:tc>
          <w:tcPr>
            <w:tcW w:w="1260" w:type="dxa"/>
            <w:vAlign w:val="center"/>
          </w:tcPr>
          <w:p w:rsidR="00147AD2" w:rsidRPr="00147AD2" w:rsidRDefault="00147AD2" w:rsidP="002F3B63">
            <w:pPr>
              <w:jc w:val="center"/>
              <w:rPr>
                <w:b/>
                <w:szCs w:val="24"/>
              </w:rPr>
            </w:pPr>
            <w:r w:rsidRPr="00147AD2">
              <w:rPr>
                <w:b/>
                <w:szCs w:val="24"/>
              </w:rPr>
              <w:t>Median</w:t>
            </w:r>
          </w:p>
        </w:tc>
        <w:tc>
          <w:tcPr>
            <w:tcW w:w="1350" w:type="dxa"/>
            <w:vAlign w:val="center"/>
          </w:tcPr>
          <w:p w:rsidR="00147AD2" w:rsidRPr="00147AD2" w:rsidRDefault="00147AD2" w:rsidP="002F3B63">
            <w:pPr>
              <w:jc w:val="center"/>
              <w:rPr>
                <w:b/>
                <w:szCs w:val="24"/>
              </w:rPr>
            </w:pPr>
            <w:r w:rsidRPr="00147AD2">
              <w:rPr>
                <w:b/>
                <w:szCs w:val="24"/>
              </w:rPr>
              <w:t>Standard Deviation</w:t>
            </w:r>
          </w:p>
        </w:tc>
      </w:tr>
      <w:tr w:rsidR="00147AD2" w:rsidTr="002F3B63">
        <w:tc>
          <w:tcPr>
            <w:tcW w:w="1398" w:type="dxa"/>
            <w:vAlign w:val="center"/>
          </w:tcPr>
          <w:p w:rsidR="00147AD2" w:rsidRPr="00147AD2" w:rsidRDefault="00147AD2" w:rsidP="002F3B63">
            <w:pPr>
              <w:jc w:val="center"/>
              <w:rPr>
                <w:szCs w:val="24"/>
              </w:rPr>
            </w:pPr>
            <w:r w:rsidRPr="00147AD2">
              <w:rPr>
                <w:rFonts w:cstheme="minorHAnsi"/>
                <w:b/>
                <w:szCs w:val="24"/>
              </w:rPr>
              <w:t>ψ</w:t>
            </w:r>
            <w:r w:rsidRPr="00147AD2">
              <w:rPr>
                <w:rFonts w:cstheme="minorHAnsi"/>
                <w:b/>
                <w:szCs w:val="24"/>
                <w:vertAlign w:val="subscript"/>
              </w:rPr>
              <w:t>a</w:t>
            </w:r>
          </w:p>
        </w:tc>
        <w:tc>
          <w:tcPr>
            <w:tcW w:w="1193" w:type="dxa"/>
            <w:vAlign w:val="center"/>
          </w:tcPr>
          <w:p w:rsidR="00147AD2" w:rsidRPr="00147AD2" w:rsidRDefault="00147AD2" w:rsidP="002F3B63">
            <w:pPr>
              <w:jc w:val="center"/>
              <w:rPr>
                <w:szCs w:val="24"/>
              </w:rPr>
            </w:pPr>
            <w:r w:rsidRPr="00147AD2">
              <w:rPr>
                <w:szCs w:val="24"/>
              </w:rPr>
              <w:t>cm</w:t>
            </w:r>
          </w:p>
        </w:tc>
        <w:tc>
          <w:tcPr>
            <w:tcW w:w="937" w:type="dxa"/>
            <w:vAlign w:val="center"/>
          </w:tcPr>
          <w:p w:rsidR="00147AD2" w:rsidRPr="00147AD2" w:rsidRDefault="00147AD2" w:rsidP="002F3B63">
            <w:pPr>
              <w:jc w:val="center"/>
              <w:rPr>
                <w:szCs w:val="24"/>
              </w:rPr>
            </w:pPr>
            <w:r w:rsidRPr="00147AD2">
              <w:rPr>
                <w:szCs w:val="24"/>
              </w:rPr>
              <w:t>115</w:t>
            </w:r>
          </w:p>
        </w:tc>
        <w:tc>
          <w:tcPr>
            <w:tcW w:w="1350" w:type="dxa"/>
            <w:vAlign w:val="center"/>
          </w:tcPr>
          <w:p w:rsidR="00147AD2" w:rsidRPr="00147AD2" w:rsidRDefault="00147AD2" w:rsidP="002F3B63">
            <w:pPr>
              <w:jc w:val="center"/>
              <w:rPr>
                <w:szCs w:val="24"/>
              </w:rPr>
            </w:pPr>
            <w:r w:rsidRPr="00147AD2">
              <w:rPr>
                <w:szCs w:val="24"/>
              </w:rPr>
              <w:t>2.09e-18</w:t>
            </w:r>
          </w:p>
        </w:tc>
        <w:tc>
          <w:tcPr>
            <w:tcW w:w="1260" w:type="dxa"/>
            <w:vAlign w:val="center"/>
          </w:tcPr>
          <w:p w:rsidR="00147AD2" w:rsidRPr="00147AD2" w:rsidRDefault="00147AD2" w:rsidP="002F3B63">
            <w:pPr>
              <w:jc w:val="center"/>
              <w:rPr>
                <w:szCs w:val="24"/>
              </w:rPr>
            </w:pPr>
            <w:r w:rsidRPr="00147AD2">
              <w:rPr>
                <w:szCs w:val="24"/>
              </w:rPr>
              <w:t>2.78e-2</w:t>
            </w:r>
          </w:p>
        </w:tc>
        <w:tc>
          <w:tcPr>
            <w:tcW w:w="1350" w:type="dxa"/>
            <w:vAlign w:val="center"/>
          </w:tcPr>
          <w:p w:rsidR="00147AD2" w:rsidRPr="00147AD2" w:rsidRDefault="00147AD2" w:rsidP="002F3B63">
            <w:pPr>
              <w:jc w:val="center"/>
              <w:rPr>
                <w:szCs w:val="24"/>
              </w:rPr>
            </w:pPr>
            <w:r w:rsidRPr="00147AD2">
              <w:rPr>
                <w:szCs w:val="24"/>
              </w:rPr>
              <w:t>0.391</w:t>
            </w:r>
          </w:p>
        </w:tc>
      </w:tr>
      <w:tr w:rsidR="00147AD2" w:rsidTr="002F3B63">
        <w:tc>
          <w:tcPr>
            <w:tcW w:w="1398" w:type="dxa"/>
            <w:vAlign w:val="center"/>
          </w:tcPr>
          <w:p w:rsidR="00147AD2" w:rsidRPr="00147AD2" w:rsidRDefault="00147AD2" w:rsidP="002F3B63">
            <w:pPr>
              <w:jc w:val="center"/>
              <w:rPr>
                <w:szCs w:val="24"/>
              </w:rPr>
            </w:pPr>
            <w:r w:rsidRPr="00147AD2">
              <w:rPr>
                <w:rFonts w:cstheme="minorHAnsi"/>
                <w:b/>
                <w:szCs w:val="24"/>
              </w:rPr>
              <w:t>Ѳ</w:t>
            </w:r>
            <w:r w:rsidRPr="00147AD2">
              <w:rPr>
                <w:rFonts w:cstheme="minorHAnsi"/>
                <w:b/>
                <w:szCs w:val="24"/>
                <w:vertAlign w:val="subscript"/>
              </w:rPr>
              <w:t>s</w:t>
            </w:r>
          </w:p>
        </w:tc>
        <w:tc>
          <w:tcPr>
            <w:tcW w:w="1193" w:type="dxa"/>
            <w:vAlign w:val="center"/>
          </w:tcPr>
          <w:p w:rsidR="00147AD2" w:rsidRPr="00147AD2" w:rsidRDefault="00147AD2" w:rsidP="002F3B63">
            <w:pPr>
              <w:jc w:val="center"/>
              <w:rPr>
                <w:szCs w:val="24"/>
              </w:rPr>
            </w:pPr>
            <w:r w:rsidRPr="00147AD2">
              <w:rPr>
                <w:szCs w:val="24"/>
              </w:rPr>
              <w:t>cm</w:t>
            </w:r>
            <w:r w:rsidRPr="00147AD2">
              <w:rPr>
                <w:szCs w:val="24"/>
                <w:vertAlign w:val="superscript"/>
              </w:rPr>
              <w:t>3</w:t>
            </w:r>
            <w:r w:rsidRPr="00147AD2">
              <w:rPr>
                <w:szCs w:val="24"/>
              </w:rPr>
              <w:t>/cm</w:t>
            </w:r>
            <w:r w:rsidRPr="00147AD2">
              <w:rPr>
                <w:szCs w:val="24"/>
                <w:vertAlign w:val="superscript"/>
              </w:rPr>
              <w:t>3</w:t>
            </w:r>
          </w:p>
        </w:tc>
        <w:tc>
          <w:tcPr>
            <w:tcW w:w="937" w:type="dxa"/>
            <w:vAlign w:val="center"/>
          </w:tcPr>
          <w:p w:rsidR="00147AD2" w:rsidRPr="00147AD2" w:rsidRDefault="00147AD2" w:rsidP="002F3B63">
            <w:pPr>
              <w:jc w:val="center"/>
              <w:rPr>
                <w:szCs w:val="24"/>
              </w:rPr>
            </w:pPr>
            <w:r w:rsidRPr="00147AD2">
              <w:rPr>
                <w:szCs w:val="24"/>
              </w:rPr>
              <w:t>115</w:t>
            </w:r>
          </w:p>
        </w:tc>
        <w:tc>
          <w:tcPr>
            <w:tcW w:w="1350" w:type="dxa"/>
            <w:vAlign w:val="center"/>
          </w:tcPr>
          <w:p w:rsidR="00147AD2" w:rsidRPr="00147AD2" w:rsidRDefault="00147AD2" w:rsidP="002F3B63">
            <w:pPr>
              <w:jc w:val="center"/>
              <w:rPr>
                <w:szCs w:val="24"/>
              </w:rPr>
            </w:pPr>
            <w:r w:rsidRPr="00147AD2">
              <w:rPr>
                <w:szCs w:val="24"/>
              </w:rPr>
              <w:t>4.44e-18</w:t>
            </w:r>
          </w:p>
        </w:tc>
        <w:tc>
          <w:tcPr>
            <w:tcW w:w="1260" w:type="dxa"/>
            <w:vAlign w:val="center"/>
          </w:tcPr>
          <w:p w:rsidR="00147AD2" w:rsidRPr="00147AD2" w:rsidRDefault="00147AD2" w:rsidP="002F3B63">
            <w:pPr>
              <w:jc w:val="center"/>
              <w:rPr>
                <w:szCs w:val="24"/>
              </w:rPr>
            </w:pPr>
            <w:r w:rsidRPr="00147AD2">
              <w:rPr>
                <w:szCs w:val="24"/>
              </w:rPr>
              <w:t>2.89e-3</w:t>
            </w:r>
          </w:p>
        </w:tc>
        <w:tc>
          <w:tcPr>
            <w:tcW w:w="1350" w:type="dxa"/>
            <w:vAlign w:val="center"/>
          </w:tcPr>
          <w:p w:rsidR="00147AD2" w:rsidRPr="00147AD2" w:rsidRDefault="00147AD2" w:rsidP="002F3B63">
            <w:pPr>
              <w:jc w:val="center"/>
              <w:rPr>
                <w:szCs w:val="24"/>
              </w:rPr>
            </w:pPr>
            <w:r w:rsidRPr="00147AD2">
              <w:rPr>
                <w:szCs w:val="24"/>
              </w:rPr>
              <w:t>1.91e-2</w:t>
            </w:r>
          </w:p>
        </w:tc>
      </w:tr>
    </w:tbl>
    <w:p w:rsidR="006A17D7" w:rsidRDefault="002F3B63" w:rsidP="00147AD2">
      <w:pPr>
        <w:pStyle w:val="Caption"/>
      </w:pPr>
      <w:bookmarkStart w:id="76" w:name="_Toc425427077"/>
      <w:r>
        <w:t xml:space="preserve">Table </w:t>
      </w:r>
      <w:fldSimple w:instr=" SEQ Table \* ARABIC ">
        <w:r w:rsidR="00885C9E">
          <w:rPr>
            <w:noProof/>
          </w:rPr>
          <w:t>21</w:t>
        </w:r>
      </w:fldSimple>
      <w:r>
        <w:t>: Descriptive statistics of trend surface residuals computed for the CV data set</w:t>
      </w:r>
      <w:bookmarkEnd w:id="76"/>
    </w:p>
    <w:p w:rsidR="006A17D7" w:rsidRPr="00686053" w:rsidRDefault="006A17D7" w:rsidP="002F3B63"/>
    <w:tbl>
      <w:tblPr>
        <w:tblStyle w:val="TableGrid"/>
        <w:tblW w:w="0" w:type="auto"/>
        <w:tblLayout w:type="fixed"/>
        <w:tblLook w:val="04A0"/>
      </w:tblPr>
      <w:tblGrid>
        <w:gridCol w:w="1398"/>
        <w:gridCol w:w="1193"/>
        <w:gridCol w:w="1169"/>
        <w:gridCol w:w="1028"/>
      </w:tblGrid>
      <w:tr w:rsidR="002F3B63" w:rsidTr="002F3B63">
        <w:tc>
          <w:tcPr>
            <w:tcW w:w="1398" w:type="dxa"/>
            <w:vAlign w:val="center"/>
          </w:tcPr>
          <w:p w:rsidR="002F3B63" w:rsidRPr="00147AD2" w:rsidRDefault="002F3B63" w:rsidP="002F3B63">
            <w:pPr>
              <w:jc w:val="center"/>
              <w:rPr>
                <w:b/>
                <w:szCs w:val="24"/>
              </w:rPr>
            </w:pPr>
            <w:r w:rsidRPr="00147AD2">
              <w:rPr>
                <w:b/>
                <w:szCs w:val="24"/>
              </w:rPr>
              <w:t>Parameter</w:t>
            </w:r>
          </w:p>
        </w:tc>
        <w:tc>
          <w:tcPr>
            <w:tcW w:w="1193" w:type="dxa"/>
            <w:vAlign w:val="center"/>
          </w:tcPr>
          <w:p w:rsidR="002F3B63" w:rsidRPr="00147AD2" w:rsidRDefault="002F3B63" w:rsidP="002F3B63">
            <w:pPr>
              <w:jc w:val="center"/>
              <w:rPr>
                <w:b/>
                <w:szCs w:val="24"/>
              </w:rPr>
            </w:pPr>
            <w:r w:rsidRPr="00147AD2">
              <w:rPr>
                <w:b/>
                <w:szCs w:val="24"/>
              </w:rPr>
              <w:t>Unit</w:t>
            </w:r>
          </w:p>
        </w:tc>
        <w:tc>
          <w:tcPr>
            <w:tcW w:w="1169" w:type="dxa"/>
            <w:vAlign w:val="center"/>
          </w:tcPr>
          <w:p w:rsidR="002F3B63" w:rsidRPr="00147AD2" w:rsidRDefault="002F3B63" w:rsidP="002F3B63">
            <w:pPr>
              <w:jc w:val="center"/>
              <w:rPr>
                <w:b/>
                <w:szCs w:val="24"/>
              </w:rPr>
            </w:pPr>
            <w:r w:rsidRPr="00147AD2">
              <w:rPr>
                <w:b/>
                <w:szCs w:val="24"/>
              </w:rPr>
              <w:t>N</w:t>
            </w:r>
          </w:p>
        </w:tc>
        <w:tc>
          <w:tcPr>
            <w:tcW w:w="1028" w:type="dxa"/>
            <w:vAlign w:val="center"/>
          </w:tcPr>
          <w:p w:rsidR="002F3B63" w:rsidRPr="00147AD2" w:rsidRDefault="002F3B63" w:rsidP="002F3B63">
            <w:pPr>
              <w:jc w:val="center"/>
              <w:rPr>
                <w:b/>
                <w:szCs w:val="24"/>
              </w:rPr>
            </w:pPr>
            <w:r w:rsidRPr="00147AD2">
              <w:rPr>
                <w:b/>
                <w:szCs w:val="24"/>
              </w:rPr>
              <w:t>W</w:t>
            </w:r>
          </w:p>
        </w:tc>
      </w:tr>
      <w:tr w:rsidR="002F3B63" w:rsidTr="002F3B63">
        <w:tc>
          <w:tcPr>
            <w:tcW w:w="1398" w:type="dxa"/>
            <w:vAlign w:val="center"/>
          </w:tcPr>
          <w:p w:rsidR="002F3B63" w:rsidRPr="00147AD2" w:rsidRDefault="002F3B63" w:rsidP="002F3B63">
            <w:pPr>
              <w:jc w:val="center"/>
              <w:rPr>
                <w:szCs w:val="24"/>
              </w:rPr>
            </w:pPr>
            <w:r w:rsidRPr="00147AD2">
              <w:rPr>
                <w:rFonts w:cstheme="minorHAnsi"/>
                <w:b/>
                <w:szCs w:val="24"/>
              </w:rPr>
              <w:t>ψ</w:t>
            </w:r>
            <w:r w:rsidRPr="00147AD2">
              <w:rPr>
                <w:rFonts w:cstheme="minorHAnsi"/>
                <w:b/>
                <w:szCs w:val="24"/>
                <w:vertAlign w:val="subscript"/>
              </w:rPr>
              <w:t>a</w:t>
            </w:r>
          </w:p>
        </w:tc>
        <w:tc>
          <w:tcPr>
            <w:tcW w:w="1193" w:type="dxa"/>
            <w:vAlign w:val="center"/>
          </w:tcPr>
          <w:p w:rsidR="002F3B63" w:rsidRPr="00147AD2" w:rsidRDefault="002F3B63" w:rsidP="002F3B63">
            <w:pPr>
              <w:jc w:val="center"/>
              <w:rPr>
                <w:szCs w:val="24"/>
              </w:rPr>
            </w:pPr>
            <w:r w:rsidRPr="00147AD2">
              <w:rPr>
                <w:szCs w:val="24"/>
              </w:rPr>
              <w:t>cm</w:t>
            </w:r>
          </w:p>
        </w:tc>
        <w:tc>
          <w:tcPr>
            <w:tcW w:w="1169" w:type="dxa"/>
            <w:vAlign w:val="center"/>
          </w:tcPr>
          <w:p w:rsidR="002F3B63" w:rsidRPr="00147AD2" w:rsidRDefault="002F3B63" w:rsidP="002F3B63">
            <w:pPr>
              <w:jc w:val="center"/>
              <w:rPr>
                <w:szCs w:val="24"/>
              </w:rPr>
            </w:pPr>
            <w:r w:rsidRPr="00147AD2">
              <w:rPr>
                <w:szCs w:val="24"/>
              </w:rPr>
              <w:t>115</w:t>
            </w:r>
          </w:p>
        </w:tc>
        <w:tc>
          <w:tcPr>
            <w:tcW w:w="1028" w:type="dxa"/>
            <w:vAlign w:val="center"/>
          </w:tcPr>
          <w:p w:rsidR="002F3B63" w:rsidRPr="00147AD2" w:rsidRDefault="002F3B63" w:rsidP="002F3B63">
            <w:pPr>
              <w:jc w:val="center"/>
              <w:rPr>
                <w:szCs w:val="24"/>
              </w:rPr>
            </w:pPr>
            <w:r w:rsidRPr="00147AD2">
              <w:rPr>
                <w:szCs w:val="24"/>
              </w:rPr>
              <w:t>0.984</w:t>
            </w:r>
          </w:p>
        </w:tc>
      </w:tr>
      <w:tr w:rsidR="002F3B63" w:rsidTr="002F3B63">
        <w:tc>
          <w:tcPr>
            <w:tcW w:w="1398" w:type="dxa"/>
            <w:vAlign w:val="center"/>
          </w:tcPr>
          <w:p w:rsidR="002F3B63" w:rsidRPr="00147AD2" w:rsidRDefault="002F3B63" w:rsidP="002F3B63">
            <w:pPr>
              <w:jc w:val="center"/>
              <w:rPr>
                <w:szCs w:val="24"/>
              </w:rPr>
            </w:pPr>
            <w:r w:rsidRPr="00147AD2">
              <w:rPr>
                <w:rFonts w:cstheme="minorHAnsi"/>
                <w:b/>
                <w:szCs w:val="24"/>
              </w:rPr>
              <w:t>Ѳ</w:t>
            </w:r>
            <w:r w:rsidRPr="00147AD2">
              <w:rPr>
                <w:rFonts w:cstheme="minorHAnsi"/>
                <w:b/>
                <w:szCs w:val="24"/>
                <w:vertAlign w:val="subscript"/>
              </w:rPr>
              <w:t>s</w:t>
            </w:r>
          </w:p>
        </w:tc>
        <w:tc>
          <w:tcPr>
            <w:tcW w:w="1193" w:type="dxa"/>
            <w:vAlign w:val="center"/>
          </w:tcPr>
          <w:p w:rsidR="002F3B63" w:rsidRPr="00147AD2" w:rsidRDefault="002F3B63" w:rsidP="002F3B63">
            <w:pPr>
              <w:jc w:val="center"/>
              <w:rPr>
                <w:szCs w:val="24"/>
              </w:rPr>
            </w:pPr>
            <w:r w:rsidRPr="00147AD2">
              <w:rPr>
                <w:szCs w:val="24"/>
              </w:rPr>
              <w:t>cm</w:t>
            </w:r>
            <w:r w:rsidRPr="00147AD2">
              <w:rPr>
                <w:szCs w:val="24"/>
                <w:vertAlign w:val="superscript"/>
              </w:rPr>
              <w:t>3</w:t>
            </w:r>
            <w:r w:rsidRPr="00147AD2">
              <w:rPr>
                <w:szCs w:val="24"/>
              </w:rPr>
              <w:t>/cm</w:t>
            </w:r>
            <w:r w:rsidRPr="00147AD2">
              <w:rPr>
                <w:szCs w:val="24"/>
                <w:vertAlign w:val="superscript"/>
              </w:rPr>
              <w:t>3</w:t>
            </w:r>
          </w:p>
        </w:tc>
        <w:tc>
          <w:tcPr>
            <w:tcW w:w="1169" w:type="dxa"/>
            <w:vAlign w:val="center"/>
          </w:tcPr>
          <w:p w:rsidR="002F3B63" w:rsidRPr="00147AD2" w:rsidRDefault="002F3B63" w:rsidP="002F3B63">
            <w:pPr>
              <w:jc w:val="center"/>
              <w:rPr>
                <w:szCs w:val="24"/>
              </w:rPr>
            </w:pPr>
            <w:r w:rsidRPr="00147AD2">
              <w:rPr>
                <w:szCs w:val="24"/>
              </w:rPr>
              <w:t>115</w:t>
            </w:r>
          </w:p>
        </w:tc>
        <w:tc>
          <w:tcPr>
            <w:tcW w:w="1028" w:type="dxa"/>
            <w:vAlign w:val="center"/>
          </w:tcPr>
          <w:p w:rsidR="002F3B63" w:rsidRPr="00147AD2" w:rsidRDefault="002F3B63" w:rsidP="002F3B63">
            <w:pPr>
              <w:jc w:val="center"/>
              <w:rPr>
                <w:szCs w:val="24"/>
              </w:rPr>
            </w:pPr>
            <w:r w:rsidRPr="00147AD2">
              <w:rPr>
                <w:szCs w:val="24"/>
              </w:rPr>
              <w:t>0.976 *</w:t>
            </w:r>
          </w:p>
        </w:tc>
      </w:tr>
    </w:tbl>
    <w:p w:rsidR="002F3B63" w:rsidRDefault="002F3B63" w:rsidP="002F3B63">
      <w:pPr>
        <w:pStyle w:val="Caption"/>
      </w:pPr>
      <w:bookmarkStart w:id="77" w:name="_Toc425427078"/>
      <w:r>
        <w:t xml:space="preserve">Table </w:t>
      </w:r>
      <w:fldSimple w:instr=" SEQ Table \* ARABIC ">
        <w:r w:rsidR="00885C9E">
          <w:rPr>
            <w:noProof/>
          </w:rPr>
          <w:t>22</w:t>
        </w:r>
      </w:fldSimple>
      <w:r>
        <w:t xml:space="preserve">: SW </w:t>
      </w:r>
      <w:r w:rsidRPr="000214DC">
        <w:rPr>
          <w:i/>
        </w:rPr>
        <w:t>W</w:t>
      </w:r>
      <w:r>
        <w:t xml:space="preserve"> statistic and significance level for the CV data set residuals</w:t>
      </w:r>
      <w:bookmarkEnd w:id="77"/>
      <w:r>
        <w:t xml:space="preserve"> </w:t>
      </w:r>
    </w:p>
    <w:p w:rsidR="002F3B63" w:rsidRPr="00686053" w:rsidRDefault="002F3B63" w:rsidP="002F3B63"/>
    <w:tbl>
      <w:tblPr>
        <w:tblStyle w:val="TableGrid"/>
        <w:tblW w:w="9198" w:type="dxa"/>
        <w:tblLayout w:type="fixed"/>
        <w:tblLook w:val="04A0"/>
      </w:tblPr>
      <w:tblGrid>
        <w:gridCol w:w="1458"/>
        <w:gridCol w:w="990"/>
        <w:gridCol w:w="1170"/>
        <w:gridCol w:w="1080"/>
        <w:gridCol w:w="990"/>
        <w:gridCol w:w="900"/>
        <w:gridCol w:w="810"/>
        <w:gridCol w:w="990"/>
        <w:gridCol w:w="810"/>
      </w:tblGrid>
      <w:tr w:rsidR="00FC0169" w:rsidRPr="000C0064" w:rsidTr="00FC0169">
        <w:trPr>
          <w:trHeight w:val="665"/>
        </w:trPr>
        <w:tc>
          <w:tcPr>
            <w:tcW w:w="1458" w:type="dxa"/>
            <w:vAlign w:val="center"/>
          </w:tcPr>
          <w:p w:rsidR="00FC0169" w:rsidRPr="00147AD2" w:rsidRDefault="00FC0169" w:rsidP="00FC0169">
            <w:pPr>
              <w:jc w:val="center"/>
              <w:rPr>
                <w:b/>
                <w:szCs w:val="24"/>
              </w:rPr>
            </w:pPr>
            <w:r w:rsidRPr="00147AD2">
              <w:rPr>
                <w:b/>
                <w:szCs w:val="24"/>
              </w:rPr>
              <w:t>Parameters</w:t>
            </w:r>
          </w:p>
        </w:tc>
        <w:tc>
          <w:tcPr>
            <w:tcW w:w="990" w:type="dxa"/>
            <w:vAlign w:val="center"/>
          </w:tcPr>
          <w:p w:rsidR="00FC0169" w:rsidRPr="00147AD2" w:rsidRDefault="00FC0169" w:rsidP="00FC0169">
            <w:pPr>
              <w:jc w:val="center"/>
              <w:rPr>
                <w:b/>
                <w:szCs w:val="24"/>
              </w:rPr>
            </w:pPr>
            <w:r>
              <w:rPr>
                <w:b/>
                <w:szCs w:val="24"/>
              </w:rPr>
              <w:t>Unit</w:t>
            </w:r>
          </w:p>
        </w:tc>
        <w:tc>
          <w:tcPr>
            <w:tcW w:w="1170" w:type="dxa"/>
            <w:vAlign w:val="center"/>
          </w:tcPr>
          <w:p w:rsidR="00FC0169" w:rsidRPr="00147AD2" w:rsidRDefault="00FC0169" w:rsidP="00FC0169">
            <w:pPr>
              <w:jc w:val="center"/>
              <w:rPr>
                <w:b/>
                <w:szCs w:val="24"/>
              </w:rPr>
            </w:pPr>
            <w:r w:rsidRPr="00147AD2">
              <w:rPr>
                <w:b/>
                <w:szCs w:val="24"/>
              </w:rPr>
              <w:t>Model</w:t>
            </w:r>
          </w:p>
        </w:tc>
        <w:tc>
          <w:tcPr>
            <w:tcW w:w="1080" w:type="dxa"/>
            <w:vAlign w:val="center"/>
          </w:tcPr>
          <w:p w:rsidR="00FC0169" w:rsidRPr="00147AD2" w:rsidRDefault="00FC0169" w:rsidP="00FC0169">
            <w:pPr>
              <w:jc w:val="center"/>
              <w:rPr>
                <w:b/>
                <w:szCs w:val="24"/>
              </w:rPr>
            </w:pPr>
            <w:r w:rsidRPr="00147AD2">
              <w:rPr>
                <w:b/>
                <w:szCs w:val="24"/>
              </w:rPr>
              <w:t>Nugget</w:t>
            </w:r>
          </w:p>
        </w:tc>
        <w:tc>
          <w:tcPr>
            <w:tcW w:w="990" w:type="dxa"/>
            <w:vAlign w:val="center"/>
          </w:tcPr>
          <w:p w:rsidR="00FC0169" w:rsidRPr="00147AD2" w:rsidRDefault="00FC0169" w:rsidP="00FC0169">
            <w:pPr>
              <w:jc w:val="center"/>
              <w:rPr>
                <w:b/>
                <w:szCs w:val="24"/>
              </w:rPr>
            </w:pPr>
            <w:r w:rsidRPr="00147AD2">
              <w:rPr>
                <w:b/>
                <w:szCs w:val="24"/>
              </w:rPr>
              <w:t>Sill</w:t>
            </w:r>
          </w:p>
        </w:tc>
        <w:tc>
          <w:tcPr>
            <w:tcW w:w="900" w:type="dxa"/>
            <w:vAlign w:val="center"/>
          </w:tcPr>
          <w:p w:rsidR="00FC0169" w:rsidRDefault="00FC0169" w:rsidP="00FC0169">
            <w:pPr>
              <w:jc w:val="center"/>
              <w:rPr>
                <w:b/>
                <w:szCs w:val="24"/>
              </w:rPr>
            </w:pPr>
            <w:r w:rsidRPr="00147AD2">
              <w:rPr>
                <w:b/>
                <w:szCs w:val="24"/>
              </w:rPr>
              <w:t>Range</w:t>
            </w:r>
          </w:p>
          <w:p w:rsidR="00FC0169" w:rsidRPr="00147AD2" w:rsidRDefault="00FC0169" w:rsidP="00FC0169">
            <w:pPr>
              <w:jc w:val="center"/>
              <w:rPr>
                <w:b/>
                <w:szCs w:val="24"/>
              </w:rPr>
            </w:pPr>
            <w:r>
              <w:rPr>
                <w:b/>
                <w:szCs w:val="24"/>
              </w:rPr>
              <w:t>(mm)</w:t>
            </w:r>
          </w:p>
        </w:tc>
        <w:tc>
          <w:tcPr>
            <w:tcW w:w="810" w:type="dxa"/>
            <w:vAlign w:val="center"/>
          </w:tcPr>
          <w:p w:rsidR="00FC0169" w:rsidRPr="00147AD2" w:rsidRDefault="00FC0169" w:rsidP="00FC0169">
            <w:pPr>
              <w:jc w:val="center"/>
              <w:rPr>
                <w:b/>
                <w:szCs w:val="24"/>
              </w:rPr>
            </w:pPr>
            <w:r w:rsidRPr="00147AD2">
              <w:rPr>
                <w:b/>
                <w:szCs w:val="24"/>
              </w:rPr>
              <w:t>R</w:t>
            </w:r>
            <w:r w:rsidRPr="00147AD2">
              <w:rPr>
                <w:b/>
                <w:szCs w:val="24"/>
                <w:vertAlign w:val="superscript"/>
              </w:rPr>
              <w:t>2</w:t>
            </w:r>
          </w:p>
        </w:tc>
        <w:tc>
          <w:tcPr>
            <w:tcW w:w="990" w:type="dxa"/>
            <w:vAlign w:val="center"/>
          </w:tcPr>
          <w:p w:rsidR="00FC0169" w:rsidRPr="00147AD2" w:rsidRDefault="00FC0169" w:rsidP="00FC0169">
            <w:pPr>
              <w:jc w:val="center"/>
              <w:rPr>
                <w:b/>
                <w:szCs w:val="24"/>
              </w:rPr>
            </w:pPr>
            <w:r w:rsidRPr="00147AD2">
              <w:rPr>
                <w:b/>
                <w:szCs w:val="24"/>
              </w:rPr>
              <w:t>NRMSE</w:t>
            </w:r>
          </w:p>
        </w:tc>
        <w:tc>
          <w:tcPr>
            <w:tcW w:w="810" w:type="dxa"/>
            <w:vAlign w:val="center"/>
          </w:tcPr>
          <w:p w:rsidR="00FC0169" w:rsidRPr="00147AD2" w:rsidRDefault="00FC0169" w:rsidP="00FC0169">
            <w:pPr>
              <w:jc w:val="center"/>
              <w:rPr>
                <w:b/>
                <w:szCs w:val="24"/>
              </w:rPr>
            </w:pPr>
            <w:r w:rsidRPr="00147AD2">
              <w:rPr>
                <w:b/>
                <w:szCs w:val="24"/>
              </w:rPr>
              <w:t>DSD</w:t>
            </w:r>
          </w:p>
        </w:tc>
      </w:tr>
      <w:tr w:rsidR="00FC0169" w:rsidRPr="000C0064" w:rsidTr="00FC0169">
        <w:trPr>
          <w:trHeight w:val="260"/>
        </w:trPr>
        <w:tc>
          <w:tcPr>
            <w:tcW w:w="1458" w:type="dxa"/>
            <w:vAlign w:val="center"/>
          </w:tcPr>
          <w:p w:rsidR="00FC0169" w:rsidRPr="00147AD2" w:rsidRDefault="00FC0169" w:rsidP="002F3B63">
            <w:pPr>
              <w:jc w:val="center"/>
              <w:rPr>
                <w:szCs w:val="24"/>
              </w:rPr>
            </w:pPr>
            <w:r w:rsidRPr="00147AD2">
              <w:rPr>
                <w:rFonts w:cstheme="minorHAnsi"/>
                <w:b/>
                <w:szCs w:val="24"/>
              </w:rPr>
              <w:t>ψ</w:t>
            </w:r>
            <w:r w:rsidRPr="00147AD2">
              <w:rPr>
                <w:rFonts w:cstheme="minorHAnsi"/>
                <w:b/>
                <w:szCs w:val="24"/>
                <w:vertAlign w:val="subscript"/>
              </w:rPr>
              <w:t xml:space="preserve">a </w:t>
            </w:r>
            <w:r w:rsidRPr="00147AD2">
              <w:rPr>
                <w:rFonts w:cstheme="minorHAnsi"/>
                <w:b/>
                <w:szCs w:val="24"/>
              </w:rPr>
              <w:t>vs. Ѳ</w:t>
            </w:r>
            <w:r w:rsidRPr="00147AD2">
              <w:rPr>
                <w:rFonts w:cstheme="minorHAnsi"/>
                <w:b/>
                <w:szCs w:val="24"/>
                <w:vertAlign w:val="subscript"/>
              </w:rPr>
              <w:t>s</w:t>
            </w:r>
          </w:p>
        </w:tc>
        <w:tc>
          <w:tcPr>
            <w:tcW w:w="990" w:type="dxa"/>
          </w:tcPr>
          <w:p w:rsidR="00FC0169" w:rsidRPr="00147AD2" w:rsidRDefault="00FC0169" w:rsidP="002F3B63">
            <w:pPr>
              <w:jc w:val="center"/>
              <w:rPr>
                <w:szCs w:val="24"/>
              </w:rPr>
            </w:pPr>
            <w:r>
              <w:rPr>
                <w:szCs w:val="24"/>
              </w:rPr>
              <w:t>-</w:t>
            </w:r>
          </w:p>
        </w:tc>
        <w:tc>
          <w:tcPr>
            <w:tcW w:w="1170" w:type="dxa"/>
            <w:vAlign w:val="center"/>
          </w:tcPr>
          <w:p w:rsidR="00FC0169" w:rsidRPr="00147AD2" w:rsidRDefault="00FC0169" w:rsidP="002F3B63">
            <w:pPr>
              <w:jc w:val="center"/>
              <w:rPr>
                <w:szCs w:val="24"/>
              </w:rPr>
            </w:pPr>
            <w:r w:rsidRPr="00147AD2">
              <w:rPr>
                <w:szCs w:val="24"/>
              </w:rPr>
              <w:t>Spherical</w:t>
            </w:r>
          </w:p>
        </w:tc>
        <w:tc>
          <w:tcPr>
            <w:tcW w:w="1080" w:type="dxa"/>
            <w:vAlign w:val="center"/>
          </w:tcPr>
          <w:p w:rsidR="00FC0169" w:rsidRPr="00147AD2" w:rsidRDefault="00FC0169" w:rsidP="002F3B63">
            <w:pPr>
              <w:jc w:val="center"/>
              <w:rPr>
                <w:szCs w:val="24"/>
              </w:rPr>
            </w:pPr>
            <w:r w:rsidRPr="00147AD2">
              <w:rPr>
                <w:szCs w:val="24"/>
              </w:rPr>
              <w:t>-2.34e-3</w:t>
            </w:r>
          </w:p>
        </w:tc>
        <w:tc>
          <w:tcPr>
            <w:tcW w:w="990" w:type="dxa"/>
            <w:vAlign w:val="center"/>
          </w:tcPr>
          <w:p w:rsidR="00FC0169" w:rsidRPr="00147AD2" w:rsidRDefault="00FC0169" w:rsidP="002F3B63">
            <w:pPr>
              <w:jc w:val="center"/>
              <w:rPr>
                <w:szCs w:val="24"/>
              </w:rPr>
            </w:pPr>
            <w:r w:rsidRPr="00147AD2">
              <w:rPr>
                <w:szCs w:val="24"/>
              </w:rPr>
              <w:t>1.42e-2</w:t>
            </w:r>
          </w:p>
        </w:tc>
        <w:tc>
          <w:tcPr>
            <w:tcW w:w="900" w:type="dxa"/>
            <w:vAlign w:val="center"/>
          </w:tcPr>
          <w:p w:rsidR="00FC0169" w:rsidRPr="00147AD2" w:rsidRDefault="00FC0169" w:rsidP="002F3B63">
            <w:pPr>
              <w:jc w:val="center"/>
              <w:rPr>
                <w:szCs w:val="24"/>
              </w:rPr>
            </w:pPr>
            <w:r w:rsidRPr="00147AD2">
              <w:rPr>
                <w:szCs w:val="24"/>
              </w:rPr>
              <w:t>15.5</w:t>
            </w:r>
          </w:p>
        </w:tc>
        <w:tc>
          <w:tcPr>
            <w:tcW w:w="810" w:type="dxa"/>
            <w:vAlign w:val="center"/>
          </w:tcPr>
          <w:p w:rsidR="00FC0169" w:rsidRPr="00147AD2" w:rsidRDefault="00FC0169" w:rsidP="002F3B63">
            <w:pPr>
              <w:jc w:val="center"/>
              <w:rPr>
                <w:rFonts w:cs="Calibri"/>
                <w:color w:val="000000"/>
                <w:szCs w:val="24"/>
              </w:rPr>
            </w:pPr>
            <w:r w:rsidRPr="00147AD2">
              <w:rPr>
                <w:rFonts w:cs="Calibri"/>
                <w:color w:val="000000"/>
                <w:szCs w:val="24"/>
              </w:rPr>
              <w:t>0.897</w:t>
            </w:r>
          </w:p>
        </w:tc>
        <w:tc>
          <w:tcPr>
            <w:tcW w:w="990" w:type="dxa"/>
            <w:vAlign w:val="center"/>
          </w:tcPr>
          <w:p w:rsidR="00FC0169" w:rsidRPr="00147AD2" w:rsidRDefault="00FC0169" w:rsidP="002F3B63">
            <w:pPr>
              <w:jc w:val="center"/>
              <w:rPr>
                <w:szCs w:val="24"/>
              </w:rPr>
            </w:pPr>
            <w:r w:rsidRPr="00147AD2">
              <w:rPr>
                <w:szCs w:val="24"/>
              </w:rPr>
              <w:t>0.109</w:t>
            </w:r>
          </w:p>
        </w:tc>
        <w:tc>
          <w:tcPr>
            <w:tcW w:w="810" w:type="dxa"/>
            <w:vAlign w:val="center"/>
          </w:tcPr>
          <w:p w:rsidR="00FC0169" w:rsidRPr="00147AD2" w:rsidRDefault="00FC0169" w:rsidP="002F3B63">
            <w:pPr>
              <w:jc w:val="center"/>
              <w:rPr>
                <w:szCs w:val="24"/>
              </w:rPr>
            </w:pPr>
            <w:r w:rsidRPr="00147AD2">
              <w:rPr>
                <w:szCs w:val="24"/>
              </w:rPr>
              <w:t>0.165</w:t>
            </w:r>
          </w:p>
        </w:tc>
      </w:tr>
    </w:tbl>
    <w:p w:rsidR="00084042" w:rsidRPr="00084042" w:rsidRDefault="002F3B63" w:rsidP="00921C07">
      <w:pPr>
        <w:pStyle w:val="Caption"/>
      </w:pPr>
      <w:bookmarkStart w:id="78" w:name="_Toc425427079"/>
      <w:r>
        <w:t xml:space="preserve">Table </w:t>
      </w:r>
      <w:fldSimple w:instr=" SEQ Table \* ARABIC ">
        <w:r w:rsidR="00885C9E">
          <w:rPr>
            <w:noProof/>
          </w:rPr>
          <w:t>23</w:t>
        </w:r>
      </w:fldSimple>
      <w:r>
        <w:t xml:space="preserve">: Cross-variogram with spherical model computed for the residual values of </w:t>
      </w:r>
      <w:r w:rsidRPr="00046D93">
        <w:rPr>
          <w:i/>
        </w:rPr>
        <w:t>ψ</w:t>
      </w:r>
      <w:r w:rsidRPr="00046D93">
        <w:rPr>
          <w:i/>
          <w:vertAlign w:val="subscript"/>
        </w:rPr>
        <w:t>a</w:t>
      </w:r>
      <w:r>
        <w:t xml:space="preserve"> and </w:t>
      </w:r>
      <w:r w:rsidRPr="00046D93">
        <w:rPr>
          <w:i/>
        </w:rPr>
        <w:t>Ѳ</w:t>
      </w:r>
      <w:r w:rsidRPr="00046D93">
        <w:rPr>
          <w:i/>
          <w:vertAlign w:val="subscript"/>
        </w:rPr>
        <w:t>s</w:t>
      </w:r>
      <w:r>
        <w:t xml:space="preserve"> for the CV data set.</w:t>
      </w:r>
      <w:bookmarkEnd w:id="78"/>
    </w:p>
    <w:p w:rsidR="002F3B63" w:rsidRPr="00686053" w:rsidRDefault="002F3B63" w:rsidP="002F3B63"/>
    <w:tbl>
      <w:tblPr>
        <w:tblStyle w:val="TableGrid"/>
        <w:tblW w:w="6948" w:type="dxa"/>
        <w:tblLayout w:type="fixed"/>
        <w:tblLook w:val="04A0"/>
      </w:tblPr>
      <w:tblGrid>
        <w:gridCol w:w="1998"/>
        <w:gridCol w:w="1260"/>
        <w:gridCol w:w="810"/>
        <w:gridCol w:w="1080"/>
        <w:gridCol w:w="900"/>
        <w:gridCol w:w="900"/>
      </w:tblGrid>
      <w:tr w:rsidR="002F3B63" w:rsidRPr="000C0064" w:rsidTr="002F3B63">
        <w:tc>
          <w:tcPr>
            <w:tcW w:w="1998" w:type="dxa"/>
          </w:tcPr>
          <w:p w:rsidR="002F3B63" w:rsidRPr="00147AD2" w:rsidRDefault="002F3B63" w:rsidP="002F3B63">
            <w:pPr>
              <w:jc w:val="center"/>
              <w:rPr>
                <w:b/>
                <w:szCs w:val="24"/>
              </w:rPr>
            </w:pPr>
            <w:r w:rsidRPr="00147AD2">
              <w:rPr>
                <w:b/>
                <w:szCs w:val="24"/>
              </w:rPr>
              <w:t>Kriging Method</w:t>
            </w:r>
          </w:p>
        </w:tc>
        <w:tc>
          <w:tcPr>
            <w:tcW w:w="1260" w:type="dxa"/>
            <w:vAlign w:val="center"/>
          </w:tcPr>
          <w:p w:rsidR="002F3B63" w:rsidRPr="00147AD2" w:rsidRDefault="002F3B63" w:rsidP="002F3B63">
            <w:pPr>
              <w:jc w:val="center"/>
              <w:rPr>
                <w:b/>
                <w:szCs w:val="24"/>
              </w:rPr>
            </w:pPr>
            <w:r w:rsidRPr="00147AD2">
              <w:rPr>
                <w:b/>
                <w:szCs w:val="24"/>
              </w:rPr>
              <w:t>Model</w:t>
            </w:r>
          </w:p>
        </w:tc>
        <w:tc>
          <w:tcPr>
            <w:tcW w:w="810" w:type="dxa"/>
            <w:vAlign w:val="center"/>
          </w:tcPr>
          <w:p w:rsidR="002F3B63" w:rsidRPr="00147AD2" w:rsidRDefault="002F3B63" w:rsidP="002F3B63">
            <w:pPr>
              <w:jc w:val="center"/>
              <w:rPr>
                <w:b/>
                <w:szCs w:val="24"/>
              </w:rPr>
            </w:pPr>
            <w:r w:rsidRPr="00147AD2">
              <w:rPr>
                <w:b/>
                <w:szCs w:val="24"/>
              </w:rPr>
              <w:t>r</w:t>
            </w:r>
          </w:p>
        </w:tc>
        <w:tc>
          <w:tcPr>
            <w:tcW w:w="1080" w:type="dxa"/>
            <w:vAlign w:val="center"/>
          </w:tcPr>
          <w:p w:rsidR="002F3B63" w:rsidRPr="00147AD2" w:rsidRDefault="002F3B63" w:rsidP="002F3B63">
            <w:pPr>
              <w:jc w:val="center"/>
              <w:rPr>
                <w:b/>
                <w:szCs w:val="24"/>
              </w:rPr>
            </w:pPr>
            <w:r w:rsidRPr="00147AD2">
              <w:rPr>
                <w:b/>
                <w:szCs w:val="24"/>
              </w:rPr>
              <w:t>NRMSE</w:t>
            </w:r>
          </w:p>
        </w:tc>
        <w:tc>
          <w:tcPr>
            <w:tcW w:w="900" w:type="dxa"/>
          </w:tcPr>
          <w:p w:rsidR="002F3B63" w:rsidRPr="00147AD2" w:rsidRDefault="002F3B63" w:rsidP="002F3B63">
            <w:pPr>
              <w:jc w:val="center"/>
              <w:rPr>
                <w:b/>
                <w:szCs w:val="24"/>
              </w:rPr>
            </w:pPr>
            <w:r w:rsidRPr="00147AD2">
              <w:rPr>
                <w:b/>
                <w:szCs w:val="24"/>
              </w:rPr>
              <w:t>a</w:t>
            </w:r>
          </w:p>
        </w:tc>
        <w:tc>
          <w:tcPr>
            <w:tcW w:w="900" w:type="dxa"/>
          </w:tcPr>
          <w:p w:rsidR="002F3B63" w:rsidRPr="00147AD2" w:rsidRDefault="002F3B63" w:rsidP="002F3B63">
            <w:pPr>
              <w:jc w:val="center"/>
              <w:rPr>
                <w:b/>
                <w:szCs w:val="24"/>
              </w:rPr>
            </w:pPr>
            <w:r w:rsidRPr="00147AD2">
              <w:rPr>
                <w:b/>
                <w:szCs w:val="24"/>
              </w:rPr>
              <w:t>b</w:t>
            </w:r>
          </w:p>
        </w:tc>
      </w:tr>
      <w:tr w:rsidR="002F3B63" w:rsidRPr="000C0064" w:rsidTr="002F3B63">
        <w:tc>
          <w:tcPr>
            <w:tcW w:w="1998" w:type="dxa"/>
          </w:tcPr>
          <w:p w:rsidR="002F3B63" w:rsidRPr="00147AD2" w:rsidRDefault="002F3B63" w:rsidP="002F3B63">
            <w:pPr>
              <w:jc w:val="center"/>
              <w:rPr>
                <w:szCs w:val="24"/>
              </w:rPr>
            </w:pPr>
            <w:r w:rsidRPr="00147AD2">
              <w:rPr>
                <w:szCs w:val="24"/>
              </w:rPr>
              <w:t>CK</w:t>
            </w:r>
          </w:p>
        </w:tc>
        <w:tc>
          <w:tcPr>
            <w:tcW w:w="1260" w:type="dxa"/>
            <w:vAlign w:val="center"/>
          </w:tcPr>
          <w:p w:rsidR="002F3B63" w:rsidRPr="00147AD2" w:rsidRDefault="002F3B63" w:rsidP="002F3B63">
            <w:pPr>
              <w:jc w:val="center"/>
              <w:rPr>
                <w:szCs w:val="24"/>
              </w:rPr>
            </w:pPr>
            <w:r w:rsidRPr="00147AD2">
              <w:rPr>
                <w:szCs w:val="24"/>
              </w:rPr>
              <w:t>Spherical</w:t>
            </w:r>
          </w:p>
        </w:tc>
        <w:tc>
          <w:tcPr>
            <w:tcW w:w="810" w:type="dxa"/>
            <w:vAlign w:val="center"/>
          </w:tcPr>
          <w:p w:rsidR="002F3B63" w:rsidRPr="00147AD2" w:rsidRDefault="002F3B63" w:rsidP="002F3B63">
            <w:pPr>
              <w:jc w:val="center"/>
              <w:rPr>
                <w:szCs w:val="24"/>
              </w:rPr>
            </w:pPr>
            <w:r w:rsidRPr="00147AD2">
              <w:rPr>
                <w:szCs w:val="24"/>
              </w:rPr>
              <w:t>0.824</w:t>
            </w:r>
          </w:p>
        </w:tc>
        <w:tc>
          <w:tcPr>
            <w:tcW w:w="1080" w:type="dxa"/>
            <w:vAlign w:val="center"/>
          </w:tcPr>
          <w:p w:rsidR="002F3B63" w:rsidRPr="00147AD2" w:rsidRDefault="002F3B63" w:rsidP="002F3B63">
            <w:pPr>
              <w:jc w:val="center"/>
              <w:rPr>
                <w:szCs w:val="24"/>
              </w:rPr>
            </w:pPr>
            <w:r w:rsidRPr="00147AD2">
              <w:rPr>
                <w:szCs w:val="24"/>
              </w:rPr>
              <w:t>0.102</w:t>
            </w:r>
          </w:p>
        </w:tc>
        <w:tc>
          <w:tcPr>
            <w:tcW w:w="900" w:type="dxa"/>
          </w:tcPr>
          <w:p w:rsidR="002F3B63" w:rsidRPr="00147AD2" w:rsidRDefault="002F3B63" w:rsidP="002F3B63">
            <w:pPr>
              <w:jc w:val="center"/>
              <w:rPr>
                <w:szCs w:val="24"/>
              </w:rPr>
            </w:pPr>
            <w:r w:rsidRPr="00147AD2">
              <w:rPr>
                <w:szCs w:val="24"/>
              </w:rPr>
              <w:t>7.076</w:t>
            </w:r>
          </w:p>
        </w:tc>
        <w:tc>
          <w:tcPr>
            <w:tcW w:w="900" w:type="dxa"/>
          </w:tcPr>
          <w:p w:rsidR="002F3B63" w:rsidRPr="00147AD2" w:rsidRDefault="002F3B63" w:rsidP="002F3B63">
            <w:pPr>
              <w:jc w:val="center"/>
              <w:rPr>
                <w:szCs w:val="24"/>
              </w:rPr>
            </w:pPr>
            <w:r w:rsidRPr="00147AD2">
              <w:rPr>
                <w:szCs w:val="24"/>
              </w:rPr>
              <w:t>0.595</w:t>
            </w:r>
          </w:p>
        </w:tc>
      </w:tr>
    </w:tbl>
    <w:p w:rsidR="002F3B63" w:rsidRDefault="002F3B63" w:rsidP="002F3B63">
      <w:pPr>
        <w:pStyle w:val="Caption"/>
      </w:pPr>
      <w:bookmarkStart w:id="79" w:name="_Toc425427080"/>
      <w:r>
        <w:t xml:space="preserve">Table </w:t>
      </w:r>
      <w:fldSimple w:instr=" SEQ Table \* ARABIC ">
        <w:r w:rsidR="00885C9E">
          <w:rPr>
            <w:noProof/>
          </w:rPr>
          <w:t>24</w:t>
        </w:r>
      </w:fldSimple>
      <w:r>
        <w:t>: CV results using CK with the spherical model for</w:t>
      </w:r>
      <w:r w:rsidRPr="00273C8B">
        <w:rPr>
          <w:i/>
        </w:rPr>
        <w:t xml:space="preserve"> </w:t>
      </w:r>
      <w:r w:rsidRPr="00046D93">
        <w:rPr>
          <w:i/>
        </w:rPr>
        <w:t>ψ</w:t>
      </w:r>
      <w:r w:rsidRPr="00046D93">
        <w:rPr>
          <w:i/>
          <w:vertAlign w:val="subscript"/>
        </w:rPr>
        <w:t>a</w:t>
      </w:r>
      <w:r>
        <w:t xml:space="preserve"> of the CV data set</w:t>
      </w:r>
      <w:bookmarkEnd w:id="79"/>
    </w:p>
    <w:p w:rsidR="002F3B63" w:rsidRPr="00686053" w:rsidRDefault="002F3B63" w:rsidP="002F3B63"/>
    <w:tbl>
      <w:tblPr>
        <w:tblStyle w:val="TableGrid"/>
        <w:tblW w:w="6948" w:type="dxa"/>
        <w:tblLayout w:type="fixed"/>
        <w:tblLook w:val="04A0"/>
      </w:tblPr>
      <w:tblGrid>
        <w:gridCol w:w="1998"/>
        <w:gridCol w:w="1260"/>
        <w:gridCol w:w="810"/>
        <w:gridCol w:w="1080"/>
        <w:gridCol w:w="900"/>
        <w:gridCol w:w="900"/>
      </w:tblGrid>
      <w:tr w:rsidR="002F3B63" w:rsidRPr="000C0064" w:rsidTr="002F3B63">
        <w:tc>
          <w:tcPr>
            <w:tcW w:w="1998" w:type="dxa"/>
          </w:tcPr>
          <w:p w:rsidR="002F3B63" w:rsidRPr="00147AD2" w:rsidRDefault="002F3B63" w:rsidP="002F3B63">
            <w:pPr>
              <w:jc w:val="center"/>
              <w:rPr>
                <w:b/>
                <w:szCs w:val="24"/>
              </w:rPr>
            </w:pPr>
            <w:r w:rsidRPr="00147AD2">
              <w:rPr>
                <w:b/>
                <w:szCs w:val="24"/>
              </w:rPr>
              <w:t>Kriging Method</w:t>
            </w:r>
          </w:p>
        </w:tc>
        <w:tc>
          <w:tcPr>
            <w:tcW w:w="1260" w:type="dxa"/>
            <w:vAlign w:val="center"/>
          </w:tcPr>
          <w:p w:rsidR="002F3B63" w:rsidRPr="00147AD2" w:rsidRDefault="002F3B63" w:rsidP="002F3B63">
            <w:pPr>
              <w:jc w:val="center"/>
              <w:rPr>
                <w:b/>
                <w:szCs w:val="24"/>
              </w:rPr>
            </w:pPr>
            <w:r w:rsidRPr="00147AD2">
              <w:rPr>
                <w:b/>
                <w:szCs w:val="24"/>
              </w:rPr>
              <w:t>Model</w:t>
            </w:r>
          </w:p>
        </w:tc>
        <w:tc>
          <w:tcPr>
            <w:tcW w:w="810" w:type="dxa"/>
            <w:vAlign w:val="center"/>
          </w:tcPr>
          <w:p w:rsidR="002F3B63" w:rsidRPr="00147AD2" w:rsidRDefault="002F3B63" w:rsidP="002F3B63">
            <w:pPr>
              <w:jc w:val="center"/>
              <w:rPr>
                <w:b/>
                <w:szCs w:val="24"/>
              </w:rPr>
            </w:pPr>
            <w:r w:rsidRPr="00147AD2">
              <w:rPr>
                <w:b/>
                <w:szCs w:val="24"/>
              </w:rPr>
              <w:t>r</w:t>
            </w:r>
          </w:p>
        </w:tc>
        <w:tc>
          <w:tcPr>
            <w:tcW w:w="1080" w:type="dxa"/>
            <w:vAlign w:val="center"/>
          </w:tcPr>
          <w:p w:rsidR="002F3B63" w:rsidRPr="00147AD2" w:rsidRDefault="002F3B63" w:rsidP="002F3B63">
            <w:pPr>
              <w:jc w:val="center"/>
              <w:rPr>
                <w:b/>
                <w:szCs w:val="24"/>
              </w:rPr>
            </w:pPr>
            <w:r w:rsidRPr="00147AD2">
              <w:rPr>
                <w:b/>
                <w:szCs w:val="24"/>
              </w:rPr>
              <w:t>NRMSE</w:t>
            </w:r>
          </w:p>
        </w:tc>
        <w:tc>
          <w:tcPr>
            <w:tcW w:w="900" w:type="dxa"/>
          </w:tcPr>
          <w:p w:rsidR="002F3B63" w:rsidRPr="00147AD2" w:rsidRDefault="002F3B63" w:rsidP="002F3B63">
            <w:pPr>
              <w:jc w:val="center"/>
              <w:rPr>
                <w:b/>
                <w:szCs w:val="24"/>
              </w:rPr>
            </w:pPr>
            <w:r w:rsidRPr="00147AD2">
              <w:rPr>
                <w:b/>
                <w:szCs w:val="24"/>
              </w:rPr>
              <w:t>a</w:t>
            </w:r>
          </w:p>
        </w:tc>
        <w:tc>
          <w:tcPr>
            <w:tcW w:w="900" w:type="dxa"/>
          </w:tcPr>
          <w:p w:rsidR="002F3B63" w:rsidRPr="00147AD2" w:rsidRDefault="002F3B63" w:rsidP="002F3B63">
            <w:pPr>
              <w:jc w:val="center"/>
              <w:rPr>
                <w:b/>
                <w:szCs w:val="24"/>
              </w:rPr>
            </w:pPr>
            <w:r w:rsidRPr="00147AD2">
              <w:rPr>
                <w:b/>
                <w:szCs w:val="24"/>
              </w:rPr>
              <w:t>b</w:t>
            </w:r>
          </w:p>
        </w:tc>
      </w:tr>
      <w:tr w:rsidR="002F3B63" w:rsidRPr="000C0064" w:rsidTr="002F3B63">
        <w:tc>
          <w:tcPr>
            <w:tcW w:w="1998" w:type="dxa"/>
          </w:tcPr>
          <w:p w:rsidR="002F3B63" w:rsidRPr="00147AD2" w:rsidRDefault="002F3B63" w:rsidP="002F3B63">
            <w:pPr>
              <w:jc w:val="center"/>
              <w:rPr>
                <w:szCs w:val="24"/>
              </w:rPr>
            </w:pPr>
            <w:r w:rsidRPr="00147AD2">
              <w:rPr>
                <w:szCs w:val="24"/>
              </w:rPr>
              <w:t>CK</w:t>
            </w:r>
          </w:p>
        </w:tc>
        <w:tc>
          <w:tcPr>
            <w:tcW w:w="1260" w:type="dxa"/>
            <w:vAlign w:val="center"/>
          </w:tcPr>
          <w:p w:rsidR="002F3B63" w:rsidRPr="00147AD2" w:rsidRDefault="002F3B63" w:rsidP="002F3B63">
            <w:pPr>
              <w:jc w:val="center"/>
              <w:rPr>
                <w:szCs w:val="24"/>
              </w:rPr>
            </w:pPr>
            <w:r w:rsidRPr="00147AD2">
              <w:rPr>
                <w:szCs w:val="24"/>
              </w:rPr>
              <w:t>Spherical</w:t>
            </w:r>
          </w:p>
        </w:tc>
        <w:tc>
          <w:tcPr>
            <w:tcW w:w="810" w:type="dxa"/>
            <w:vAlign w:val="center"/>
          </w:tcPr>
          <w:p w:rsidR="002F3B63" w:rsidRPr="00147AD2" w:rsidRDefault="002F3B63" w:rsidP="002F3B63">
            <w:pPr>
              <w:jc w:val="center"/>
              <w:rPr>
                <w:szCs w:val="24"/>
              </w:rPr>
            </w:pPr>
            <w:r w:rsidRPr="00147AD2">
              <w:rPr>
                <w:szCs w:val="24"/>
              </w:rPr>
              <w:t>0.716</w:t>
            </w:r>
          </w:p>
        </w:tc>
        <w:tc>
          <w:tcPr>
            <w:tcW w:w="1080" w:type="dxa"/>
            <w:vAlign w:val="center"/>
          </w:tcPr>
          <w:p w:rsidR="002F3B63" w:rsidRPr="00147AD2" w:rsidRDefault="002F3B63" w:rsidP="002F3B63">
            <w:pPr>
              <w:jc w:val="center"/>
              <w:rPr>
                <w:szCs w:val="24"/>
              </w:rPr>
            </w:pPr>
            <w:r w:rsidRPr="00147AD2">
              <w:rPr>
                <w:szCs w:val="24"/>
              </w:rPr>
              <w:t>0.126</w:t>
            </w:r>
          </w:p>
        </w:tc>
        <w:tc>
          <w:tcPr>
            <w:tcW w:w="900" w:type="dxa"/>
          </w:tcPr>
          <w:p w:rsidR="002F3B63" w:rsidRPr="00147AD2" w:rsidRDefault="002F3B63" w:rsidP="002F3B63">
            <w:pPr>
              <w:jc w:val="center"/>
              <w:rPr>
                <w:szCs w:val="24"/>
              </w:rPr>
            </w:pPr>
            <w:r w:rsidRPr="00147AD2">
              <w:rPr>
                <w:szCs w:val="24"/>
              </w:rPr>
              <w:t>0.212</w:t>
            </w:r>
          </w:p>
        </w:tc>
        <w:tc>
          <w:tcPr>
            <w:tcW w:w="900" w:type="dxa"/>
          </w:tcPr>
          <w:p w:rsidR="002F3B63" w:rsidRPr="00147AD2" w:rsidRDefault="002F3B63" w:rsidP="002F3B63">
            <w:pPr>
              <w:jc w:val="center"/>
              <w:rPr>
                <w:szCs w:val="24"/>
              </w:rPr>
            </w:pPr>
            <w:r w:rsidRPr="00147AD2">
              <w:rPr>
                <w:szCs w:val="24"/>
              </w:rPr>
              <w:t>0.434</w:t>
            </w:r>
          </w:p>
        </w:tc>
      </w:tr>
    </w:tbl>
    <w:p w:rsidR="002F3B63" w:rsidRDefault="002F3B63" w:rsidP="002F3B63">
      <w:pPr>
        <w:pStyle w:val="Caption"/>
      </w:pPr>
      <w:bookmarkStart w:id="80" w:name="_Toc425427081"/>
      <w:r>
        <w:t xml:space="preserve">Table </w:t>
      </w:r>
      <w:fldSimple w:instr=" SEQ Table \* ARABIC ">
        <w:r w:rsidR="00885C9E">
          <w:rPr>
            <w:noProof/>
          </w:rPr>
          <w:t>25</w:t>
        </w:r>
      </w:fldSimple>
      <w:r w:rsidR="00FC16A9">
        <w:t>: CV results using CK</w:t>
      </w:r>
      <w:r>
        <w:t xml:space="preserve"> with the spherical model for</w:t>
      </w:r>
      <w:r w:rsidRPr="00273C8B">
        <w:rPr>
          <w:i/>
        </w:rPr>
        <w:t xml:space="preserve"> </w:t>
      </w:r>
      <w:r w:rsidRPr="00046D93">
        <w:rPr>
          <w:i/>
        </w:rPr>
        <w:t>Ѳ</w:t>
      </w:r>
      <w:r w:rsidRPr="00046D93">
        <w:rPr>
          <w:i/>
          <w:vertAlign w:val="subscript"/>
        </w:rPr>
        <w:t>s</w:t>
      </w:r>
      <w:r w:rsidRPr="00273C8B">
        <w:rPr>
          <w:i/>
        </w:rPr>
        <w:t xml:space="preserve"> </w:t>
      </w:r>
      <w:r>
        <w:t>of the CV data set</w:t>
      </w:r>
      <w:bookmarkEnd w:id="80"/>
    </w:p>
    <w:p w:rsidR="00C77606" w:rsidRDefault="00C77606" w:rsidP="002F3B63"/>
    <w:tbl>
      <w:tblPr>
        <w:tblStyle w:val="TableGrid"/>
        <w:tblW w:w="0" w:type="auto"/>
        <w:tblLayout w:type="fixed"/>
        <w:tblLook w:val="04A0"/>
      </w:tblPr>
      <w:tblGrid>
        <w:gridCol w:w="1398"/>
        <w:gridCol w:w="1193"/>
        <w:gridCol w:w="667"/>
        <w:gridCol w:w="1080"/>
        <w:gridCol w:w="1080"/>
        <w:gridCol w:w="1350"/>
        <w:gridCol w:w="1530"/>
      </w:tblGrid>
      <w:tr w:rsidR="00FC16A9" w:rsidTr="00C9171C">
        <w:tc>
          <w:tcPr>
            <w:tcW w:w="1398" w:type="dxa"/>
            <w:vAlign w:val="center"/>
          </w:tcPr>
          <w:p w:rsidR="00FC16A9" w:rsidRPr="00147AD2" w:rsidRDefault="00FC16A9" w:rsidP="00C9171C">
            <w:pPr>
              <w:jc w:val="center"/>
              <w:rPr>
                <w:b/>
                <w:szCs w:val="24"/>
              </w:rPr>
            </w:pPr>
            <w:r w:rsidRPr="00147AD2">
              <w:rPr>
                <w:b/>
                <w:szCs w:val="24"/>
              </w:rPr>
              <w:t>Parameter</w:t>
            </w:r>
          </w:p>
        </w:tc>
        <w:tc>
          <w:tcPr>
            <w:tcW w:w="1193" w:type="dxa"/>
            <w:vAlign w:val="center"/>
          </w:tcPr>
          <w:p w:rsidR="00FC16A9" w:rsidRPr="00147AD2" w:rsidRDefault="00FC16A9" w:rsidP="00C9171C">
            <w:pPr>
              <w:jc w:val="center"/>
              <w:rPr>
                <w:b/>
                <w:szCs w:val="24"/>
              </w:rPr>
            </w:pPr>
            <w:r w:rsidRPr="00147AD2">
              <w:rPr>
                <w:b/>
                <w:szCs w:val="24"/>
              </w:rPr>
              <w:t>Unit</w:t>
            </w:r>
          </w:p>
        </w:tc>
        <w:tc>
          <w:tcPr>
            <w:tcW w:w="667" w:type="dxa"/>
            <w:vAlign w:val="center"/>
          </w:tcPr>
          <w:p w:rsidR="00FC16A9" w:rsidRPr="00147AD2" w:rsidRDefault="00FC16A9" w:rsidP="00C9171C">
            <w:pPr>
              <w:jc w:val="center"/>
              <w:rPr>
                <w:b/>
                <w:szCs w:val="24"/>
              </w:rPr>
            </w:pPr>
            <w:r w:rsidRPr="00147AD2">
              <w:rPr>
                <w:b/>
                <w:szCs w:val="24"/>
              </w:rPr>
              <w:t>N</w:t>
            </w:r>
          </w:p>
        </w:tc>
        <w:tc>
          <w:tcPr>
            <w:tcW w:w="1080" w:type="dxa"/>
            <w:vAlign w:val="center"/>
          </w:tcPr>
          <w:p w:rsidR="00FC16A9" w:rsidRPr="00147AD2" w:rsidRDefault="00FC16A9" w:rsidP="00C9171C">
            <w:pPr>
              <w:jc w:val="center"/>
              <w:rPr>
                <w:b/>
                <w:szCs w:val="24"/>
              </w:rPr>
            </w:pPr>
            <w:r w:rsidRPr="00147AD2">
              <w:rPr>
                <w:b/>
                <w:szCs w:val="24"/>
              </w:rPr>
              <w:t>Mean</w:t>
            </w:r>
          </w:p>
        </w:tc>
        <w:tc>
          <w:tcPr>
            <w:tcW w:w="1080" w:type="dxa"/>
            <w:vAlign w:val="center"/>
          </w:tcPr>
          <w:p w:rsidR="00FC16A9" w:rsidRPr="00147AD2" w:rsidRDefault="00FC16A9" w:rsidP="00C9171C">
            <w:pPr>
              <w:jc w:val="center"/>
              <w:rPr>
                <w:b/>
                <w:szCs w:val="24"/>
              </w:rPr>
            </w:pPr>
            <w:r w:rsidRPr="00147AD2">
              <w:rPr>
                <w:b/>
                <w:szCs w:val="24"/>
              </w:rPr>
              <w:t>Median</w:t>
            </w:r>
          </w:p>
        </w:tc>
        <w:tc>
          <w:tcPr>
            <w:tcW w:w="1350" w:type="dxa"/>
            <w:vAlign w:val="center"/>
          </w:tcPr>
          <w:p w:rsidR="00FC16A9" w:rsidRPr="00147AD2" w:rsidRDefault="00FC16A9" w:rsidP="00C9171C">
            <w:pPr>
              <w:jc w:val="center"/>
              <w:rPr>
                <w:b/>
                <w:szCs w:val="24"/>
              </w:rPr>
            </w:pPr>
            <w:r w:rsidRPr="00147AD2">
              <w:rPr>
                <w:b/>
                <w:szCs w:val="24"/>
              </w:rPr>
              <w:t>Standard Deviation</w:t>
            </w:r>
          </w:p>
        </w:tc>
        <w:tc>
          <w:tcPr>
            <w:tcW w:w="1530" w:type="dxa"/>
            <w:vAlign w:val="center"/>
          </w:tcPr>
          <w:p w:rsidR="00FC16A9" w:rsidRPr="00147AD2" w:rsidRDefault="00FC16A9" w:rsidP="00C9171C">
            <w:pPr>
              <w:jc w:val="center"/>
              <w:rPr>
                <w:b/>
                <w:szCs w:val="24"/>
              </w:rPr>
            </w:pPr>
            <w:r w:rsidRPr="00147AD2">
              <w:rPr>
                <w:b/>
                <w:szCs w:val="24"/>
              </w:rPr>
              <w:t>Coefficient of Variation</w:t>
            </w:r>
          </w:p>
        </w:tc>
      </w:tr>
      <w:tr w:rsidR="00FC16A9" w:rsidTr="00C9171C">
        <w:tc>
          <w:tcPr>
            <w:tcW w:w="1398" w:type="dxa"/>
            <w:vAlign w:val="center"/>
          </w:tcPr>
          <w:p w:rsidR="00FC16A9" w:rsidRPr="00147AD2" w:rsidRDefault="00FC16A9" w:rsidP="00C9171C">
            <w:pPr>
              <w:jc w:val="center"/>
              <w:rPr>
                <w:szCs w:val="24"/>
              </w:rPr>
            </w:pPr>
            <w:r w:rsidRPr="00147AD2">
              <w:rPr>
                <w:rFonts w:cstheme="minorHAnsi"/>
                <w:b/>
                <w:szCs w:val="24"/>
              </w:rPr>
              <w:t>ψ</w:t>
            </w:r>
            <w:r w:rsidRPr="00147AD2">
              <w:rPr>
                <w:rFonts w:cstheme="minorHAnsi"/>
                <w:b/>
                <w:szCs w:val="24"/>
                <w:vertAlign w:val="subscript"/>
              </w:rPr>
              <w:t>a</w:t>
            </w:r>
          </w:p>
        </w:tc>
        <w:tc>
          <w:tcPr>
            <w:tcW w:w="1193" w:type="dxa"/>
            <w:vAlign w:val="center"/>
          </w:tcPr>
          <w:p w:rsidR="00FC16A9" w:rsidRPr="00147AD2" w:rsidRDefault="00FC16A9" w:rsidP="00C9171C">
            <w:pPr>
              <w:jc w:val="center"/>
              <w:rPr>
                <w:szCs w:val="24"/>
              </w:rPr>
            </w:pPr>
            <w:r w:rsidRPr="00147AD2">
              <w:rPr>
                <w:szCs w:val="24"/>
              </w:rPr>
              <w:t>cm</w:t>
            </w:r>
          </w:p>
        </w:tc>
        <w:tc>
          <w:tcPr>
            <w:tcW w:w="667" w:type="dxa"/>
            <w:vAlign w:val="center"/>
          </w:tcPr>
          <w:p w:rsidR="00FC16A9" w:rsidRPr="00147AD2" w:rsidRDefault="00FC16A9" w:rsidP="00C9171C">
            <w:pPr>
              <w:jc w:val="center"/>
              <w:rPr>
                <w:szCs w:val="24"/>
              </w:rPr>
            </w:pPr>
            <w:r w:rsidRPr="00147AD2">
              <w:rPr>
                <w:szCs w:val="24"/>
              </w:rPr>
              <w:t>115</w:t>
            </w:r>
          </w:p>
        </w:tc>
        <w:tc>
          <w:tcPr>
            <w:tcW w:w="1080" w:type="dxa"/>
            <w:vAlign w:val="center"/>
          </w:tcPr>
          <w:p w:rsidR="00FC16A9" w:rsidRPr="00147AD2" w:rsidRDefault="00BA6026" w:rsidP="00C9171C">
            <w:pPr>
              <w:jc w:val="center"/>
              <w:rPr>
                <w:szCs w:val="24"/>
              </w:rPr>
            </w:pPr>
            <w:r>
              <w:rPr>
                <w:szCs w:val="24"/>
              </w:rPr>
              <w:t>17.4</w:t>
            </w:r>
          </w:p>
        </w:tc>
        <w:tc>
          <w:tcPr>
            <w:tcW w:w="1080" w:type="dxa"/>
            <w:vAlign w:val="center"/>
          </w:tcPr>
          <w:p w:rsidR="00FC16A9" w:rsidRPr="00147AD2" w:rsidRDefault="00BA6026" w:rsidP="00C9171C">
            <w:pPr>
              <w:jc w:val="center"/>
              <w:rPr>
                <w:szCs w:val="24"/>
              </w:rPr>
            </w:pPr>
            <w:r>
              <w:rPr>
                <w:szCs w:val="24"/>
              </w:rPr>
              <w:t>17.4</w:t>
            </w:r>
          </w:p>
        </w:tc>
        <w:tc>
          <w:tcPr>
            <w:tcW w:w="1350" w:type="dxa"/>
            <w:vAlign w:val="center"/>
          </w:tcPr>
          <w:p w:rsidR="00FC16A9" w:rsidRPr="00147AD2" w:rsidRDefault="00BA6026" w:rsidP="00C9171C">
            <w:pPr>
              <w:jc w:val="center"/>
              <w:rPr>
                <w:szCs w:val="24"/>
              </w:rPr>
            </w:pPr>
            <w:r>
              <w:rPr>
                <w:szCs w:val="24"/>
              </w:rPr>
              <w:t>0.564</w:t>
            </w:r>
          </w:p>
        </w:tc>
        <w:tc>
          <w:tcPr>
            <w:tcW w:w="1530" w:type="dxa"/>
          </w:tcPr>
          <w:p w:rsidR="00FC16A9" w:rsidRPr="00147AD2" w:rsidRDefault="00BA6026" w:rsidP="00C9171C">
            <w:pPr>
              <w:jc w:val="center"/>
              <w:rPr>
                <w:szCs w:val="24"/>
              </w:rPr>
            </w:pPr>
            <w:r>
              <w:rPr>
                <w:szCs w:val="24"/>
              </w:rPr>
              <w:t>3.23e-2</w:t>
            </w:r>
          </w:p>
        </w:tc>
      </w:tr>
      <w:tr w:rsidR="00FC16A9" w:rsidTr="00C9171C">
        <w:trPr>
          <w:trHeight w:val="251"/>
        </w:trPr>
        <w:tc>
          <w:tcPr>
            <w:tcW w:w="1398" w:type="dxa"/>
            <w:vAlign w:val="center"/>
          </w:tcPr>
          <w:p w:rsidR="00FC16A9" w:rsidRPr="00147AD2" w:rsidRDefault="00FC16A9" w:rsidP="00C9171C">
            <w:pPr>
              <w:jc w:val="center"/>
              <w:rPr>
                <w:szCs w:val="24"/>
              </w:rPr>
            </w:pPr>
            <w:r w:rsidRPr="00147AD2">
              <w:rPr>
                <w:rFonts w:cstheme="minorHAnsi"/>
                <w:b/>
                <w:szCs w:val="24"/>
              </w:rPr>
              <w:t>Ѳ</w:t>
            </w:r>
            <w:r w:rsidRPr="00147AD2">
              <w:rPr>
                <w:rFonts w:cstheme="minorHAnsi"/>
                <w:b/>
                <w:szCs w:val="24"/>
                <w:vertAlign w:val="subscript"/>
              </w:rPr>
              <w:t>s</w:t>
            </w:r>
          </w:p>
        </w:tc>
        <w:tc>
          <w:tcPr>
            <w:tcW w:w="1193" w:type="dxa"/>
            <w:vAlign w:val="center"/>
          </w:tcPr>
          <w:p w:rsidR="00FC16A9" w:rsidRPr="00147AD2" w:rsidRDefault="00FC16A9" w:rsidP="00C9171C">
            <w:pPr>
              <w:jc w:val="center"/>
              <w:rPr>
                <w:szCs w:val="24"/>
              </w:rPr>
            </w:pPr>
            <w:r w:rsidRPr="00147AD2">
              <w:rPr>
                <w:szCs w:val="24"/>
              </w:rPr>
              <w:t>cm</w:t>
            </w:r>
            <w:r w:rsidRPr="00147AD2">
              <w:rPr>
                <w:szCs w:val="24"/>
                <w:vertAlign w:val="superscript"/>
              </w:rPr>
              <w:t>3</w:t>
            </w:r>
            <w:r w:rsidRPr="00147AD2">
              <w:rPr>
                <w:szCs w:val="24"/>
              </w:rPr>
              <w:t>/cm</w:t>
            </w:r>
            <w:r w:rsidRPr="00147AD2">
              <w:rPr>
                <w:szCs w:val="24"/>
                <w:vertAlign w:val="superscript"/>
              </w:rPr>
              <w:t>3</w:t>
            </w:r>
          </w:p>
        </w:tc>
        <w:tc>
          <w:tcPr>
            <w:tcW w:w="667" w:type="dxa"/>
            <w:vAlign w:val="center"/>
          </w:tcPr>
          <w:p w:rsidR="00FC16A9" w:rsidRPr="00147AD2" w:rsidRDefault="00FC16A9" w:rsidP="00C9171C">
            <w:pPr>
              <w:jc w:val="center"/>
              <w:rPr>
                <w:szCs w:val="24"/>
              </w:rPr>
            </w:pPr>
            <w:r w:rsidRPr="00147AD2">
              <w:rPr>
                <w:szCs w:val="24"/>
              </w:rPr>
              <w:t>115</w:t>
            </w:r>
          </w:p>
        </w:tc>
        <w:tc>
          <w:tcPr>
            <w:tcW w:w="1080" w:type="dxa"/>
            <w:vAlign w:val="center"/>
          </w:tcPr>
          <w:p w:rsidR="00FC16A9" w:rsidRPr="00147AD2" w:rsidRDefault="00BA6026" w:rsidP="00C9171C">
            <w:pPr>
              <w:jc w:val="center"/>
              <w:rPr>
                <w:szCs w:val="24"/>
              </w:rPr>
            </w:pPr>
            <w:r>
              <w:rPr>
                <w:szCs w:val="24"/>
              </w:rPr>
              <w:t>0.373</w:t>
            </w:r>
          </w:p>
        </w:tc>
        <w:tc>
          <w:tcPr>
            <w:tcW w:w="1080" w:type="dxa"/>
            <w:vAlign w:val="center"/>
          </w:tcPr>
          <w:p w:rsidR="00FC16A9" w:rsidRPr="00147AD2" w:rsidRDefault="00BA6026" w:rsidP="00C9171C">
            <w:pPr>
              <w:jc w:val="center"/>
              <w:rPr>
                <w:szCs w:val="24"/>
              </w:rPr>
            </w:pPr>
            <w:r>
              <w:rPr>
                <w:szCs w:val="24"/>
              </w:rPr>
              <w:t>0.366</w:t>
            </w:r>
          </w:p>
        </w:tc>
        <w:tc>
          <w:tcPr>
            <w:tcW w:w="1350" w:type="dxa"/>
            <w:vAlign w:val="center"/>
          </w:tcPr>
          <w:p w:rsidR="00FC16A9" w:rsidRPr="00147AD2" w:rsidRDefault="00BA6026" w:rsidP="00C9171C">
            <w:pPr>
              <w:jc w:val="center"/>
              <w:rPr>
                <w:szCs w:val="24"/>
              </w:rPr>
            </w:pPr>
            <w:r>
              <w:rPr>
                <w:szCs w:val="24"/>
              </w:rPr>
              <w:t>3.65e-2</w:t>
            </w:r>
          </w:p>
        </w:tc>
        <w:tc>
          <w:tcPr>
            <w:tcW w:w="1530" w:type="dxa"/>
          </w:tcPr>
          <w:p w:rsidR="00FC16A9" w:rsidRPr="00147AD2" w:rsidRDefault="00BA6026" w:rsidP="00C9171C">
            <w:pPr>
              <w:jc w:val="center"/>
              <w:rPr>
                <w:szCs w:val="24"/>
              </w:rPr>
            </w:pPr>
            <w:r>
              <w:rPr>
                <w:szCs w:val="24"/>
              </w:rPr>
              <w:t>9.77e-2</w:t>
            </w:r>
          </w:p>
        </w:tc>
      </w:tr>
    </w:tbl>
    <w:p w:rsidR="00FC16A9" w:rsidRDefault="00FC16A9" w:rsidP="0004094A">
      <w:pPr>
        <w:pStyle w:val="Caption"/>
      </w:pPr>
      <w:bookmarkStart w:id="81" w:name="_Toc425427082"/>
      <w:r>
        <w:t xml:space="preserve">Table </w:t>
      </w:r>
      <w:fldSimple w:instr=" SEQ Table \* ARABIC ">
        <w:r w:rsidR="00885C9E">
          <w:rPr>
            <w:noProof/>
          </w:rPr>
          <w:t>26</w:t>
        </w:r>
      </w:fldSimple>
      <w:r w:rsidR="0076036A">
        <w:t xml:space="preserve">: Descriptive statistics of </w:t>
      </w:r>
      <w:r>
        <w:t>the detrended variable</w:t>
      </w:r>
      <w:r w:rsidR="0076036A">
        <w:t>,</w:t>
      </w:r>
      <w:r>
        <w:t xml:space="preserve"> </w:t>
      </w:r>
      <w:r w:rsidRPr="0076036A">
        <w:rPr>
          <w:i/>
        </w:rPr>
        <w:t>z</w:t>
      </w:r>
      <w:r w:rsidRPr="0076036A">
        <w:rPr>
          <w:i/>
          <w:vertAlign w:val="subscript"/>
        </w:rPr>
        <w:t>ra</w:t>
      </w:r>
      <w:r>
        <w:t xml:space="preserve"> (i.e. </w:t>
      </w:r>
      <w:r w:rsidR="0076036A">
        <w:t>presented as “Krige” in tables 27 and 28 below</w:t>
      </w:r>
      <w:bookmarkEnd w:id="81"/>
    </w:p>
    <w:p w:rsidR="00C77606" w:rsidRDefault="00C77606" w:rsidP="00C77606"/>
    <w:p w:rsidR="00D83E2D" w:rsidRDefault="00D83E2D" w:rsidP="00C77606"/>
    <w:p w:rsidR="00D83E2D" w:rsidRDefault="00D83E2D" w:rsidP="00C77606"/>
    <w:p w:rsidR="00D83E2D" w:rsidRPr="00C77606" w:rsidRDefault="00D83E2D" w:rsidP="00C77606"/>
    <w:tbl>
      <w:tblPr>
        <w:tblStyle w:val="TableGrid"/>
        <w:tblW w:w="0" w:type="auto"/>
        <w:tblLook w:val="04A0"/>
      </w:tblPr>
      <w:tblGrid>
        <w:gridCol w:w="1548"/>
        <w:gridCol w:w="1080"/>
        <w:gridCol w:w="1080"/>
        <w:gridCol w:w="1080"/>
        <w:gridCol w:w="1080"/>
      </w:tblGrid>
      <w:tr w:rsidR="002F3B63" w:rsidTr="002F3B63">
        <w:tc>
          <w:tcPr>
            <w:tcW w:w="1548" w:type="dxa"/>
          </w:tcPr>
          <w:p w:rsidR="002F3B63" w:rsidRPr="00FC16A9" w:rsidRDefault="002F3B63" w:rsidP="002F3B63">
            <w:pPr>
              <w:jc w:val="center"/>
              <w:rPr>
                <w:b/>
                <w:szCs w:val="24"/>
              </w:rPr>
            </w:pPr>
            <w:r w:rsidRPr="00FC16A9">
              <w:rPr>
                <w:b/>
                <w:szCs w:val="24"/>
              </w:rPr>
              <w:lastRenderedPageBreak/>
              <w:t>Cropper vs.</w:t>
            </w:r>
          </w:p>
        </w:tc>
        <w:tc>
          <w:tcPr>
            <w:tcW w:w="1080" w:type="dxa"/>
          </w:tcPr>
          <w:p w:rsidR="002F3B63" w:rsidRPr="00FC16A9" w:rsidRDefault="002F3B63" w:rsidP="002F3B63">
            <w:pPr>
              <w:jc w:val="center"/>
              <w:rPr>
                <w:szCs w:val="24"/>
              </w:rPr>
            </w:pPr>
            <w:r w:rsidRPr="00FC16A9">
              <w:rPr>
                <w:rFonts w:cstheme="minorHAnsi"/>
                <w:b/>
                <w:szCs w:val="24"/>
              </w:rPr>
              <w:t>ψ</w:t>
            </w:r>
            <w:r w:rsidRPr="00FC16A9">
              <w:rPr>
                <w:rFonts w:cstheme="minorHAnsi"/>
                <w:b/>
                <w:szCs w:val="24"/>
                <w:vertAlign w:val="subscript"/>
              </w:rPr>
              <w:t>a</w:t>
            </w:r>
          </w:p>
        </w:tc>
        <w:tc>
          <w:tcPr>
            <w:tcW w:w="1080" w:type="dxa"/>
          </w:tcPr>
          <w:p w:rsidR="002F3B63" w:rsidRPr="00FC16A9" w:rsidRDefault="002F3B63" w:rsidP="002F3B63">
            <w:pPr>
              <w:jc w:val="center"/>
              <w:rPr>
                <w:szCs w:val="24"/>
              </w:rPr>
            </w:pPr>
            <w:r w:rsidRPr="00FC16A9">
              <w:rPr>
                <w:rFonts w:cstheme="minorHAnsi"/>
                <w:b/>
                <w:szCs w:val="24"/>
              </w:rPr>
              <w:t>Ѳ</w:t>
            </w:r>
            <w:r w:rsidRPr="00FC16A9">
              <w:rPr>
                <w:rFonts w:cstheme="minorHAnsi"/>
                <w:b/>
                <w:szCs w:val="24"/>
                <w:vertAlign w:val="subscript"/>
              </w:rPr>
              <w:t>s</w:t>
            </w:r>
          </w:p>
        </w:tc>
        <w:tc>
          <w:tcPr>
            <w:tcW w:w="1080" w:type="dxa"/>
          </w:tcPr>
          <w:p w:rsidR="002F3B63" w:rsidRPr="00FC16A9" w:rsidRDefault="002F3B63" w:rsidP="002F3B63">
            <w:pPr>
              <w:jc w:val="center"/>
              <w:rPr>
                <w:szCs w:val="24"/>
              </w:rPr>
            </w:pPr>
            <w:r w:rsidRPr="00FC16A9">
              <w:rPr>
                <w:rFonts w:cstheme="minorHAnsi"/>
                <w:b/>
                <w:szCs w:val="24"/>
              </w:rPr>
              <w:t>λ</w:t>
            </w:r>
          </w:p>
        </w:tc>
        <w:tc>
          <w:tcPr>
            <w:tcW w:w="1080" w:type="dxa"/>
          </w:tcPr>
          <w:p w:rsidR="002F3B63" w:rsidRPr="00FC16A9" w:rsidRDefault="002F3B63" w:rsidP="002F3B63">
            <w:pPr>
              <w:jc w:val="center"/>
              <w:rPr>
                <w:szCs w:val="24"/>
              </w:rPr>
            </w:pPr>
            <w:r w:rsidRPr="00FC16A9">
              <w:rPr>
                <w:rFonts w:cstheme="minorHAnsi"/>
                <w:b/>
                <w:szCs w:val="24"/>
              </w:rPr>
              <w:t>Ѳ</w:t>
            </w:r>
            <w:r w:rsidRPr="00FC16A9">
              <w:rPr>
                <w:rFonts w:cstheme="minorHAnsi"/>
                <w:b/>
                <w:szCs w:val="24"/>
                <w:vertAlign w:val="subscript"/>
              </w:rPr>
              <w:t>r</w:t>
            </w:r>
          </w:p>
        </w:tc>
      </w:tr>
      <w:tr w:rsidR="002F3B63" w:rsidTr="002F3B63">
        <w:tc>
          <w:tcPr>
            <w:tcW w:w="1548" w:type="dxa"/>
          </w:tcPr>
          <w:p w:rsidR="002F3B63" w:rsidRPr="00FC16A9" w:rsidRDefault="002F3B63" w:rsidP="002F3B63">
            <w:pPr>
              <w:jc w:val="center"/>
              <w:rPr>
                <w:szCs w:val="24"/>
              </w:rPr>
            </w:pPr>
            <w:r w:rsidRPr="00FC16A9">
              <w:rPr>
                <w:szCs w:val="24"/>
              </w:rPr>
              <w:t>Kang</w:t>
            </w:r>
          </w:p>
        </w:tc>
        <w:tc>
          <w:tcPr>
            <w:tcW w:w="1080" w:type="dxa"/>
          </w:tcPr>
          <w:p w:rsidR="002F3B63" w:rsidRPr="00FC16A9" w:rsidRDefault="002F3B63" w:rsidP="002F3B63">
            <w:pPr>
              <w:jc w:val="center"/>
              <w:rPr>
                <w:szCs w:val="24"/>
              </w:rPr>
            </w:pPr>
            <w:r w:rsidRPr="00FC16A9">
              <w:rPr>
                <w:szCs w:val="24"/>
              </w:rPr>
              <w:t>227 **</w:t>
            </w:r>
          </w:p>
        </w:tc>
        <w:tc>
          <w:tcPr>
            <w:tcW w:w="1080" w:type="dxa"/>
          </w:tcPr>
          <w:p w:rsidR="002F3B63" w:rsidRPr="00FC16A9" w:rsidRDefault="002F3B63" w:rsidP="002F3B63">
            <w:pPr>
              <w:jc w:val="center"/>
              <w:rPr>
                <w:szCs w:val="24"/>
              </w:rPr>
            </w:pPr>
            <w:r w:rsidRPr="00FC16A9">
              <w:rPr>
                <w:szCs w:val="24"/>
              </w:rPr>
              <w:t>327 *</w:t>
            </w:r>
          </w:p>
        </w:tc>
        <w:tc>
          <w:tcPr>
            <w:tcW w:w="1080" w:type="dxa"/>
          </w:tcPr>
          <w:p w:rsidR="002F3B63" w:rsidRPr="00FC16A9" w:rsidRDefault="002F3B63" w:rsidP="002F3B63">
            <w:pPr>
              <w:jc w:val="center"/>
              <w:rPr>
                <w:szCs w:val="24"/>
              </w:rPr>
            </w:pPr>
            <w:r w:rsidRPr="00FC16A9">
              <w:rPr>
                <w:szCs w:val="24"/>
              </w:rPr>
              <w:t>384</w:t>
            </w:r>
          </w:p>
        </w:tc>
        <w:tc>
          <w:tcPr>
            <w:tcW w:w="1080" w:type="dxa"/>
          </w:tcPr>
          <w:p w:rsidR="002F3B63" w:rsidRPr="00FC16A9" w:rsidRDefault="002F3B63" w:rsidP="002F3B63">
            <w:pPr>
              <w:jc w:val="center"/>
              <w:rPr>
                <w:szCs w:val="24"/>
              </w:rPr>
            </w:pPr>
            <w:r w:rsidRPr="00FC16A9">
              <w:rPr>
                <w:szCs w:val="24"/>
              </w:rPr>
              <w:t>1.08 ***</w:t>
            </w:r>
          </w:p>
        </w:tc>
      </w:tr>
      <w:tr w:rsidR="002F3B63" w:rsidTr="002F3B63">
        <w:tc>
          <w:tcPr>
            <w:tcW w:w="1548" w:type="dxa"/>
          </w:tcPr>
          <w:p w:rsidR="002F3B63" w:rsidRPr="00FC16A9" w:rsidRDefault="002F3B63" w:rsidP="002F3B63">
            <w:pPr>
              <w:jc w:val="center"/>
              <w:rPr>
                <w:szCs w:val="24"/>
              </w:rPr>
            </w:pPr>
            <w:r w:rsidRPr="00FC16A9">
              <w:rPr>
                <w:szCs w:val="24"/>
              </w:rPr>
              <w:t>Krige</w:t>
            </w:r>
          </w:p>
        </w:tc>
        <w:tc>
          <w:tcPr>
            <w:tcW w:w="1080" w:type="dxa"/>
          </w:tcPr>
          <w:p w:rsidR="002F3B63" w:rsidRPr="00FC16A9" w:rsidRDefault="002F3B63" w:rsidP="002F3B63">
            <w:pPr>
              <w:jc w:val="center"/>
              <w:rPr>
                <w:szCs w:val="24"/>
              </w:rPr>
            </w:pPr>
            <w:r w:rsidRPr="00FC16A9">
              <w:rPr>
                <w:szCs w:val="24"/>
              </w:rPr>
              <w:t>197 ***</w:t>
            </w:r>
          </w:p>
        </w:tc>
        <w:tc>
          <w:tcPr>
            <w:tcW w:w="1080" w:type="dxa"/>
          </w:tcPr>
          <w:p w:rsidR="002F3B63" w:rsidRPr="00FC16A9" w:rsidRDefault="002F3B63" w:rsidP="002F3B63">
            <w:pPr>
              <w:jc w:val="center"/>
              <w:rPr>
                <w:szCs w:val="24"/>
              </w:rPr>
            </w:pPr>
            <w:r w:rsidRPr="00FC16A9">
              <w:rPr>
                <w:szCs w:val="24"/>
              </w:rPr>
              <w:t>290 **</w:t>
            </w:r>
          </w:p>
        </w:tc>
        <w:tc>
          <w:tcPr>
            <w:tcW w:w="1080" w:type="dxa"/>
          </w:tcPr>
          <w:p w:rsidR="002F3B63" w:rsidRPr="00FC16A9" w:rsidRDefault="002F3B63" w:rsidP="002F3B63">
            <w:pPr>
              <w:jc w:val="center"/>
              <w:rPr>
                <w:szCs w:val="24"/>
              </w:rPr>
            </w:pPr>
            <w:r w:rsidRPr="00FC16A9">
              <w:rPr>
                <w:szCs w:val="24"/>
              </w:rPr>
              <w:t>NA</w:t>
            </w:r>
          </w:p>
        </w:tc>
        <w:tc>
          <w:tcPr>
            <w:tcW w:w="1080" w:type="dxa"/>
          </w:tcPr>
          <w:p w:rsidR="002F3B63" w:rsidRPr="00FC16A9" w:rsidRDefault="002F3B63" w:rsidP="002F3B63">
            <w:pPr>
              <w:jc w:val="center"/>
              <w:rPr>
                <w:szCs w:val="24"/>
              </w:rPr>
            </w:pPr>
            <w:r w:rsidRPr="00FC16A9">
              <w:rPr>
                <w:szCs w:val="24"/>
              </w:rPr>
              <w:t>NA</w:t>
            </w:r>
          </w:p>
        </w:tc>
      </w:tr>
      <w:tr w:rsidR="002F3B63" w:rsidTr="002F3B63">
        <w:tc>
          <w:tcPr>
            <w:tcW w:w="1548" w:type="dxa"/>
          </w:tcPr>
          <w:p w:rsidR="002F3B63" w:rsidRPr="00FC16A9" w:rsidRDefault="002F3B63" w:rsidP="002F3B63">
            <w:pPr>
              <w:jc w:val="center"/>
              <w:rPr>
                <w:szCs w:val="24"/>
              </w:rPr>
            </w:pPr>
            <w:r w:rsidRPr="00FC16A9">
              <w:rPr>
                <w:szCs w:val="24"/>
              </w:rPr>
              <w:t>Trend</w:t>
            </w:r>
          </w:p>
        </w:tc>
        <w:tc>
          <w:tcPr>
            <w:tcW w:w="1080" w:type="dxa"/>
          </w:tcPr>
          <w:p w:rsidR="002F3B63" w:rsidRPr="00FC16A9" w:rsidRDefault="002F3B63" w:rsidP="002F3B63">
            <w:pPr>
              <w:jc w:val="center"/>
              <w:rPr>
                <w:szCs w:val="24"/>
              </w:rPr>
            </w:pPr>
            <w:r w:rsidRPr="00FC16A9">
              <w:rPr>
                <w:szCs w:val="24"/>
              </w:rPr>
              <w:t>206 ***</w:t>
            </w:r>
          </w:p>
        </w:tc>
        <w:tc>
          <w:tcPr>
            <w:tcW w:w="1080" w:type="dxa"/>
          </w:tcPr>
          <w:p w:rsidR="002F3B63" w:rsidRPr="00FC16A9" w:rsidRDefault="002F3B63" w:rsidP="002F3B63">
            <w:pPr>
              <w:jc w:val="center"/>
              <w:rPr>
                <w:szCs w:val="24"/>
              </w:rPr>
            </w:pPr>
            <w:r w:rsidRPr="00FC16A9">
              <w:rPr>
                <w:szCs w:val="24"/>
              </w:rPr>
              <w:t>307 *</w:t>
            </w:r>
          </w:p>
        </w:tc>
        <w:tc>
          <w:tcPr>
            <w:tcW w:w="1080" w:type="dxa"/>
          </w:tcPr>
          <w:p w:rsidR="002F3B63" w:rsidRPr="00FC16A9" w:rsidRDefault="002F3B63" w:rsidP="002F3B63">
            <w:pPr>
              <w:jc w:val="center"/>
              <w:rPr>
                <w:szCs w:val="24"/>
              </w:rPr>
            </w:pPr>
            <w:r w:rsidRPr="00FC16A9">
              <w:rPr>
                <w:szCs w:val="24"/>
              </w:rPr>
              <w:t>206</w:t>
            </w:r>
          </w:p>
        </w:tc>
        <w:tc>
          <w:tcPr>
            <w:tcW w:w="1080" w:type="dxa"/>
          </w:tcPr>
          <w:p w:rsidR="002F3B63" w:rsidRPr="00FC16A9" w:rsidRDefault="002F3B63" w:rsidP="002F3B63">
            <w:pPr>
              <w:jc w:val="center"/>
              <w:rPr>
                <w:szCs w:val="24"/>
              </w:rPr>
            </w:pPr>
            <w:r w:rsidRPr="00FC16A9">
              <w:rPr>
                <w:szCs w:val="24"/>
              </w:rPr>
              <w:t>1.08 ***</w:t>
            </w:r>
          </w:p>
        </w:tc>
      </w:tr>
    </w:tbl>
    <w:p w:rsidR="002F3B63" w:rsidRDefault="002F3B63" w:rsidP="006A17D7">
      <w:pPr>
        <w:pStyle w:val="Caption"/>
      </w:pPr>
      <w:bookmarkStart w:id="82" w:name="_Toc425427083"/>
      <w:r>
        <w:t xml:space="preserve">Table </w:t>
      </w:r>
      <w:fldSimple w:instr=" SEQ Table \* ARABIC ">
        <w:r w:rsidR="00885C9E">
          <w:rPr>
            <w:noProof/>
          </w:rPr>
          <w:t>27</w:t>
        </w:r>
      </w:fldSimple>
      <w:r>
        <w:t xml:space="preserve">: MW </w:t>
      </w:r>
      <w:r w:rsidRPr="00273C8B">
        <w:rPr>
          <w:i/>
        </w:rPr>
        <w:t>W</w:t>
      </w:r>
      <w:r>
        <w:t xml:space="preserve"> statistic with significance levels to determine statistical differences between the following data sets: Cropper (2014), Kang et al. (2014), corrected </w:t>
      </w:r>
      <w:r w:rsidRPr="000214DC">
        <w:rPr>
          <w:i/>
        </w:rPr>
        <w:t>z</w:t>
      </w:r>
      <w:r w:rsidRPr="000214DC">
        <w:rPr>
          <w:i/>
          <w:vertAlign w:val="subscript"/>
        </w:rPr>
        <w:t>ra</w:t>
      </w:r>
      <w:r>
        <w:t xml:space="preserve"> (labeled as Krige) variable, and Tren</w:t>
      </w:r>
      <w:r w:rsidR="00FC16A9">
        <w:t>d</w:t>
      </w:r>
      <w:r>
        <w:t xml:space="preserve"> (created during trend surface analysis)</w:t>
      </w:r>
      <w:bookmarkEnd w:id="82"/>
    </w:p>
    <w:p w:rsidR="002F3B63" w:rsidRPr="00686053" w:rsidRDefault="002F3B63" w:rsidP="002F3B63"/>
    <w:tbl>
      <w:tblPr>
        <w:tblStyle w:val="TableGrid"/>
        <w:tblW w:w="0" w:type="auto"/>
        <w:tblLook w:val="04A0"/>
      </w:tblPr>
      <w:tblGrid>
        <w:gridCol w:w="1548"/>
        <w:gridCol w:w="1170"/>
        <w:gridCol w:w="1170"/>
        <w:gridCol w:w="900"/>
        <w:gridCol w:w="1170"/>
      </w:tblGrid>
      <w:tr w:rsidR="002F3B63" w:rsidTr="002F3B63">
        <w:tc>
          <w:tcPr>
            <w:tcW w:w="1548" w:type="dxa"/>
          </w:tcPr>
          <w:p w:rsidR="002F3B63" w:rsidRPr="00FC16A9" w:rsidRDefault="002F3B63" w:rsidP="002F3B63">
            <w:pPr>
              <w:jc w:val="center"/>
              <w:rPr>
                <w:b/>
                <w:szCs w:val="24"/>
              </w:rPr>
            </w:pPr>
            <w:r w:rsidRPr="00FC16A9">
              <w:rPr>
                <w:b/>
                <w:szCs w:val="24"/>
              </w:rPr>
              <w:t>Cropper vs.</w:t>
            </w:r>
          </w:p>
        </w:tc>
        <w:tc>
          <w:tcPr>
            <w:tcW w:w="1170" w:type="dxa"/>
          </w:tcPr>
          <w:p w:rsidR="002F3B63" w:rsidRPr="00FC16A9" w:rsidRDefault="002F3B63" w:rsidP="002F3B63">
            <w:pPr>
              <w:jc w:val="center"/>
              <w:rPr>
                <w:szCs w:val="24"/>
              </w:rPr>
            </w:pPr>
            <w:r w:rsidRPr="00FC16A9">
              <w:rPr>
                <w:rFonts w:cstheme="minorHAnsi"/>
                <w:b/>
                <w:szCs w:val="24"/>
              </w:rPr>
              <w:t>ψ</w:t>
            </w:r>
            <w:r w:rsidRPr="00FC16A9">
              <w:rPr>
                <w:rFonts w:cstheme="minorHAnsi"/>
                <w:b/>
                <w:szCs w:val="24"/>
                <w:vertAlign w:val="subscript"/>
              </w:rPr>
              <w:t>a</w:t>
            </w:r>
          </w:p>
        </w:tc>
        <w:tc>
          <w:tcPr>
            <w:tcW w:w="1170" w:type="dxa"/>
          </w:tcPr>
          <w:p w:rsidR="002F3B63" w:rsidRPr="00FC16A9" w:rsidRDefault="002F3B63" w:rsidP="002F3B63">
            <w:pPr>
              <w:jc w:val="center"/>
              <w:rPr>
                <w:szCs w:val="24"/>
              </w:rPr>
            </w:pPr>
            <w:r w:rsidRPr="00FC16A9">
              <w:rPr>
                <w:rFonts w:cstheme="minorHAnsi"/>
                <w:b/>
                <w:szCs w:val="24"/>
              </w:rPr>
              <w:t>Ѳ</w:t>
            </w:r>
            <w:r w:rsidRPr="00FC16A9">
              <w:rPr>
                <w:rFonts w:cstheme="minorHAnsi"/>
                <w:b/>
                <w:szCs w:val="24"/>
                <w:vertAlign w:val="subscript"/>
              </w:rPr>
              <w:t>s</w:t>
            </w:r>
          </w:p>
        </w:tc>
        <w:tc>
          <w:tcPr>
            <w:tcW w:w="900" w:type="dxa"/>
          </w:tcPr>
          <w:p w:rsidR="002F3B63" w:rsidRPr="00FC16A9" w:rsidRDefault="002F3B63" w:rsidP="002F3B63">
            <w:pPr>
              <w:jc w:val="center"/>
              <w:rPr>
                <w:szCs w:val="24"/>
              </w:rPr>
            </w:pPr>
            <w:r w:rsidRPr="00FC16A9">
              <w:rPr>
                <w:rFonts w:cstheme="minorHAnsi"/>
                <w:b/>
                <w:szCs w:val="24"/>
              </w:rPr>
              <w:t>λ</w:t>
            </w:r>
          </w:p>
        </w:tc>
        <w:tc>
          <w:tcPr>
            <w:tcW w:w="1170" w:type="dxa"/>
          </w:tcPr>
          <w:p w:rsidR="002F3B63" w:rsidRPr="00FC16A9" w:rsidRDefault="002F3B63" w:rsidP="002F3B63">
            <w:pPr>
              <w:jc w:val="center"/>
              <w:rPr>
                <w:szCs w:val="24"/>
              </w:rPr>
            </w:pPr>
            <w:r w:rsidRPr="00FC16A9">
              <w:rPr>
                <w:rFonts w:cstheme="minorHAnsi"/>
                <w:b/>
                <w:szCs w:val="24"/>
              </w:rPr>
              <w:t>Ѳ</w:t>
            </w:r>
            <w:r w:rsidRPr="00FC16A9">
              <w:rPr>
                <w:rFonts w:cstheme="minorHAnsi"/>
                <w:b/>
                <w:szCs w:val="24"/>
                <w:vertAlign w:val="subscript"/>
              </w:rPr>
              <w:t>r</w:t>
            </w:r>
          </w:p>
        </w:tc>
      </w:tr>
      <w:tr w:rsidR="002F3B63" w:rsidTr="002F3B63">
        <w:tc>
          <w:tcPr>
            <w:tcW w:w="1548" w:type="dxa"/>
          </w:tcPr>
          <w:p w:rsidR="002F3B63" w:rsidRPr="00FC16A9" w:rsidRDefault="002F3B63" w:rsidP="002F3B63">
            <w:pPr>
              <w:jc w:val="center"/>
              <w:rPr>
                <w:szCs w:val="24"/>
              </w:rPr>
            </w:pPr>
            <w:r w:rsidRPr="00FC16A9">
              <w:rPr>
                <w:szCs w:val="24"/>
              </w:rPr>
              <w:t>Kang</w:t>
            </w:r>
          </w:p>
        </w:tc>
        <w:tc>
          <w:tcPr>
            <w:tcW w:w="1170" w:type="dxa"/>
          </w:tcPr>
          <w:p w:rsidR="002F3B63" w:rsidRPr="00FC16A9" w:rsidRDefault="002F3B63" w:rsidP="002F3B63">
            <w:pPr>
              <w:jc w:val="center"/>
              <w:rPr>
                <w:szCs w:val="24"/>
              </w:rPr>
            </w:pPr>
            <w:r w:rsidRPr="00FC16A9">
              <w:rPr>
                <w:szCs w:val="24"/>
              </w:rPr>
              <w:t>0.673 **</w:t>
            </w:r>
          </w:p>
        </w:tc>
        <w:tc>
          <w:tcPr>
            <w:tcW w:w="1170" w:type="dxa"/>
          </w:tcPr>
          <w:p w:rsidR="002F3B63" w:rsidRPr="00FC16A9" w:rsidRDefault="002F3B63" w:rsidP="002F3B63">
            <w:pPr>
              <w:jc w:val="center"/>
              <w:rPr>
                <w:szCs w:val="24"/>
              </w:rPr>
            </w:pPr>
            <w:r w:rsidRPr="00FC16A9">
              <w:rPr>
                <w:szCs w:val="24"/>
              </w:rPr>
              <w:t>0.595 **</w:t>
            </w:r>
          </w:p>
        </w:tc>
        <w:tc>
          <w:tcPr>
            <w:tcW w:w="900" w:type="dxa"/>
          </w:tcPr>
          <w:p w:rsidR="002F3B63" w:rsidRPr="00FC16A9" w:rsidRDefault="002F3B63" w:rsidP="002F3B63">
            <w:pPr>
              <w:jc w:val="center"/>
              <w:rPr>
                <w:szCs w:val="24"/>
              </w:rPr>
            </w:pPr>
            <w:r w:rsidRPr="00FC16A9">
              <w:rPr>
                <w:szCs w:val="24"/>
              </w:rPr>
              <w:t>0.434</w:t>
            </w:r>
          </w:p>
        </w:tc>
        <w:tc>
          <w:tcPr>
            <w:tcW w:w="1170" w:type="dxa"/>
          </w:tcPr>
          <w:p w:rsidR="002F3B63" w:rsidRPr="00FC16A9" w:rsidRDefault="002F3B63" w:rsidP="002F3B63">
            <w:pPr>
              <w:jc w:val="center"/>
              <w:rPr>
                <w:szCs w:val="24"/>
              </w:rPr>
            </w:pPr>
            <w:r w:rsidRPr="00FC16A9">
              <w:rPr>
                <w:szCs w:val="24"/>
              </w:rPr>
              <w:t>0.656 **</w:t>
            </w:r>
          </w:p>
        </w:tc>
      </w:tr>
      <w:tr w:rsidR="002F3B63" w:rsidTr="002F3B63">
        <w:tc>
          <w:tcPr>
            <w:tcW w:w="1548" w:type="dxa"/>
          </w:tcPr>
          <w:p w:rsidR="002F3B63" w:rsidRPr="00FC16A9" w:rsidRDefault="002F3B63" w:rsidP="002F3B63">
            <w:pPr>
              <w:jc w:val="center"/>
              <w:rPr>
                <w:szCs w:val="24"/>
              </w:rPr>
            </w:pPr>
            <w:r w:rsidRPr="00FC16A9">
              <w:rPr>
                <w:szCs w:val="24"/>
              </w:rPr>
              <w:t>Krige</w:t>
            </w:r>
          </w:p>
        </w:tc>
        <w:tc>
          <w:tcPr>
            <w:tcW w:w="1170" w:type="dxa"/>
          </w:tcPr>
          <w:p w:rsidR="002F3B63" w:rsidRPr="00FC16A9" w:rsidRDefault="002F3B63" w:rsidP="002F3B63">
            <w:pPr>
              <w:jc w:val="center"/>
              <w:rPr>
                <w:szCs w:val="24"/>
              </w:rPr>
            </w:pPr>
            <w:r w:rsidRPr="00FC16A9">
              <w:rPr>
                <w:szCs w:val="24"/>
              </w:rPr>
              <w:t>0.717 ***</w:t>
            </w:r>
          </w:p>
        </w:tc>
        <w:tc>
          <w:tcPr>
            <w:tcW w:w="1170" w:type="dxa"/>
          </w:tcPr>
          <w:p w:rsidR="002F3B63" w:rsidRPr="00FC16A9" w:rsidRDefault="002F3B63" w:rsidP="002F3B63">
            <w:pPr>
              <w:jc w:val="center"/>
              <w:rPr>
                <w:szCs w:val="24"/>
              </w:rPr>
            </w:pPr>
            <w:r w:rsidRPr="00FC16A9">
              <w:rPr>
                <w:szCs w:val="24"/>
              </w:rPr>
              <w:t>0.613 **</w:t>
            </w:r>
          </w:p>
        </w:tc>
        <w:tc>
          <w:tcPr>
            <w:tcW w:w="900" w:type="dxa"/>
          </w:tcPr>
          <w:p w:rsidR="002F3B63" w:rsidRPr="00FC16A9" w:rsidRDefault="002F3B63" w:rsidP="002F3B63">
            <w:pPr>
              <w:jc w:val="center"/>
              <w:rPr>
                <w:szCs w:val="24"/>
              </w:rPr>
            </w:pPr>
            <w:r w:rsidRPr="00FC16A9">
              <w:rPr>
                <w:szCs w:val="24"/>
              </w:rPr>
              <w:t>NA</w:t>
            </w:r>
          </w:p>
        </w:tc>
        <w:tc>
          <w:tcPr>
            <w:tcW w:w="1170" w:type="dxa"/>
          </w:tcPr>
          <w:p w:rsidR="002F3B63" w:rsidRPr="00FC16A9" w:rsidRDefault="002F3B63" w:rsidP="002F3B63">
            <w:pPr>
              <w:jc w:val="center"/>
              <w:rPr>
                <w:szCs w:val="24"/>
              </w:rPr>
            </w:pPr>
            <w:r w:rsidRPr="00FC16A9">
              <w:rPr>
                <w:szCs w:val="24"/>
              </w:rPr>
              <w:t>NA</w:t>
            </w:r>
          </w:p>
        </w:tc>
      </w:tr>
      <w:tr w:rsidR="002F3B63" w:rsidTr="002F3B63">
        <w:tc>
          <w:tcPr>
            <w:tcW w:w="1548" w:type="dxa"/>
          </w:tcPr>
          <w:p w:rsidR="002F3B63" w:rsidRPr="00FC16A9" w:rsidRDefault="002F3B63" w:rsidP="002F3B63">
            <w:pPr>
              <w:jc w:val="center"/>
              <w:rPr>
                <w:szCs w:val="24"/>
              </w:rPr>
            </w:pPr>
            <w:r w:rsidRPr="00FC16A9">
              <w:rPr>
                <w:szCs w:val="24"/>
              </w:rPr>
              <w:t>Trend</w:t>
            </w:r>
          </w:p>
        </w:tc>
        <w:tc>
          <w:tcPr>
            <w:tcW w:w="1170" w:type="dxa"/>
          </w:tcPr>
          <w:p w:rsidR="002F3B63" w:rsidRPr="00FC16A9" w:rsidRDefault="002F3B63" w:rsidP="002F3B63">
            <w:pPr>
              <w:jc w:val="center"/>
              <w:rPr>
                <w:szCs w:val="24"/>
              </w:rPr>
            </w:pPr>
            <w:r w:rsidRPr="00FC16A9">
              <w:rPr>
                <w:szCs w:val="24"/>
              </w:rPr>
              <w:t>0.708 ***</w:t>
            </w:r>
          </w:p>
        </w:tc>
        <w:tc>
          <w:tcPr>
            <w:tcW w:w="1170" w:type="dxa"/>
          </w:tcPr>
          <w:p w:rsidR="002F3B63" w:rsidRPr="00FC16A9" w:rsidRDefault="002F3B63" w:rsidP="002F3B63">
            <w:pPr>
              <w:jc w:val="center"/>
              <w:rPr>
                <w:szCs w:val="24"/>
              </w:rPr>
            </w:pPr>
            <w:r w:rsidRPr="00FC16A9">
              <w:rPr>
                <w:szCs w:val="24"/>
              </w:rPr>
              <w:t>0.604 **</w:t>
            </w:r>
          </w:p>
        </w:tc>
        <w:tc>
          <w:tcPr>
            <w:tcW w:w="900" w:type="dxa"/>
          </w:tcPr>
          <w:p w:rsidR="002F3B63" w:rsidRPr="00FC16A9" w:rsidRDefault="002F3B63" w:rsidP="002F3B63">
            <w:pPr>
              <w:jc w:val="center"/>
              <w:rPr>
                <w:szCs w:val="24"/>
              </w:rPr>
            </w:pPr>
            <w:r w:rsidRPr="00FC16A9">
              <w:rPr>
                <w:szCs w:val="24"/>
              </w:rPr>
              <w:t>0.469</w:t>
            </w:r>
          </w:p>
        </w:tc>
        <w:tc>
          <w:tcPr>
            <w:tcW w:w="1170" w:type="dxa"/>
          </w:tcPr>
          <w:p w:rsidR="002F3B63" w:rsidRPr="00FC16A9" w:rsidRDefault="002F3B63" w:rsidP="002F3B63">
            <w:pPr>
              <w:jc w:val="center"/>
              <w:rPr>
                <w:szCs w:val="24"/>
              </w:rPr>
            </w:pPr>
            <w:r w:rsidRPr="00FC16A9">
              <w:rPr>
                <w:szCs w:val="24"/>
              </w:rPr>
              <w:t>0.691 ***</w:t>
            </w:r>
          </w:p>
        </w:tc>
      </w:tr>
    </w:tbl>
    <w:p w:rsidR="00051438" w:rsidRDefault="002F3B63" w:rsidP="00796ACE">
      <w:pPr>
        <w:pStyle w:val="Caption"/>
      </w:pPr>
      <w:bookmarkStart w:id="83" w:name="_Toc425427084"/>
      <w:r>
        <w:t xml:space="preserve">Table </w:t>
      </w:r>
      <w:fldSimple w:instr=" SEQ Table \* ARABIC ">
        <w:r w:rsidR="00885C9E">
          <w:rPr>
            <w:noProof/>
          </w:rPr>
          <w:t>28</w:t>
        </w:r>
      </w:fldSimple>
      <w:r>
        <w:t>:</w:t>
      </w:r>
      <w:r w:rsidR="00796ACE" w:rsidRPr="00796ACE">
        <w:t xml:space="preserve"> </w:t>
      </w:r>
      <w:r w:rsidR="00796ACE">
        <w:t xml:space="preserve">KS </w:t>
      </w:r>
      <w:r w:rsidR="00796ACE" w:rsidRPr="00796ACE">
        <w:rPr>
          <w:i/>
        </w:rPr>
        <w:t>D</w:t>
      </w:r>
      <w:r w:rsidR="00796ACE">
        <w:t xml:space="preserve"> statistic with significance levels to determine statistical differences between the following data sets: Cropper (2014), Kang et al. (2014), corrected </w:t>
      </w:r>
      <w:r w:rsidR="00796ACE" w:rsidRPr="000214DC">
        <w:rPr>
          <w:i/>
        </w:rPr>
        <w:t>z</w:t>
      </w:r>
      <w:r w:rsidR="00796ACE" w:rsidRPr="000214DC">
        <w:rPr>
          <w:i/>
          <w:vertAlign w:val="subscript"/>
        </w:rPr>
        <w:t>ra</w:t>
      </w:r>
      <w:r w:rsidR="00796ACE">
        <w:t xml:space="preserve"> (labeled as Krige) variable, and Trend (created during trend surface analysis)</w:t>
      </w:r>
      <w:bookmarkEnd w:id="83"/>
    </w:p>
    <w:p w:rsidR="00051438" w:rsidRDefault="00051438" w:rsidP="00051438">
      <w:pPr>
        <w:pStyle w:val="Style2"/>
      </w:pPr>
    </w:p>
    <w:p w:rsidR="00051438" w:rsidRDefault="00051438" w:rsidP="00051438">
      <w:pPr>
        <w:pStyle w:val="Style2"/>
      </w:pPr>
    </w:p>
    <w:p w:rsidR="00051438" w:rsidRDefault="00051438" w:rsidP="00051438">
      <w:pPr>
        <w:pStyle w:val="Style2"/>
      </w:pPr>
    </w:p>
    <w:p w:rsidR="00051438" w:rsidRDefault="00051438" w:rsidP="00051438">
      <w:pPr>
        <w:pStyle w:val="Style2"/>
      </w:pPr>
    </w:p>
    <w:p w:rsidR="008316FE" w:rsidRDefault="008316FE">
      <w:pPr>
        <w:rPr>
          <w:rFonts w:eastAsiaTheme="majorEastAsia" w:cstheme="majorBidi"/>
          <w:b/>
          <w:bCs/>
          <w:szCs w:val="28"/>
        </w:rPr>
      </w:pPr>
      <w:bookmarkStart w:id="84" w:name="_Toc412485251"/>
      <w:r>
        <w:br w:type="page"/>
      </w:r>
    </w:p>
    <w:p w:rsidR="002F3B63" w:rsidRDefault="002F3B63" w:rsidP="002F3B63">
      <w:pPr>
        <w:pStyle w:val="Style2"/>
      </w:pPr>
      <w:bookmarkStart w:id="85" w:name="_Toc422315812"/>
      <w:bookmarkStart w:id="86" w:name="_Toc425427055"/>
      <w:bookmarkStart w:id="87" w:name="_Toc412485252"/>
      <w:bookmarkEnd w:id="84"/>
      <w:r>
        <w:lastRenderedPageBreak/>
        <w:t>Appendix 2. Figures</w:t>
      </w:r>
      <w:bookmarkEnd w:id="85"/>
      <w:bookmarkEnd w:id="86"/>
    </w:p>
    <w:p w:rsidR="001B5DF9" w:rsidRDefault="001B5DF9" w:rsidP="001B5DF9">
      <w:pPr>
        <w:pStyle w:val="Style3"/>
        <w:rPr>
          <w:i w:val="0"/>
        </w:rPr>
      </w:pPr>
      <w:r w:rsidRPr="001B5DF9">
        <w:rPr>
          <w:i w:val="0"/>
          <w:noProof/>
        </w:rPr>
        <w:drawing>
          <wp:inline distT="0" distB="0" distL="0" distR="0">
            <wp:extent cx="4867910" cy="2832735"/>
            <wp:effectExtent l="19050" t="0" r="0" b="0"/>
            <wp:docPr id="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 cstate="print"/>
                    <a:srcRect/>
                    <a:stretch>
                      <a:fillRect/>
                    </a:stretch>
                  </pic:blipFill>
                  <pic:spPr bwMode="auto">
                    <a:xfrm>
                      <a:off x="0" y="0"/>
                      <a:ext cx="4867910" cy="2832735"/>
                    </a:xfrm>
                    <a:prstGeom prst="rect">
                      <a:avLst/>
                    </a:prstGeom>
                    <a:noFill/>
                    <a:ln w="9525">
                      <a:noFill/>
                      <a:miter lim="800000"/>
                      <a:headEnd/>
                      <a:tailEnd/>
                    </a:ln>
                  </pic:spPr>
                </pic:pic>
              </a:graphicData>
            </a:graphic>
          </wp:inline>
        </w:drawing>
      </w:r>
    </w:p>
    <w:p w:rsidR="001B5DF9" w:rsidRDefault="001B5DF9" w:rsidP="001B5DF9">
      <w:pPr>
        <w:pStyle w:val="Style3"/>
        <w:spacing w:line="276" w:lineRule="auto"/>
        <w:rPr>
          <w:i w:val="0"/>
        </w:rPr>
      </w:pPr>
      <w:r w:rsidRPr="001B5DF9">
        <w:rPr>
          <w:i w:val="0"/>
          <w:noProof/>
        </w:rPr>
        <w:drawing>
          <wp:inline distT="0" distB="0" distL="0" distR="0">
            <wp:extent cx="4724400" cy="2922270"/>
            <wp:effectExtent l="19050" t="0" r="0" b="0"/>
            <wp:docPr id="1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 cstate="print"/>
                    <a:srcRect/>
                    <a:stretch>
                      <a:fillRect/>
                    </a:stretch>
                  </pic:blipFill>
                  <pic:spPr bwMode="auto">
                    <a:xfrm>
                      <a:off x="0" y="0"/>
                      <a:ext cx="4724400" cy="2922270"/>
                    </a:xfrm>
                    <a:prstGeom prst="rect">
                      <a:avLst/>
                    </a:prstGeom>
                    <a:noFill/>
                    <a:ln w="9525">
                      <a:noFill/>
                      <a:miter lim="800000"/>
                      <a:headEnd/>
                      <a:tailEnd/>
                    </a:ln>
                  </pic:spPr>
                </pic:pic>
              </a:graphicData>
            </a:graphic>
          </wp:inline>
        </w:drawing>
      </w:r>
    </w:p>
    <w:p w:rsidR="001B5DF9" w:rsidRDefault="001B5DF9" w:rsidP="00FC0169">
      <w:pPr>
        <w:spacing w:line="240" w:lineRule="auto"/>
      </w:pPr>
      <w:bookmarkStart w:id="88" w:name="_Toc425427085"/>
      <w:r>
        <w:t xml:space="preserve">Figure </w:t>
      </w:r>
      <w:fldSimple w:instr=" SEQ Figure \* ARABIC ">
        <w:r w:rsidR="00885C9E">
          <w:rPr>
            <w:noProof/>
          </w:rPr>
          <w:t>1</w:t>
        </w:r>
      </w:fldSimple>
      <w:r>
        <w:t>: a)</w:t>
      </w:r>
      <w:r w:rsidRPr="001B5DF9">
        <w:t xml:space="preserve"> </w:t>
      </w:r>
      <w:r>
        <w:t xml:space="preserve">Hanging water column set up for drainage of Flint sand at the HFIR CG1-D </w:t>
      </w:r>
      <w:r w:rsidRPr="00A07A6E">
        <w:t>beamline</w:t>
      </w:r>
      <w:r>
        <w:t>. b) V</w:t>
      </w:r>
      <w:r w:rsidRPr="00A07A6E">
        <w:t xml:space="preserve">arious basal </w:t>
      </w:r>
      <w:r>
        <w:t>matric potentials</w:t>
      </w:r>
      <w:r w:rsidRPr="00A07A6E">
        <w:t xml:space="preserve"> </w:t>
      </w:r>
      <w:r>
        <w:t>were achieved by</w:t>
      </w:r>
      <w:r w:rsidRPr="00A07A6E">
        <w:t xml:space="preserve"> adjusting the height of the </w:t>
      </w:r>
      <w:r>
        <w:t>burette</w:t>
      </w:r>
      <w:r w:rsidRPr="00A07A6E">
        <w:t xml:space="preserve"> </w:t>
      </w:r>
      <w:r>
        <w:t>column outside of the beamline (Kang et al., 2014).</w:t>
      </w:r>
      <w:bookmarkEnd w:id="88"/>
      <w:r>
        <w:t xml:space="preserve"> </w:t>
      </w:r>
    </w:p>
    <w:p w:rsidR="001B5DF9" w:rsidRPr="004D14FC" w:rsidRDefault="001B5DF9" w:rsidP="001B5DF9">
      <w:pPr>
        <w:pStyle w:val="Caption"/>
        <w:spacing w:line="276" w:lineRule="auto"/>
      </w:pPr>
    </w:p>
    <w:p w:rsidR="002F3B63" w:rsidRDefault="000426AC" w:rsidP="002F3B63">
      <w:pPr>
        <w:pStyle w:val="Quote"/>
        <w:keepNext/>
      </w:pPr>
      <w:r w:rsidRPr="000426AC">
        <w:rPr>
          <w:noProof/>
        </w:rPr>
        <w:lastRenderedPageBreak/>
        <w:drawing>
          <wp:inline distT="0" distB="0" distL="0" distR="0">
            <wp:extent cx="2743605" cy="3132306"/>
            <wp:effectExtent l="19050" t="0" r="0" b="0"/>
            <wp:docPr id="1" name="Picture 1"/>
            <wp:cNvGraphicFramePr/>
            <a:graphic xmlns:a="http://schemas.openxmlformats.org/drawingml/2006/main">
              <a:graphicData uri="http://schemas.openxmlformats.org/drawingml/2006/picture">
                <pic:pic xmlns:pic="http://schemas.openxmlformats.org/drawingml/2006/picture">
                  <pic:nvPicPr>
                    <pic:cNvPr id="1026" name="Picture 2"/>
                    <pic:cNvPicPr>
                      <a:picLocks noChangeAspect="1" noChangeArrowheads="1"/>
                    </pic:cNvPicPr>
                  </pic:nvPicPr>
                  <pic:blipFill>
                    <a:blip r:embed="rId11"/>
                    <a:srcRect l="73272" t="26667" r="17320" b="38666"/>
                    <a:stretch>
                      <a:fillRect/>
                    </a:stretch>
                  </pic:blipFill>
                  <pic:spPr bwMode="auto">
                    <a:xfrm>
                      <a:off x="0" y="0"/>
                      <a:ext cx="2748479" cy="3137871"/>
                    </a:xfrm>
                    <a:prstGeom prst="rect">
                      <a:avLst/>
                    </a:prstGeom>
                    <a:noFill/>
                    <a:ln w="9525">
                      <a:noFill/>
                      <a:miter lim="800000"/>
                      <a:headEnd/>
                      <a:tailEnd/>
                    </a:ln>
                    <a:effectLst/>
                  </pic:spPr>
                </pic:pic>
              </a:graphicData>
            </a:graphic>
          </wp:inline>
        </w:drawing>
      </w:r>
    </w:p>
    <w:p w:rsidR="000426AC" w:rsidRDefault="002F3B63" w:rsidP="00FC0169">
      <w:pPr>
        <w:pStyle w:val="Quote"/>
        <w:keepNext/>
        <w:spacing w:line="240" w:lineRule="auto"/>
      </w:pPr>
      <w:bookmarkStart w:id="89" w:name="_Toc422308119"/>
      <w:bookmarkStart w:id="90" w:name="_Toc422316125"/>
      <w:bookmarkStart w:id="91" w:name="_Toc425427086"/>
      <w:r>
        <w:t xml:space="preserve">Figure </w:t>
      </w:r>
      <w:fldSimple w:instr=" SEQ Figure \* ARABIC ">
        <w:r w:rsidR="00885C9E">
          <w:rPr>
            <w:noProof/>
          </w:rPr>
          <w:t>2</w:t>
        </w:r>
      </w:fldSimple>
      <w:r>
        <w:t xml:space="preserve">: </w:t>
      </w:r>
      <w:r w:rsidR="007F4B9B">
        <w:t>The 8 x 15 grid superimposed on an example 2-D radiographic image (28.2 x 60.7 mm) of air (white) displacing water (blue) in Flint sand at a given equilibrium basal matric potential used to construct the 120 point water retention curves (Kang et al., 2014)</w:t>
      </w:r>
      <w:bookmarkEnd w:id="89"/>
      <w:bookmarkEnd w:id="90"/>
      <w:r w:rsidR="00C77606">
        <w:t>; t</w:t>
      </w:r>
      <w:r w:rsidR="000426AC">
        <w:t xml:space="preserve">he distance between adjacent points is 3.2 mm, and the dimensions of the red rectangular region </w:t>
      </w:r>
      <w:r w:rsidR="00C77606">
        <w:t>of interest are 25.6 x 51.2 mm</w:t>
      </w:r>
      <w:bookmarkEnd w:id="91"/>
    </w:p>
    <w:p w:rsidR="002F3B63" w:rsidRDefault="002F3B63" w:rsidP="002F3B63"/>
    <w:p w:rsidR="002F3B63" w:rsidRDefault="002F3B63" w:rsidP="002F3B63"/>
    <w:p w:rsidR="002F3B63" w:rsidRDefault="002F3B63" w:rsidP="002F3B63"/>
    <w:p w:rsidR="002F3B63" w:rsidRDefault="002F3B63" w:rsidP="002F3B63"/>
    <w:p w:rsidR="00FC0169" w:rsidRDefault="00FC0169" w:rsidP="002F3B63"/>
    <w:p w:rsidR="002F3B63" w:rsidRDefault="002F3B63" w:rsidP="002F3B63"/>
    <w:p w:rsidR="002F3B63" w:rsidRPr="009E5795" w:rsidRDefault="002F3B63" w:rsidP="002F3B63"/>
    <w:p w:rsidR="002F3B63" w:rsidRDefault="00177749" w:rsidP="002F3B63">
      <w:pPr>
        <w:rPr>
          <w:szCs w:val="24"/>
        </w:rPr>
      </w:pPr>
      <w:r>
        <w:rPr>
          <w:noProof/>
          <w:szCs w:val="24"/>
          <w:lang w:eastAsia="zh-TW"/>
        </w:rPr>
        <w:lastRenderedPageBreak/>
        <w:pict>
          <v:shapetype id="_x0000_t202" coordsize="21600,21600" o:spt="202" path="m,l,21600r21600,l21600,xe">
            <v:stroke joinstyle="miter"/>
            <v:path gradientshapeok="t" o:connecttype="rect"/>
          </v:shapetype>
          <v:shape id="_x0000_s1026" type="#_x0000_t202" style="position:absolute;margin-left:196.3pt;margin-top:1.25pt;width:33.4pt;height:24.4pt;z-index:251628544;mso-width-relative:margin;mso-height-relative:margin" stroked="f">
            <v:textbox style="mso-next-textbox:#_x0000_s1026">
              <w:txbxContent>
                <w:p w:rsidR="00816E61" w:rsidRPr="0035475B" w:rsidRDefault="00816E61" w:rsidP="002F3B63">
                  <w:pPr>
                    <w:rPr>
                      <w:szCs w:val="24"/>
                    </w:rPr>
                  </w:pPr>
                  <w:r w:rsidRPr="0035475B">
                    <w:rPr>
                      <w:szCs w:val="24"/>
                    </w:rPr>
                    <w:t>a)</w:t>
                  </w:r>
                </w:p>
              </w:txbxContent>
            </v:textbox>
          </v:shape>
        </w:pict>
      </w:r>
      <w:r>
        <w:rPr>
          <w:noProof/>
          <w:szCs w:val="24"/>
          <w:lang w:eastAsia="zh-TW"/>
        </w:rPr>
        <w:pict>
          <v:shape id="_x0000_s1030" type="#_x0000_t202" style="position:absolute;margin-left:260.3pt;margin-top:124.25pt;width:200.45pt;height:19.5pt;z-index:251632640;mso-width-relative:margin;mso-height-relative:margin" stroked="f">
            <v:textbox style="mso-next-textbox:#_x0000_s1030">
              <w:txbxContent>
                <w:p w:rsidR="00816E61" w:rsidRPr="00611520" w:rsidRDefault="00816E61" w:rsidP="002F3B63">
                  <w:pPr>
                    <w:rPr>
                      <w:b/>
                      <w:sz w:val="20"/>
                      <w:szCs w:val="20"/>
                    </w:rPr>
                  </w:pPr>
                  <w:r w:rsidRPr="00611520">
                    <w:rPr>
                      <w:b/>
                      <w:sz w:val="20"/>
                      <w:szCs w:val="20"/>
                    </w:rPr>
                    <w:t xml:space="preserve">Saturated Water Content, </w:t>
                  </w:r>
                  <w:r w:rsidRPr="00611520">
                    <w:rPr>
                      <w:rFonts w:cstheme="minorHAnsi"/>
                      <w:b/>
                      <w:sz w:val="20"/>
                      <w:szCs w:val="20"/>
                    </w:rPr>
                    <w:t>ϴ</w:t>
                  </w:r>
                  <w:r w:rsidRPr="00611520">
                    <w:rPr>
                      <w:b/>
                      <w:sz w:val="20"/>
                      <w:szCs w:val="20"/>
                    </w:rPr>
                    <w:t>s (cm</w:t>
                  </w:r>
                  <w:r w:rsidRPr="00611520">
                    <w:rPr>
                      <w:b/>
                      <w:sz w:val="20"/>
                      <w:szCs w:val="20"/>
                      <w:vertAlign w:val="superscript"/>
                    </w:rPr>
                    <w:t>3</w:t>
                  </w:r>
                  <w:r w:rsidRPr="00611520">
                    <w:rPr>
                      <w:b/>
                      <w:sz w:val="20"/>
                      <w:szCs w:val="20"/>
                    </w:rPr>
                    <w:t>/cm</w:t>
                  </w:r>
                  <w:r w:rsidRPr="00611520">
                    <w:rPr>
                      <w:b/>
                      <w:sz w:val="20"/>
                      <w:szCs w:val="20"/>
                      <w:vertAlign w:val="superscript"/>
                    </w:rPr>
                    <w:t>3</w:t>
                  </w:r>
                  <w:r w:rsidRPr="00611520">
                    <w:rPr>
                      <w:b/>
                      <w:sz w:val="20"/>
                      <w:szCs w:val="20"/>
                    </w:rPr>
                    <w:t>)</w:t>
                  </w:r>
                </w:p>
              </w:txbxContent>
            </v:textbox>
          </v:shape>
        </w:pict>
      </w:r>
      <w:r>
        <w:rPr>
          <w:noProof/>
          <w:szCs w:val="24"/>
          <w:lang w:eastAsia="zh-TW"/>
        </w:rPr>
        <w:pict>
          <v:shape id="_x0000_s1027" type="#_x0000_t202" style="position:absolute;margin-left:431.35pt;margin-top:.8pt;width:29.75pt;height:24.5pt;z-index:251629568;mso-width-relative:margin;mso-height-relative:margin" stroked="f">
            <v:textbox style="mso-next-textbox:#_x0000_s1027">
              <w:txbxContent>
                <w:p w:rsidR="00816E61" w:rsidRPr="00611520" w:rsidRDefault="00816E61" w:rsidP="002F3B63">
                  <w:pPr>
                    <w:rPr>
                      <w:szCs w:val="24"/>
                    </w:rPr>
                  </w:pPr>
                  <w:r w:rsidRPr="00611520">
                    <w:rPr>
                      <w:szCs w:val="24"/>
                    </w:rPr>
                    <w:t>b)</w:t>
                  </w:r>
                </w:p>
              </w:txbxContent>
            </v:textbox>
          </v:shape>
        </w:pict>
      </w:r>
      <w:r w:rsidR="002F3B63" w:rsidRPr="0035475B">
        <w:rPr>
          <w:noProof/>
          <w:szCs w:val="24"/>
        </w:rPr>
        <w:drawing>
          <wp:inline distT="0" distB="0" distL="0" distR="0">
            <wp:extent cx="2905125" cy="1885950"/>
            <wp:effectExtent l="19050" t="0" r="9525" b="0"/>
            <wp:docPr id="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sidR="002F3B63" w:rsidRPr="0035475B">
        <w:rPr>
          <w:noProof/>
          <w:szCs w:val="24"/>
        </w:rPr>
        <w:drawing>
          <wp:inline distT="0" distB="0" distL="0" distR="0">
            <wp:extent cx="2905125" cy="1885950"/>
            <wp:effectExtent l="19050" t="0" r="9525" b="0"/>
            <wp:docPr id="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2F3B63" w:rsidRDefault="00177749" w:rsidP="002F3B63">
      <w:pPr>
        <w:rPr>
          <w:szCs w:val="24"/>
        </w:rPr>
      </w:pPr>
      <w:r>
        <w:rPr>
          <w:noProof/>
          <w:szCs w:val="24"/>
          <w:lang w:eastAsia="zh-TW"/>
        </w:rPr>
        <w:pict>
          <v:shape id="_x0000_s1028" type="#_x0000_t202" style="position:absolute;margin-left:196.15pt;margin-top:1.05pt;width:28.3pt;height:22.4pt;z-index:251630592;mso-width-relative:margin;mso-height-relative:margin" stroked="f">
            <v:textbox>
              <w:txbxContent>
                <w:p w:rsidR="00816E61" w:rsidRPr="00611520" w:rsidRDefault="00816E61" w:rsidP="002F3B63">
                  <w:pPr>
                    <w:rPr>
                      <w:szCs w:val="24"/>
                    </w:rPr>
                  </w:pPr>
                  <w:r w:rsidRPr="00611520">
                    <w:rPr>
                      <w:szCs w:val="24"/>
                    </w:rPr>
                    <w:t>c)</w:t>
                  </w:r>
                </w:p>
              </w:txbxContent>
            </v:textbox>
          </v:shape>
        </w:pict>
      </w:r>
      <w:r>
        <w:rPr>
          <w:noProof/>
          <w:szCs w:val="24"/>
          <w:lang w:eastAsia="zh-TW"/>
        </w:rPr>
        <w:pict>
          <v:shape id="_x0000_s1029" type="#_x0000_t202" style="position:absolute;margin-left:430.15pt;margin-top:1.8pt;width:26.45pt;height:23.65pt;z-index:251631616;mso-width-relative:margin;mso-height-relative:margin" stroked="f">
            <v:textbox>
              <w:txbxContent>
                <w:p w:rsidR="00816E61" w:rsidRPr="00611520" w:rsidRDefault="00816E61" w:rsidP="002F3B63">
                  <w:pPr>
                    <w:rPr>
                      <w:szCs w:val="24"/>
                    </w:rPr>
                  </w:pPr>
                  <w:r w:rsidRPr="00611520">
                    <w:rPr>
                      <w:szCs w:val="24"/>
                    </w:rPr>
                    <w:t>d)</w:t>
                  </w:r>
                </w:p>
              </w:txbxContent>
            </v:textbox>
          </v:shape>
        </w:pict>
      </w:r>
      <w:r w:rsidR="002F3B63">
        <w:rPr>
          <w:szCs w:val="24"/>
        </w:rPr>
        <w:t xml:space="preserve"> </w:t>
      </w:r>
      <w:r w:rsidR="002F3B63" w:rsidRPr="0035475B">
        <w:rPr>
          <w:noProof/>
          <w:szCs w:val="24"/>
        </w:rPr>
        <w:drawing>
          <wp:inline distT="0" distB="0" distL="0" distR="0">
            <wp:extent cx="2867025" cy="2066925"/>
            <wp:effectExtent l="19050" t="0" r="9525" b="0"/>
            <wp:docPr id="4"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sidR="002F3B63" w:rsidRPr="0035475B">
        <w:rPr>
          <w:noProof/>
          <w:szCs w:val="24"/>
        </w:rPr>
        <w:drawing>
          <wp:inline distT="0" distB="0" distL="0" distR="0">
            <wp:extent cx="2905125" cy="2066925"/>
            <wp:effectExtent l="19050" t="0" r="9525" b="0"/>
            <wp:docPr id="6"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2F3B63" w:rsidRDefault="002F3B63" w:rsidP="002F3B63">
      <w:pPr>
        <w:pStyle w:val="Caption"/>
      </w:pPr>
      <w:bookmarkStart w:id="92" w:name="_Toc422308120"/>
      <w:bookmarkStart w:id="93" w:name="_Toc422316126"/>
      <w:bookmarkStart w:id="94" w:name="_Toc425427087"/>
      <w:r>
        <w:t xml:space="preserve">Figure </w:t>
      </w:r>
      <w:fldSimple w:instr=" SEQ Figure \* ARABIC ">
        <w:r w:rsidR="00885C9E">
          <w:rPr>
            <w:noProof/>
          </w:rPr>
          <w:t>3</w:t>
        </w:r>
      </w:fldSimple>
      <w:r>
        <w:t>: Histograms of the observed BC parameters</w:t>
      </w:r>
      <w:bookmarkEnd w:id="92"/>
      <w:bookmarkEnd w:id="93"/>
      <w:r w:rsidR="00C77606">
        <w:t xml:space="preserve"> used to indicate that sub-core scale heterogeneity is present</w:t>
      </w:r>
      <w:bookmarkEnd w:id="94"/>
      <w:r w:rsidR="00C77606">
        <w:t xml:space="preserve"> </w:t>
      </w:r>
    </w:p>
    <w:p w:rsidR="002F3B63" w:rsidRDefault="002F3B63" w:rsidP="002F3B63"/>
    <w:p w:rsidR="002F3B63" w:rsidRDefault="002F3B63" w:rsidP="002F3B63"/>
    <w:p w:rsidR="002F3B63" w:rsidRPr="009E5795" w:rsidRDefault="002F3B63" w:rsidP="002F3B63"/>
    <w:p w:rsidR="002F3B63" w:rsidRDefault="002F3B63" w:rsidP="002F3B63">
      <w:pPr>
        <w:rPr>
          <w:szCs w:val="24"/>
        </w:rPr>
      </w:pPr>
    </w:p>
    <w:p w:rsidR="002F3B63" w:rsidRDefault="002F3B63" w:rsidP="002F3B63">
      <w:pPr>
        <w:rPr>
          <w:szCs w:val="24"/>
        </w:rPr>
      </w:pPr>
    </w:p>
    <w:p w:rsidR="002F3B63" w:rsidRDefault="002F3B63" w:rsidP="002F3B63">
      <w:pPr>
        <w:rPr>
          <w:szCs w:val="24"/>
        </w:rPr>
      </w:pPr>
    </w:p>
    <w:p w:rsidR="002F3B63" w:rsidRDefault="002F3B63" w:rsidP="002F3B63">
      <w:pPr>
        <w:rPr>
          <w:szCs w:val="24"/>
        </w:rPr>
      </w:pPr>
    </w:p>
    <w:p w:rsidR="002F3B63" w:rsidRDefault="002F3B63" w:rsidP="002F3B63">
      <w:pPr>
        <w:rPr>
          <w:szCs w:val="24"/>
        </w:rPr>
      </w:pPr>
    </w:p>
    <w:p w:rsidR="002F3B63" w:rsidRDefault="002F3B63" w:rsidP="002F3B63">
      <w:pPr>
        <w:rPr>
          <w:szCs w:val="24"/>
        </w:rPr>
      </w:pPr>
    </w:p>
    <w:p w:rsidR="002F3B63" w:rsidRDefault="002F3B63" w:rsidP="002F3B63">
      <w:pPr>
        <w:rPr>
          <w:szCs w:val="24"/>
        </w:rPr>
      </w:pPr>
    </w:p>
    <w:p w:rsidR="002F3B63" w:rsidRDefault="002F3B63" w:rsidP="002F3B63">
      <w:pPr>
        <w:rPr>
          <w:szCs w:val="24"/>
        </w:rPr>
      </w:pPr>
    </w:p>
    <w:p w:rsidR="002F3B63" w:rsidRDefault="00177749" w:rsidP="002F3B63">
      <w:pPr>
        <w:rPr>
          <w:szCs w:val="24"/>
        </w:rPr>
      </w:pPr>
      <w:r>
        <w:rPr>
          <w:noProof/>
          <w:szCs w:val="24"/>
          <w:lang w:eastAsia="zh-TW"/>
        </w:rPr>
        <w:pict>
          <v:shape id="_x0000_s1049" type="#_x0000_t202" style="position:absolute;margin-left:3.4pt;margin-top:.4pt;width:26.2pt;height:19.9pt;z-index:251652096;mso-width-relative:margin;mso-height-relative:margin" stroked="f">
            <v:textbox>
              <w:txbxContent>
                <w:p w:rsidR="00816E61" w:rsidRDefault="00816E61" w:rsidP="002F3B63">
                  <w:r>
                    <w:t>a)</w:t>
                  </w:r>
                </w:p>
              </w:txbxContent>
            </v:textbox>
          </v:shape>
        </w:pict>
      </w:r>
      <w:r w:rsidR="002F3B63" w:rsidRPr="00024A38">
        <w:rPr>
          <w:noProof/>
          <w:szCs w:val="24"/>
        </w:rPr>
        <w:drawing>
          <wp:inline distT="0" distB="0" distL="0" distR="0">
            <wp:extent cx="4657725" cy="3419475"/>
            <wp:effectExtent l="19050" t="0" r="9525" b="0"/>
            <wp:docPr id="9"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2F3B63" w:rsidRDefault="00177749" w:rsidP="002F3B63">
      <w:pPr>
        <w:rPr>
          <w:szCs w:val="24"/>
        </w:rPr>
      </w:pPr>
      <w:r>
        <w:rPr>
          <w:noProof/>
          <w:szCs w:val="24"/>
        </w:rPr>
        <w:pict>
          <v:shape id="_x0000_s1050" type="#_x0000_t202" style="position:absolute;margin-left:3.4pt;margin-top:1.3pt;width:26.2pt;height:19.9pt;z-index:251653120;mso-width-relative:margin;mso-height-relative:margin" stroked="f">
            <v:textbox>
              <w:txbxContent>
                <w:p w:rsidR="00816E61" w:rsidRDefault="00816E61" w:rsidP="002F3B63">
                  <w:r>
                    <w:t>b)</w:t>
                  </w:r>
                </w:p>
              </w:txbxContent>
            </v:textbox>
          </v:shape>
        </w:pict>
      </w:r>
      <w:r w:rsidR="002F3B63" w:rsidRPr="00024A38">
        <w:rPr>
          <w:noProof/>
          <w:szCs w:val="24"/>
        </w:rPr>
        <w:drawing>
          <wp:inline distT="0" distB="0" distL="0" distR="0">
            <wp:extent cx="4657725" cy="3067050"/>
            <wp:effectExtent l="19050" t="0" r="9525" b="0"/>
            <wp:docPr id="10"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2F3B63" w:rsidRDefault="00177749" w:rsidP="002F3B63">
      <w:pPr>
        <w:rPr>
          <w:szCs w:val="24"/>
        </w:rPr>
      </w:pPr>
      <w:r>
        <w:rPr>
          <w:noProof/>
          <w:szCs w:val="24"/>
        </w:rPr>
        <w:lastRenderedPageBreak/>
        <w:pict>
          <v:shape id="_x0000_s1051" type="#_x0000_t202" style="position:absolute;margin-left:3.3pt;margin-top:1.55pt;width:26.2pt;height:19.9pt;z-index:251654144;mso-width-relative:margin;mso-height-relative:margin" stroked="f">
            <v:textbox>
              <w:txbxContent>
                <w:p w:rsidR="00816E61" w:rsidRDefault="00816E61" w:rsidP="002F3B63">
                  <w:r>
                    <w:t>c)</w:t>
                  </w:r>
                </w:p>
              </w:txbxContent>
            </v:textbox>
          </v:shape>
        </w:pict>
      </w:r>
      <w:r w:rsidR="002F3B63" w:rsidRPr="00024A38">
        <w:rPr>
          <w:noProof/>
          <w:szCs w:val="24"/>
        </w:rPr>
        <w:drawing>
          <wp:inline distT="0" distB="0" distL="0" distR="0">
            <wp:extent cx="4657725" cy="2867025"/>
            <wp:effectExtent l="19050" t="0" r="9525" b="0"/>
            <wp:docPr id="7"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2F3B63" w:rsidRDefault="00177749" w:rsidP="002F3B63">
      <w:pPr>
        <w:rPr>
          <w:szCs w:val="24"/>
        </w:rPr>
      </w:pPr>
      <w:r>
        <w:rPr>
          <w:noProof/>
          <w:szCs w:val="24"/>
        </w:rPr>
        <w:pict>
          <v:shape id="_x0000_s1052" type="#_x0000_t202" style="position:absolute;margin-left:3.3pt;margin-top:1.15pt;width:26.2pt;height:19.9pt;z-index:251655168;mso-width-relative:margin;mso-height-relative:margin" stroked="f">
            <v:textbox>
              <w:txbxContent>
                <w:p w:rsidR="00816E61" w:rsidRDefault="00816E61" w:rsidP="002F3B63">
                  <w:r>
                    <w:t>d)</w:t>
                  </w:r>
                </w:p>
              </w:txbxContent>
            </v:textbox>
          </v:shape>
        </w:pict>
      </w:r>
      <w:r w:rsidR="002F3B63" w:rsidRPr="00024A38">
        <w:rPr>
          <w:noProof/>
          <w:szCs w:val="24"/>
        </w:rPr>
        <w:drawing>
          <wp:inline distT="0" distB="0" distL="0" distR="0">
            <wp:extent cx="4699068" cy="3229583"/>
            <wp:effectExtent l="19050" t="0" r="25332" b="8917"/>
            <wp:docPr id="8"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2F3B63" w:rsidRDefault="00177749" w:rsidP="002F3B63">
      <w:pPr>
        <w:rPr>
          <w:szCs w:val="24"/>
        </w:rPr>
      </w:pPr>
      <w:r>
        <w:rPr>
          <w:noProof/>
          <w:szCs w:val="24"/>
        </w:rPr>
        <w:lastRenderedPageBreak/>
        <w:pict>
          <v:shape id="_x0000_s1053" type="#_x0000_t202" style="position:absolute;margin-left:5.2pt;margin-top:.75pt;width:26.2pt;height:19.9pt;z-index:251656192;mso-width-relative:margin;mso-height-relative:margin" stroked="f">
            <v:textbox>
              <w:txbxContent>
                <w:p w:rsidR="00816E61" w:rsidRDefault="00816E61" w:rsidP="002F3B63">
                  <w:r>
                    <w:t>e)</w:t>
                  </w:r>
                </w:p>
              </w:txbxContent>
            </v:textbox>
          </v:shape>
        </w:pict>
      </w:r>
      <w:r w:rsidR="002F3B63" w:rsidRPr="001B109A">
        <w:rPr>
          <w:noProof/>
          <w:szCs w:val="24"/>
        </w:rPr>
        <w:drawing>
          <wp:inline distT="0" distB="0" distL="0" distR="0">
            <wp:extent cx="4703283" cy="3356043"/>
            <wp:effectExtent l="19050" t="0" r="21117" b="0"/>
            <wp:docPr id="20"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2F3B63" w:rsidRDefault="00177749" w:rsidP="002F3B63">
      <w:pPr>
        <w:rPr>
          <w:szCs w:val="24"/>
        </w:rPr>
      </w:pPr>
      <w:r>
        <w:rPr>
          <w:noProof/>
          <w:szCs w:val="24"/>
        </w:rPr>
        <w:pict>
          <v:shape id="_x0000_s1054" type="#_x0000_t202" style="position:absolute;margin-left:5.2pt;margin-top:4pt;width:26.2pt;height:19.9pt;z-index:251657216;mso-width-relative:margin;mso-height-relative:margin" stroked="f">
            <v:textbox>
              <w:txbxContent>
                <w:p w:rsidR="00816E61" w:rsidRDefault="00816E61" w:rsidP="002F3B63">
                  <w:r>
                    <w:t>f)</w:t>
                  </w:r>
                </w:p>
              </w:txbxContent>
            </v:textbox>
          </v:shape>
        </w:pict>
      </w:r>
      <w:r w:rsidR="002F3B63" w:rsidRPr="001B109A">
        <w:rPr>
          <w:noProof/>
          <w:szCs w:val="24"/>
        </w:rPr>
        <w:drawing>
          <wp:inline distT="0" distB="0" distL="0" distR="0">
            <wp:extent cx="4707093" cy="3064213"/>
            <wp:effectExtent l="19050" t="0" r="17307" b="2837"/>
            <wp:docPr id="28"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2F3B63" w:rsidRDefault="002F3B63" w:rsidP="002F3B63">
      <w:pPr>
        <w:pStyle w:val="Caption"/>
        <w:rPr>
          <w:szCs w:val="24"/>
        </w:rPr>
      </w:pPr>
      <w:bookmarkStart w:id="95" w:name="_Toc422308121"/>
      <w:bookmarkStart w:id="96" w:name="_Toc422316127"/>
      <w:bookmarkStart w:id="97" w:name="_Toc425427088"/>
      <w:r>
        <w:t xml:space="preserve">Figure </w:t>
      </w:r>
      <w:fldSimple w:instr=" SEQ Figure \* ARABIC ">
        <w:r w:rsidR="00885C9E">
          <w:rPr>
            <w:noProof/>
          </w:rPr>
          <w:t>4</w:t>
        </w:r>
      </w:fldSimple>
      <w:r>
        <w:t>:</w:t>
      </w:r>
      <w:r>
        <w:rPr>
          <w:szCs w:val="24"/>
        </w:rPr>
        <w:t xml:space="preserve"> Q-Q plots of the BC parameters used to visualize the SW results given in Table 3</w:t>
      </w:r>
      <w:bookmarkEnd w:id="95"/>
      <w:bookmarkEnd w:id="96"/>
      <w:bookmarkEnd w:id="97"/>
    </w:p>
    <w:p w:rsidR="002F3B63" w:rsidRDefault="002F3B63" w:rsidP="002F3B63">
      <w:pPr>
        <w:rPr>
          <w:szCs w:val="24"/>
        </w:rPr>
      </w:pPr>
    </w:p>
    <w:p w:rsidR="002F3B63" w:rsidRDefault="00177749" w:rsidP="002F3B63">
      <w:pPr>
        <w:rPr>
          <w:szCs w:val="24"/>
        </w:rPr>
      </w:pPr>
      <w:r>
        <w:rPr>
          <w:noProof/>
          <w:szCs w:val="24"/>
        </w:rPr>
        <w:lastRenderedPageBreak/>
        <w:pict>
          <v:shape id="_x0000_s1055" type="#_x0000_t202" style="position:absolute;margin-left:334.3pt;margin-top:1.55pt;width:26.2pt;height:19.9pt;z-index:251658240;mso-width-relative:margin;mso-height-relative:margin" stroked="f">
            <v:textbox>
              <w:txbxContent>
                <w:p w:rsidR="00816E61" w:rsidRDefault="00816E61" w:rsidP="002F3B63">
                  <w:r>
                    <w:t>a)</w:t>
                  </w:r>
                </w:p>
              </w:txbxContent>
            </v:textbox>
          </v:shape>
        </w:pict>
      </w:r>
      <w:r w:rsidR="002F3B63" w:rsidRPr="009D1E6F">
        <w:rPr>
          <w:noProof/>
          <w:szCs w:val="24"/>
        </w:rPr>
        <w:drawing>
          <wp:inline distT="0" distB="0" distL="0" distR="0">
            <wp:extent cx="4572000" cy="2743200"/>
            <wp:effectExtent l="19050" t="0" r="19050" b="0"/>
            <wp:docPr id="30"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2F3B63" w:rsidRDefault="00177749" w:rsidP="002F3B63">
      <w:pPr>
        <w:rPr>
          <w:szCs w:val="24"/>
        </w:rPr>
      </w:pPr>
      <w:r>
        <w:rPr>
          <w:noProof/>
          <w:szCs w:val="24"/>
        </w:rPr>
        <w:pict>
          <v:shape id="_x0000_s1056" type="#_x0000_t202" style="position:absolute;margin-left:334.3pt;margin-top:.9pt;width:26.2pt;height:19.9pt;z-index:251659264;mso-width-relative:margin;mso-height-relative:margin" stroked="f">
            <v:textbox>
              <w:txbxContent>
                <w:p w:rsidR="00816E61" w:rsidRDefault="00816E61" w:rsidP="002F3B63">
                  <w:r>
                    <w:t>b)</w:t>
                  </w:r>
                </w:p>
              </w:txbxContent>
            </v:textbox>
          </v:shape>
        </w:pict>
      </w:r>
      <w:r w:rsidR="002F3B63" w:rsidRPr="009D1E6F">
        <w:rPr>
          <w:noProof/>
          <w:szCs w:val="24"/>
        </w:rPr>
        <w:drawing>
          <wp:inline distT="0" distB="0" distL="0" distR="0">
            <wp:extent cx="4572000" cy="2743200"/>
            <wp:effectExtent l="19050" t="0" r="19050" b="0"/>
            <wp:docPr id="38"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2F3B63" w:rsidRDefault="00177749" w:rsidP="002F3B63">
      <w:pPr>
        <w:rPr>
          <w:szCs w:val="24"/>
        </w:rPr>
      </w:pPr>
      <w:r>
        <w:rPr>
          <w:noProof/>
          <w:szCs w:val="24"/>
        </w:rPr>
        <w:lastRenderedPageBreak/>
        <w:pict>
          <v:shape id="_x0000_s1057" type="#_x0000_t202" style="position:absolute;margin-left:334.05pt;margin-top:3.05pt;width:26.2pt;height:19.9pt;z-index:251660288;mso-width-relative:margin;mso-height-relative:margin" stroked="f">
            <v:textbox>
              <w:txbxContent>
                <w:p w:rsidR="00816E61" w:rsidRDefault="00816E61" w:rsidP="002F3B63">
                  <w:r>
                    <w:t>c)</w:t>
                  </w:r>
                </w:p>
              </w:txbxContent>
            </v:textbox>
          </v:shape>
        </w:pict>
      </w:r>
      <w:r w:rsidR="002F3B63" w:rsidRPr="009D1E6F">
        <w:rPr>
          <w:noProof/>
          <w:szCs w:val="24"/>
        </w:rPr>
        <w:drawing>
          <wp:inline distT="0" distB="0" distL="0" distR="0">
            <wp:extent cx="4572000" cy="2743200"/>
            <wp:effectExtent l="19050" t="0" r="19050" b="0"/>
            <wp:docPr id="46"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2F3B63" w:rsidRDefault="00177749" w:rsidP="002F3B63">
      <w:pPr>
        <w:rPr>
          <w:szCs w:val="24"/>
        </w:rPr>
      </w:pPr>
      <w:r>
        <w:rPr>
          <w:noProof/>
          <w:szCs w:val="24"/>
        </w:rPr>
        <w:pict>
          <v:shape id="_x0000_s1058" type="#_x0000_t202" style="position:absolute;margin-left:334.05pt;margin-top:2.45pt;width:26.2pt;height:19.9pt;z-index:251661312;mso-width-relative:margin;mso-height-relative:margin" stroked="f">
            <v:textbox>
              <w:txbxContent>
                <w:p w:rsidR="00816E61" w:rsidRDefault="00816E61" w:rsidP="002F3B63">
                  <w:r>
                    <w:t>d)</w:t>
                  </w:r>
                </w:p>
              </w:txbxContent>
            </v:textbox>
          </v:shape>
        </w:pict>
      </w:r>
      <w:r w:rsidR="002F3B63" w:rsidRPr="009D1E6F">
        <w:rPr>
          <w:noProof/>
          <w:szCs w:val="24"/>
        </w:rPr>
        <w:drawing>
          <wp:inline distT="0" distB="0" distL="0" distR="0">
            <wp:extent cx="4572000" cy="2743200"/>
            <wp:effectExtent l="19050" t="0" r="19050" b="0"/>
            <wp:docPr id="47"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2F3B63" w:rsidRDefault="002F3B63" w:rsidP="002F3B63">
      <w:pPr>
        <w:pStyle w:val="Caption"/>
        <w:rPr>
          <w:szCs w:val="24"/>
        </w:rPr>
      </w:pPr>
      <w:bookmarkStart w:id="98" w:name="_Toc422308122"/>
      <w:bookmarkStart w:id="99" w:name="_Toc422316128"/>
      <w:bookmarkStart w:id="100" w:name="_Toc425427089"/>
      <w:r>
        <w:t xml:space="preserve">Figure </w:t>
      </w:r>
      <w:fldSimple w:instr=" SEQ Figure \* ARABIC ">
        <w:r w:rsidR="00885C9E">
          <w:rPr>
            <w:noProof/>
          </w:rPr>
          <w:t>5</w:t>
        </w:r>
      </w:fldSimple>
      <w:r>
        <w:t>: Scatter diagrams used to indicate significant linear relationships between the BC parameters.</w:t>
      </w:r>
      <w:bookmarkEnd w:id="98"/>
      <w:bookmarkEnd w:id="99"/>
      <w:bookmarkEnd w:id="100"/>
    </w:p>
    <w:p w:rsidR="002F3B63" w:rsidRDefault="002F3B63" w:rsidP="002F3B63">
      <w:pPr>
        <w:rPr>
          <w:szCs w:val="24"/>
        </w:rPr>
      </w:pPr>
    </w:p>
    <w:p w:rsidR="002F3B63" w:rsidRDefault="00177749" w:rsidP="002F3B63">
      <w:pPr>
        <w:rPr>
          <w:szCs w:val="24"/>
        </w:rPr>
      </w:pPr>
      <w:r>
        <w:rPr>
          <w:noProof/>
          <w:szCs w:val="24"/>
        </w:rPr>
        <w:lastRenderedPageBreak/>
        <w:pict>
          <v:shape id="_x0000_s1059" type="#_x0000_t202" style="position:absolute;margin-left:5.15pt;margin-top:1.55pt;width:26.2pt;height:19.9pt;z-index:251662336;mso-width-relative:margin;mso-height-relative:margin" stroked="f">
            <v:textbox>
              <w:txbxContent>
                <w:p w:rsidR="00816E61" w:rsidRDefault="00816E61" w:rsidP="002F3B63">
                  <w:r>
                    <w:t>a)</w:t>
                  </w:r>
                </w:p>
              </w:txbxContent>
            </v:textbox>
          </v:shape>
        </w:pict>
      </w:r>
      <w:r w:rsidR="002F3B63" w:rsidRPr="003B10C4">
        <w:rPr>
          <w:noProof/>
          <w:szCs w:val="24"/>
        </w:rPr>
        <w:drawing>
          <wp:inline distT="0" distB="0" distL="0" distR="0">
            <wp:extent cx="4572000" cy="2743200"/>
            <wp:effectExtent l="19050" t="0" r="19050" b="0"/>
            <wp:docPr id="48"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2F3B63" w:rsidRDefault="00177749" w:rsidP="002F3B63">
      <w:pPr>
        <w:rPr>
          <w:szCs w:val="24"/>
        </w:rPr>
      </w:pPr>
      <w:r>
        <w:rPr>
          <w:noProof/>
          <w:szCs w:val="24"/>
        </w:rPr>
        <w:pict>
          <v:shape id="_x0000_s1060" type="#_x0000_t202" style="position:absolute;margin-left:2.8pt;margin-top:2.45pt;width:26.2pt;height:19.9pt;z-index:251663360;mso-width-relative:margin;mso-height-relative:margin" stroked="f">
            <v:textbox>
              <w:txbxContent>
                <w:p w:rsidR="00816E61" w:rsidRDefault="00816E61" w:rsidP="002F3B63">
                  <w:r>
                    <w:t>b)</w:t>
                  </w:r>
                </w:p>
              </w:txbxContent>
            </v:textbox>
          </v:shape>
        </w:pict>
      </w:r>
      <w:r w:rsidR="002F3B63" w:rsidRPr="003B10C4">
        <w:rPr>
          <w:noProof/>
          <w:szCs w:val="24"/>
        </w:rPr>
        <w:drawing>
          <wp:inline distT="0" distB="0" distL="0" distR="0">
            <wp:extent cx="4572000" cy="2743200"/>
            <wp:effectExtent l="19050" t="0" r="19050" b="0"/>
            <wp:docPr id="49" name="Chart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21229C" w:rsidRDefault="002F3B63" w:rsidP="002F3B63">
      <w:pPr>
        <w:pStyle w:val="Caption"/>
      </w:pPr>
      <w:bookmarkStart w:id="101" w:name="_Toc425427090"/>
      <w:bookmarkStart w:id="102" w:name="_Toc422308123"/>
      <w:bookmarkStart w:id="103" w:name="_Toc422316129"/>
      <w:r>
        <w:t xml:space="preserve">Figure </w:t>
      </w:r>
      <w:fldSimple w:instr=" SEQ Figure \* ARABIC ">
        <w:r w:rsidR="00885C9E">
          <w:rPr>
            <w:noProof/>
          </w:rPr>
          <w:t>6</w:t>
        </w:r>
      </w:fldSimple>
      <w:r>
        <w:t xml:space="preserve">: Plots of </w:t>
      </w:r>
      <w:r w:rsidR="00084042">
        <w:t>median value</w:t>
      </w:r>
      <w:r w:rsidR="001B2E84">
        <w:t>s</w:t>
      </w:r>
      <w:r w:rsidR="00084042">
        <w:t xml:space="preserve"> </w:t>
      </w:r>
      <w:r w:rsidR="001B2E84">
        <w:t xml:space="preserve">and their corresponding upper (75%) and lower (25%) quartiles </w:t>
      </w:r>
      <w:r w:rsidR="00084042">
        <w:t xml:space="preserve">for each </w:t>
      </w:r>
      <w:r w:rsidR="001B2E84">
        <w:t>sample interval (i.e. 3.2 mm, 6.4 mm, etc)</w:t>
      </w:r>
      <w:r w:rsidR="0021229C">
        <w:t xml:space="preserve"> in the x-direction</w:t>
      </w:r>
      <w:r w:rsidR="001B2E84">
        <w:t>.</w:t>
      </w:r>
      <w:r w:rsidR="0021229C">
        <w:t xml:space="preserve"> Since water retention curves were computed for all but five points on an 8 x 15 Cartesian grid, </w:t>
      </w:r>
      <w:r w:rsidR="001B2E84">
        <w:t xml:space="preserve">sample intervals </w:t>
      </w:r>
      <w:r w:rsidR="0021229C">
        <w:t xml:space="preserve">in the x-direction typically </w:t>
      </w:r>
      <w:r w:rsidR="001B2E84">
        <w:t>consist of</w:t>
      </w:r>
      <w:r w:rsidR="0021229C">
        <w:t xml:space="preserve"> 8 values</w:t>
      </w:r>
      <w:r w:rsidR="001B2E84">
        <w:t xml:space="preserve">. These plots are used to illustrate </w:t>
      </w:r>
      <w:r w:rsidR="001B2E84" w:rsidRPr="001B5DF9">
        <w:t>KW</w:t>
      </w:r>
      <w:r w:rsidR="001B2E84">
        <w:t xml:space="preserve"> results and determine significantly different sample intervals. BC parameters with significantly different median values in the x-direction are shown here, </w:t>
      </w:r>
      <w:r w:rsidR="00C70ADD">
        <w:t xml:space="preserve">for </w:t>
      </w:r>
      <w:r w:rsidR="001B2E84" w:rsidRPr="00EB7E08">
        <w:rPr>
          <w:i/>
        </w:rPr>
        <w:t>Ѳ</w:t>
      </w:r>
      <w:r w:rsidR="00EB7E08" w:rsidRPr="00EB7E08">
        <w:rPr>
          <w:i/>
          <w:vertAlign w:val="subscript"/>
        </w:rPr>
        <w:t>s</w:t>
      </w:r>
      <w:r w:rsidR="00EB7E08">
        <w:t xml:space="preserve"> </w:t>
      </w:r>
      <w:r w:rsidR="001B2E84" w:rsidRPr="00EB7E08">
        <w:t>and</w:t>
      </w:r>
      <w:r w:rsidR="001B2E84">
        <w:t xml:space="preserve"> </w:t>
      </w:r>
      <w:r w:rsidR="001B2E84" w:rsidRPr="001B2E84">
        <w:rPr>
          <w:i/>
        </w:rPr>
        <w:t>Ѳ</w:t>
      </w:r>
      <w:r w:rsidR="001B2E84" w:rsidRPr="001B2E84">
        <w:rPr>
          <w:i/>
          <w:vertAlign w:val="subscript"/>
        </w:rPr>
        <w:t>r</w:t>
      </w:r>
      <w:r w:rsidR="001B2E84" w:rsidRPr="001B2E84">
        <w:t>.</w:t>
      </w:r>
      <w:bookmarkEnd w:id="101"/>
    </w:p>
    <w:bookmarkEnd w:id="102"/>
    <w:bookmarkEnd w:id="103"/>
    <w:p w:rsidR="002F3B63" w:rsidRDefault="00177749" w:rsidP="002F3B63">
      <w:pPr>
        <w:rPr>
          <w:szCs w:val="24"/>
        </w:rPr>
      </w:pPr>
      <w:r>
        <w:rPr>
          <w:noProof/>
          <w:szCs w:val="24"/>
        </w:rPr>
        <w:lastRenderedPageBreak/>
        <w:pict>
          <v:shape id="_x0000_s1061" type="#_x0000_t202" style="position:absolute;margin-left:3.65pt;margin-top:3.05pt;width:26.2pt;height:19.9pt;z-index:251664384;mso-width-relative:margin;mso-height-relative:margin" stroked="f">
            <v:textbox>
              <w:txbxContent>
                <w:p w:rsidR="00816E61" w:rsidRDefault="00816E61" w:rsidP="002F3B63">
                  <w:r>
                    <w:t>a)</w:t>
                  </w:r>
                </w:p>
              </w:txbxContent>
            </v:textbox>
          </v:shape>
        </w:pict>
      </w:r>
      <w:r w:rsidR="002F3B63" w:rsidRPr="003B10C4">
        <w:rPr>
          <w:noProof/>
          <w:szCs w:val="24"/>
        </w:rPr>
        <w:drawing>
          <wp:inline distT="0" distB="0" distL="0" distR="0">
            <wp:extent cx="4572000" cy="5743574"/>
            <wp:effectExtent l="19050" t="0" r="19050" b="0"/>
            <wp:docPr id="50" name="Chart 29"/>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2F3B63" w:rsidRDefault="00177749" w:rsidP="002F3B63">
      <w:pPr>
        <w:rPr>
          <w:szCs w:val="24"/>
        </w:rPr>
      </w:pPr>
      <w:r>
        <w:rPr>
          <w:noProof/>
          <w:szCs w:val="24"/>
        </w:rPr>
        <w:lastRenderedPageBreak/>
        <w:pict>
          <v:shape id="_x0000_s1062" type="#_x0000_t202" style="position:absolute;margin-left:3.7pt;margin-top:2.3pt;width:26.2pt;height:19.9pt;z-index:251665408;mso-width-relative:margin;mso-height-relative:margin" stroked="f">
            <v:textbox>
              <w:txbxContent>
                <w:p w:rsidR="00816E61" w:rsidRDefault="00816E61" w:rsidP="002F3B63">
                  <w:r>
                    <w:t>b)</w:t>
                  </w:r>
                </w:p>
              </w:txbxContent>
            </v:textbox>
          </v:shape>
        </w:pict>
      </w:r>
      <w:r w:rsidR="002F3B63" w:rsidRPr="003B10C4">
        <w:rPr>
          <w:noProof/>
          <w:szCs w:val="24"/>
        </w:rPr>
        <w:drawing>
          <wp:inline distT="0" distB="0" distL="0" distR="0">
            <wp:extent cx="4572000" cy="5743574"/>
            <wp:effectExtent l="19050" t="0" r="19050" b="0"/>
            <wp:docPr id="51" name="Chart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1B2E84" w:rsidRPr="001B2E84" w:rsidRDefault="002F3B63" w:rsidP="00FC0169">
      <w:pPr>
        <w:spacing w:line="240" w:lineRule="auto"/>
      </w:pPr>
      <w:bookmarkStart w:id="104" w:name="_Toc425427091"/>
      <w:bookmarkStart w:id="105" w:name="_Toc422308124"/>
      <w:bookmarkStart w:id="106" w:name="_Toc422316130"/>
      <w:r>
        <w:t xml:space="preserve">Figure </w:t>
      </w:r>
      <w:fldSimple w:instr=" SEQ Figure \* ARABIC ">
        <w:r w:rsidR="00885C9E">
          <w:rPr>
            <w:noProof/>
          </w:rPr>
          <w:t>7</w:t>
        </w:r>
      </w:fldSimple>
      <w:r>
        <w:t>:</w:t>
      </w:r>
      <w:r w:rsidRPr="00C47861">
        <w:t xml:space="preserve"> </w:t>
      </w:r>
      <w:r w:rsidR="001B2E84">
        <w:t xml:space="preserve">Plots of median values and their corresponding upper (75%) and lower (25%) quartiles for each sample interval (i.e. 6.4 mm, 9.6 mm, etc) in the y-direction. Since water retention curves were computed for all but five points on an 8 x 15 Cartesian grid, sample intervals in the y-direction typically consist of 15 values. These plots are used to illustrate the </w:t>
      </w:r>
      <w:r w:rsidR="001B2E84" w:rsidRPr="001B5DF9">
        <w:t>KW</w:t>
      </w:r>
      <w:r w:rsidR="001B2E84">
        <w:t xml:space="preserve"> results and determine significantly different sample intervals. BC parameters with significantly different median values i</w:t>
      </w:r>
      <w:r w:rsidR="00C70ADD">
        <w:t>n the y-direction are shown here</w:t>
      </w:r>
      <w:r w:rsidR="001B2E84">
        <w:t>,</w:t>
      </w:r>
      <w:r w:rsidR="00C70ADD">
        <w:t xml:space="preserve"> for</w:t>
      </w:r>
      <w:r w:rsidR="001B2E84">
        <w:t xml:space="preserve"> </w:t>
      </w:r>
      <w:r w:rsidR="001B2E84" w:rsidRPr="001B2E84">
        <w:rPr>
          <w:i/>
        </w:rPr>
        <w:t>ψ</w:t>
      </w:r>
      <w:r w:rsidR="001B2E84" w:rsidRPr="001B2E84">
        <w:rPr>
          <w:i/>
          <w:vertAlign w:val="subscript"/>
        </w:rPr>
        <w:t>a</w:t>
      </w:r>
      <w:r w:rsidR="001B2E84">
        <w:t xml:space="preserve"> and </w:t>
      </w:r>
      <w:r w:rsidR="001B2E84" w:rsidRPr="001B2E84">
        <w:rPr>
          <w:i/>
        </w:rPr>
        <w:t>λ</w:t>
      </w:r>
      <w:r w:rsidR="001B2E84" w:rsidRPr="001B2E84">
        <w:t>.</w:t>
      </w:r>
      <w:bookmarkEnd w:id="104"/>
    </w:p>
    <w:bookmarkEnd w:id="105"/>
    <w:bookmarkEnd w:id="106"/>
    <w:p w:rsidR="002F3B63" w:rsidRDefault="002F3B63" w:rsidP="002F3B63">
      <w:pPr>
        <w:rPr>
          <w:szCs w:val="24"/>
        </w:rPr>
      </w:pPr>
    </w:p>
    <w:p w:rsidR="002F3B63" w:rsidRDefault="00177749" w:rsidP="002F3B63">
      <w:pPr>
        <w:rPr>
          <w:szCs w:val="24"/>
        </w:rPr>
      </w:pPr>
      <w:r>
        <w:rPr>
          <w:noProof/>
          <w:szCs w:val="24"/>
        </w:rPr>
        <w:lastRenderedPageBreak/>
        <w:pict>
          <v:shape id="_x0000_s1064" type="#_x0000_t202" style="position:absolute;margin-left:244.15pt;margin-top:-28.35pt;width:26.2pt;height:19.9pt;z-index:251667456;mso-width-relative:margin;mso-height-relative:margin" stroked="f">
            <v:textbox>
              <w:txbxContent>
                <w:p w:rsidR="00816E61" w:rsidRDefault="00816E61" w:rsidP="002F3B63">
                  <w:r>
                    <w:t>b)</w:t>
                  </w:r>
                </w:p>
              </w:txbxContent>
            </v:textbox>
          </v:shape>
        </w:pict>
      </w:r>
      <w:r>
        <w:rPr>
          <w:noProof/>
          <w:szCs w:val="24"/>
        </w:rPr>
        <w:pict>
          <v:shape id="_x0000_s1032" type="#_x0000_t202" style="position:absolute;margin-left:230.5pt;margin-top:-32.25pt;width:234.5pt;height:33.25pt;z-index:251634688;mso-width-relative:margin;mso-height-relative:margin" stroked="f">
            <v:textbox style="mso-next-textbox:#_x0000_s1032">
              <w:txbxContent>
                <w:p w:rsidR="00816E61" w:rsidRPr="007866C3" w:rsidRDefault="00816E61" w:rsidP="002F3B63">
                  <w:pPr>
                    <w:spacing w:after="0" w:line="240" w:lineRule="auto"/>
                    <w:jc w:val="center"/>
                    <w:rPr>
                      <w:b/>
                      <w:szCs w:val="24"/>
                    </w:rPr>
                  </w:pPr>
                  <w:r w:rsidRPr="007866C3">
                    <w:rPr>
                      <w:b/>
                      <w:szCs w:val="24"/>
                    </w:rPr>
                    <w:t xml:space="preserve">Saturated Water Content, </w:t>
                  </w:r>
                </w:p>
                <w:p w:rsidR="00816E61" w:rsidRPr="007866C3" w:rsidRDefault="00816E61" w:rsidP="002F3B63">
                  <w:pPr>
                    <w:spacing w:after="0" w:line="240" w:lineRule="auto"/>
                    <w:jc w:val="center"/>
                    <w:rPr>
                      <w:b/>
                      <w:szCs w:val="24"/>
                    </w:rPr>
                  </w:pPr>
                  <w:r w:rsidRPr="007866C3">
                    <w:rPr>
                      <w:rFonts w:cstheme="minorHAnsi"/>
                      <w:b/>
                      <w:szCs w:val="24"/>
                    </w:rPr>
                    <w:t>Ѳ</w:t>
                  </w:r>
                  <w:r w:rsidRPr="007866C3">
                    <w:rPr>
                      <w:rFonts w:cstheme="minorHAnsi"/>
                      <w:b/>
                      <w:szCs w:val="24"/>
                      <w:vertAlign w:val="subscript"/>
                    </w:rPr>
                    <w:t>s</w:t>
                  </w:r>
                  <w:r w:rsidRPr="007866C3">
                    <w:rPr>
                      <w:b/>
                      <w:szCs w:val="24"/>
                    </w:rPr>
                    <w:t xml:space="preserve"> (cm</w:t>
                  </w:r>
                  <w:r w:rsidRPr="007866C3">
                    <w:rPr>
                      <w:b/>
                      <w:szCs w:val="24"/>
                      <w:vertAlign w:val="superscript"/>
                    </w:rPr>
                    <w:t>3</w:t>
                  </w:r>
                  <w:r w:rsidRPr="007866C3">
                    <w:rPr>
                      <w:b/>
                      <w:szCs w:val="24"/>
                    </w:rPr>
                    <w:t>/cm</w:t>
                  </w:r>
                  <w:r w:rsidRPr="007866C3">
                    <w:rPr>
                      <w:b/>
                      <w:szCs w:val="24"/>
                      <w:vertAlign w:val="superscript"/>
                    </w:rPr>
                    <w:t>3</w:t>
                  </w:r>
                  <w:r w:rsidRPr="007866C3">
                    <w:rPr>
                      <w:b/>
                      <w:szCs w:val="24"/>
                    </w:rPr>
                    <w:t>)</w:t>
                  </w:r>
                </w:p>
              </w:txbxContent>
            </v:textbox>
          </v:shape>
        </w:pict>
      </w:r>
      <w:r>
        <w:rPr>
          <w:noProof/>
          <w:szCs w:val="24"/>
        </w:rPr>
        <w:pict>
          <v:shape id="_x0000_s1063" type="#_x0000_t202" style="position:absolute;margin-left:.15pt;margin-top:-28.35pt;width:26.2pt;height:19.9pt;z-index:251666432;mso-width-relative:margin;mso-height-relative:margin" stroked="f">
            <v:textbox>
              <w:txbxContent>
                <w:p w:rsidR="00816E61" w:rsidRDefault="00816E61" w:rsidP="002F3B63">
                  <w:r>
                    <w:t>a)</w:t>
                  </w:r>
                </w:p>
              </w:txbxContent>
            </v:textbox>
          </v:shape>
        </w:pict>
      </w:r>
      <w:r>
        <w:rPr>
          <w:noProof/>
          <w:szCs w:val="24"/>
          <w:lang w:eastAsia="zh-TW"/>
        </w:rPr>
        <w:pict>
          <v:shape id="_x0000_s1031" type="#_x0000_t202" style="position:absolute;margin-left:33.25pt;margin-top:-32.75pt;width:114.95pt;height:35pt;z-index:251633664;mso-width-relative:margin;mso-height-relative:margin" stroked="f">
            <v:textbox style="mso-next-textbox:#_x0000_s1031">
              <w:txbxContent>
                <w:p w:rsidR="00816E61" w:rsidRPr="007866C3" w:rsidRDefault="00816E61" w:rsidP="002F3B63">
                  <w:pPr>
                    <w:spacing w:after="0" w:line="240" w:lineRule="auto"/>
                    <w:jc w:val="center"/>
                    <w:rPr>
                      <w:b/>
                      <w:szCs w:val="24"/>
                    </w:rPr>
                  </w:pPr>
                  <w:r w:rsidRPr="007866C3">
                    <w:rPr>
                      <w:b/>
                      <w:szCs w:val="24"/>
                    </w:rPr>
                    <w:t xml:space="preserve">Air Entry, </w:t>
                  </w:r>
                </w:p>
                <w:p w:rsidR="00816E61" w:rsidRPr="007866C3" w:rsidRDefault="00816E61" w:rsidP="002F3B63">
                  <w:pPr>
                    <w:spacing w:after="0" w:line="240" w:lineRule="auto"/>
                    <w:jc w:val="center"/>
                    <w:rPr>
                      <w:b/>
                      <w:szCs w:val="24"/>
                    </w:rPr>
                  </w:pPr>
                  <w:r w:rsidRPr="007866C3">
                    <w:rPr>
                      <w:rFonts w:cstheme="minorHAnsi"/>
                      <w:b/>
                      <w:szCs w:val="24"/>
                    </w:rPr>
                    <w:t>ψ</w:t>
                  </w:r>
                  <w:r w:rsidRPr="007866C3">
                    <w:rPr>
                      <w:b/>
                      <w:szCs w:val="24"/>
                      <w:vertAlign w:val="subscript"/>
                    </w:rPr>
                    <w:t>a</w:t>
                  </w:r>
                  <w:r w:rsidRPr="007866C3">
                    <w:rPr>
                      <w:b/>
                      <w:szCs w:val="24"/>
                    </w:rPr>
                    <w:t xml:space="preserve"> (cm)</w:t>
                  </w:r>
                </w:p>
              </w:txbxContent>
            </v:textbox>
          </v:shape>
        </w:pict>
      </w:r>
      <w:r w:rsidR="002F3B63">
        <w:rPr>
          <w:noProof/>
          <w:szCs w:val="24"/>
        </w:rPr>
        <w:drawing>
          <wp:inline distT="0" distB="0" distL="0" distR="0">
            <wp:extent cx="2409825" cy="3057525"/>
            <wp:effectExtent l="19050" t="0" r="9525" b="0"/>
            <wp:docPr id="11" name="Picture 1" descr="C:\Users\user\Desktop\Data Images\Trend Surface\AE Trend Surfac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Data Images\Trend Surface\AE Trend Surface.png"/>
                    <pic:cNvPicPr>
                      <a:picLocks noChangeAspect="1" noChangeArrowheads="1"/>
                    </pic:cNvPicPr>
                  </pic:nvPicPr>
                  <pic:blipFill>
                    <a:blip r:embed="rId30"/>
                    <a:srcRect l="28682" t="9589" r="28162" b="2466"/>
                    <a:stretch>
                      <a:fillRect/>
                    </a:stretch>
                  </pic:blipFill>
                  <pic:spPr bwMode="auto">
                    <a:xfrm>
                      <a:off x="0" y="0"/>
                      <a:ext cx="2409825" cy="3057525"/>
                    </a:xfrm>
                    <a:prstGeom prst="rect">
                      <a:avLst/>
                    </a:prstGeom>
                    <a:noFill/>
                    <a:ln w="9525">
                      <a:noFill/>
                      <a:miter lim="800000"/>
                      <a:headEnd/>
                      <a:tailEnd/>
                    </a:ln>
                  </pic:spPr>
                </pic:pic>
              </a:graphicData>
            </a:graphic>
          </wp:inline>
        </w:drawing>
      </w:r>
      <w:r w:rsidR="002F3B63">
        <w:rPr>
          <w:szCs w:val="24"/>
        </w:rPr>
        <w:tab/>
      </w:r>
      <w:r w:rsidR="000426AC">
        <w:rPr>
          <w:szCs w:val="24"/>
        </w:rPr>
        <w:tab/>
      </w:r>
      <w:r w:rsidR="002F3B63">
        <w:rPr>
          <w:noProof/>
          <w:szCs w:val="24"/>
        </w:rPr>
        <w:drawing>
          <wp:inline distT="0" distB="0" distL="0" distR="0">
            <wp:extent cx="2409825" cy="3057525"/>
            <wp:effectExtent l="19050" t="0" r="9525" b="0"/>
            <wp:docPr id="12" name="Picture 2" descr="C:\Users\user\Desktop\Data Images\Trend Surface\TS Trend Surfac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Data Images\Trend Surface\TS Trend Surface.png"/>
                    <pic:cNvPicPr>
                      <a:picLocks noChangeAspect="1" noChangeArrowheads="1"/>
                    </pic:cNvPicPr>
                  </pic:nvPicPr>
                  <pic:blipFill>
                    <a:blip r:embed="rId31"/>
                    <a:srcRect l="28358" t="9863" r="28531" b="2192"/>
                    <a:stretch>
                      <a:fillRect/>
                    </a:stretch>
                  </pic:blipFill>
                  <pic:spPr bwMode="auto">
                    <a:xfrm>
                      <a:off x="0" y="0"/>
                      <a:ext cx="2409825" cy="3057525"/>
                    </a:xfrm>
                    <a:prstGeom prst="rect">
                      <a:avLst/>
                    </a:prstGeom>
                    <a:noFill/>
                    <a:ln w="9525">
                      <a:noFill/>
                      <a:miter lim="800000"/>
                      <a:headEnd/>
                      <a:tailEnd/>
                    </a:ln>
                  </pic:spPr>
                </pic:pic>
              </a:graphicData>
            </a:graphic>
          </wp:inline>
        </w:drawing>
      </w:r>
    </w:p>
    <w:p w:rsidR="002F3B63" w:rsidRDefault="00177749" w:rsidP="002F3B63">
      <w:pPr>
        <w:rPr>
          <w:szCs w:val="24"/>
        </w:rPr>
      </w:pPr>
      <w:r>
        <w:rPr>
          <w:noProof/>
          <w:szCs w:val="24"/>
        </w:rPr>
        <w:pict>
          <v:shape id="_x0000_s1066" type="#_x0000_t202" style="position:absolute;margin-left:244.15pt;margin-top:22.9pt;width:26.2pt;height:19.9pt;z-index:251669504;mso-width-relative:margin;mso-height-relative:margin" stroked="f">
            <v:textbox>
              <w:txbxContent>
                <w:p w:rsidR="00816E61" w:rsidRDefault="00816E61" w:rsidP="002F3B63">
                  <w:r>
                    <w:t>d)</w:t>
                  </w:r>
                </w:p>
              </w:txbxContent>
            </v:textbox>
          </v:shape>
        </w:pict>
      </w:r>
      <w:r>
        <w:rPr>
          <w:noProof/>
          <w:szCs w:val="24"/>
        </w:rPr>
        <w:pict>
          <v:shape id="_x0000_s1033" type="#_x0000_t202" style="position:absolute;margin-left:228.25pt;margin-top:17.15pt;width:234.5pt;height:33.25pt;z-index:251635712;mso-width-relative:margin;mso-height-relative:margin" stroked="f">
            <v:textbox style="mso-next-textbox:#_x0000_s1033">
              <w:txbxContent>
                <w:p w:rsidR="00816E61" w:rsidRPr="007866C3" w:rsidRDefault="00816E61" w:rsidP="002F3B63">
                  <w:pPr>
                    <w:spacing w:after="0" w:line="240" w:lineRule="auto"/>
                    <w:jc w:val="center"/>
                    <w:rPr>
                      <w:b/>
                      <w:szCs w:val="24"/>
                    </w:rPr>
                  </w:pPr>
                  <w:r>
                    <w:rPr>
                      <w:b/>
                      <w:szCs w:val="24"/>
                    </w:rPr>
                    <w:t>Residual</w:t>
                  </w:r>
                  <w:r w:rsidRPr="007866C3">
                    <w:rPr>
                      <w:b/>
                      <w:szCs w:val="24"/>
                    </w:rPr>
                    <w:t xml:space="preserve"> Water Content, </w:t>
                  </w:r>
                </w:p>
                <w:p w:rsidR="00816E61" w:rsidRPr="007866C3" w:rsidRDefault="00816E61" w:rsidP="002F3B63">
                  <w:pPr>
                    <w:spacing w:after="0" w:line="240" w:lineRule="auto"/>
                    <w:jc w:val="center"/>
                    <w:rPr>
                      <w:b/>
                      <w:szCs w:val="24"/>
                    </w:rPr>
                  </w:pPr>
                  <w:r w:rsidRPr="007866C3">
                    <w:rPr>
                      <w:rFonts w:cstheme="minorHAnsi"/>
                      <w:b/>
                      <w:szCs w:val="24"/>
                    </w:rPr>
                    <w:t>Ѳ</w:t>
                  </w:r>
                  <w:r>
                    <w:rPr>
                      <w:rFonts w:cstheme="minorHAnsi"/>
                      <w:b/>
                      <w:szCs w:val="24"/>
                      <w:vertAlign w:val="subscript"/>
                    </w:rPr>
                    <w:t>r</w:t>
                  </w:r>
                  <w:r w:rsidRPr="007866C3">
                    <w:rPr>
                      <w:b/>
                      <w:szCs w:val="24"/>
                    </w:rPr>
                    <w:t xml:space="preserve"> (cm</w:t>
                  </w:r>
                  <w:r w:rsidRPr="007866C3">
                    <w:rPr>
                      <w:b/>
                      <w:szCs w:val="24"/>
                      <w:vertAlign w:val="superscript"/>
                    </w:rPr>
                    <w:t>3</w:t>
                  </w:r>
                  <w:r w:rsidRPr="007866C3">
                    <w:rPr>
                      <w:b/>
                      <w:szCs w:val="24"/>
                    </w:rPr>
                    <w:t>/cm</w:t>
                  </w:r>
                  <w:r w:rsidRPr="007866C3">
                    <w:rPr>
                      <w:b/>
                      <w:szCs w:val="24"/>
                      <w:vertAlign w:val="superscript"/>
                    </w:rPr>
                    <w:t>3</w:t>
                  </w:r>
                  <w:r w:rsidRPr="007866C3">
                    <w:rPr>
                      <w:b/>
                      <w:szCs w:val="24"/>
                    </w:rPr>
                    <w:t>)</w:t>
                  </w:r>
                </w:p>
              </w:txbxContent>
            </v:textbox>
          </v:shape>
        </w:pict>
      </w:r>
      <w:r>
        <w:rPr>
          <w:noProof/>
          <w:szCs w:val="24"/>
        </w:rPr>
        <w:pict>
          <v:shape id="_x0000_s1065" type="#_x0000_t202" style="position:absolute;margin-left:-8.6pt;margin-top:22.9pt;width:26.2pt;height:19.9pt;z-index:251668480;mso-width-relative:margin;mso-height-relative:margin" stroked="f">
            <v:textbox>
              <w:txbxContent>
                <w:p w:rsidR="00816E61" w:rsidRDefault="00816E61" w:rsidP="002F3B63">
                  <w:r>
                    <w:t>c)</w:t>
                  </w:r>
                </w:p>
              </w:txbxContent>
            </v:textbox>
          </v:shape>
        </w:pict>
      </w:r>
      <w:r>
        <w:rPr>
          <w:noProof/>
          <w:szCs w:val="24"/>
        </w:rPr>
        <w:pict>
          <v:shape id="_x0000_s1034" type="#_x0000_t202" style="position:absolute;margin-left:-23pt;margin-top:18.65pt;width:234.5pt;height:33.25pt;z-index:251636736;mso-width-relative:margin;mso-height-relative:margin" stroked="f">
            <v:textbox style="mso-next-textbox:#_x0000_s1034">
              <w:txbxContent>
                <w:p w:rsidR="00816E61" w:rsidRPr="007866C3" w:rsidRDefault="00816E61" w:rsidP="002F3B63">
                  <w:pPr>
                    <w:spacing w:after="0" w:line="240" w:lineRule="auto"/>
                    <w:jc w:val="center"/>
                    <w:rPr>
                      <w:b/>
                      <w:szCs w:val="24"/>
                    </w:rPr>
                  </w:pPr>
                  <w:r>
                    <w:rPr>
                      <w:b/>
                      <w:szCs w:val="24"/>
                    </w:rPr>
                    <w:t>Pore Size Distribution</w:t>
                  </w:r>
                  <w:r w:rsidRPr="007866C3">
                    <w:rPr>
                      <w:b/>
                      <w:szCs w:val="24"/>
                    </w:rPr>
                    <w:t xml:space="preserve">, </w:t>
                  </w:r>
                </w:p>
                <w:p w:rsidR="00816E61" w:rsidRPr="007866C3" w:rsidRDefault="00816E61" w:rsidP="002F3B63">
                  <w:pPr>
                    <w:spacing w:after="0" w:line="240" w:lineRule="auto"/>
                    <w:jc w:val="center"/>
                    <w:rPr>
                      <w:b/>
                      <w:szCs w:val="24"/>
                    </w:rPr>
                  </w:pPr>
                  <w:r>
                    <w:rPr>
                      <w:rFonts w:cstheme="minorHAnsi"/>
                      <w:b/>
                      <w:szCs w:val="24"/>
                    </w:rPr>
                    <w:t xml:space="preserve">λ </w:t>
                  </w:r>
                  <w:r w:rsidRPr="007866C3">
                    <w:rPr>
                      <w:b/>
                      <w:szCs w:val="24"/>
                    </w:rPr>
                    <w:t>(</w:t>
                  </w:r>
                  <w:r>
                    <w:rPr>
                      <w:b/>
                      <w:szCs w:val="24"/>
                    </w:rPr>
                    <w:t>-</w:t>
                  </w:r>
                  <w:r w:rsidRPr="007866C3">
                    <w:rPr>
                      <w:b/>
                      <w:szCs w:val="24"/>
                    </w:rPr>
                    <w:t>)</w:t>
                  </w:r>
                </w:p>
              </w:txbxContent>
            </v:textbox>
          </v:shape>
        </w:pict>
      </w:r>
    </w:p>
    <w:p w:rsidR="002F3B63" w:rsidRDefault="002F3B63" w:rsidP="002F3B63">
      <w:pPr>
        <w:rPr>
          <w:szCs w:val="24"/>
        </w:rPr>
      </w:pPr>
    </w:p>
    <w:p w:rsidR="002F3B63" w:rsidRPr="009E5795" w:rsidRDefault="002F3B63" w:rsidP="002F3B63">
      <w:pPr>
        <w:rPr>
          <w:szCs w:val="24"/>
        </w:rPr>
      </w:pPr>
      <w:r>
        <w:rPr>
          <w:noProof/>
          <w:szCs w:val="24"/>
        </w:rPr>
        <w:drawing>
          <wp:inline distT="0" distB="0" distL="0" distR="0">
            <wp:extent cx="2324100" cy="3028950"/>
            <wp:effectExtent l="19050" t="0" r="0" b="0"/>
            <wp:docPr id="13" name="Picture 3" descr="C:\Users\user\Desktop\Data Images\Trend Surface\LAM Trend Surfac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Data Images\Trend Surface\LAM Trend Surface.png"/>
                    <pic:cNvPicPr>
                      <a:picLocks noChangeAspect="1" noChangeArrowheads="1"/>
                    </pic:cNvPicPr>
                  </pic:nvPicPr>
                  <pic:blipFill>
                    <a:blip r:embed="rId32"/>
                    <a:srcRect l="29026" t="10137" r="29361" b="2740"/>
                    <a:stretch>
                      <a:fillRect/>
                    </a:stretch>
                  </pic:blipFill>
                  <pic:spPr bwMode="auto">
                    <a:xfrm>
                      <a:off x="0" y="0"/>
                      <a:ext cx="2324100" cy="3028950"/>
                    </a:xfrm>
                    <a:prstGeom prst="rect">
                      <a:avLst/>
                    </a:prstGeom>
                    <a:noFill/>
                    <a:ln w="9525">
                      <a:noFill/>
                      <a:miter lim="800000"/>
                      <a:headEnd/>
                      <a:tailEnd/>
                    </a:ln>
                  </pic:spPr>
                </pic:pic>
              </a:graphicData>
            </a:graphic>
          </wp:inline>
        </w:drawing>
      </w:r>
      <w:r>
        <w:rPr>
          <w:szCs w:val="24"/>
        </w:rPr>
        <w:tab/>
      </w:r>
      <w:r w:rsidR="00EC5FE3">
        <w:rPr>
          <w:szCs w:val="24"/>
        </w:rPr>
        <w:tab/>
      </w:r>
      <w:r>
        <w:rPr>
          <w:noProof/>
          <w:szCs w:val="24"/>
        </w:rPr>
        <w:drawing>
          <wp:inline distT="0" distB="0" distL="0" distR="0">
            <wp:extent cx="2428875" cy="3028950"/>
            <wp:effectExtent l="19050" t="0" r="9525" b="0"/>
            <wp:docPr id="14" name="Picture 4" descr="C:\Users\user\Desktop\Data Images\Trend Surface\TR Trend Surfac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esktop\Data Images\Trend Surface\TR Trend Surface.png"/>
                    <pic:cNvPicPr>
                      <a:picLocks noChangeAspect="1" noChangeArrowheads="1"/>
                    </pic:cNvPicPr>
                  </pic:nvPicPr>
                  <pic:blipFill>
                    <a:blip r:embed="rId33"/>
                    <a:srcRect l="28021" t="9863" r="28259" b="3014"/>
                    <a:stretch>
                      <a:fillRect/>
                    </a:stretch>
                  </pic:blipFill>
                  <pic:spPr bwMode="auto">
                    <a:xfrm>
                      <a:off x="0" y="0"/>
                      <a:ext cx="2428875" cy="3028950"/>
                    </a:xfrm>
                    <a:prstGeom prst="rect">
                      <a:avLst/>
                    </a:prstGeom>
                    <a:noFill/>
                    <a:ln w="9525">
                      <a:noFill/>
                      <a:miter lim="800000"/>
                      <a:headEnd/>
                      <a:tailEnd/>
                    </a:ln>
                  </pic:spPr>
                </pic:pic>
              </a:graphicData>
            </a:graphic>
          </wp:inline>
        </w:drawing>
      </w:r>
    </w:p>
    <w:p w:rsidR="002F3B63" w:rsidRDefault="002F3B63" w:rsidP="002F3B63">
      <w:pPr>
        <w:pStyle w:val="Caption"/>
        <w:rPr>
          <w:szCs w:val="24"/>
        </w:rPr>
      </w:pPr>
      <w:bookmarkStart w:id="107" w:name="_Toc422308125"/>
      <w:bookmarkStart w:id="108" w:name="_Toc422316131"/>
      <w:bookmarkStart w:id="109" w:name="_Toc425427092"/>
      <w:r>
        <w:t xml:space="preserve">Figure </w:t>
      </w:r>
      <w:fldSimple w:instr=" SEQ Figure \* ARABIC ">
        <w:r w:rsidR="00885C9E">
          <w:rPr>
            <w:noProof/>
          </w:rPr>
          <w:t>8</w:t>
        </w:r>
      </w:fldSimple>
      <w:r>
        <w:t xml:space="preserve">: </w:t>
      </w:r>
      <w:r>
        <w:rPr>
          <w:szCs w:val="24"/>
        </w:rPr>
        <w:t>Trend surfaces for the four BC parameters</w:t>
      </w:r>
      <w:bookmarkEnd w:id="107"/>
      <w:bookmarkEnd w:id="108"/>
      <w:r w:rsidR="00796ACE">
        <w:rPr>
          <w:szCs w:val="24"/>
        </w:rPr>
        <w:t xml:space="preserve"> are shown here and were used to identify 2 dimensional trends</w:t>
      </w:r>
      <w:bookmarkEnd w:id="109"/>
    </w:p>
    <w:p w:rsidR="002F3B63" w:rsidRDefault="002F3B63" w:rsidP="002F3B63"/>
    <w:p w:rsidR="002F3B63" w:rsidRDefault="002F3B63" w:rsidP="002F3B63"/>
    <w:p w:rsidR="002F3B63" w:rsidRDefault="002F3B63" w:rsidP="002F3B63"/>
    <w:p w:rsidR="002F3B63" w:rsidRPr="001F70BB" w:rsidRDefault="00177749" w:rsidP="002F3B63">
      <w:r>
        <w:rPr>
          <w:noProof/>
        </w:rPr>
        <w:pict>
          <v:shape id="_x0000_s1067" type="#_x0000_t202" style="position:absolute;margin-left:12.85pt;margin-top:-12.85pt;width:26.2pt;height:19.9pt;z-index:251670528;mso-width-relative:margin;mso-height-relative:margin" stroked="f">
            <v:textbox>
              <w:txbxContent>
                <w:p w:rsidR="00816E61" w:rsidRDefault="00816E61" w:rsidP="002F3B63">
                  <w:r>
                    <w:t>a)</w:t>
                  </w:r>
                </w:p>
              </w:txbxContent>
            </v:textbox>
          </v:shape>
        </w:pict>
      </w:r>
      <w:r>
        <w:rPr>
          <w:noProof/>
        </w:rPr>
        <w:pict>
          <v:shape id="_x0000_s1041" type="#_x0000_t202" style="position:absolute;margin-left:114.85pt;margin-top:-12.85pt;width:219.95pt;height:35.35pt;z-index:251643904;mso-height-percent:200;mso-height-percent:200;mso-width-relative:margin;mso-height-relative:margin" stroked="f">
            <v:textbox style="mso-fit-shape-to-text:t">
              <w:txbxContent>
                <w:p w:rsidR="00816E61" w:rsidRPr="001F70BB" w:rsidRDefault="00816E61" w:rsidP="002F3B63">
                  <w:pPr>
                    <w:spacing w:after="0" w:line="240" w:lineRule="auto"/>
                    <w:jc w:val="center"/>
                    <w:rPr>
                      <w:b/>
                    </w:rPr>
                  </w:pPr>
                  <w:r w:rsidRPr="001F70BB">
                    <w:rPr>
                      <w:b/>
                    </w:rPr>
                    <w:t>Semivariogram and Spherical Model</w:t>
                  </w:r>
                </w:p>
                <w:p w:rsidR="00816E61" w:rsidRPr="001F70BB" w:rsidRDefault="00816E61" w:rsidP="002F3B63">
                  <w:pPr>
                    <w:spacing w:after="0" w:line="240" w:lineRule="auto"/>
                    <w:jc w:val="center"/>
                    <w:rPr>
                      <w:b/>
                    </w:rPr>
                  </w:pPr>
                  <w:r w:rsidRPr="001F70BB">
                    <w:rPr>
                      <w:b/>
                    </w:rPr>
                    <w:t>Air Entry, ψ</w:t>
                  </w:r>
                  <w:r w:rsidRPr="001F70BB">
                    <w:rPr>
                      <w:b/>
                      <w:vertAlign w:val="subscript"/>
                    </w:rPr>
                    <w:t>a</w:t>
                  </w:r>
                  <w:r w:rsidRPr="001F70BB">
                    <w:rPr>
                      <w:b/>
                    </w:rPr>
                    <w:t xml:space="preserve"> (cm)</w:t>
                  </w:r>
                </w:p>
              </w:txbxContent>
            </v:textbox>
          </v:shape>
        </w:pict>
      </w:r>
    </w:p>
    <w:p w:rsidR="002F3B63" w:rsidRDefault="002F3B63" w:rsidP="002F3B63">
      <w:pPr>
        <w:rPr>
          <w:szCs w:val="24"/>
        </w:rPr>
      </w:pPr>
      <w:r>
        <w:rPr>
          <w:noProof/>
          <w:szCs w:val="24"/>
        </w:rPr>
        <w:drawing>
          <wp:inline distT="0" distB="0" distL="0" distR="0">
            <wp:extent cx="5327988" cy="2645924"/>
            <wp:effectExtent l="19050" t="0" r="6012" b="0"/>
            <wp:docPr id="21" name="Picture 2" descr="C:\Users\user\Desktop\Final Semivariograms\Residual Semivariogram A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Final Semivariograms\Residual Semivariogram AE.png"/>
                    <pic:cNvPicPr>
                      <a:picLocks noChangeAspect="1" noChangeArrowheads="1"/>
                    </pic:cNvPicPr>
                  </pic:nvPicPr>
                  <pic:blipFill>
                    <a:blip r:embed="rId34"/>
                    <a:srcRect t="10526"/>
                    <a:stretch>
                      <a:fillRect/>
                    </a:stretch>
                  </pic:blipFill>
                  <pic:spPr bwMode="auto">
                    <a:xfrm>
                      <a:off x="0" y="0"/>
                      <a:ext cx="5327988" cy="2645924"/>
                    </a:xfrm>
                    <a:prstGeom prst="rect">
                      <a:avLst/>
                    </a:prstGeom>
                    <a:noFill/>
                    <a:ln w="9525">
                      <a:noFill/>
                      <a:miter lim="800000"/>
                      <a:headEnd/>
                      <a:tailEnd/>
                    </a:ln>
                  </pic:spPr>
                </pic:pic>
              </a:graphicData>
            </a:graphic>
          </wp:inline>
        </w:drawing>
      </w:r>
    </w:p>
    <w:p w:rsidR="002F3B63" w:rsidRDefault="00177749" w:rsidP="002F3B63">
      <w:pPr>
        <w:rPr>
          <w:szCs w:val="24"/>
        </w:rPr>
      </w:pPr>
      <w:r>
        <w:rPr>
          <w:noProof/>
          <w:szCs w:val="24"/>
        </w:rPr>
        <w:pict>
          <v:shape id="_x0000_s1068" type="#_x0000_t202" style="position:absolute;margin-left:25.1pt;margin-top:22.95pt;width:26.2pt;height:19.9pt;z-index:251671552;mso-width-relative:margin;mso-height-relative:margin" stroked="f">
            <v:textbox>
              <w:txbxContent>
                <w:p w:rsidR="00816E61" w:rsidRDefault="00816E61" w:rsidP="002F3B63">
                  <w:r>
                    <w:t>b)</w:t>
                  </w:r>
                </w:p>
              </w:txbxContent>
            </v:textbox>
          </v:shape>
        </w:pict>
      </w:r>
      <w:r>
        <w:rPr>
          <w:noProof/>
          <w:szCs w:val="24"/>
        </w:rPr>
        <w:pict>
          <v:shape id="_x0000_s1042" type="#_x0000_t202" style="position:absolute;margin-left:121.75pt;margin-top:14.55pt;width:239pt;height:49.4pt;z-index:251644928;mso-height-percent:200;mso-height-percent:200;mso-width-relative:margin;mso-height-relative:margin" stroked="f">
            <v:textbox style="mso-fit-shape-to-text:t">
              <w:txbxContent>
                <w:p w:rsidR="00816E61" w:rsidRPr="001F70BB" w:rsidRDefault="00816E61" w:rsidP="002F3B63">
                  <w:pPr>
                    <w:spacing w:after="0" w:line="240" w:lineRule="auto"/>
                    <w:jc w:val="center"/>
                    <w:rPr>
                      <w:b/>
                    </w:rPr>
                  </w:pPr>
                  <w:r w:rsidRPr="001F70BB">
                    <w:rPr>
                      <w:b/>
                    </w:rPr>
                    <w:t>Semivariogram and Spherical Model</w:t>
                  </w:r>
                </w:p>
                <w:p w:rsidR="00816E61" w:rsidRPr="001F70BB" w:rsidRDefault="00816E61" w:rsidP="002F3B63">
                  <w:pPr>
                    <w:spacing w:after="0" w:line="240" w:lineRule="auto"/>
                    <w:jc w:val="center"/>
                    <w:rPr>
                      <w:b/>
                    </w:rPr>
                  </w:pPr>
                  <w:r>
                    <w:rPr>
                      <w:b/>
                    </w:rPr>
                    <w:t>Saturated Water Content, Ѳ</w:t>
                  </w:r>
                  <w:r w:rsidRPr="001F70BB">
                    <w:rPr>
                      <w:b/>
                      <w:vertAlign w:val="subscript"/>
                    </w:rPr>
                    <w:t>s</w:t>
                  </w:r>
                  <w:r>
                    <w:rPr>
                      <w:b/>
                    </w:rPr>
                    <w:t xml:space="preserve"> (cm</w:t>
                  </w:r>
                  <w:r w:rsidRPr="001F70BB">
                    <w:rPr>
                      <w:b/>
                      <w:vertAlign w:val="superscript"/>
                    </w:rPr>
                    <w:t>3</w:t>
                  </w:r>
                  <w:r>
                    <w:rPr>
                      <w:b/>
                    </w:rPr>
                    <w:t>/cm</w:t>
                  </w:r>
                  <w:r w:rsidRPr="001F70BB">
                    <w:rPr>
                      <w:b/>
                      <w:vertAlign w:val="superscript"/>
                    </w:rPr>
                    <w:t>3</w:t>
                  </w:r>
                  <w:r>
                    <w:rPr>
                      <w:b/>
                    </w:rPr>
                    <w:t>)</w:t>
                  </w:r>
                </w:p>
              </w:txbxContent>
            </v:textbox>
          </v:shape>
        </w:pict>
      </w:r>
    </w:p>
    <w:p w:rsidR="002F3B63" w:rsidRDefault="002F3B63" w:rsidP="002F3B63">
      <w:pPr>
        <w:rPr>
          <w:szCs w:val="24"/>
        </w:rPr>
      </w:pPr>
    </w:p>
    <w:p w:rsidR="002F3B63" w:rsidRDefault="002F3B63" w:rsidP="002F3B63">
      <w:pPr>
        <w:rPr>
          <w:szCs w:val="24"/>
        </w:rPr>
      </w:pPr>
      <w:r>
        <w:rPr>
          <w:noProof/>
          <w:szCs w:val="24"/>
        </w:rPr>
        <w:drawing>
          <wp:inline distT="0" distB="0" distL="0" distR="0">
            <wp:extent cx="5327988" cy="2665379"/>
            <wp:effectExtent l="19050" t="0" r="6012" b="0"/>
            <wp:docPr id="22" name="Picture 3" descr="C:\Users\user\Desktop\Final Semivariograms\Residual Semivariogram T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Final Semivariograms\Residual Semivariogram TS.png"/>
                    <pic:cNvPicPr>
                      <a:picLocks noChangeAspect="1" noChangeArrowheads="1"/>
                    </pic:cNvPicPr>
                  </pic:nvPicPr>
                  <pic:blipFill>
                    <a:blip r:embed="rId35"/>
                    <a:srcRect t="9868"/>
                    <a:stretch>
                      <a:fillRect/>
                    </a:stretch>
                  </pic:blipFill>
                  <pic:spPr bwMode="auto">
                    <a:xfrm>
                      <a:off x="0" y="0"/>
                      <a:ext cx="5327988" cy="2665379"/>
                    </a:xfrm>
                    <a:prstGeom prst="rect">
                      <a:avLst/>
                    </a:prstGeom>
                    <a:noFill/>
                    <a:ln w="9525">
                      <a:noFill/>
                      <a:miter lim="800000"/>
                      <a:headEnd/>
                      <a:tailEnd/>
                    </a:ln>
                  </pic:spPr>
                </pic:pic>
              </a:graphicData>
            </a:graphic>
          </wp:inline>
        </w:drawing>
      </w:r>
    </w:p>
    <w:p w:rsidR="002F3B63" w:rsidRDefault="002F3B63" w:rsidP="002F3B63">
      <w:pPr>
        <w:rPr>
          <w:szCs w:val="24"/>
        </w:rPr>
      </w:pPr>
    </w:p>
    <w:p w:rsidR="002F3B63" w:rsidRDefault="002F3B63" w:rsidP="002F3B63">
      <w:pPr>
        <w:rPr>
          <w:szCs w:val="24"/>
        </w:rPr>
      </w:pPr>
    </w:p>
    <w:p w:rsidR="002F3B63" w:rsidRDefault="002F3B63" w:rsidP="002F3B63">
      <w:pPr>
        <w:rPr>
          <w:szCs w:val="24"/>
        </w:rPr>
      </w:pPr>
    </w:p>
    <w:p w:rsidR="002F3B63" w:rsidRDefault="002F3B63" w:rsidP="002F3B63">
      <w:pPr>
        <w:rPr>
          <w:szCs w:val="24"/>
        </w:rPr>
      </w:pPr>
    </w:p>
    <w:p w:rsidR="002F3B63" w:rsidRDefault="002F3B63" w:rsidP="002F3B63">
      <w:pPr>
        <w:rPr>
          <w:szCs w:val="24"/>
        </w:rPr>
      </w:pPr>
    </w:p>
    <w:p w:rsidR="002F3B63" w:rsidRDefault="00177749" w:rsidP="002F3B63">
      <w:pPr>
        <w:rPr>
          <w:szCs w:val="24"/>
        </w:rPr>
      </w:pPr>
      <w:r>
        <w:rPr>
          <w:noProof/>
          <w:szCs w:val="24"/>
        </w:rPr>
        <w:pict>
          <v:shape id="_x0000_s1069" type="#_x0000_t202" style="position:absolute;margin-left:8.2pt;margin-top:-4.85pt;width:26.2pt;height:19.9pt;z-index:251672576;mso-width-relative:margin;mso-height-relative:margin" stroked="f">
            <v:textbox>
              <w:txbxContent>
                <w:p w:rsidR="00816E61" w:rsidRDefault="00816E61" w:rsidP="002F3B63">
                  <w:r>
                    <w:t>c)</w:t>
                  </w:r>
                </w:p>
              </w:txbxContent>
            </v:textbox>
          </v:shape>
        </w:pict>
      </w:r>
      <w:r>
        <w:rPr>
          <w:noProof/>
          <w:szCs w:val="24"/>
        </w:rPr>
        <w:pict>
          <v:shape id="_x0000_s1043" type="#_x0000_t202" style="position:absolute;margin-left:107.2pt;margin-top:-15.45pt;width:239pt;height:35.35pt;z-index:251645952;mso-height-percent:200;mso-height-percent:200;mso-width-relative:margin;mso-height-relative:margin" stroked="f">
            <v:textbox style="mso-fit-shape-to-text:t">
              <w:txbxContent>
                <w:p w:rsidR="00816E61" w:rsidRPr="001F70BB" w:rsidRDefault="00816E61" w:rsidP="002F3B63">
                  <w:pPr>
                    <w:spacing w:after="0" w:line="240" w:lineRule="auto"/>
                    <w:jc w:val="center"/>
                    <w:rPr>
                      <w:b/>
                    </w:rPr>
                  </w:pPr>
                  <w:r w:rsidRPr="001F70BB">
                    <w:rPr>
                      <w:b/>
                    </w:rPr>
                    <w:t>Semivariogram and Spherical Model</w:t>
                  </w:r>
                </w:p>
                <w:p w:rsidR="00816E61" w:rsidRPr="001F70BB" w:rsidRDefault="00816E61" w:rsidP="002F3B63">
                  <w:pPr>
                    <w:spacing w:after="0" w:line="240" w:lineRule="auto"/>
                    <w:jc w:val="center"/>
                    <w:rPr>
                      <w:b/>
                    </w:rPr>
                  </w:pPr>
                  <w:r>
                    <w:rPr>
                      <w:b/>
                    </w:rPr>
                    <w:t>Pore Size Distribution, λ (-)</w:t>
                  </w:r>
                </w:p>
              </w:txbxContent>
            </v:textbox>
          </v:shape>
        </w:pict>
      </w:r>
    </w:p>
    <w:p w:rsidR="002F3B63" w:rsidRDefault="002F3B63" w:rsidP="002F3B63">
      <w:pPr>
        <w:rPr>
          <w:szCs w:val="24"/>
        </w:rPr>
      </w:pPr>
      <w:r>
        <w:rPr>
          <w:noProof/>
          <w:szCs w:val="24"/>
        </w:rPr>
        <w:drawing>
          <wp:inline distT="0" distB="0" distL="0" distR="0">
            <wp:extent cx="5327988" cy="2626469"/>
            <wp:effectExtent l="19050" t="0" r="6012" b="0"/>
            <wp:docPr id="23" name="Picture 4" descr="C:\Users\user\Desktop\Final Semivariograms\Residual Semivariogram L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esktop\Final Semivariograms\Residual Semivariogram LAM.png"/>
                    <pic:cNvPicPr>
                      <a:picLocks noChangeAspect="1" noChangeArrowheads="1"/>
                    </pic:cNvPicPr>
                  </pic:nvPicPr>
                  <pic:blipFill>
                    <a:blip r:embed="rId36"/>
                    <a:srcRect t="11184"/>
                    <a:stretch>
                      <a:fillRect/>
                    </a:stretch>
                  </pic:blipFill>
                  <pic:spPr bwMode="auto">
                    <a:xfrm>
                      <a:off x="0" y="0"/>
                      <a:ext cx="5327988" cy="2626469"/>
                    </a:xfrm>
                    <a:prstGeom prst="rect">
                      <a:avLst/>
                    </a:prstGeom>
                    <a:noFill/>
                    <a:ln w="9525">
                      <a:noFill/>
                      <a:miter lim="800000"/>
                      <a:headEnd/>
                      <a:tailEnd/>
                    </a:ln>
                  </pic:spPr>
                </pic:pic>
              </a:graphicData>
            </a:graphic>
          </wp:inline>
        </w:drawing>
      </w:r>
    </w:p>
    <w:p w:rsidR="002F3B63" w:rsidRDefault="00177749" w:rsidP="002F3B63">
      <w:pPr>
        <w:rPr>
          <w:szCs w:val="24"/>
        </w:rPr>
      </w:pPr>
      <w:r>
        <w:rPr>
          <w:noProof/>
          <w:szCs w:val="24"/>
        </w:rPr>
        <w:pict>
          <v:shape id="_x0000_s1070" type="#_x0000_t202" style="position:absolute;margin-left:32.15pt;margin-top:24.5pt;width:26.2pt;height:19.9pt;z-index:251673600;mso-width-relative:margin;mso-height-relative:margin" stroked="f">
            <v:textbox>
              <w:txbxContent>
                <w:p w:rsidR="00816E61" w:rsidRDefault="00816E61" w:rsidP="002F3B63">
                  <w:r>
                    <w:t>d)</w:t>
                  </w:r>
                </w:p>
              </w:txbxContent>
            </v:textbox>
          </v:shape>
        </w:pict>
      </w:r>
    </w:p>
    <w:p w:rsidR="002F3B63" w:rsidRDefault="00177749" w:rsidP="002F3B63">
      <w:pPr>
        <w:rPr>
          <w:szCs w:val="24"/>
        </w:rPr>
      </w:pPr>
      <w:r>
        <w:rPr>
          <w:noProof/>
          <w:szCs w:val="24"/>
        </w:rPr>
        <w:pict>
          <v:shape id="_x0000_s1044" type="#_x0000_t202" style="position:absolute;margin-left:121.75pt;margin-top:-10.1pt;width:239pt;height:49.4pt;z-index:251646976;mso-height-percent:200;mso-height-percent:200;mso-width-relative:margin;mso-height-relative:margin" stroked="f">
            <v:textbox style="mso-fit-shape-to-text:t">
              <w:txbxContent>
                <w:p w:rsidR="00816E61" w:rsidRPr="001F70BB" w:rsidRDefault="00816E61" w:rsidP="002F3B63">
                  <w:pPr>
                    <w:spacing w:after="0" w:line="240" w:lineRule="auto"/>
                    <w:jc w:val="center"/>
                    <w:rPr>
                      <w:b/>
                    </w:rPr>
                  </w:pPr>
                  <w:r w:rsidRPr="001F70BB">
                    <w:rPr>
                      <w:b/>
                    </w:rPr>
                    <w:t>Semivariogram and Spherical Model</w:t>
                  </w:r>
                </w:p>
                <w:p w:rsidR="00816E61" w:rsidRPr="001F70BB" w:rsidRDefault="00816E61" w:rsidP="002F3B63">
                  <w:pPr>
                    <w:spacing w:after="0" w:line="240" w:lineRule="auto"/>
                    <w:jc w:val="center"/>
                    <w:rPr>
                      <w:b/>
                    </w:rPr>
                  </w:pPr>
                  <w:r>
                    <w:rPr>
                      <w:b/>
                    </w:rPr>
                    <w:t>Residual Water Content, Ѳ</w:t>
                  </w:r>
                  <w:r>
                    <w:rPr>
                      <w:b/>
                      <w:vertAlign w:val="subscript"/>
                    </w:rPr>
                    <w:t>r</w:t>
                  </w:r>
                  <w:r>
                    <w:rPr>
                      <w:b/>
                    </w:rPr>
                    <w:t xml:space="preserve"> (cm</w:t>
                  </w:r>
                  <w:r w:rsidRPr="001F70BB">
                    <w:rPr>
                      <w:b/>
                      <w:vertAlign w:val="superscript"/>
                    </w:rPr>
                    <w:t>3</w:t>
                  </w:r>
                  <w:r>
                    <w:rPr>
                      <w:b/>
                    </w:rPr>
                    <w:t>/cm</w:t>
                  </w:r>
                  <w:r w:rsidRPr="001F70BB">
                    <w:rPr>
                      <w:b/>
                      <w:vertAlign w:val="superscript"/>
                    </w:rPr>
                    <w:t>3</w:t>
                  </w:r>
                  <w:r>
                    <w:rPr>
                      <w:b/>
                    </w:rPr>
                    <w:t>)</w:t>
                  </w:r>
                </w:p>
              </w:txbxContent>
            </v:textbox>
          </v:shape>
        </w:pict>
      </w:r>
    </w:p>
    <w:p w:rsidR="002F3B63" w:rsidRDefault="002F3B63" w:rsidP="002F3B63">
      <w:pPr>
        <w:rPr>
          <w:szCs w:val="24"/>
        </w:rPr>
      </w:pPr>
      <w:r>
        <w:rPr>
          <w:noProof/>
          <w:szCs w:val="24"/>
        </w:rPr>
        <w:drawing>
          <wp:inline distT="0" distB="0" distL="0" distR="0">
            <wp:extent cx="5327988" cy="2645924"/>
            <wp:effectExtent l="19050" t="0" r="6012" b="0"/>
            <wp:docPr id="24" name="Picture 5" descr="C:\Users\user\Desktop\Final Semivariograms\Residual Semivariogram T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Desktop\Final Semivariograms\Residual Semivariogram TR.png"/>
                    <pic:cNvPicPr>
                      <a:picLocks noChangeAspect="1" noChangeArrowheads="1"/>
                    </pic:cNvPicPr>
                  </pic:nvPicPr>
                  <pic:blipFill>
                    <a:blip r:embed="rId37"/>
                    <a:srcRect t="10526"/>
                    <a:stretch>
                      <a:fillRect/>
                    </a:stretch>
                  </pic:blipFill>
                  <pic:spPr bwMode="auto">
                    <a:xfrm>
                      <a:off x="0" y="0"/>
                      <a:ext cx="5327988" cy="2645924"/>
                    </a:xfrm>
                    <a:prstGeom prst="rect">
                      <a:avLst/>
                    </a:prstGeom>
                    <a:noFill/>
                    <a:ln w="9525">
                      <a:noFill/>
                      <a:miter lim="800000"/>
                      <a:headEnd/>
                      <a:tailEnd/>
                    </a:ln>
                  </pic:spPr>
                </pic:pic>
              </a:graphicData>
            </a:graphic>
          </wp:inline>
        </w:drawing>
      </w:r>
    </w:p>
    <w:p w:rsidR="002F3B63" w:rsidRDefault="002F3B63" w:rsidP="002F3B63">
      <w:pPr>
        <w:pStyle w:val="Caption"/>
      </w:pPr>
      <w:bookmarkStart w:id="110" w:name="_Toc422308126"/>
      <w:bookmarkStart w:id="111" w:name="_Toc422316132"/>
      <w:bookmarkStart w:id="112" w:name="_Toc425427093"/>
      <w:r>
        <w:t xml:space="preserve">Figure </w:t>
      </w:r>
      <w:fldSimple w:instr=" SEQ Figure \* ARABIC ">
        <w:r w:rsidR="00885C9E">
          <w:rPr>
            <w:noProof/>
          </w:rPr>
          <w:t>9</w:t>
        </w:r>
      </w:fldSimple>
      <w:r>
        <w:t>: Residual semivariogra</w:t>
      </w:r>
      <w:r w:rsidR="00F72F65">
        <w:t>ms and best fit spherical model</w:t>
      </w:r>
      <w:r>
        <w:t xml:space="preserve"> for all four BC parameters</w:t>
      </w:r>
      <w:bookmarkEnd w:id="110"/>
      <w:bookmarkEnd w:id="111"/>
      <w:r w:rsidR="00796ACE">
        <w:t xml:space="preserve">, a) </w:t>
      </w:r>
      <w:r w:rsidR="00796ACE" w:rsidRPr="00796ACE">
        <w:rPr>
          <w:i/>
        </w:rPr>
        <w:t>ψ</w:t>
      </w:r>
      <w:r w:rsidR="00796ACE" w:rsidRPr="00796ACE">
        <w:rPr>
          <w:i/>
          <w:vertAlign w:val="subscript"/>
        </w:rPr>
        <w:t>a</w:t>
      </w:r>
      <w:r w:rsidR="00796ACE">
        <w:t xml:space="preserve"> and b) </w:t>
      </w:r>
      <w:r w:rsidR="00796ACE" w:rsidRPr="00796ACE">
        <w:rPr>
          <w:i/>
        </w:rPr>
        <w:t>Ѳ</w:t>
      </w:r>
      <w:r w:rsidR="00796ACE" w:rsidRPr="00796ACE">
        <w:rPr>
          <w:i/>
          <w:vertAlign w:val="subscript"/>
        </w:rPr>
        <w:t>s</w:t>
      </w:r>
      <w:r w:rsidR="00796ACE">
        <w:t xml:space="preserve"> were found to be spatially dependent whereas c) </w:t>
      </w:r>
      <w:r w:rsidR="00796ACE" w:rsidRPr="00796ACE">
        <w:rPr>
          <w:i/>
        </w:rPr>
        <w:t>λ</w:t>
      </w:r>
      <w:r w:rsidR="00796ACE">
        <w:t xml:space="preserve"> and d) </w:t>
      </w:r>
      <w:r w:rsidR="00796ACE" w:rsidRPr="00796ACE">
        <w:rPr>
          <w:i/>
        </w:rPr>
        <w:t>Ѳ</w:t>
      </w:r>
      <w:r w:rsidR="00796ACE" w:rsidRPr="00796ACE">
        <w:rPr>
          <w:i/>
          <w:vertAlign w:val="subscript"/>
        </w:rPr>
        <w:t>r</w:t>
      </w:r>
      <w:r w:rsidR="00796ACE">
        <w:t xml:space="preserve"> were found to be pure nugget effect</w:t>
      </w:r>
      <w:bookmarkEnd w:id="112"/>
    </w:p>
    <w:p w:rsidR="002F3B63" w:rsidRDefault="002F3B63" w:rsidP="002F3B63"/>
    <w:p w:rsidR="002F3B63" w:rsidRDefault="002F3B63" w:rsidP="002F3B63"/>
    <w:p w:rsidR="002F3B63" w:rsidRPr="001F70BB" w:rsidRDefault="00177749" w:rsidP="002F3B63">
      <w:r>
        <w:rPr>
          <w:noProof/>
        </w:rPr>
        <w:lastRenderedPageBreak/>
        <w:pict>
          <v:shape id="_x0000_s1071" type="#_x0000_t202" style="position:absolute;margin-left:13.65pt;margin-top:-4.85pt;width:26.2pt;height:19.9pt;z-index:251674624;mso-width-relative:margin;mso-height-relative:margin" stroked="f">
            <v:textbox>
              <w:txbxContent>
                <w:p w:rsidR="00816E61" w:rsidRDefault="00816E61" w:rsidP="002F3B63">
                  <w:r>
                    <w:t>a)</w:t>
                  </w:r>
                </w:p>
              </w:txbxContent>
            </v:textbox>
          </v:shape>
        </w:pict>
      </w:r>
      <w:r>
        <w:rPr>
          <w:noProof/>
        </w:rPr>
        <w:pict>
          <v:shape id="_x0000_s1045" type="#_x0000_t202" style="position:absolute;margin-left:101.85pt;margin-top:-9.95pt;width:219.95pt;height:35.35pt;z-index:251648000;mso-height-percent:200;mso-height-percent:200;mso-width-relative:margin;mso-height-relative:margin" stroked="f">
            <v:textbox style="mso-fit-shape-to-text:t">
              <w:txbxContent>
                <w:p w:rsidR="00816E61" w:rsidRPr="001F70BB" w:rsidRDefault="00816E61" w:rsidP="002F3B63">
                  <w:pPr>
                    <w:spacing w:after="0" w:line="240" w:lineRule="auto"/>
                    <w:jc w:val="center"/>
                    <w:rPr>
                      <w:b/>
                    </w:rPr>
                  </w:pPr>
                  <w:r w:rsidRPr="001F70BB">
                    <w:rPr>
                      <w:b/>
                    </w:rPr>
                    <w:t>Semivariogram and Spherical Model</w:t>
                  </w:r>
                </w:p>
                <w:p w:rsidR="00816E61" w:rsidRPr="001F70BB" w:rsidRDefault="00816E61" w:rsidP="002F3B63">
                  <w:pPr>
                    <w:spacing w:after="0" w:line="240" w:lineRule="auto"/>
                    <w:jc w:val="center"/>
                    <w:rPr>
                      <w:b/>
                    </w:rPr>
                  </w:pPr>
                  <w:r w:rsidRPr="001F70BB">
                    <w:rPr>
                      <w:b/>
                    </w:rPr>
                    <w:t>Air Entry, ψ</w:t>
                  </w:r>
                  <w:r w:rsidRPr="001F70BB">
                    <w:rPr>
                      <w:b/>
                      <w:vertAlign w:val="subscript"/>
                    </w:rPr>
                    <w:t>a</w:t>
                  </w:r>
                  <w:r w:rsidRPr="001F70BB">
                    <w:rPr>
                      <w:b/>
                    </w:rPr>
                    <w:t xml:space="preserve"> (cm)</w:t>
                  </w:r>
                </w:p>
              </w:txbxContent>
            </v:textbox>
          </v:shape>
        </w:pict>
      </w:r>
    </w:p>
    <w:p w:rsidR="002F3B63" w:rsidRDefault="002F3B63" w:rsidP="002F3B63">
      <w:r>
        <w:rPr>
          <w:noProof/>
        </w:rPr>
        <w:drawing>
          <wp:inline distT="0" distB="0" distL="0" distR="0">
            <wp:extent cx="5327988" cy="2626469"/>
            <wp:effectExtent l="19050" t="0" r="6012" b="0"/>
            <wp:docPr id="25" name="Picture 6" descr="C:\Users\user\Desktop\Final Semivariograms\Raw Semivariogram A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Desktop\Final Semivariograms\Raw Semivariogram AE.png"/>
                    <pic:cNvPicPr>
                      <a:picLocks noChangeAspect="1" noChangeArrowheads="1"/>
                    </pic:cNvPicPr>
                  </pic:nvPicPr>
                  <pic:blipFill>
                    <a:blip r:embed="rId38"/>
                    <a:srcRect t="11184"/>
                    <a:stretch>
                      <a:fillRect/>
                    </a:stretch>
                  </pic:blipFill>
                  <pic:spPr bwMode="auto">
                    <a:xfrm>
                      <a:off x="0" y="0"/>
                      <a:ext cx="5327988" cy="2626469"/>
                    </a:xfrm>
                    <a:prstGeom prst="rect">
                      <a:avLst/>
                    </a:prstGeom>
                    <a:noFill/>
                    <a:ln w="9525">
                      <a:noFill/>
                      <a:miter lim="800000"/>
                      <a:headEnd/>
                      <a:tailEnd/>
                    </a:ln>
                  </pic:spPr>
                </pic:pic>
              </a:graphicData>
            </a:graphic>
          </wp:inline>
        </w:drawing>
      </w:r>
    </w:p>
    <w:p w:rsidR="002F3B63" w:rsidRDefault="00177749" w:rsidP="002F3B63">
      <w:r>
        <w:rPr>
          <w:noProof/>
        </w:rPr>
        <w:pict>
          <v:shape id="_x0000_s1072" type="#_x0000_t202" style="position:absolute;margin-left:19pt;margin-top:22.2pt;width:26.2pt;height:19.9pt;z-index:251675648;mso-width-relative:margin;mso-height-relative:margin" stroked="f">
            <v:textbox>
              <w:txbxContent>
                <w:p w:rsidR="00816E61" w:rsidRDefault="00816E61" w:rsidP="002F3B63">
                  <w:r>
                    <w:t>b)</w:t>
                  </w:r>
                </w:p>
              </w:txbxContent>
            </v:textbox>
          </v:shape>
        </w:pict>
      </w:r>
      <w:r>
        <w:rPr>
          <w:noProof/>
        </w:rPr>
        <w:pict>
          <v:shape id="_x0000_s1046" type="#_x0000_t202" style="position:absolute;margin-left:101.85pt;margin-top:16.1pt;width:239pt;height:35.35pt;z-index:251649024;mso-height-percent:200;mso-height-percent:200;mso-width-relative:margin;mso-height-relative:margin" stroked="f">
            <v:textbox style="mso-fit-shape-to-text:t">
              <w:txbxContent>
                <w:p w:rsidR="00816E61" w:rsidRPr="001F70BB" w:rsidRDefault="00816E61" w:rsidP="002F3B63">
                  <w:pPr>
                    <w:spacing w:after="0" w:line="240" w:lineRule="auto"/>
                    <w:jc w:val="center"/>
                    <w:rPr>
                      <w:b/>
                    </w:rPr>
                  </w:pPr>
                  <w:r w:rsidRPr="001F70BB">
                    <w:rPr>
                      <w:b/>
                    </w:rPr>
                    <w:t>Semivariogram and Spherical Model</w:t>
                  </w:r>
                </w:p>
                <w:p w:rsidR="00816E61" w:rsidRPr="001F70BB" w:rsidRDefault="00816E61" w:rsidP="002F3B63">
                  <w:pPr>
                    <w:spacing w:after="0" w:line="240" w:lineRule="auto"/>
                    <w:jc w:val="center"/>
                    <w:rPr>
                      <w:b/>
                    </w:rPr>
                  </w:pPr>
                  <w:r>
                    <w:rPr>
                      <w:b/>
                    </w:rPr>
                    <w:t>Saturated Water Content, Ѳ</w:t>
                  </w:r>
                  <w:r w:rsidRPr="001F70BB">
                    <w:rPr>
                      <w:b/>
                      <w:vertAlign w:val="subscript"/>
                    </w:rPr>
                    <w:t>s</w:t>
                  </w:r>
                  <w:r>
                    <w:rPr>
                      <w:b/>
                    </w:rPr>
                    <w:t xml:space="preserve"> (cm</w:t>
                  </w:r>
                  <w:r w:rsidRPr="001F70BB">
                    <w:rPr>
                      <w:b/>
                      <w:vertAlign w:val="superscript"/>
                    </w:rPr>
                    <w:t>3</w:t>
                  </w:r>
                  <w:r>
                    <w:rPr>
                      <w:b/>
                    </w:rPr>
                    <w:t>/cm</w:t>
                  </w:r>
                  <w:r w:rsidRPr="001F70BB">
                    <w:rPr>
                      <w:b/>
                      <w:vertAlign w:val="superscript"/>
                    </w:rPr>
                    <w:t>3</w:t>
                  </w:r>
                  <w:r>
                    <w:rPr>
                      <w:b/>
                    </w:rPr>
                    <w:t>)</w:t>
                  </w:r>
                </w:p>
              </w:txbxContent>
            </v:textbox>
          </v:shape>
        </w:pict>
      </w:r>
    </w:p>
    <w:p w:rsidR="002F3B63" w:rsidRDefault="002F3B63" w:rsidP="002F3B63"/>
    <w:p w:rsidR="002F3B63" w:rsidRDefault="002F3B63" w:rsidP="002F3B63">
      <w:r>
        <w:rPr>
          <w:noProof/>
        </w:rPr>
        <w:drawing>
          <wp:inline distT="0" distB="0" distL="0" distR="0">
            <wp:extent cx="5327988" cy="2655651"/>
            <wp:effectExtent l="19050" t="0" r="6012" b="0"/>
            <wp:docPr id="26" name="Picture 7" descr="C:\Users\user\Desktop\Final Semivariograms\Raw Semivariogram T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Desktop\Final Semivariograms\Raw Semivariogram TS.png"/>
                    <pic:cNvPicPr>
                      <a:picLocks noChangeAspect="1" noChangeArrowheads="1"/>
                    </pic:cNvPicPr>
                  </pic:nvPicPr>
                  <pic:blipFill>
                    <a:blip r:embed="rId39"/>
                    <a:srcRect t="10197"/>
                    <a:stretch>
                      <a:fillRect/>
                    </a:stretch>
                  </pic:blipFill>
                  <pic:spPr bwMode="auto">
                    <a:xfrm>
                      <a:off x="0" y="0"/>
                      <a:ext cx="5327988" cy="2655651"/>
                    </a:xfrm>
                    <a:prstGeom prst="rect">
                      <a:avLst/>
                    </a:prstGeom>
                    <a:noFill/>
                    <a:ln w="9525">
                      <a:noFill/>
                      <a:miter lim="800000"/>
                      <a:headEnd/>
                      <a:tailEnd/>
                    </a:ln>
                  </pic:spPr>
                </pic:pic>
              </a:graphicData>
            </a:graphic>
          </wp:inline>
        </w:drawing>
      </w:r>
    </w:p>
    <w:p w:rsidR="002F3B63" w:rsidRDefault="002F3B63" w:rsidP="002F3B63"/>
    <w:p w:rsidR="002F3B63" w:rsidRDefault="002F3B63" w:rsidP="002F3B63"/>
    <w:p w:rsidR="002F3B63" w:rsidRDefault="002F3B63" w:rsidP="002F3B63"/>
    <w:p w:rsidR="002F3B63" w:rsidRDefault="002F3B63" w:rsidP="002F3B63"/>
    <w:p w:rsidR="002F3B63" w:rsidRDefault="002F3B63" w:rsidP="002F3B63"/>
    <w:p w:rsidR="002F3B63" w:rsidRDefault="00177749" w:rsidP="002F3B63">
      <w:r>
        <w:rPr>
          <w:noProof/>
        </w:rPr>
        <w:lastRenderedPageBreak/>
        <w:pict>
          <v:shape id="_x0000_s1073" type="#_x0000_t202" style="position:absolute;margin-left:24.35pt;margin-top:-4.85pt;width:26.2pt;height:19.9pt;z-index:251676672;mso-width-relative:margin;mso-height-relative:margin" stroked="f">
            <v:textbox>
              <w:txbxContent>
                <w:p w:rsidR="00816E61" w:rsidRDefault="00816E61" w:rsidP="002F3B63">
                  <w:r>
                    <w:t>c)</w:t>
                  </w:r>
                </w:p>
              </w:txbxContent>
            </v:textbox>
          </v:shape>
        </w:pict>
      </w:r>
      <w:r>
        <w:rPr>
          <w:noProof/>
        </w:rPr>
        <w:pict>
          <v:shape id="_x0000_s1047" type="#_x0000_t202" style="position:absolute;margin-left:101.6pt;margin-top:-15.3pt;width:239pt;height:35.35pt;z-index:251650048;mso-height-percent:200;mso-height-percent:200;mso-width-relative:margin;mso-height-relative:margin" stroked="f">
            <v:textbox style="mso-fit-shape-to-text:t">
              <w:txbxContent>
                <w:p w:rsidR="00816E61" w:rsidRPr="001F70BB" w:rsidRDefault="00816E61" w:rsidP="002F3B63">
                  <w:pPr>
                    <w:spacing w:after="0" w:line="240" w:lineRule="auto"/>
                    <w:jc w:val="center"/>
                    <w:rPr>
                      <w:b/>
                    </w:rPr>
                  </w:pPr>
                  <w:r w:rsidRPr="001F70BB">
                    <w:rPr>
                      <w:b/>
                    </w:rPr>
                    <w:t>Semivariogram and Spherical Model</w:t>
                  </w:r>
                </w:p>
                <w:p w:rsidR="00816E61" w:rsidRPr="001F70BB" w:rsidRDefault="00816E61" w:rsidP="002F3B63">
                  <w:pPr>
                    <w:spacing w:after="0" w:line="240" w:lineRule="auto"/>
                    <w:jc w:val="center"/>
                    <w:rPr>
                      <w:b/>
                    </w:rPr>
                  </w:pPr>
                  <w:r>
                    <w:rPr>
                      <w:b/>
                    </w:rPr>
                    <w:t>Pore Size Distribution, λ (-)</w:t>
                  </w:r>
                </w:p>
              </w:txbxContent>
            </v:textbox>
          </v:shape>
        </w:pict>
      </w:r>
    </w:p>
    <w:p w:rsidR="002F3B63" w:rsidRPr="009E5795" w:rsidRDefault="002F3B63" w:rsidP="002F3B63">
      <w:r>
        <w:rPr>
          <w:noProof/>
        </w:rPr>
        <w:drawing>
          <wp:inline distT="0" distB="0" distL="0" distR="0">
            <wp:extent cx="5327988" cy="2616741"/>
            <wp:effectExtent l="19050" t="0" r="6012" b="0"/>
            <wp:docPr id="27" name="Picture 8" descr="C:\Users\user\Desktop\Final Semivariograms\Raw Semivariogram L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er\Desktop\Final Semivariograms\Raw Semivariogram LAM.png"/>
                    <pic:cNvPicPr>
                      <a:picLocks noChangeAspect="1" noChangeArrowheads="1"/>
                    </pic:cNvPicPr>
                  </pic:nvPicPr>
                  <pic:blipFill>
                    <a:blip r:embed="rId40"/>
                    <a:srcRect t="11513"/>
                    <a:stretch>
                      <a:fillRect/>
                    </a:stretch>
                  </pic:blipFill>
                  <pic:spPr bwMode="auto">
                    <a:xfrm>
                      <a:off x="0" y="0"/>
                      <a:ext cx="5327988" cy="2616741"/>
                    </a:xfrm>
                    <a:prstGeom prst="rect">
                      <a:avLst/>
                    </a:prstGeom>
                    <a:noFill/>
                    <a:ln w="9525">
                      <a:noFill/>
                      <a:miter lim="800000"/>
                      <a:headEnd/>
                      <a:tailEnd/>
                    </a:ln>
                  </pic:spPr>
                </pic:pic>
              </a:graphicData>
            </a:graphic>
          </wp:inline>
        </w:drawing>
      </w:r>
    </w:p>
    <w:p w:rsidR="00796ACE" w:rsidRDefault="002F3B63" w:rsidP="00796ACE">
      <w:pPr>
        <w:pStyle w:val="Caption"/>
      </w:pPr>
      <w:bookmarkStart w:id="113" w:name="_Toc422308127"/>
      <w:bookmarkStart w:id="114" w:name="_Toc422316133"/>
      <w:bookmarkStart w:id="115" w:name="_Toc425427094"/>
      <w:r>
        <w:t xml:space="preserve">Figure </w:t>
      </w:r>
      <w:fldSimple w:instr=" SEQ Figure \* ARABIC ">
        <w:r w:rsidR="00885C9E">
          <w:rPr>
            <w:noProof/>
          </w:rPr>
          <w:t>10</w:t>
        </w:r>
      </w:fldSimple>
      <w:r>
        <w:t>:</w:t>
      </w:r>
      <w:r w:rsidRPr="000C0064">
        <w:rPr>
          <w:szCs w:val="24"/>
        </w:rPr>
        <w:t xml:space="preserve"> </w:t>
      </w:r>
      <w:r>
        <w:rPr>
          <w:szCs w:val="24"/>
        </w:rPr>
        <w:t>Raw semivariograms and best</w:t>
      </w:r>
      <w:r w:rsidR="00F72F65">
        <w:rPr>
          <w:szCs w:val="24"/>
        </w:rPr>
        <w:t xml:space="preserve"> fit spherical</w:t>
      </w:r>
      <w:r>
        <w:rPr>
          <w:szCs w:val="24"/>
        </w:rPr>
        <w:t xml:space="preserve"> model for </w:t>
      </w:r>
      <w:r w:rsidRPr="003C4114">
        <w:rPr>
          <w:i/>
          <w:szCs w:val="24"/>
        </w:rPr>
        <w:t>ψ</w:t>
      </w:r>
      <w:r w:rsidRPr="003C4114">
        <w:rPr>
          <w:i/>
          <w:szCs w:val="24"/>
          <w:vertAlign w:val="subscript"/>
        </w:rPr>
        <w:t>a</w:t>
      </w:r>
      <w:r>
        <w:rPr>
          <w:szCs w:val="24"/>
        </w:rPr>
        <w:t xml:space="preserve">, </w:t>
      </w:r>
      <w:r w:rsidRPr="003C4114">
        <w:rPr>
          <w:i/>
          <w:szCs w:val="24"/>
        </w:rPr>
        <w:t>Ѳ</w:t>
      </w:r>
      <w:r w:rsidRPr="003C4114">
        <w:rPr>
          <w:i/>
          <w:szCs w:val="24"/>
          <w:vertAlign w:val="subscript"/>
        </w:rPr>
        <w:t>s</w:t>
      </w:r>
      <w:r>
        <w:rPr>
          <w:szCs w:val="24"/>
        </w:rPr>
        <w:t xml:space="preserve">, and </w:t>
      </w:r>
      <w:r w:rsidRPr="003C4114">
        <w:rPr>
          <w:i/>
          <w:szCs w:val="24"/>
        </w:rPr>
        <w:t>λ</w:t>
      </w:r>
      <w:r>
        <w:rPr>
          <w:szCs w:val="24"/>
        </w:rPr>
        <w:t xml:space="preserve"> parameters</w:t>
      </w:r>
      <w:bookmarkEnd w:id="113"/>
      <w:bookmarkEnd w:id="114"/>
      <w:r w:rsidR="00796ACE">
        <w:rPr>
          <w:szCs w:val="24"/>
        </w:rPr>
        <w:t>,</w:t>
      </w:r>
      <w:r w:rsidR="00796ACE" w:rsidRPr="00796ACE">
        <w:t xml:space="preserve"> </w:t>
      </w:r>
      <w:r w:rsidR="00796ACE">
        <w:t xml:space="preserve">a) </w:t>
      </w:r>
      <w:r w:rsidR="00796ACE" w:rsidRPr="00796ACE">
        <w:rPr>
          <w:i/>
        </w:rPr>
        <w:t>ψ</w:t>
      </w:r>
      <w:r w:rsidR="00796ACE" w:rsidRPr="00796ACE">
        <w:rPr>
          <w:i/>
          <w:vertAlign w:val="subscript"/>
        </w:rPr>
        <w:t>a</w:t>
      </w:r>
      <w:r w:rsidR="00796ACE">
        <w:t xml:space="preserve"> and b) </w:t>
      </w:r>
      <w:r w:rsidR="00796ACE" w:rsidRPr="00796ACE">
        <w:rPr>
          <w:i/>
        </w:rPr>
        <w:t>Ѳ</w:t>
      </w:r>
      <w:r w:rsidR="00796ACE" w:rsidRPr="00796ACE">
        <w:rPr>
          <w:i/>
          <w:vertAlign w:val="subscript"/>
        </w:rPr>
        <w:t>s</w:t>
      </w:r>
      <w:r w:rsidR="00796ACE">
        <w:t xml:space="preserve"> were found to be spatially dependent whereas c) </w:t>
      </w:r>
      <w:r w:rsidR="00796ACE">
        <w:rPr>
          <w:i/>
        </w:rPr>
        <w:t xml:space="preserve">λ </w:t>
      </w:r>
      <w:r w:rsidR="00796ACE">
        <w:t xml:space="preserve">was determined to be pure nugget effect; a significant fit of the spherical model to the semivariogram of </w:t>
      </w:r>
      <w:r w:rsidR="00796ACE" w:rsidRPr="00796ACE">
        <w:rPr>
          <w:i/>
        </w:rPr>
        <w:t>Ѳ</w:t>
      </w:r>
      <w:r w:rsidR="00796ACE" w:rsidRPr="00796ACE">
        <w:rPr>
          <w:i/>
          <w:vertAlign w:val="subscript"/>
        </w:rPr>
        <w:t>r</w:t>
      </w:r>
      <w:r w:rsidR="00796ACE">
        <w:t xml:space="preserve"> was unsuccessful</w:t>
      </w:r>
      <w:bookmarkEnd w:id="115"/>
    </w:p>
    <w:p w:rsidR="00FC0169" w:rsidRPr="00FC0169" w:rsidRDefault="00FC0169" w:rsidP="00FC0169"/>
    <w:p w:rsidR="002F3B63" w:rsidRPr="001F70BB" w:rsidRDefault="00177749" w:rsidP="002F3B63">
      <w:r>
        <w:rPr>
          <w:noProof/>
        </w:rPr>
        <w:pict>
          <v:shape id="_x0000_s1048" type="#_x0000_t202" style="position:absolute;margin-left:-23.75pt;margin-top:-13.8pt;width:500.95pt;height:35.35pt;z-index:251651072;mso-height-percent:200;mso-height-percent:200;mso-width-relative:margin;mso-height-relative:margin" stroked="f">
            <v:textbox style="mso-fit-shape-to-text:t">
              <w:txbxContent>
                <w:p w:rsidR="00816E61" w:rsidRPr="001F70BB" w:rsidRDefault="00816E61" w:rsidP="002F3B63">
                  <w:pPr>
                    <w:spacing w:after="0" w:line="240" w:lineRule="auto"/>
                    <w:jc w:val="center"/>
                    <w:rPr>
                      <w:b/>
                    </w:rPr>
                  </w:pPr>
                  <w:r>
                    <w:rPr>
                      <w:b/>
                    </w:rPr>
                    <w:t>Cross-Variogram</w:t>
                  </w:r>
                  <w:r w:rsidRPr="001F70BB">
                    <w:rPr>
                      <w:b/>
                    </w:rPr>
                    <w:t xml:space="preserve"> and Spherical Model</w:t>
                  </w:r>
                </w:p>
                <w:p w:rsidR="00816E61" w:rsidRPr="001F70BB" w:rsidRDefault="00816E61" w:rsidP="002F3B63">
                  <w:pPr>
                    <w:spacing w:after="0" w:line="240" w:lineRule="auto"/>
                    <w:jc w:val="center"/>
                    <w:rPr>
                      <w:b/>
                    </w:rPr>
                  </w:pPr>
                  <w:r w:rsidRPr="001F70BB">
                    <w:rPr>
                      <w:b/>
                    </w:rPr>
                    <w:t>Air Entry, ψ</w:t>
                  </w:r>
                  <w:r w:rsidRPr="001F70BB">
                    <w:rPr>
                      <w:b/>
                      <w:vertAlign w:val="subscript"/>
                    </w:rPr>
                    <w:t>a</w:t>
                  </w:r>
                  <w:r w:rsidRPr="001F70BB">
                    <w:rPr>
                      <w:b/>
                    </w:rPr>
                    <w:t xml:space="preserve"> (cm)</w:t>
                  </w:r>
                  <w:r>
                    <w:rPr>
                      <w:b/>
                    </w:rPr>
                    <w:t xml:space="preserve"> and Saturated Water Content, Ѳ</w:t>
                  </w:r>
                  <w:r w:rsidRPr="001F70BB">
                    <w:rPr>
                      <w:b/>
                      <w:vertAlign w:val="subscript"/>
                    </w:rPr>
                    <w:t>s</w:t>
                  </w:r>
                  <w:r>
                    <w:rPr>
                      <w:b/>
                    </w:rPr>
                    <w:t xml:space="preserve"> (cm</w:t>
                  </w:r>
                  <w:r w:rsidRPr="001F70BB">
                    <w:rPr>
                      <w:b/>
                      <w:vertAlign w:val="superscript"/>
                    </w:rPr>
                    <w:t>3</w:t>
                  </w:r>
                  <w:r>
                    <w:rPr>
                      <w:b/>
                    </w:rPr>
                    <w:t>/cm</w:t>
                  </w:r>
                  <w:r w:rsidRPr="001F70BB">
                    <w:rPr>
                      <w:b/>
                      <w:vertAlign w:val="superscript"/>
                    </w:rPr>
                    <w:t>3</w:t>
                  </w:r>
                  <w:r>
                    <w:rPr>
                      <w:b/>
                    </w:rPr>
                    <w:t>)</w:t>
                  </w:r>
                </w:p>
              </w:txbxContent>
            </v:textbox>
          </v:shape>
        </w:pict>
      </w:r>
    </w:p>
    <w:p w:rsidR="002F3B63" w:rsidRPr="008A0210" w:rsidRDefault="002F3B63" w:rsidP="002F3B63">
      <w:r>
        <w:rPr>
          <w:noProof/>
        </w:rPr>
        <w:drawing>
          <wp:inline distT="0" distB="0" distL="0" distR="0">
            <wp:extent cx="5327988" cy="2626469"/>
            <wp:effectExtent l="19050" t="0" r="6012" b="0"/>
            <wp:docPr id="29" name="Picture 10" descr="C:\Users\user\Desktop\Final Semivariograms\Kang Cross-variogr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ser\Desktop\Final Semivariograms\Kang Cross-variogram.png"/>
                    <pic:cNvPicPr>
                      <a:picLocks noChangeAspect="1" noChangeArrowheads="1"/>
                    </pic:cNvPicPr>
                  </pic:nvPicPr>
                  <pic:blipFill>
                    <a:blip r:embed="rId41"/>
                    <a:srcRect t="11184"/>
                    <a:stretch>
                      <a:fillRect/>
                    </a:stretch>
                  </pic:blipFill>
                  <pic:spPr bwMode="auto">
                    <a:xfrm>
                      <a:off x="0" y="0"/>
                      <a:ext cx="5327988" cy="2626469"/>
                    </a:xfrm>
                    <a:prstGeom prst="rect">
                      <a:avLst/>
                    </a:prstGeom>
                    <a:noFill/>
                    <a:ln w="9525">
                      <a:noFill/>
                      <a:miter lim="800000"/>
                      <a:headEnd/>
                      <a:tailEnd/>
                    </a:ln>
                  </pic:spPr>
                </pic:pic>
              </a:graphicData>
            </a:graphic>
          </wp:inline>
        </w:drawing>
      </w:r>
    </w:p>
    <w:p w:rsidR="002F3B63" w:rsidRDefault="002F3B63" w:rsidP="002F3B63">
      <w:pPr>
        <w:pStyle w:val="Caption"/>
      </w:pPr>
      <w:bookmarkStart w:id="116" w:name="_Toc422308128"/>
      <w:bookmarkStart w:id="117" w:name="_Toc422316134"/>
      <w:bookmarkStart w:id="118" w:name="_Toc425427095"/>
      <w:r>
        <w:t xml:space="preserve">Figure </w:t>
      </w:r>
      <w:fldSimple w:instr=" SEQ Figure \* ARABIC ">
        <w:r w:rsidR="00885C9E">
          <w:rPr>
            <w:noProof/>
          </w:rPr>
          <w:t>11</w:t>
        </w:r>
      </w:fldSimple>
      <w:r>
        <w:t xml:space="preserve">: </w:t>
      </w:r>
      <w:r>
        <w:rPr>
          <w:szCs w:val="24"/>
        </w:rPr>
        <w:t>S</w:t>
      </w:r>
      <w:r>
        <w:rPr>
          <w:rFonts w:eastAsiaTheme="minorEastAsia"/>
          <w:iCs/>
        </w:rPr>
        <w:t xml:space="preserve">hows the cross-variogram of </w:t>
      </w:r>
      <w:r w:rsidRPr="00C96CB7">
        <w:rPr>
          <w:i/>
        </w:rPr>
        <w:t>ψ</w:t>
      </w:r>
      <w:r w:rsidRPr="00C96CB7">
        <w:rPr>
          <w:i/>
          <w:vertAlign w:val="subscript"/>
        </w:rPr>
        <w:t>a</w:t>
      </w:r>
      <w:r>
        <w:t xml:space="preserve"> and </w:t>
      </w:r>
      <w:r w:rsidRPr="00C96CB7">
        <w:rPr>
          <w:i/>
        </w:rPr>
        <w:t>Ѳ</w:t>
      </w:r>
      <w:r w:rsidRPr="00C96CB7">
        <w:rPr>
          <w:i/>
          <w:vertAlign w:val="subscript"/>
        </w:rPr>
        <w:t>s</w:t>
      </w:r>
      <w:r>
        <w:rPr>
          <w:i/>
          <w:vertAlign w:val="subscript"/>
        </w:rPr>
        <w:t xml:space="preserve"> </w:t>
      </w:r>
      <w:r>
        <w:t>with the fitted spherical model</w:t>
      </w:r>
      <w:bookmarkEnd w:id="116"/>
      <w:bookmarkEnd w:id="117"/>
      <w:bookmarkEnd w:id="118"/>
    </w:p>
    <w:p w:rsidR="002F3B63" w:rsidRPr="001F70BB" w:rsidRDefault="002F3B63" w:rsidP="002F3B63"/>
    <w:p w:rsidR="002F3B63" w:rsidRPr="008A0210" w:rsidRDefault="002F3B63" w:rsidP="002F3B63">
      <w:r w:rsidRPr="008A0210">
        <w:rPr>
          <w:noProof/>
        </w:rPr>
        <w:lastRenderedPageBreak/>
        <w:drawing>
          <wp:inline distT="0" distB="0" distL="0" distR="0">
            <wp:extent cx="5487846" cy="3521413"/>
            <wp:effectExtent l="19050" t="0" r="17604" b="2837"/>
            <wp:docPr id="31"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2F3B63" w:rsidRPr="001B5DF9" w:rsidRDefault="002F3B63" w:rsidP="002F3B63">
      <w:pPr>
        <w:pStyle w:val="Caption"/>
      </w:pPr>
      <w:bookmarkStart w:id="119" w:name="_Toc422308129"/>
      <w:bookmarkStart w:id="120" w:name="_Toc422316135"/>
      <w:bookmarkStart w:id="121" w:name="_Toc425427096"/>
      <w:r>
        <w:t xml:space="preserve">Figure </w:t>
      </w:r>
      <w:fldSimple w:instr=" SEQ Figure \* ARABIC ">
        <w:r w:rsidR="00885C9E">
          <w:rPr>
            <w:noProof/>
          </w:rPr>
          <w:t>12</w:t>
        </w:r>
      </w:fldSimple>
      <w:r>
        <w:t>: One-to-one graph of the CK</w:t>
      </w:r>
      <w:r w:rsidRPr="00C47861">
        <w:t xml:space="preserve"> method</w:t>
      </w:r>
      <w:r>
        <w:t xml:space="preserve"> compared</w:t>
      </w:r>
      <w:r w:rsidRPr="00C47861">
        <w:t xml:space="preserve"> to the theoretical </w:t>
      </w:r>
      <w:r>
        <w:t xml:space="preserve">one-to-one line of correlation for </w:t>
      </w:r>
      <w:r w:rsidRPr="00C96CB7">
        <w:rPr>
          <w:i/>
        </w:rPr>
        <w:t>ψ</w:t>
      </w:r>
      <w:r w:rsidRPr="00C96CB7">
        <w:rPr>
          <w:i/>
          <w:vertAlign w:val="subscript"/>
        </w:rPr>
        <w:t>a</w:t>
      </w:r>
      <w:bookmarkEnd w:id="119"/>
      <w:bookmarkEnd w:id="120"/>
      <w:bookmarkEnd w:id="121"/>
    </w:p>
    <w:p w:rsidR="00557BA9" w:rsidRDefault="002F3B63" w:rsidP="00557BA9">
      <w:r w:rsidRPr="008A0210">
        <w:rPr>
          <w:noProof/>
        </w:rPr>
        <w:drawing>
          <wp:inline distT="0" distB="0" distL="0" distR="0">
            <wp:extent cx="5486805" cy="3317132"/>
            <wp:effectExtent l="19050" t="0" r="18645" b="0"/>
            <wp:docPr id="32"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bookmarkStart w:id="122" w:name="_Toc422308130"/>
    </w:p>
    <w:p w:rsidR="002F3B63" w:rsidRPr="00557BA9" w:rsidRDefault="002F3B63" w:rsidP="00557BA9">
      <w:bookmarkStart w:id="123" w:name="_Toc422316136"/>
      <w:bookmarkStart w:id="124" w:name="_Toc425427097"/>
      <w:r>
        <w:t xml:space="preserve">Figure </w:t>
      </w:r>
      <w:fldSimple w:instr=" SEQ Figure \* ARABIC ">
        <w:r w:rsidR="00885C9E">
          <w:rPr>
            <w:noProof/>
          </w:rPr>
          <w:t>13</w:t>
        </w:r>
      </w:fldSimple>
      <w:r>
        <w:t>: One-to-one graph of the CK</w:t>
      </w:r>
      <w:r w:rsidRPr="00C47861">
        <w:t xml:space="preserve"> method</w:t>
      </w:r>
      <w:r>
        <w:t xml:space="preserve"> compared</w:t>
      </w:r>
      <w:r w:rsidRPr="00C47861">
        <w:t xml:space="preserve"> to the theoretical </w:t>
      </w:r>
      <w:r>
        <w:t xml:space="preserve">one-to-one line of correlation for </w:t>
      </w:r>
      <w:r w:rsidRPr="00C96CB7">
        <w:rPr>
          <w:i/>
        </w:rPr>
        <w:t>Ѳ</w:t>
      </w:r>
      <w:r w:rsidRPr="00C96CB7">
        <w:rPr>
          <w:i/>
          <w:vertAlign w:val="subscript"/>
        </w:rPr>
        <w:t>s</w:t>
      </w:r>
      <w:bookmarkEnd w:id="122"/>
      <w:bookmarkEnd w:id="123"/>
      <w:bookmarkEnd w:id="124"/>
    </w:p>
    <w:p w:rsidR="002F3B63" w:rsidRPr="00C47861" w:rsidRDefault="00177749" w:rsidP="002F3B63">
      <w:r w:rsidRPr="00177749">
        <w:rPr>
          <w:noProof/>
          <w:szCs w:val="24"/>
        </w:rPr>
        <w:lastRenderedPageBreak/>
        <w:pict>
          <v:shape id="_x0000_s1075" type="#_x0000_t202" style="position:absolute;margin-left:217.3pt;margin-top:17.15pt;width:26.2pt;height:19.9pt;z-index:251678720;mso-width-relative:margin;mso-height-relative:margin" stroked="f">
            <v:textbox>
              <w:txbxContent>
                <w:p w:rsidR="00816E61" w:rsidRDefault="00816E61" w:rsidP="002F3B63">
                  <w:r>
                    <w:t>b)</w:t>
                  </w:r>
                </w:p>
              </w:txbxContent>
            </v:textbox>
          </v:shape>
        </w:pict>
      </w:r>
      <w:r w:rsidRPr="00177749">
        <w:rPr>
          <w:noProof/>
          <w:szCs w:val="24"/>
        </w:rPr>
        <w:pict>
          <v:shape id="_x0000_s1036" type="#_x0000_t202" style="position:absolute;margin-left:240.5pt;margin-top:17.15pt;width:119.7pt;height:35.35pt;z-index:251638784;mso-height-percent:200;mso-height-percent:200;mso-width-relative:margin;mso-height-relative:margin" stroked="f">
            <v:textbox style="mso-fit-shape-to-text:t">
              <w:txbxContent>
                <w:p w:rsidR="00816E61" w:rsidRPr="00C47861" w:rsidRDefault="00816E61" w:rsidP="002F3B63">
                  <w:pPr>
                    <w:spacing w:after="0" w:line="240" w:lineRule="auto"/>
                    <w:jc w:val="center"/>
                    <w:rPr>
                      <w:b/>
                      <w:szCs w:val="24"/>
                    </w:rPr>
                  </w:pPr>
                  <w:r w:rsidRPr="00C47861">
                    <w:rPr>
                      <w:b/>
                      <w:szCs w:val="24"/>
                    </w:rPr>
                    <w:t>Co-Kriged Map of</w:t>
                  </w:r>
                </w:p>
                <w:p w:rsidR="00816E61" w:rsidRPr="00C47861" w:rsidRDefault="00816E61" w:rsidP="002F3B63">
                  <w:pPr>
                    <w:spacing w:after="0" w:line="240" w:lineRule="auto"/>
                    <w:jc w:val="center"/>
                    <w:rPr>
                      <w:b/>
                      <w:szCs w:val="24"/>
                    </w:rPr>
                  </w:pPr>
                  <w:r w:rsidRPr="00C47861">
                    <w:rPr>
                      <w:b/>
                      <w:i/>
                    </w:rPr>
                    <w:t>Ѳ</w:t>
                  </w:r>
                  <w:r w:rsidRPr="00C47861">
                    <w:rPr>
                      <w:b/>
                      <w:i/>
                      <w:vertAlign w:val="subscript"/>
                    </w:rPr>
                    <w:t>s</w:t>
                  </w:r>
                  <w:r w:rsidRPr="00C47861">
                    <w:rPr>
                      <w:b/>
                      <w:szCs w:val="24"/>
                    </w:rPr>
                    <w:t xml:space="preserve"> (cm</w:t>
                  </w:r>
                  <w:r w:rsidRPr="00C47861">
                    <w:rPr>
                      <w:b/>
                      <w:szCs w:val="24"/>
                      <w:vertAlign w:val="superscript"/>
                    </w:rPr>
                    <w:t>3</w:t>
                  </w:r>
                  <w:r w:rsidRPr="00C47861">
                    <w:rPr>
                      <w:b/>
                      <w:szCs w:val="24"/>
                    </w:rPr>
                    <w:t>/cm</w:t>
                  </w:r>
                  <w:r w:rsidRPr="00C47861">
                    <w:rPr>
                      <w:b/>
                      <w:szCs w:val="24"/>
                      <w:vertAlign w:val="superscript"/>
                    </w:rPr>
                    <w:t>3</w:t>
                  </w:r>
                  <w:r w:rsidRPr="00C47861">
                    <w:rPr>
                      <w:b/>
                      <w:szCs w:val="24"/>
                    </w:rPr>
                    <w:t>)</w:t>
                  </w:r>
                </w:p>
              </w:txbxContent>
            </v:textbox>
          </v:shape>
        </w:pict>
      </w:r>
      <w:r w:rsidRPr="00177749">
        <w:rPr>
          <w:noProof/>
          <w:szCs w:val="24"/>
        </w:rPr>
        <w:pict>
          <v:shape id="_x0000_s1074" type="#_x0000_t202" style="position:absolute;margin-left:-.9pt;margin-top:17.1pt;width:26.2pt;height:19.9pt;z-index:251677696;mso-width-relative:margin;mso-height-relative:margin" stroked="f">
            <v:textbox>
              <w:txbxContent>
                <w:p w:rsidR="00816E61" w:rsidRDefault="00816E61" w:rsidP="002F3B63">
                  <w:r>
                    <w:t>a)</w:t>
                  </w:r>
                </w:p>
              </w:txbxContent>
            </v:textbox>
          </v:shape>
        </w:pict>
      </w:r>
    </w:p>
    <w:p w:rsidR="002F3B63" w:rsidRDefault="00177749" w:rsidP="002F3B63">
      <w:pPr>
        <w:rPr>
          <w:szCs w:val="24"/>
        </w:rPr>
      </w:pPr>
      <w:r>
        <w:rPr>
          <w:noProof/>
          <w:szCs w:val="24"/>
        </w:rPr>
        <w:pict>
          <v:shape id="_x0000_s1035" type="#_x0000_t202" style="position:absolute;margin-left:31.4pt;margin-top:-9.05pt;width:119.7pt;height:50.15pt;z-index:251637760;mso-height-percent:200;mso-height-percent:200;mso-width-relative:margin;mso-height-relative:margin" stroked="f">
            <v:textbox style="mso-fit-shape-to-text:t">
              <w:txbxContent>
                <w:p w:rsidR="00816E61" w:rsidRPr="00902A49" w:rsidRDefault="00816E61" w:rsidP="002F3B63">
                  <w:pPr>
                    <w:spacing w:after="0" w:line="240" w:lineRule="auto"/>
                    <w:jc w:val="center"/>
                    <w:rPr>
                      <w:b/>
                      <w:szCs w:val="24"/>
                    </w:rPr>
                  </w:pPr>
                  <w:r w:rsidRPr="00902A49">
                    <w:rPr>
                      <w:b/>
                      <w:szCs w:val="24"/>
                    </w:rPr>
                    <w:t>Co-Kriged Map of</w:t>
                  </w:r>
                </w:p>
                <w:p w:rsidR="00816E61" w:rsidRPr="00902A49" w:rsidRDefault="00816E61" w:rsidP="002F3B63">
                  <w:pPr>
                    <w:spacing w:after="0" w:line="240" w:lineRule="auto"/>
                    <w:jc w:val="center"/>
                    <w:rPr>
                      <w:b/>
                      <w:szCs w:val="24"/>
                    </w:rPr>
                  </w:pPr>
                  <w:r w:rsidRPr="00902A49">
                    <w:rPr>
                      <w:rFonts w:cstheme="minorHAnsi"/>
                      <w:b/>
                      <w:i/>
                      <w:szCs w:val="24"/>
                    </w:rPr>
                    <w:t>ψ</w:t>
                  </w:r>
                  <w:r w:rsidRPr="00902A49">
                    <w:rPr>
                      <w:b/>
                      <w:i/>
                      <w:szCs w:val="24"/>
                      <w:vertAlign w:val="subscript"/>
                    </w:rPr>
                    <w:t>a</w:t>
                  </w:r>
                  <w:r w:rsidRPr="00902A49">
                    <w:rPr>
                      <w:b/>
                      <w:szCs w:val="24"/>
                    </w:rPr>
                    <w:t xml:space="preserve"> (cm)</w:t>
                  </w:r>
                </w:p>
              </w:txbxContent>
            </v:textbox>
          </v:shape>
        </w:pict>
      </w:r>
    </w:p>
    <w:p w:rsidR="002F3B63" w:rsidRDefault="002F3B63" w:rsidP="002F3B63">
      <w:pPr>
        <w:rPr>
          <w:szCs w:val="24"/>
        </w:rPr>
      </w:pPr>
      <w:r>
        <w:rPr>
          <w:noProof/>
          <w:szCs w:val="24"/>
        </w:rPr>
        <w:drawing>
          <wp:inline distT="0" distB="0" distL="0" distR="0">
            <wp:extent cx="2314575" cy="2657475"/>
            <wp:effectExtent l="19050" t="0" r="9525" b="0"/>
            <wp:docPr id="15" name="Picture 1" descr="C:\Users\user\Desktop\Kriged Images\CK A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Kriged Images\CK AE.png"/>
                    <pic:cNvPicPr>
                      <a:picLocks noChangeAspect="1" noChangeArrowheads="1"/>
                    </pic:cNvPicPr>
                  </pic:nvPicPr>
                  <pic:blipFill>
                    <a:blip r:embed="rId44"/>
                    <a:srcRect l="27678" t="11709" r="28929"/>
                    <a:stretch>
                      <a:fillRect/>
                    </a:stretch>
                  </pic:blipFill>
                  <pic:spPr bwMode="auto">
                    <a:xfrm>
                      <a:off x="0" y="0"/>
                      <a:ext cx="2314575" cy="2657475"/>
                    </a:xfrm>
                    <a:prstGeom prst="rect">
                      <a:avLst/>
                    </a:prstGeom>
                    <a:noFill/>
                    <a:ln w="9525">
                      <a:noFill/>
                      <a:miter lim="800000"/>
                      <a:headEnd/>
                      <a:tailEnd/>
                    </a:ln>
                  </pic:spPr>
                </pic:pic>
              </a:graphicData>
            </a:graphic>
          </wp:inline>
        </w:drawing>
      </w:r>
      <w:r w:rsidRPr="00536ECC">
        <w:rPr>
          <w:rFonts w:ascii="Times New Roman" w:eastAsia="Times New Roman" w:hAnsi="Times New Roman" w:cs="Times New Roman"/>
          <w:snapToGrid w:val="0"/>
          <w:color w:val="000000"/>
          <w:w w:val="0"/>
          <w:sz w:val="0"/>
          <w:szCs w:val="0"/>
          <w:u w:color="000000"/>
          <w:bdr w:val="none" w:sz="0" w:space="0" w:color="000000"/>
          <w:shd w:val="clear" w:color="000000" w:fill="000000"/>
        </w:rPr>
        <w:t xml:space="preserve"> </w:t>
      </w:r>
      <w:r w:rsidR="00EC5FE3" w:rsidRPr="00EC5FE3">
        <w:rPr>
          <w:rFonts w:ascii="Times New Roman" w:eastAsia="Times New Roman" w:hAnsi="Times New Roman" w:cs="Times New Roman"/>
          <w:snapToGrid w:val="0"/>
          <w:color w:val="000000"/>
          <w:w w:val="0"/>
          <w:sz w:val="0"/>
          <w:szCs w:val="0"/>
          <w:u w:color="000000"/>
          <w:bdr w:val="none" w:sz="0" w:space="0" w:color="000000"/>
        </w:rPr>
        <w:tab/>
      </w:r>
      <w:r>
        <w:rPr>
          <w:noProof/>
          <w:szCs w:val="24"/>
        </w:rPr>
        <w:drawing>
          <wp:inline distT="0" distB="0" distL="0" distR="0">
            <wp:extent cx="2638425" cy="2657475"/>
            <wp:effectExtent l="19050" t="0" r="9525" b="0"/>
            <wp:docPr id="19" name="Picture 2" descr="C:\Users\user\Desktop\Kriged Images\CK T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Kriged Images\CK TS.png"/>
                    <pic:cNvPicPr>
                      <a:picLocks noChangeAspect="1" noChangeArrowheads="1"/>
                    </pic:cNvPicPr>
                  </pic:nvPicPr>
                  <pic:blipFill>
                    <a:blip r:embed="rId45"/>
                    <a:srcRect l="28572" t="11709" r="21964"/>
                    <a:stretch>
                      <a:fillRect/>
                    </a:stretch>
                  </pic:blipFill>
                  <pic:spPr bwMode="auto">
                    <a:xfrm>
                      <a:off x="0" y="0"/>
                      <a:ext cx="2638425" cy="2657475"/>
                    </a:xfrm>
                    <a:prstGeom prst="rect">
                      <a:avLst/>
                    </a:prstGeom>
                    <a:noFill/>
                    <a:ln w="9525">
                      <a:noFill/>
                      <a:miter lim="800000"/>
                      <a:headEnd/>
                      <a:tailEnd/>
                    </a:ln>
                  </pic:spPr>
                </pic:pic>
              </a:graphicData>
            </a:graphic>
          </wp:inline>
        </w:drawing>
      </w:r>
    </w:p>
    <w:p w:rsidR="002F3B63" w:rsidRDefault="002F3B63" w:rsidP="002F3B63">
      <w:pPr>
        <w:pStyle w:val="Caption"/>
      </w:pPr>
      <w:bookmarkStart w:id="125" w:name="_Toc422308131"/>
      <w:bookmarkStart w:id="126" w:name="_Toc422316137"/>
      <w:bookmarkStart w:id="127" w:name="_Toc425427098"/>
      <w:r>
        <w:t xml:space="preserve">Figure </w:t>
      </w:r>
      <w:fldSimple w:instr=" SEQ Figure \* ARABIC ">
        <w:r w:rsidR="00885C9E">
          <w:rPr>
            <w:noProof/>
          </w:rPr>
          <w:t>14</w:t>
        </w:r>
      </w:fldSimple>
      <w:r>
        <w:t xml:space="preserve">: Final co-kriged maps for </w:t>
      </w:r>
      <w:r w:rsidRPr="00C96CB7">
        <w:rPr>
          <w:i/>
        </w:rPr>
        <w:t>ψ</w:t>
      </w:r>
      <w:r w:rsidRPr="00C96CB7">
        <w:rPr>
          <w:i/>
          <w:vertAlign w:val="subscript"/>
        </w:rPr>
        <w:t>a</w:t>
      </w:r>
      <w:r>
        <w:t xml:space="preserve"> and </w:t>
      </w:r>
      <w:r w:rsidRPr="00C96CB7">
        <w:rPr>
          <w:i/>
        </w:rPr>
        <w:t>Ѳ</w:t>
      </w:r>
      <w:r w:rsidRPr="00C96CB7">
        <w:rPr>
          <w:i/>
          <w:vertAlign w:val="subscript"/>
        </w:rPr>
        <w:t>s</w:t>
      </w:r>
      <w:r w:rsidR="00EB7E08">
        <w:t xml:space="preserve"> using the</w:t>
      </w:r>
      <w:r>
        <w:t xml:space="preserve"> Kang et al. (2014) data set</w:t>
      </w:r>
      <w:bookmarkEnd w:id="125"/>
      <w:bookmarkEnd w:id="126"/>
      <w:bookmarkEnd w:id="127"/>
    </w:p>
    <w:p w:rsidR="002F3B63" w:rsidRDefault="00177749" w:rsidP="002F3B63">
      <w:r w:rsidRPr="00177749">
        <w:rPr>
          <w:noProof/>
          <w:szCs w:val="24"/>
        </w:rPr>
        <w:pict>
          <v:shape id="_x0000_s1077" type="#_x0000_t202" style="position:absolute;margin-left:217pt;margin-top:15.5pt;width:26.2pt;height:19.9pt;z-index:251680768;mso-width-relative:margin;mso-height-relative:margin" stroked="f">
            <v:textbox>
              <w:txbxContent>
                <w:p w:rsidR="00816E61" w:rsidRDefault="00816E61" w:rsidP="002F3B63">
                  <w:r>
                    <w:t>b)</w:t>
                  </w:r>
                </w:p>
              </w:txbxContent>
            </v:textbox>
          </v:shape>
        </w:pict>
      </w:r>
      <w:r>
        <w:rPr>
          <w:noProof/>
        </w:rPr>
        <w:pict>
          <v:shape id="_x0000_s1038" type="#_x0000_t202" style="position:absolute;margin-left:237.95pt;margin-top:15.45pt;width:119.7pt;height:35.35pt;z-index:251640832;mso-height-percent:200;mso-height-percent:200;mso-width-relative:margin;mso-height-relative:margin" stroked="f">
            <v:textbox style="mso-fit-shape-to-text:t">
              <w:txbxContent>
                <w:p w:rsidR="00816E61" w:rsidRPr="00C47861" w:rsidRDefault="00816E61" w:rsidP="002F3B63">
                  <w:pPr>
                    <w:spacing w:after="0" w:line="240" w:lineRule="auto"/>
                    <w:jc w:val="center"/>
                    <w:rPr>
                      <w:b/>
                      <w:szCs w:val="24"/>
                    </w:rPr>
                  </w:pPr>
                  <w:r w:rsidRPr="00C47861">
                    <w:rPr>
                      <w:b/>
                      <w:szCs w:val="24"/>
                    </w:rPr>
                    <w:t>Co-Kriged Map of</w:t>
                  </w:r>
                </w:p>
                <w:p w:rsidR="00816E61" w:rsidRPr="00C47861" w:rsidRDefault="00816E61" w:rsidP="002F3B63">
                  <w:pPr>
                    <w:spacing w:after="0" w:line="240" w:lineRule="auto"/>
                    <w:jc w:val="center"/>
                    <w:rPr>
                      <w:b/>
                      <w:szCs w:val="24"/>
                    </w:rPr>
                  </w:pPr>
                  <w:r w:rsidRPr="00C47861">
                    <w:rPr>
                      <w:b/>
                      <w:i/>
                    </w:rPr>
                    <w:t>Ѳ</w:t>
                  </w:r>
                  <w:r w:rsidRPr="00C47861">
                    <w:rPr>
                      <w:b/>
                      <w:i/>
                      <w:vertAlign w:val="subscript"/>
                    </w:rPr>
                    <w:t>s</w:t>
                  </w:r>
                  <w:r w:rsidRPr="00C47861">
                    <w:rPr>
                      <w:b/>
                      <w:szCs w:val="24"/>
                    </w:rPr>
                    <w:t xml:space="preserve"> (cm</w:t>
                  </w:r>
                  <w:r w:rsidRPr="00C47861">
                    <w:rPr>
                      <w:b/>
                      <w:szCs w:val="24"/>
                      <w:vertAlign w:val="superscript"/>
                    </w:rPr>
                    <w:t>3</w:t>
                  </w:r>
                  <w:r w:rsidRPr="00C47861">
                    <w:rPr>
                      <w:b/>
                      <w:szCs w:val="24"/>
                    </w:rPr>
                    <w:t>/cm</w:t>
                  </w:r>
                  <w:r w:rsidRPr="00C47861">
                    <w:rPr>
                      <w:b/>
                      <w:szCs w:val="24"/>
                      <w:vertAlign w:val="superscript"/>
                    </w:rPr>
                    <w:t>3</w:t>
                  </w:r>
                  <w:r w:rsidRPr="00C47861">
                    <w:rPr>
                      <w:b/>
                      <w:szCs w:val="24"/>
                    </w:rPr>
                    <w:t>)</w:t>
                  </w:r>
                </w:p>
              </w:txbxContent>
            </v:textbox>
          </v:shape>
        </w:pict>
      </w:r>
      <w:r w:rsidRPr="00177749">
        <w:rPr>
          <w:noProof/>
          <w:szCs w:val="24"/>
        </w:rPr>
        <w:pict>
          <v:shape id="_x0000_s1076" type="#_x0000_t202" style="position:absolute;margin-left:-.9pt;margin-top:15.5pt;width:26.2pt;height:19.9pt;z-index:251679744;mso-width-relative:margin;mso-height-relative:margin" stroked="f">
            <v:textbox>
              <w:txbxContent>
                <w:p w:rsidR="00816E61" w:rsidRDefault="00816E61" w:rsidP="002F3B63">
                  <w:r>
                    <w:t>a)</w:t>
                  </w:r>
                </w:p>
              </w:txbxContent>
            </v:textbox>
          </v:shape>
        </w:pict>
      </w:r>
    </w:p>
    <w:p w:rsidR="002F3B63" w:rsidRPr="00CC6F0B" w:rsidRDefault="00177749" w:rsidP="002F3B63">
      <w:r>
        <w:rPr>
          <w:noProof/>
        </w:rPr>
        <w:pict>
          <v:shape id="_x0000_s1037" type="#_x0000_t202" style="position:absolute;margin-left:25.3pt;margin-top:-10.7pt;width:119.7pt;height:35.35pt;z-index:251639808;mso-height-percent:200;mso-height-percent:200;mso-width-relative:margin;mso-height-relative:margin" stroked="f">
            <v:textbox style="mso-fit-shape-to-text:t">
              <w:txbxContent>
                <w:p w:rsidR="00816E61" w:rsidRPr="00902A49" w:rsidRDefault="00816E61" w:rsidP="002F3B63">
                  <w:pPr>
                    <w:spacing w:after="0" w:line="240" w:lineRule="auto"/>
                    <w:jc w:val="center"/>
                    <w:rPr>
                      <w:b/>
                      <w:szCs w:val="24"/>
                    </w:rPr>
                  </w:pPr>
                  <w:r w:rsidRPr="00902A49">
                    <w:rPr>
                      <w:b/>
                      <w:szCs w:val="24"/>
                    </w:rPr>
                    <w:t>Co-Kriged Map of</w:t>
                  </w:r>
                </w:p>
                <w:p w:rsidR="00816E61" w:rsidRPr="00902A49" w:rsidRDefault="00816E61" w:rsidP="002F3B63">
                  <w:pPr>
                    <w:spacing w:after="0" w:line="240" w:lineRule="auto"/>
                    <w:jc w:val="center"/>
                    <w:rPr>
                      <w:b/>
                      <w:szCs w:val="24"/>
                    </w:rPr>
                  </w:pPr>
                  <w:r w:rsidRPr="00902A49">
                    <w:rPr>
                      <w:rFonts w:cstheme="minorHAnsi"/>
                      <w:b/>
                      <w:i/>
                      <w:szCs w:val="24"/>
                    </w:rPr>
                    <w:t>ψ</w:t>
                  </w:r>
                  <w:r w:rsidRPr="00902A49">
                    <w:rPr>
                      <w:b/>
                      <w:i/>
                      <w:szCs w:val="24"/>
                      <w:vertAlign w:val="subscript"/>
                    </w:rPr>
                    <w:t>a</w:t>
                  </w:r>
                  <w:r w:rsidRPr="00902A49">
                    <w:rPr>
                      <w:b/>
                      <w:szCs w:val="24"/>
                    </w:rPr>
                    <w:t xml:space="preserve"> (cm)</w:t>
                  </w:r>
                </w:p>
              </w:txbxContent>
            </v:textbox>
          </v:shape>
        </w:pict>
      </w:r>
    </w:p>
    <w:p w:rsidR="002F3B63" w:rsidRDefault="002F3B63" w:rsidP="002F3B63">
      <w:pPr>
        <w:rPr>
          <w:szCs w:val="24"/>
        </w:rPr>
      </w:pPr>
      <w:r>
        <w:rPr>
          <w:noProof/>
          <w:szCs w:val="24"/>
        </w:rPr>
        <w:drawing>
          <wp:inline distT="0" distB="0" distL="0" distR="0">
            <wp:extent cx="2266950" cy="2626468"/>
            <wp:effectExtent l="19050" t="0" r="0" b="0"/>
            <wp:docPr id="33" name="Picture 11" descr="C:\Users\user\Desktop\Kriged Images\CK CV A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user\Desktop\Kriged Images\CK CV AE.png"/>
                    <pic:cNvPicPr>
                      <a:picLocks noChangeAspect="1" noChangeArrowheads="1"/>
                    </pic:cNvPicPr>
                  </pic:nvPicPr>
                  <pic:blipFill>
                    <a:blip r:embed="rId46"/>
                    <a:srcRect l="28672" t="12052" r="28787"/>
                    <a:stretch>
                      <a:fillRect/>
                    </a:stretch>
                  </pic:blipFill>
                  <pic:spPr bwMode="auto">
                    <a:xfrm>
                      <a:off x="0" y="0"/>
                      <a:ext cx="2266950" cy="2626468"/>
                    </a:xfrm>
                    <a:prstGeom prst="rect">
                      <a:avLst/>
                    </a:prstGeom>
                    <a:noFill/>
                    <a:ln w="9525">
                      <a:noFill/>
                      <a:miter lim="800000"/>
                      <a:headEnd/>
                      <a:tailEnd/>
                    </a:ln>
                  </pic:spPr>
                </pic:pic>
              </a:graphicData>
            </a:graphic>
          </wp:inline>
        </w:drawing>
      </w:r>
      <w:r w:rsidRPr="00CC6F0B">
        <w:rPr>
          <w:rFonts w:ascii="Times New Roman" w:eastAsia="Times New Roman" w:hAnsi="Times New Roman" w:cs="Times New Roman"/>
          <w:snapToGrid w:val="0"/>
          <w:color w:val="000000"/>
          <w:w w:val="0"/>
          <w:sz w:val="0"/>
          <w:szCs w:val="0"/>
          <w:u w:color="000000"/>
          <w:bdr w:val="none" w:sz="0" w:space="0" w:color="000000"/>
          <w:shd w:val="clear" w:color="000000" w:fill="000000"/>
        </w:rPr>
        <w:t xml:space="preserve"> </w:t>
      </w:r>
      <w:r w:rsidR="00EC5FE3" w:rsidRPr="00EC5FE3">
        <w:rPr>
          <w:rFonts w:ascii="Times New Roman" w:eastAsia="Times New Roman" w:hAnsi="Times New Roman" w:cs="Times New Roman"/>
          <w:snapToGrid w:val="0"/>
          <w:color w:val="000000"/>
          <w:w w:val="0"/>
          <w:sz w:val="0"/>
          <w:szCs w:val="0"/>
          <w:u w:color="000000"/>
          <w:bdr w:val="none" w:sz="0" w:space="0" w:color="000000"/>
        </w:rPr>
        <w:tab/>
      </w:r>
      <w:r>
        <w:rPr>
          <w:noProof/>
          <w:szCs w:val="24"/>
        </w:rPr>
        <w:drawing>
          <wp:inline distT="0" distB="0" distL="0" distR="0">
            <wp:extent cx="2227404" cy="2626468"/>
            <wp:effectExtent l="19050" t="0" r="1446" b="0"/>
            <wp:docPr id="34" name="Picture 12" descr="C:\Users\user\Desktop\Kriged Images\CK CV T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user\Desktop\Kriged Images\CK CV TS.png"/>
                    <pic:cNvPicPr>
                      <a:picLocks noChangeAspect="1" noChangeArrowheads="1"/>
                    </pic:cNvPicPr>
                  </pic:nvPicPr>
                  <pic:blipFill>
                    <a:blip r:embed="rId47"/>
                    <a:srcRect l="29037" t="12052" r="29153"/>
                    <a:stretch>
                      <a:fillRect/>
                    </a:stretch>
                  </pic:blipFill>
                  <pic:spPr bwMode="auto">
                    <a:xfrm>
                      <a:off x="0" y="0"/>
                      <a:ext cx="2227404" cy="2626468"/>
                    </a:xfrm>
                    <a:prstGeom prst="rect">
                      <a:avLst/>
                    </a:prstGeom>
                    <a:noFill/>
                    <a:ln w="9525">
                      <a:noFill/>
                      <a:miter lim="800000"/>
                      <a:headEnd/>
                      <a:tailEnd/>
                    </a:ln>
                  </pic:spPr>
                </pic:pic>
              </a:graphicData>
            </a:graphic>
          </wp:inline>
        </w:drawing>
      </w:r>
    </w:p>
    <w:p w:rsidR="002F3B63" w:rsidRPr="00EB7E08" w:rsidRDefault="002F3B63" w:rsidP="002F3B63">
      <w:pPr>
        <w:pStyle w:val="Caption"/>
      </w:pPr>
      <w:bookmarkStart w:id="128" w:name="_Toc422308132"/>
      <w:bookmarkStart w:id="129" w:name="_Toc422316138"/>
      <w:bookmarkStart w:id="130" w:name="_Toc425427099"/>
      <w:r>
        <w:t xml:space="preserve">Figure </w:t>
      </w:r>
      <w:fldSimple w:instr=" SEQ Figure \* ARABIC ">
        <w:r w:rsidR="00885C9E">
          <w:rPr>
            <w:noProof/>
          </w:rPr>
          <w:t>15</w:t>
        </w:r>
      </w:fldSimple>
      <w:r w:rsidR="00921C07">
        <w:t>: Final co-kriged maps</w:t>
      </w:r>
      <w:r>
        <w:t xml:space="preserve"> for </w:t>
      </w:r>
      <w:r w:rsidRPr="00AD77BD">
        <w:rPr>
          <w:i/>
        </w:rPr>
        <w:t>ψ</w:t>
      </w:r>
      <w:r w:rsidRPr="00AD77BD">
        <w:rPr>
          <w:i/>
          <w:vertAlign w:val="subscript"/>
        </w:rPr>
        <w:t>a</w:t>
      </w:r>
      <w:r>
        <w:t xml:space="preserve"> and </w:t>
      </w:r>
      <w:r w:rsidRPr="00AD77BD">
        <w:rPr>
          <w:i/>
        </w:rPr>
        <w:t>Ѳ</w:t>
      </w:r>
      <w:r w:rsidRPr="00AD77BD">
        <w:rPr>
          <w:i/>
          <w:vertAlign w:val="subscript"/>
        </w:rPr>
        <w:t>s</w:t>
      </w:r>
      <w:bookmarkEnd w:id="128"/>
      <w:bookmarkEnd w:id="129"/>
      <w:r w:rsidR="00EB7E08">
        <w:t xml:space="preserve"> using the CV data set</w:t>
      </w:r>
      <w:bookmarkEnd w:id="130"/>
    </w:p>
    <w:p w:rsidR="002F3B63" w:rsidRDefault="002F3B63" w:rsidP="002F3B63"/>
    <w:p w:rsidR="00D42C45" w:rsidRDefault="00D42C45" w:rsidP="002F3B63"/>
    <w:p w:rsidR="002F3B63" w:rsidRDefault="00177749" w:rsidP="002F3B63">
      <w:r w:rsidRPr="00177749">
        <w:rPr>
          <w:noProof/>
          <w:szCs w:val="24"/>
        </w:rPr>
        <w:lastRenderedPageBreak/>
        <w:pict>
          <v:shape id="_x0000_s1079" type="#_x0000_t202" style="position:absolute;margin-left:207.4pt;margin-top:15.05pt;width:26.2pt;height:19.9pt;z-index:251682816;mso-width-relative:margin;mso-height-relative:margin" stroked="f">
            <v:textbox>
              <w:txbxContent>
                <w:p w:rsidR="00816E61" w:rsidRDefault="00816E61" w:rsidP="002F3B63">
                  <w:r>
                    <w:t>b)</w:t>
                  </w:r>
                </w:p>
              </w:txbxContent>
            </v:textbox>
          </v:shape>
        </w:pict>
      </w:r>
      <w:r>
        <w:rPr>
          <w:noProof/>
        </w:rPr>
        <w:pict>
          <v:shape id="_x0000_s1040" type="#_x0000_t202" style="position:absolute;margin-left:227.7pt;margin-top:17pt;width:149.9pt;height:35.35pt;z-index:251642880;mso-height-percent:200;mso-height-percent:200;mso-width-relative:margin;mso-height-relative:margin" stroked="f">
            <v:textbox style="mso-fit-shape-to-text:t">
              <w:txbxContent>
                <w:p w:rsidR="00816E61" w:rsidRPr="00C47861" w:rsidRDefault="00816E61" w:rsidP="00EC5FE3">
                  <w:pPr>
                    <w:spacing w:after="0" w:line="240" w:lineRule="auto"/>
                    <w:jc w:val="center"/>
                    <w:rPr>
                      <w:b/>
                      <w:szCs w:val="24"/>
                    </w:rPr>
                  </w:pPr>
                  <w:r>
                    <w:rPr>
                      <w:b/>
                      <w:szCs w:val="24"/>
                    </w:rPr>
                    <w:t xml:space="preserve">Corrected Map using CK and CV, </w:t>
                  </w:r>
                  <w:r w:rsidRPr="00C47861">
                    <w:rPr>
                      <w:b/>
                      <w:i/>
                    </w:rPr>
                    <w:t>Ѳ</w:t>
                  </w:r>
                  <w:r w:rsidRPr="00C47861">
                    <w:rPr>
                      <w:b/>
                      <w:i/>
                      <w:vertAlign w:val="subscript"/>
                    </w:rPr>
                    <w:t>s</w:t>
                  </w:r>
                  <w:r w:rsidRPr="00C47861">
                    <w:rPr>
                      <w:b/>
                      <w:szCs w:val="24"/>
                    </w:rPr>
                    <w:t xml:space="preserve"> (cm</w:t>
                  </w:r>
                  <w:r w:rsidRPr="00C47861">
                    <w:rPr>
                      <w:b/>
                      <w:szCs w:val="24"/>
                      <w:vertAlign w:val="superscript"/>
                    </w:rPr>
                    <w:t>3</w:t>
                  </w:r>
                  <w:r w:rsidRPr="00C47861">
                    <w:rPr>
                      <w:b/>
                      <w:szCs w:val="24"/>
                    </w:rPr>
                    <w:t>/cm</w:t>
                  </w:r>
                  <w:r w:rsidRPr="00C47861">
                    <w:rPr>
                      <w:b/>
                      <w:szCs w:val="24"/>
                      <w:vertAlign w:val="superscript"/>
                    </w:rPr>
                    <w:t>3</w:t>
                  </w:r>
                  <w:r w:rsidRPr="00C47861">
                    <w:rPr>
                      <w:b/>
                      <w:szCs w:val="24"/>
                    </w:rPr>
                    <w:t>)</w:t>
                  </w:r>
                </w:p>
              </w:txbxContent>
            </v:textbox>
          </v:shape>
        </w:pict>
      </w:r>
      <w:r>
        <w:rPr>
          <w:noProof/>
        </w:rPr>
        <w:pict>
          <v:shape id="_x0000_s1039" type="#_x0000_t202" style="position:absolute;margin-left:15.05pt;margin-top:17pt;width:138.05pt;height:35.35pt;z-index:251641856;mso-height-percent:200;mso-height-percent:200;mso-width-relative:margin;mso-height-relative:margin" stroked="f">
            <v:textbox style="mso-fit-shape-to-text:t">
              <w:txbxContent>
                <w:p w:rsidR="00816E61" w:rsidRPr="00902A49" w:rsidRDefault="00816E61" w:rsidP="00EC5FE3">
                  <w:pPr>
                    <w:spacing w:after="0" w:line="240" w:lineRule="auto"/>
                    <w:jc w:val="center"/>
                    <w:rPr>
                      <w:b/>
                      <w:szCs w:val="24"/>
                    </w:rPr>
                  </w:pPr>
                  <w:r>
                    <w:rPr>
                      <w:b/>
                      <w:szCs w:val="24"/>
                    </w:rPr>
                    <w:t xml:space="preserve">Corrected Map using CK and CV, </w:t>
                  </w:r>
                  <w:r w:rsidRPr="00902A49">
                    <w:rPr>
                      <w:rFonts w:cstheme="minorHAnsi"/>
                      <w:b/>
                      <w:i/>
                      <w:szCs w:val="24"/>
                    </w:rPr>
                    <w:t>ψ</w:t>
                  </w:r>
                  <w:r w:rsidRPr="00902A49">
                    <w:rPr>
                      <w:b/>
                      <w:i/>
                      <w:szCs w:val="24"/>
                      <w:vertAlign w:val="subscript"/>
                    </w:rPr>
                    <w:t>a</w:t>
                  </w:r>
                  <w:r w:rsidRPr="00902A49">
                    <w:rPr>
                      <w:b/>
                      <w:szCs w:val="24"/>
                    </w:rPr>
                    <w:t xml:space="preserve"> (cm)</w:t>
                  </w:r>
                </w:p>
              </w:txbxContent>
            </v:textbox>
          </v:shape>
        </w:pict>
      </w:r>
      <w:r w:rsidRPr="00177749">
        <w:rPr>
          <w:noProof/>
          <w:szCs w:val="24"/>
        </w:rPr>
        <w:pict>
          <v:shape id="_x0000_s1078" type="#_x0000_t202" style="position:absolute;margin-left:-5.55pt;margin-top:15.05pt;width:26.2pt;height:19.9pt;z-index:251681792;mso-width-relative:margin;mso-height-relative:margin" stroked="f">
            <v:textbox>
              <w:txbxContent>
                <w:p w:rsidR="00816E61" w:rsidRDefault="00816E61" w:rsidP="002F3B63">
                  <w:r>
                    <w:t>a)</w:t>
                  </w:r>
                </w:p>
              </w:txbxContent>
            </v:textbox>
          </v:shape>
        </w:pict>
      </w:r>
    </w:p>
    <w:p w:rsidR="002F3B63" w:rsidRPr="00CC6F0B" w:rsidRDefault="002F3B63" w:rsidP="002F3B63"/>
    <w:p w:rsidR="002F3B63" w:rsidRDefault="002F3B63" w:rsidP="002F3B63">
      <w:pPr>
        <w:rPr>
          <w:szCs w:val="24"/>
        </w:rPr>
      </w:pPr>
      <w:r>
        <w:rPr>
          <w:noProof/>
          <w:szCs w:val="24"/>
        </w:rPr>
        <w:drawing>
          <wp:inline distT="0" distB="0" distL="0" distR="0">
            <wp:extent cx="2198856" cy="2665379"/>
            <wp:effectExtent l="19050" t="0" r="0" b="0"/>
            <wp:docPr id="35" name="Picture 13" descr="C:\Users\user\Desktop\Kriged Images\CV Corrected A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user\Desktop\Kriged Images\CV Corrected AE.png"/>
                    <pic:cNvPicPr>
                      <a:picLocks noChangeAspect="1" noChangeArrowheads="1"/>
                    </pic:cNvPicPr>
                  </pic:nvPicPr>
                  <pic:blipFill>
                    <a:blip r:embed="rId48"/>
                    <a:srcRect l="29220" t="10749" r="29518"/>
                    <a:stretch>
                      <a:fillRect/>
                    </a:stretch>
                  </pic:blipFill>
                  <pic:spPr bwMode="auto">
                    <a:xfrm>
                      <a:off x="0" y="0"/>
                      <a:ext cx="2198856" cy="2665379"/>
                    </a:xfrm>
                    <a:prstGeom prst="rect">
                      <a:avLst/>
                    </a:prstGeom>
                    <a:noFill/>
                    <a:ln w="9525">
                      <a:noFill/>
                      <a:miter lim="800000"/>
                      <a:headEnd/>
                      <a:tailEnd/>
                    </a:ln>
                  </pic:spPr>
                </pic:pic>
              </a:graphicData>
            </a:graphic>
          </wp:inline>
        </w:drawing>
      </w:r>
      <w:r w:rsidR="00EC5FE3">
        <w:rPr>
          <w:szCs w:val="24"/>
        </w:rPr>
        <w:tab/>
      </w:r>
      <w:r w:rsidR="00EC5FE3">
        <w:rPr>
          <w:szCs w:val="24"/>
        </w:rPr>
        <w:tab/>
      </w:r>
      <w:r>
        <w:rPr>
          <w:noProof/>
          <w:szCs w:val="24"/>
        </w:rPr>
        <w:drawing>
          <wp:inline distT="0" distB="0" distL="0" distR="0">
            <wp:extent cx="2167769" cy="2616741"/>
            <wp:effectExtent l="19050" t="0" r="3931" b="0"/>
            <wp:docPr id="36" name="Picture 14" descr="C:\Users\user\Desktop\Kriged Images\CV Corrected T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user\Desktop\Kriged Images\CV Corrected TS.png"/>
                    <pic:cNvPicPr>
                      <a:picLocks noChangeAspect="1" noChangeArrowheads="1"/>
                    </pic:cNvPicPr>
                  </pic:nvPicPr>
                  <pic:blipFill>
                    <a:blip r:embed="rId49"/>
                    <a:srcRect l="29402" t="12378" r="29883"/>
                    <a:stretch>
                      <a:fillRect/>
                    </a:stretch>
                  </pic:blipFill>
                  <pic:spPr bwMode="auto">
                    <a:xfrm>
                      <a:off x="0" y="0"/>
                      <a:ext cx="2167769" cy="2616741"/>
                    </a:xfrm>
                    <a:prstGeom prst="rect">
                      <a:avLst/>
                    </a:prstGeom>
                    <a:noFill/>
                    <a:ln w="9525">
                      <a:noFill/>
                      <a:miter lim="800000"/>
                      <a:headEnd/>
                      <a:tailEnd/>
                    </a:ln>
                  </pic:spPr>
                </pic:pic>
              </a:graphicData>
            </a:graphic>
          </wp:inline>
        </w:drawing>
      </w:r>
    </w:p>
    <w:p w:rsidR="002F3B63" w:rsidRPr="00EC5FE3" w:rsidRDefault="002F3B63" w:rsidP="002F3B63">
      <w:pPr>
        <w:pStyle w:val="Caption"/>
      </w:pPr>
      <w:bookmarkStart w:id="131" w:name="_Toc422308133"/>
      <w:bookmarkStart w:id="132" w:name="_Toc422316139"/>
      <w:bookmarkStart w:id="133" w:name="_Toc425427100"/>
      <w:r>
        <w:t xml:space="preserve">Figure </w:t>
      </w:r>
      <w:fldSimple w:instr=" SEQ Figure \* ARABIC ">
        <w:r w:rsidR="00885C9E">
          <w:rPr>
            <w:noProof/>
          </w:rPr>
          <w:t>16</w:t>
        </w:r>
      </w:fldSimple>
      <w:r>
        <w:t xml:space="preserve">: Corrected maps for </w:t>
      </w:r>
      <w:r w:rsidRPr="00AD77BD">
        <w:rPr>
          <w:i/>
        </w:rPr>
        <w:t>ψ</w:t>
      </w:r>
      <w:r w:rsidRPr="00AD77BD">
        <w:rPr>
          <w:i/>
          <w:vertAlign w:val="subscript"/>
        </w:rPr>
        <w:t>a</w:t>
      </w:r>
      <w:r>
        <w:t xml:space="preserve"> and </w:t>
      </w:r>
      <w:r w:rsidRPr="00AD77BD">
        <w:rPr>
          <w:i/>
        </w:rPr>
        <w:t>Ѳ</w:t>
      </w:r>
      <w:r w:rsidRPr="00AD77BD">
        <w:rPr>
          <w:i/>
          <w:vertAlign w:val="subscript"/>
        </w:rPr>
        <w:t>s</w:t>
      </w:r>
      <w:bookmarkEnd w:id="131"/>
      <w:bookmarkEnd w:id="132"/>
      <w:r w:rsidR="00EC5FE3">
        <w:t xml:space="preserve"> using the cross-validation and co-kriging correction method</w:t>
      </w:r>
      <w:bookmarkEnd w:id="133"/>
    </w:p>
    <w:p w:rsidR="002F3B63" w:rsidRDefault="002F3B63" w:rsidP="002F3B63"/>
    <w:p w:rsidR="002F3B63" w:rsidRDefault="002F3B63" w:rsidP="002F3B63"/>
    <w:p w:rsidR="002F3B63" w:rsidRDefault="002F3B63" w:rsidP="002F3B63"/>
    <w:p w:rsidR="002F3B63" w:rsidRDefault="002F3B63" w:rsidP="002F3B63"/>
    <w:p w:rsidR="002F3B63" w:rsidRDefault="002F3B63" w:rsidP="002F3B63"/>
    <w:p w:rsidR="002F3B63" w:rsidRPr="001F70BB" w:rsidRDefault="002F3B63" w:rsidP="002F3B63"/>
    <w:p w:rsidR="002F3B63" w:rsidRDefault="00177749" w:rsidP="002F3B63">
      <w:pPr>
        <w:pStyle w:val="Caption"/>
      </w:pPr>
      <w:r>
        <w:rPr>
          <w:noProof/>
        </w:rPr>
        <w:lastRenderedPageBreak/>
        <w:pict>
          <v:shape id="_x0000_s1080" type="#_x0000_t202" style="position:absolute;margin-left:3.65pt;margin-top:3.85pt;width:26.2pt;height:19.9pt;z-index:251683840;mso-width-relative:margin;mso-height-relative:margin" stroked="f">
            <v:textbox>
              <w:txbxContent>
                <w:p w:rsidR="00816E61" w:rsidRDefault="00816E61" w:rsidP="002F3B63">
                  <w:r>
                    <w:t>a)</w:t>
                  </w:r>
                </w:p>
              </w:txbxContent>
            </v:textbox>
          </v:shape>
        </w:pict>
      </w:r>
      <w:r w:rsidR="002F3B63" w:rsidRPr="00CC6F0B">
        <w:rPr>
          <w:noProof/>
        </w:rPr>
        <w:drawing>
          <wp:inline distT="0" distB="0" distL="0" distR="0">
            <wp:extent cx="5107427" cy="3035030"/>
            <wp:effectExtent l="19050" t="0" r="17023" b="0"/>
            <wp:docPr id="37"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r w:rsidR="002F3B63">
        <w:t xml:space="preserve"> </w:t>
      </w:r>
    </w:p>
    <w:p w:rsidR="002F3B63" w:rsidRDefault="00177749" w:rsidP="002F3B63">
      <w:r>
        <w:rPr>
          <w:noProof/>
        </w:rPr>
        <w:pict>
          <v:shape id="_x0000_s1081" type="#_x0000_t202" style="position:absolute;margin-left:3.65pt;margin-top:3.75pt;width:26.2pt;height:19.9pt;z-index:251684864;mso-width-relative:margin;mso-height-relative:margin" stroked="f">
            <v:textbox>
              <w:txbxContent>
                <w:p w:rsidR="00816E61" w:rsidRDefault="00816E61" w:rsidP="002F3B63">
                  <w:r>
                    <w:t>b)</w:t>
                  </w:r>
                </w:p>
              </w:txbxContent>
            </v:textbox>
          </v:shape>
        </w:pict>
      </w:r>
      <w:r w:rsidR="002F3B63" w:rsidRPr="00ED2364">
        <w:rPr>
          <w:noProof/>
        </w:rPr>
        <w:drawing>
          <wp:inline distT="0" distB="0" distL="0" distR="0">
            <wp:extent cx="5110372" cy="2976664"/>
            <wp:effectExtent l="19050" t="0" r="14078" b="0"/>
            <wp:docPr id="39"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2F3B63" w:rsidRDefault="00177749" w:rsidP="002F3B63">
      <w:r>
        <w:rPr>
          <w:noProof/>
        </w:rPr>
        <w:lastRenderedPageBreak/>
        <w:pict>
          <v:shape id="_x0000_s1082" type="#_x0000_t202" style="position:absolute;margin-left:4.4pt;margin-top:4.6pt;width:26.2pt;height:19.9pt;z-index:251685888;mso-width-relative:margin;mso-height-relative:margin" stroked="f">
            <v:textbox>
              <w:txbxContent>
                <w:p w:rsidR="00816E61" w:rsidRDefault="00816E61" w:rsidP="002F3B63">
                  <w:r>
                    <w:t>c)</w:t>
                  </w:r>
                </w:p>
              </w:txbxContent>
            </v:textbox>
          </v:shape>
        </w:pict>
      </w:r>
      <w:r w:rsidR="002F3B63" w:rsidRPr="00ED2364">
        <w:rPr>
          <w:noProof/>
        </w:rPr>
        <w:drawing>
          <wp:inline distT="0" distB="0" distL="0" distR="0">
            <wp:extent cx="5370073" cy="3317132"/>
            <wp:effectExtent l="19050" t="0" r="21077" b="0"/>
            <wp:docPr id="40"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2F3B63" w:rsidRPr="00ED2364" w:rsidRDefault="00177749" w:rsidP="002F3B63">
      <w:r>
        <w:rPr>
          <w:noProof/>
        </w:rPr>
        <w:pict>
          <v:shape id="_x0000_s1083" type="#_x0000_t202" style="position:absolute;margin-left:4.4pt;margin-top:2.45pt;width:26.2pt;height:19.9pt;z-index:251686912;mso-width-relative:margin;mso-height-relative:margin" stroked="f">
            <v:textbox>
              <w:txbxContent>
                <w:p w:rsidR="00816E61" w:rsidRDefault="00816E61" w:rsidP="002F3B63">
                  <w:r>
                    <w:t>d)</w:t>
                  </w:r>
                </w:p>
              </w:txbxContent>
            </v:textbox>
          </v:shape>
        </w:pict>
      </w:r>
      <w:r w:rsidR="002F3B63" w:rsidRPr="00ED2364">
        <w:rPr>
          <w:noProof/>
        </w:rPr>
        <w:drawing>
          <wp:inline distT="0" distB="0" distL="0" distR="0">
            <wp:extent cx="5368574" cy="3005847"/>
            <wp:effectExtent l="19050" t="0" r="22576" b="4053"/>
            <wp:docPr id="41"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EB7E08" w:rsidRDefault="002F3B63" w:rsidP="002F3B63">
      <w:pPr>
        <w:pStyle w:val="Caption"/>
        <w:rPr>
          <w:szCs w:val="24"/>
        </w:rPr>
      </w:pPr>
      <w:bookmarkStart w:id="134" w:name="_Toc425427101"/>
      <w:bookmarkStart w:id="135" w:name="_Toc422308134"/>
      <w:bookmarkStart w:id="136" w:name="_Toc422316140"/>
      <w:r>
        <w:t xml:space="preserve">Figure </w:t>
      </w:r>
      <w:fldSimple w:instr=" SEQ Figure \* ARABIC ">
        <w:r w:rsidR="00885C9E">
          <w:rPr>
            <w:noProof/>
          </w:rPr>
          <w:t>17</w:t>
        </w:r>
      </w:fldSimple>
      <w:r>
        <w:t>:</w:t>
      </w:r>
      <w:r w:rsidRPr="00C47861">
        <w:rPr>
          <w:szCs w:val="24"/>
        </w:rPr>
        <w:t xml:space="preserve"> </w:t>
      </w:r>
      <w:r w:rsidR="00EB7E08">
        <w:rPr>
          <w:szCs w:val="24"/>
        </w:rPr>
        <w:t xml:space="preserve">Plots of median values and their </w:t>
      </w:r>
      <w:r w:rsidR="00EB7E08">
        <w:t xml:space="preserve">corresponding upper (75%) and lower (25%) quartiles for the independent Cropper (2012) data set, the Kang et al. (2014) data set, the Krige data set (i.e. </w:t>
      </w:r>
      <w:r w:rsidR="001B5DF9">
        <w:t xml:space="preserve">spatial </w:t>
      </w:r>
      <w:r w:rsidR="00EB7E08">
        <w:t xml:space="preserve">trend corrected data using CK and CV for </w:t>
      </w:r>
      <w:r w:rsidR="00EB7E08" w:rsidRPr="001B5DF9">
        <w:rPr>
          <w:i/>
        </w:rPr>
        <w:t>ψ</w:t>
      </w:r>
      <w:r w:rsidR="001B5DF9" w:rsidRPr="001B5DF9">
        <w:rPr>
          <w:i/>
          <w:vertAlign w:val="subscript"/>
        </w:rPr>
        <w:t>a</w:t>
      </w:r>
      <w:r w:rsidR="00EB7E08">
        <w:t xml:space="preserve"> and </w:t>
      </w:r>
      <w:r w:rsidR="00EB7E08" w:rsidRPr="001B5DF9">
        <w:rPr>
          <w:i/>
        </w:rPr>
        <w:t>Ѳ</w:t>
      </w:r>
      <w:r w:rsidR="001B5DF9" w:rsidRPr="001B5DF9">
        <w:rPr>
          <w:i/>
          <w:vertAlign w:val="subscript"/>
        </w:rPr>
        <w:t>s</w:t>
      </w:r>
      <w:r w:rsidR="00EB7E08">
        <w:t>), and the Trend data set (i.e. trend corrected data using trend surface analysis for all BC parameters)</w:t>
      </w:r>
      <w:r w:rsidR="001B5DF9">
        <w:t>. These plots are used to illustrate MW and KS results and determine which data sets are significantly different from one another.</w:t>
      </w:r>
      <w:bookmarkEnd w:id="134"/>
      <w:r w:rsidR="001B5DF9">
        <w:t xml:space="preserve"> </w:t>
      </w:r>
    </w:p>
    <w:p w:rsidR="00EB7E08" w:rsidRDefault="00EB7E08" w:rsidP="002F3B63">
      <w:pPr>
        <w:pStyle w:val="Caption"/>
        <w:rPr>
          <w:szCs w:val="24"/>
        </w:rPr>
      </w:pPr>
    </w:p>
    <w:p w:rsidR="00C15C26" w:rsidRPr="00C15C26" w:rsidRDefault="00051438" w:rsidP="00C15C26">
      <w:pPr>
        <w:pStyle w:val="Style1"/>
        <w:spacing w:before="0" w:after="0" w:line="480" w:lineRule="auto"/>
      </w:pPr>
      <w:bookmarkStart w:id="137" w:name="_Toc425427056"/>
      <w:bookmarkEnd w:id="135"/>
      <w:bookmarkEnd w:id="136"/>
      <w:r>
        <w:lastRenderedPageBreak/>
        <w:t>VITA</w:t>
      </w:r>
      <w:bookmarkEnd w:id="87"/>
      <w:bookmarkEnd w:id="137"/>
    </w:p>
    <w:p w:rsidR="009975D1" w:rsidRDefault="00C15C26" w:rsidP="00C15C26">
      <w:pPr>
        <w:spacing w:after="0" w:line="480" w:lineRule="auto"/>
        <w:ind w:firstLine="720"/>
      </w:pPr>
      <w:r>
        <w:t xml:space="preserve"> William </w:t>
      </w:r>
      <w:r w:rsidR="00175BC4">
        <w:t>“</w:t>
      </w:r>
      <w:r>
        <w:t>Blake</w:t>
      </w:r>
      <w:r w:rsidR="00175BC4">
        <w:t>”</w:t>
      </w:r>
      <w:r>
        <w:t xml:space="preserve"> Roberts was born in Murphy, North Carolina, to William and Tammy </w:t>
      </w:r>
      <w:r w:rsidR="0052464F">
        <w:t>Roberts;</w:t>
      </w:r>
      <w:r>
        <w:t xml:space="preserve"> he has two younger brothers, Baron and Chance, and a younger sister, Kenda. He attended Ranger Elementary School from kindergarten through the eighth grade</w:t>
      </w:r>
      <w:r w:rsidR="0052464F">
        <w:t>,</w:t>
      </w:r>
      <w:r w:rsidR="00175BC4">
        <w:t xml:space="preserve"> and graduated from Hiwassee Dam High school in Murphy, NC in June of 2008. After graduation Blake attended Young Harris College, receiving his Associate</w:t>
      </w:r>
      <w:r w:rsidR="0052464F">
        <w:t>s</w:t>
      </w:r>
      <w:r w:rsidR="00175BC4">
        <w:t xml:space="preserve"> of Science Degree in General Science. After graduating from Yo</w:t>
      </w:r>
      <w:r w:rsidR="0052464F">
        <w:t>ung Harris College in the May</w:t>
      </w:r>
      <w:r w:rsidR="00175BC4">
        <w:t xml:space="preserve"> of 2010, Blake attended Western Carolina University where he graduated </w:t>
      </w:r>
      <w:r w:rsidR="0052464F">
        <w:t xml:space="preserve">(in </w:t>
      </w:r>
      <w:r w:rsidR="00837724">
        <w:t>December</w:t>
      </w:r>
      <w:r w:rsidR="00175BC4">
        <w:t xml:space="preserve"> 2012) Magna Cum Laude with a Bachelor’s of Science degree in geology, concentrating in environmental hydrology, and minoring in physics. </w:t>
      </w:r>
      <w:r w:rsidR="009975D1">
        <w:t>He</w:t>
      </w:r>
      <w:r w:rsidR="00175BC4">
        <w:t xml:space="preserve"> then moved to Knoxville, Tennessee </w:t>
      </w:r>
      <w:r w:rsidR="004F1D08">
        <w:t xml:space="preserve">in June of 2013 </w:t>
      </w:r>
      <w:r w:rsidR="00175BC4">
        <w:t>to begin graduate studies at the University</w:t>
      </w:r>
      <w:r w:rsidR="009975D1">
        <w:t xml:space="preserve"> of Tennessee, Knoxville. Blake’s thesis </w:t>
      </w:r>
      <w:r w:rsidR="0052464F">
        <w:t xml:space="preserve">project involved </w:t>
      </w:r>
      <w:r w:rsidR="009975D1">
        <w:t>applying geostatistical methods to characterize sub-core scale heterogeneity</w:t>
      </w:r>
      <w:r w:rsidR="0052464F">
        <w:t xml:space="preserve"> and identify </w:t>
      </w:r>
      <w:r w:rsidR="009975D1">
        <w:t xml:space="preserve">spatial structure in previously published water retention data obtained using neutron radiography. </w:t>
      </w:r>
      <w:r w:rsidR="0052464F">
        <w:t>He also developed a novel trend correction procedure to remove non-geologic heterogeneity and spatial structure thought to be caused by the experimental methods employed. Blake will be graduating with a Master’s of Science in geology in t</w:t>
      </w:r>
      <w:r w:rsidR="00837724">
        <w:t>he July</w:t>
      </w:r>
      <w:r w:rsidR="0052464F">
        <w:t xml:space="preserve"> of 2015 and plans to enter the oil and gas or environmental consulting field</w:t>
      </w:r>
      <w:r w:rsidR="00837724">
        <w:t>s</w:t>
      </w:r>
      <w:r w:rsidR="0052464F">
        <w:t xml:space="preserve">. </w:t>
      </w:r>
    </w:p>
    <w:p w:rsidR="00B43C5E" w:rsidRDefault="00B43C5E" w:rsidP="00C15C26">
      <w:pPr>
        <w:pStyle w:val="Style2"/>
        <w:spacing w:after="0"/>
        <w:ind w:left="420"/>
      </w:pPr>
    </w:p>
    <w:p w:rsidR="00B43C5E" w:rsidRDefault="00B43C5E" w:rsidP="00B43C5E">
      <w:pPr>
        <w:pStyle w:val="Style3"/>
      </w:pPr>
    </w:p>
    <w:p w:rsidR="004C35BD" w:rsidRDefault="004C35BD" w:rsidP="00B43C5E">
      <w:pPr>
        <w:pStyle w:val="Style2"/>
        <w:ind w:left="570"/>
      </w:pPr>
    </w:p>
    <w:sectPr w:rsidR="004C35BD" w:rsidSect="00BC75B3">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34E5B" w:rsidRDefault="00434E5B" w:rsidP="008A2378">
      <w:pPr>
        <w:spacing w:after="0" w:line="240" w:lineRule="auto"/>
      </w:pPr>
      <w:r>
        <w:separator/>
      </w:r>
    </w:p>
  </w:endnote>
  <w:endnote w:type="continuationSeparator" w:id="1">
    <w:p w:rsidR="00434E5B" w:rsidRDefault="00434E5B" w:rsidP="008A237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6E61" w:rsidRDefault="00177749" w:rsidP="002D1BD3">
    <w:pPr>
      <w:pStyle w:val="Footer"/>
      <w:jc w:val="center"/>
    </w:pPr>
    <w:fldSimple w:instr=" PAGE   \* MERGEFORMAT ">
      <w:r w:rsidR="00222226">
        <w:rPr>
          <w:noProof/>
        </w:rPr>
        <w:t>93</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34E5B" w:rsidRDefault="00434E5B" w:rsidP="008A2378">
      <w:pPr>
        <w:spacing w:after="0" w:line="240" w:lineRule="auto"/>
      </w:pPr>
      <w:r>
        <w:separator/>
      </w:r>
    </w:p>
  </w:footnote>
  <w:footnote w:type="continuationSeparator" w:id="1">
    <w:p w:rsidR="00434E5B" w:rsidRDefault="00434E5B" w:rsidP="008A237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D44588"/>
    <w:multiLevelType w:val="hybridMultilevel"/>
    <w:tmpl w:val="5C627070"/>
    <w:lvl w:ilvl="0" w:tplc="0409000F">
      <w:start w:val="1"/>
      <w:numFmt w:val="decimal"/>
      <w:lvlText w:val="%1."/>
      <w:lvlJc w:val="left"/>
      <w:pPr>
        <w:ind w:left="766" w:hanging="360"/>
      </w:pPr>
    </w:lvl>
    <w:lvl w:ilvl="1" w:tplc="04090019" w:tentative="1">
      <w:start w:val="1"/>
      <w:numFmt w:val="lowerLetter"/>
      <w:lvlText w:val="%2."/>
      <w:lvlJc w:val="left"/>
      <w:pPr>
        <w:ind w:left="1486" w:hanging="360"/>
      </w:pPr>
    </w:lvl>
    <w:lvl w:ilvl="2" w:tplc="0409001B" w:tentative="1">
      <w:start w:val="1"/>
      <w:numFmt w:val="lowerRoman"/>
      <w:lvlText w:val="%3."/>
      <w:lvlJc w:val="right"/>
      <w:pPr>
        <w:ind w:left="2206" w:hanging="180"/>
      </w:pPr>
    </w:lvl>
    <w:lvl w:ilvl="3" w:tplc="0409000F" w:tentative="1">
      <w:start w:val="1"/>
      <w:numFmt w:val="decimal"/>
      <w:lvlText w:val="%4."/>
      <w:lvlJc w:val="left"/>
      <w:pPr>
        <w:ind w:left="2926" w:hanging="360"/>
      </w:pPr>
    </w:lvl>
    <w:lvl w:ilvl="4" w:tplc="04090019" w:tentative="1">
      <w:start w:val="1"/>
      <w:numFmt w:val="lowerLetter"/>
      <w:lvlText w:val="%5."/>
      <w:lvlJc w:val="left"/>
      <w:pPr>
        <w:ind w:left="3646" w:hanging="360"/>
      </w:pPr>
    </w:lvl>
    <w:lvl w:ilvl="5" w:tplc="0409001B" w:tentative="1">
      <w:start w:val="1"/>
      <w:numFmt w:val="lowerRoman"/>
      <w:lvlText w:val="%6."/>
      <w:lvlJc w:val="right"/>
      <w:pPr>
        <w:ind w:left="4366" w:hanging="180"/>
      </w:pPr>
    </w:lvl>
    <w:lvl w:ilvl="6" w:tplc="0409000F" w:tentative="1">
      <w:start w:val="1"/>
      <w:numFmt w:val="decimal"/>
      <w:lvlText w:val="%7."/>
      <w:lvlJc w:val="left"/>
      <w:pPr>
        <w:ind w:left="5086" w:hanging="360"/>
      </w:pPr>
    </w:lvl>
    <w:lvl w:ilvl="7" w:tplc="04090019" w:tentative="1">
      <w:start w:val="1"/>
      <w:numFmt w:val="lowerLetter"/>
      <w:lvlText w:val="%8."/>
      <w:lvlJc w:val="left"/>
      <w:pPr>
        <w:ind w:left="5806" w:hanging="360"/>
      </w:pPr>
    </w:lvl>
    <w:lvl w:ilvl="8" w:tplc="0409001B" w:tentative="1">
      <w:start w:val="1"/>
      <w:numFmt w:val="lowerRoman"/>
      <w:lvlText w:val="%9."/>
      <w:lvlJc w:val="right"/>
      <w:pPr>
        <w:ind w:left="6526" w:hanging="180"/>
      </w:pPr>
    </w:lvl>
  </w:abstractNum>
  <w:abstractNum w:abstractNumId="1">
    <w:nsid w:val="0B655300"/>
    <w:multiLevelType w:val="hybridMultilevel"/>
    <w:tmpl w:val="CB2AAD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21D149D"/>
    <w:multiLevelType w:val="multilevel"/>
    <w:tmpl w:val="F55C78E0"/>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nsid w:val="1C813DC4"/>
    <w:multiLevelType w:val="hybridMultilevel"/>
    <w:tmpl w:val="7A6048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A553915"/>
    <w:multiLevelType w:val="hybridMultilevel"/>
    <w:tmpl w:val="32681E2C"/>
    <w:lvl w:ilvl="0" w:tplc="BE10FC78">
      <w:start w:val="1"/>
      <w:numFmt w:val="bullet"/>
      <w:lvlText w:val="•"/>
      <w:lvlJc w:val="left"/>
      <w:pPr>
        <w:tabs>
          <w:tab w:val="num" w:pos="720"/>
        </w:tabs>
        <w:ind w:left="720" w:hanging="360"/>
      </w:pPr>
      <w:rPr>
        <w:rFonts w:ascii="Arial" w:hAnsi="Arial" w:hint="default"/>
      </w:rPr>
    </w:lvl>
    <w:lvl w:ilvl="1" w:tplc="4BFA3100" w:tentative="1">
      <w:start w:val="1"/>
      <w:numFmt w:val="bullet"/>
      <w:lvlText w:val="•"/>
      <w:lvlJc w:val="left"/>
      <w:pPr>
        <w:tabs>
          <w:tab w:val="num" w:pos="1440"/>
        </w:tabs>
        <w:ind w:left="1440" w:hanging="360"/>
      </w:pPr>
      <w:rPr>
        <w:rFonts w:ascii="Arial" w:hAnsi="Arial" w:hint="default"/>
      </w:rPr>
    </w:lvl>
    <w:lvl w:ilvl="2" w:tplc="1E8C501A" w:tentative="1">
      <w:start w:val="1"/>
      <w:numFmt w:val="bullet"/>
      <w:lvlText w:val="•"/>
      <w:lvlJc w:val="left"/>
      <w:pPr>
        <w:tabs>
          <w:tab w:val="num" w:pos="2160"/>
        </w:tabs>
        <w:ind w:left="2160" w:hanging="360"/>
      </w:pPr>
      <w:rPr>
        <w:rFonts w:ascii="Arial" w:hAnsi="Arial" w:hint="default"/>
      </w:rPr>
    </w:lvl>
    <w:lvl w:ilvl="3" w:tplc="54465F30" w:tentative="1">
      <w:start w:val="1"/>
      <w:numFmt w:val="bullet"/>
      <w:lvlText w:val="•"/>
      <w:lvlJc w:val="left"/>
      <w:pPr>
        <w:tabs>
          <w:tab w:val="num" w:pos="2880"/>
        </w:tabs>
        <w:ind w:left="2880" w:hanging="360"/>
      </w:pPr>
      <w:rPr>
        <w:rFonts w:ascii="Arial" w:hAnsi="Arial" w:hint="default"/>
      </w:rPr>
    </w:lvl>
    <w:lvl w:ilvl="4" w:tplc="0F88145C" w:tentative="1">
      <w:start w:val="1"/>
      <w:numFmt w:val="bullet"/>
      <w:lvlText w:val="•"/>
      <w:lvlJc w:val="left"/>
      <w:pPr>
        <w:tabs>
          <w:tab w:val="num" w:pos="3600"/>
        </w:tabs>
        <w:ind w:left="3600" w:hanging="360"/>
      </w:pPr>
      <w:rPr>
        <w:rFonts w:ascii="Arial" w:hAnsi="Arial" w:hint="default"/>
      </w:rPr>
    </w:lvl>
    <w:lvl w:ilvl="5" w:tplc="8ABE0D02" w:tentative="1">
      <w:start w:val="1"/>
      <w:numFmt w:val="bullet"/>
      <w:lvlText w:val="•"/>
      <w:lvlJc w:val="left"/>
      <w:pPr>
        <w:tabs>
          <w:tab w:val="num" w:pos="4320"/>
        </w:tabs>
        <w:ind w:left="4320" w:hanging="360"/>
      </w:pPr>
      <w:rPr>
        <w:rFonts w:ascii="Arial" w:hAnsi="Arial" w:hint="default"/>
      </w:rPr>
    </w:lvl>
    <w:lvl w:ilvl="6" w:tplc="860ABEF8" w:tentative="1">
      <w:start w:val="1"/>
      <w:numFmt w:val="bullet"/>
      <w:lvlText w:val="•"/>
      <w:lvlJc w:val="left"/>
      <w:pPr>
        <w:tabs>
          <w:tab w:val="num" w:pos="5040"/>
        </w:tabs>
        <w:ind w:left="5040" w:hanging="360"/>
      </w:pPr>
      <w:rPr>
        <w:rFonts w:ascii="Arial" w:hAnsi="Arial" w:hint="default"/>
      </w:rPr>
    </w:lvl>
    <w:lvl w:ilvl="7" w:tplc="AF8653EA" w:tentative="1">
      <w:start w:val="1"/>
      <w:numFmt w:val="bullet"/>
      <w:lvlText w:val="•"/>
      <w:lvlJc w:val="left"/>
      <w:pPr>
        <w:tabs>
          <w:tab w:val="num" w:pos="5760"/>
        </w:tabs>
        <w:ind w:left="5760" w:hanging="360"/>
      </w:pPr>
      <w:rPr>
        <w:rFonts w:ascii="Arial" w:hAnsi="Arial" w:hint="default"/>
      </w:rPr>
    </w:lvl>
    <w:lvl w:ilvl="8" w:tplc="C56EAC6A" w:tentative="1">
      <w:start w:val="1"/>
      <w:numFmt w:val="bullet"/>
      <w:lvlText w:val="•"/>
      <w:lvlJc w:val="left"/>
      <w:pPr>
        <w:tabs>
          <w:tab w:val="num" w:pos="6480"/>
        </w:tabs>
        <w:ind w:left="6480" w:hanging="360"/>
      </w:pPr>
      <w:rPr>
        <w:rFonts w:ascii="Arial" w:hAnsi="Arial" w:hint="default"/>
      </w:rPr>
    </w:lvl>
  </w:abstractNum>
  <w:abstractNum w:abstractNumId="5">
    <w:nsid w:val="79F46288"/>
    <w:multiLevelType w:val="hybridMultilevel"/>
    <w:tmpl w:val="AB1CDD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C3E1EB9"/>
    <w:multiLevelType w:val="multilevel"/>
    <w:tmpl w:val="891804AC"/>
    <w:lvl w:ilvl="0">
      <w:start w:val="1"/>
      <w:numFmt w:val="decimal"/>
      <w:lvlText w:val="%1"/>
      <w:lvlJc w:val="left"/>
      <w:pPr>
        <w:ind w:left="57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6"/>
  </w:num>
  <w:num w:numId="2">
    <w:abstractNumId w:val="2"/>
  </w:num>
  <w:num w:numId="3">
    <w:abstractNumId w:val="1"/>
  </w:num>
  <w:num w:numId="4">
    <w:abstractNumId w:val="4"/>
  </w:num>
  <w:num w:numId="5">
    <w:abstractNumId w:val="5"/>
  </w:num>
  <w:num w:numId="6">
    <w:abstractNumId w:val="3"/>
  </w:num>
  <w:num w:numId="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hdrShapeDefaults>
    <o:shapedefaults v:ext="edit" spidmax="132098"/>
  </w:hdrShapeDefaults>
  <w:footnotePr>
    <w:footnote w:id="0"/>
    <w:footnote w:id="1"/>
  </w:footnotePr>
  <w:endnotePr>
    <w:endnote w:id="0"/>
    <w:endnote w:id="1"/>
  </w:endnotePr>
  <w:compat/>
  <w:rsids>
    <w:rsidRoot w:val="004C35BD"/>
    <w:rsid w:val="00000E29"/>
    <w:rsid w:val="00002FB6"/>
    <w:rsid w:val="00005C52"/>
    <w:rsid w:val="0001168F"/>
    <w:rsid w:val="00014838"/>
    <w:rsid w:val="00024267"/>
    <w:rsid w:val="00030DE6"/>
    <w:rsid w:val="00031ED7"/>
    <w:rsid w:val="000401A2"/>
    <w:rsid w:val="0004090A"/>
    <w:rsid w:val="0004094A"/>
    <w:rsid w:val="000426AC"/>
    <w:rsid w:val="00050606"/>
    <w:rsid w:val="00051438"/>
    <w:rsid w:val="00055BA1"/>
    <w:rsid w:val="00060012"/>
    <w:rsid w:val="00067606"/>
    <w:rsid w:val="00077A5C"/>
    <w:rsid w:val="00084042"/>
    <w:rsid w:val="000870A3"/>
    <w:rsid w:val="00094EE7"/>
    <w:rsid w:val="000A321A"/>
    <w:rsid w:val="000E5EFE"/>
    <w:rsid w:val="000F6B47"/>
    <w:rsid w:val="00101399"/>
    <w:rsid w:val="00102A3E"/>
    <w:rsid w:val="0011146C"/>
    <w:rsid w:val="00113484"/>
    <w:rsid w:val="00121C57"/>
    <w:rsid w:val="0013235F"/>
    <w:rsid w:val="001404D4"/>
    <w:rsid w:val="001433DF"/>
    <w:rsid w:val="00143803"/>
    <w:rsid w:val="0014489F"/>
    <w:rsid w:val="00146E90"/>
    <w:rsid w:val="00147AD2"/>
    <w:rsid w:val="00154626"/>
    <w:rsid w:val="0015673B"/>
    <w:rsid w:val="00160400"/>
    <w:rsid w:val="00171E51"/>
    <w:rsid w:val="00175BC4"/>
    <w:rsid w:val="00177749"/>
    <w:rsid w:val="0017797C"/>
    <w:rsid w:val="00182C49"/>
    <w:rsid w:val="001866E9"/>
    <w:rsid w:val="001875C1"/>
    <w:rsid w:val="001937F3"/>
    <w:rsid w:val="0019644D"/>
    <w:rsid w:val="001B1A26"/>
    <w:rsid w:val="001B2E84"/>
    <w:rsid w:val="001B5DF9"/>
    <w:rsid w:val="001B634E"/>
    <w:rsid w:val="001E4ED3"/>
    <w:rsid w:val="001F0B42"/>
    <w:rsid w:val="001F214F"/>
    <w:rsid w:val="001F468B"/>
    <w:rsid w:val="001F472C"/>
    <w:rsid w:val="001F6D13"/>
    <w:rsid w:val="0021229C"/>
    <w:rsid w:val="00212EC4"/>
    <w:rsid w:val="002132E3"/>
    <w:rsid w:val="00215F01"/>
    <w:rsid w:val="002206B9"/>
    <w:rsid w:val="00221735"/>
    <w:rsid w:val="00222226"/>
    <w:rsid w:val="002262B0"/>
    <w:rsid w:val="00234BE7"/>
    <w:rsid w:val="00240BE9"/>
    <w:rsid w:val="002478F3"/>
    <w:rsid w:val="00251752"/>
    <w:rsid w:val="00262627"/>
    <w:rsid w:val="00265271"/>
    <w:rsid w:val="00283E88"/>
    <w:rsid w:val="002903DA"/>
    <w:rsid w:val="002A4F92"/>
    <w:rsid w:val="002B6EEB"/>
    <w:rsid w:val="002C1F17"/>
    <w:rsid w:val="002C3C0C"/>
    <w:rsid w:val="002D1BD3"/>
    <w:rsid w:val="002D4F92"/>
    <w:rsid w:val="002E3D81"/>
    <w:rsid w:val="002F3B63"/>
    <w:rsid w:val="002F413E"/>
    <w:rsid w:val="002F6D55"/>
    <w:rsid w:val="00314A8C"/>
    <w:rsid w:val="00316247"/>
    <w:rsid w:val="003254F2"/>
    <w:rsid w:val="0033266C"/>
    <w:rsid w:val="003443AE"/>
    <w:rsid w:val="00344455"/>
    <w:rsid w:val="003540C3"/>
    <w:rsid w:val="00362B05"/>
    <w:rsid w:val="00364B5E"/>
    <w:rsid w:val="00365425"/>
    <w:rsid w:val="00376D1F"/>
    <w:rsid w:val="00384CCD"/>
    <w:rsid w:val="0038586B"/>
    <w:rsid w:val="0039441D"/>
    <w:rsid w:val="003B5878"/>
    <w:rsid w:val="003B7A55"/>
    <w:rsid w:val="003C10DD"/>
    <w:rsid w:val="003C7767"/>
    <w:rsid w:val="003D5F07"/>
    <w:rsid w:val="003E077F"/>
    <w:rsid w:val="00402606"/>
    <w:rsid w:val="00412199"/>
    <w:rsid w:val="004138B8"/>
    <w:rsid w:val="00420DD8"/>
    <w:rsid w:val="004328D7"/>
    <w:rsid w:val="00434E5B"/>
    <w:rsid w:val="004367A0"/>
    <w:rsid w:val="00437015"/>
    <w:rsid w:val="0044064F"/>
    <w:rsid w:val="00440A91"/>
    <w:rsid w:val="00443197"/>
    <w:rsid w:val="004506B9"/>
    <w:rsid w:val="004844E0"/>
    <w:rsid w:val="00487588"/>
    <w:rsid w:val="004949EE"/>
    <w:rsid w:val="0049587A"/>
    <w:rsid w:val="004A4A04"/>
    <w:rsid w:val="004B59D8"/>
    <w:rsid w:val="004C119B"/>
    <w:rsid w:val="004C35BD"/>
    <w:rsid w:val="004C76E1"/>
    <w:rsid w:val="004C7F61"/>
    <w:rsid w:val="004D14FC"/>
    <w:rsid w:val="004D3FCF"/>
    <w:rsid w:val="004D6D82"/>
    <w:rsid w:val="004D71AC"/>
    <w:rsid w:val="004E1A67"/>
    <w:rsid w:val="004F1D08"/>
    <w:rsid w:val="005046D3"/>
    <w:rsid w:val="00507A13"/>
    <w:rsid w:val="00512C5D"/>
    <w:rsid w:val="005157E0"/>
    <w:rsid w:val="00523447"/>
    <w:rsid w:val="0052464F"/>
    <w:rsid w:val="00526C90"/>
    <w:rsid w:val="00532460"/>
    <w:rsid w:val="00541561"/>
    <w:rsid w:val="00545AE7"/>
    <w:rsid w:val="00557BA9"/>
    <w:rsid w:val="0056523B"/>
    <w:rsid w:val="0057470A"/>
    <w:rsid w:val="00585FC7"/>
    <w:rsid w:val="00596A1C"/>
    <w:rsid w:val="005A3B11"/>
    <w:rsid w:val="005A4477"/>
    <w:rsid w:val="005A4A59"/>
    <w:rsid w:val="005B720E"/>
    <w:rsid w:val="005D5BE1"/>
    <w:rsid w:val="005D6343"/>
    <w:rsid w:val="005E3492"/>
    <w:rsid w:val="005E6A4A"/>
    <w:rsid w:val="005F1676"/>
    <w:rsid w:val="00607C05"/>
    <w:rsid w:val="0061574D"/>
    <w:rsid w:val="00620E61"/>
    <w:rsid w:val="006267B6"/>
    <w:rsid w:val="0063148C"/>
    <w:rsid w:val="00633429"/>
    <w:rsid w:val="006428D9"/>
    <w:rsid w:val="00647878"/>
    <w:rsid w:val="006564B4"/>
    <w:rsid w:val="006729FD"/>
    <w:rsid w:val="00675717"/>
    <w:rsid w:val="006A0669"/>
    <w:rsid w:val="006A17D7"/>
    <w:rsid w:val="006A6C86"/>
    <w:rsid w:val="006B0D7F"/>
    <w:rsid w:val="006B50D2"/>
    <w:rsid w:val="006B73AB"/>
    <w:rsid w:val="006C551F"/>
    <w:rsid w:val="006C6181"/>
    <w:rsid w:val="006D42CF"/>
    <w:rsid w:val="006E7AA7"/>
    <w:rsid w:val="006F4440"/>
    <w:rsid w:val="00705BA7"/>
    <w:rsid w:val="00705F10"/>
    <w:rsid w:val="007061F7"/>
    <w:rsid w:val="007113A3"/>
    <w:rsid w:val="00724F32"/>
    <w:rsid w:val="00726EB2"/>
    <w:rsid w:val="007306B2"/>
    <w:rsid w:val="007329D8"/>
    <w:rsid w:val="007330B3"/>
    <w:rsid w:val="00745F61"/>
    <w:rsid w:val="0076036A"/>
    <w:rsid w:val="00776D1A"/>
    <w:rsid w:val="00793F71"/>
    <w:rsid w:val="00796ACE"/>
    <w:rsid w:val="007A3608"/>
    <w:rsid w:val="007A384D"/>
    <w:rsid w:val="007B3F17"/>
    <w:rsid w:val="007B5586"/>
    <w:rsid w:val="007B68CC"/>
    <w:rsid w:val="007D18E0"/>
    <w:rsid w:val="007E06C6"/>
    <w:rsid w:val="007E41C2"/>
    <w:rsid w:val="007F4B9B"/>
    <w:rsid w:val="007F6DBD"/>
    <w:rsid w:val="007F7EBF"/>
    <w:rsid w:val="00800447"/>
    <w:rsid w:val="00810A62"/>
    <w:rsid w:val="00816E61"/>
    <w:rsid w:val="00826222"/>
    <w:rsid w:val="008263C2"/>
    <w:rsid w:val="008310F2"/>
    <w:rsid w:val="008316FE"/>
    <w:rsid w:val="008371DD"/>
    <w:rsid w:val="00837724"/>
    <w:rsid w:val="008425A2"/>
    <w:rsid w:val="00844A5B"/>
    <w:rsid w:val="00852472"/>
    <w:rsid w:val="00856831"/>
    <w:rsid w:val="008644F6"/>
    <w:rsid w:val="008722F5"/>
    <w:rsid w:val="00872F62"/>
    <w:rsid w:val="008743BB"/>
    <w:rsid w:val="008833DB"/>
    <w:rsid w:val="00885C9E"/>
    <w:rsid w:val="008919CA"/>
    <w:rsid w:val="00897E02"/>
    <w:rsid w:val="008A0CB5"/>
    <w:rsid w:val="008A2378"/>
    <w:rsid w:val="008C16C3"/>
    <w:rsid w:val="008C73CE"/>
    <w:rsid w:val="008C7824"/>
    <w:rsid w:val="008D4644"/>
    <w:rsid w:val="008F024F"/>
    <w:rsid w:val="008F16C3"/>
    <w:rsid w:val="008F3865"/>
    <w:rsid w:val="008F6C35"/>
    <w:rsid w:val="00900CFF"/>
    <w:rsid w:val="00907CBD"/>
    <w:rsid w:val="009104F4"/>
    <w:rsid w:val="00914333"/>
    <w:rsid w:val="00915FEB"/>
    <w:rsid w:val="00921C07"/>
    <w:rsid w:val="00923F3A"/>
    <w:rsid w:val="009307CB"/>
    <w:rsid w:val="00931713"/>
    <w:rsid w:val="0093483D"/>
    <w:rsid w:val="00936C07"/>
    <w:rsid w:val="00942EBB"/>
    <w:rsid w:val="00954ED7"/>
    <w:rsid w:val="00957C97"/>
    <w:rsid w:val="00965F7A"/>
    <w:rsid w:val="00970C36"/>
    <w:rsid w:val="009713D6"/>
    <w:rsid w:val="009749D5"/>
    <w:rsid w:val="0098396C"/>
    <w:rsid w:val="00987CE2"/>
    <w:rsid w:val="009945D6"/>
    <w:rsid w:val="0099491E"/>
    <w:rsid w:val="009975D1"/>
    <w:rsid w:val="009A4073"/>
    <w:rsid w:val="009A5B4E"/>
    <w:rsid w:val="009A636C"/>
    <w:rsid w:val="009B37A1"/>
    <w:rsid w:val="009D32B3"/>
    <w:rsid w:val="009E7AF8"/>
    <w:rsid w:val="009F58BB"/>
    <w:rsid w:val="009F6F45"/>
    <w:rsid w:val="009F7F22"/>
    <w:rsid w:val="00A04D2A"/>
    <w:rsid w:val="00A1131E"/>
    <w:rsid w:val="00A12CAC"/>
    <w:rsid w:val="00A32A5C"/>
    <w:rsid w:val="00A33A9E"/>
    <w:rsid w:val="00A366E0"/>
    <w:rsid w:val="00A371B0"/>
    <w:rsid w:val="00A47F28"/>
    <w:rsid w:val="00A651B6"/>
    <w:rsid w:val="00A669E2"/>
    <w:rsid w:val="00A730DA"/>
    <w:rsid w:val="00A82364"/>
    <w:rsid w:val="00AA4A44"/>
    <w:rsid w:val="00AB1C4B"/>
    <w:rsid w:val="00AD3ACC"/>
    <w:rsid w:val="00AD3F10"/>
    <w:rsid w:val="00AF3747"/>
    <w:rsid w:val="00B060B1"/>
    <w:rsid w:val="00B12049"/>
    <w:rsid w:val="00B14ECF"/>
    <w:rsid w:val="00B172ED"/>
    <w:rsid w:val="00B23FF3"/>
    <w:rsid w:val="00B30B80"/>
    <w:rsid w:val="00B35B6C"/>
    <w:rsid w:val="00B43C5E"/>
    <w:rsid w:val="00B547BF"/>
    <w:rsid w:val="00B562CF"/>
    <w:rsid w:val="00B61943"/>
    <w:rsid w:val="00B61AD1"/>
    <w:rsid w:val="00B80567"/>
    <w:rsid w:val="00B83268"/>
    <w:rsid w:val="00B859C9"/>
    <w:rsid w:val="00B85D7B"/>
    <w:rsid w:val="00BA6026"/>
    <w:rsid w:val="00BA61DD"/>
    <w:rsid w:val="00BC1D54"/>
    <w:rsid w:val="00BC1F38"/>
    <w:rsid w:val="00BC75B3"/>
    <w:rsid w:val="00BE27EF"/>
    <w:rsid w:val="00BF1FA8"/>
    <w:rsid w:val="00BF22C4"/>
    <w:rsid w:val="00BF28BA"/>
    <w:rsid w:val="00BF3723"/>
    <w:rsid w:val="00BF52BB"/>
    <w:rsid w:val="00C00127"/>
    <w:rsid w:val="00C05500"/>
    <w:rsid w:val="00C075F6"/>
    <w:rsid w:val="00C12747"/>
    <w:rsid w:val="00C1479B"/>
    <w:rsid w:val="00C15C26"/>
    <w:rsid w:val="00C21681"/>
    <w:rsid w:val="00C24FC5"/>
    <w:rsid w:val="00C31146"/>
    <w:rsid w:val="00C31DEF"/>
    <w:rsid w:val="00C34AFE"/>
    <w:rsid w:val="00C35F40"/>
    <w:rsid w:val="00C37E79"/>
    <w:rsid w:val="00C70ADD"/>
    <w:rsid w:val="00C77606"/>
    <w:rsid w:val="00C9171C"/>
    <w:rsid w:val="00C9198D"/>
    <w:rsid w:val="00C91DF9"/>
    <w:rsid w:val="00C9381E"/>
    <w:rsid w:val="00C9451C"/>
    <w:rsid w:val="00CA5B84"/>
    <w:rsid w:val="00CD0391"/>
    <w:rsid w:val="00CF23AD"/>
    <w:rsid w:val="00CF2817"/>
    <w:rsid w:val="00D0332D"/>
    <w:rsid w:val="00D171AE"/>
    <w:rsid w:val="00D2228E"/>
    <w:rsid w:val="00D22900"/>
    <w:rsid w:val="00D249D8"/>
    <w:rsid w:val="00D3145C"/>
    <w:rsid w:val="00D32E0B"/>
    <w:rsid w:val="00D35265"/>
    <w:rsid w:val="00D365C3"/>
    <w:rsid w:val="00D42C45"/>
    <w:rsid w:val="00D45956"/>
    <w:rsid w:val="00D503E2"/>
    <w:rsid w:val="00D5357B"/>
    <w:rsid w:val="00D76B9C"/>
    <w:rsid w:val="00D81C26"/>
    <w:rsid w:val="00D836D3"/>
    <w:rsid w:val="00D83CD5"/>
    <w:rsid w:val="00D83E2D"/>
    <w:rsid w:val="00D93CA9"/>
    <w:rsid w:val="00D95B4C"/>
    <w:rsid w:val="00DA0DD6"/>
    <w:rsid w:val="00DA29BE"/>
    <w:rsid w:val="00DB127D"/>
    <w:rsid w:val="00DB3777"/>
    <w:rsid w:val="00DB4D05"/>
    <w:rsid w:val="00DD063C"/>
    <w:rsid w:val="00DD46E5"/>
    <w:rsid w:val="00DD6A26"/>
    <w:rsid w:val="00DD6BCA"/>
    <w:rsid w:val="00DE5753"/>
    <w:rsid w:val="00DF3381"/>
    <w:rsid w:val="00DF4A9C"/>
    <w:rsid w:val="00E03851"/>
    <w:rsid w:val="00E03B6C"/>
    <w:rsid w:val="00E0426E"/>
    <w:rsid w:val="00E067E1"/>
    <w:rsid w:val="00E11965"/>
    <w:rsid w:val="00E13E4E"/>
    <w:rsid w:val="00E2045B"/>
    <w:rsid w:val="00E234FA"/>
    <w:rsid w:val="00E35C8D"/>
    <w:rsid w:val="00E3673B"/>
    <w:rsid w:val="00E4387C"/>
    <w:rsid w:val="00E62BDB"/>
    <w:rsid w:val="00E6377B"/>
    <w:rsid w:val="00E74845"/>
    <w:rsid w:val="00E74E6E"/>
    <w:rsid w:val="00E806E4"/>
    <w:rsid w:val="00E960F3"/>
    <w:rsid w:val="00EA1404"/>
    <w:rsid w:val="00EB2FDA"/>
    <w:rsid w:val="00EB7E08"/>
    <w:rsid w:val="00EC17E8"/>
    <w:rsid w:val="00EC5FE3"/>
    <w:rsid w:val="00EC6EEA"/>
    <w:rsid w:val="00EC776D"/>
    <w:rsid w:val="00ED14D3"/>
    <w:rsid w:val="00EE2AAF"/>
    <w:rsid w:val="00F03A4E"/>
    <w:rsid w:val="00F04144"/>
    <w:rsid w:val="00F07EE1"/>
    <w:rsid w:val="00F11BF6"/>
    <w:rsid w:val="00F20263"/>
    <w:rsid w:val="00F235AD"/>
    <w:rsid w:val="00F25D29"/>
    <w:rsid w:val="00F3659D"/>
    <w:rsid w:val="00F63C14"/>
    <w:rsid w:val="00F718A7"/>
    <w:rsid w:val="00F72F65"/>
    <w:rsid w:val="00F77E7A"/>
    <w:rsid w:val="00F846A8"/>
    <w:rsid w:val="00F876BE"/>
    <w:rsid w:val="00F96DCF"/>
    <w:rsid w:val="00F97353"/>
    <w:rsid w:val="00FA386B"/>
    <w:rsid w:val="00FA7CDF"/>
    <w:rsid w:val="00FB782C"/>
    <w:rsid w:val="00FC0169"/>
    <w:rsid w:val="00FC16A9"/>
    <w:rsid w:val="00FC28E1"/>
    <w:rsid w:val="00FD7C1D"/>
    <w:rsid w:val="00FE3B97"/>
    <w:rsid w:val="00FE4544"/>
    <w:rsid w:val="00FF2DE3"/>
    <w:rsid w:val="00FF6B1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32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D71AC"/>
    <w:rPr>
      <w:rFonts w:asciiTheme="majorHAnsi" w:hAnsiTheme="majorHAnsi"/>
      <w:sz w:val="24"/>
    </w:rPr>
  </w:style>
  <w:style w:type="paragraph" w:styleId="Heading1">
    <w:name w:val="heading 1"/>
    <w:basedOn w:val="Normal"/>
    <w:next w:val="Normal"/>
    <w:link w:val="Heading1Char"/>
    <w:uiPriority w:val="9"/>
    <w:qFormat/>
    <w:rsid w:val="00102A3E"/>
    <w:pPr>
      <w:keepNext/>
      <w:keepLines/>
      <w:spacing w:before="480" w:after="0"/>
      <w:jc w:val="center"/>
      <w:outlineLvl w:val="0"/>
    </w:pPr>
    <w:rPr>
      <w:rFonts w:eastAsiaTheme="majorEastAsia" w:cstheme="majorBidi"/>
      <w:b/>
      <w:bCs/>
      <w:sz w:val="28"/>
      <w:szCs w:val="28"/>
    </w:rPr>
  </w:style>
  <w:style w:type="paragraph" w:styleId="Heading2">
    <w:name w:val="heading 2"/>
    <w:basedOn w:val="Normal"/>
    <w:next w:val="Normal"/>
    <w:link w:val="Heading2Char"/>
    <w:uiPriority w:val="9"/>
    <w:semiHidden/>
    <w:unhideWhenUsed/>
    <w:qFormat/>
    <w:rsid w:val="00BC1D54"/>
    <w:pPr>
      <w:keepNext/>
      <w:keepLines/>
      <w:spacing w:before="200" w:after="0"/>
      <w:outlineLvl w:val="1"/>
    </w:pPr>
    <w:rPr>
      <w:rFonts w:eastAsiaTheme="majorEastAsia"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BC1D54"/>
    <w:pPr>
      <w:keepNext/>
      <w:keepLines/>
      <w:spacing w:before="200" w:after="0"/>
      <w:outlineLvl w:val="2"/>
    </w:pPr>
    <w:rPr>
      <w:rFonts w:eastAsiaTheme="majorEastAsia"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4C35BD"/>
    <w:pPr>
      <w:spacing w:before="100" w:beforeAutospacing="1" w:after="100" w:afterAutospacing="1" w:line="240" w:lineRule="auto"/>
    </w:pPr>
    <w:rPr>
      <w:rFonts w:ascii="Times New Roman" w:eastAsia="Times New Roman" w:hAnsi="Times New Roman" w:cs="Times New Roman"/>
      <w:szCs w:val="24"/>
    </w:rPr>
  </w:style>
  <w:style w:type="character" w:customStyle="1" w:styleId="Heading1Char">
    <w:name w:val="Heading 1 Char"/>
    <w:basedOn w:val="DefaultParagraphFont"/>
    <w:link w:val="Heading1"/>
    <w:uiPriority w:val="9"/>
    <w:rsid w:val="00102A3E"/>
    <w:rPr>
      <w:rFonts w:asciiTheme="majorHAnsi" w:eastAsiaTheme="majorEastAsia" w:hAnsiTheme="majorHAnsi" w:cstheme="majorBidi"/>
      <w:b/>
      <w:bCs/>
      <w:sz w:val="28"/>
      <w:szCs w:val="28"/>
    </w:rPr>
  </w:style>
  <w:style w:type="paragraph" w:customStyle="1" w:styleId="Style1">
    <w:name w:val="Style1"/>
    <w:basedOn w:val="Heading1"/>
    <w:next w:val="Style2"/>
    <w:link w:val="Style1Char"/>
    <w:qFormat/>
    <w:rsid w:val="00ED14D3"/>
    <w:pPr>
      <w:spacing w:before="240" w:after="240" w:line="240" w:lineRule="auto"/>
    </w:pPr>
  </w:style>
  <w:style w:type="paragraph" w:customStyle="1" w:styleId="Style2">
    <w:name w:val="Style2"/>
    <w:basedOn w:val="Style1"/>
    <w:next w:val="Style3"/>
    <w:link w:val="Style2Char"/>
    <w:qFormat/>
    <w:rsid w:val="008A2378"/>
    <w:pPr>
      <w:spacing w:before="120" w:after="120" w:line="480" w:lineRule="auto"/>
      <w:jc w:val="left"/>
    </w:pPr>
    <w:rPr>
      <w:sz w:val="24"/>
    </w:rPr>
  </w:style>
  <w:style w:type="character" w:customStyle="1" w:styleId="Style1Char">
    <w:name w:val="Style1 Char"/>
    <w:basedOn w:val="Heading1Char"/>
    <w:link w:val="Style1"/>
    <w:rsid w:val="00ED14D3"/>
  </w:style>
  <w:style w:type="paragraph" w:styleId="ListParagraph">
    <w:name w:val="List Paragraph"/>
    <w:basedOn w:val="Normal"/>
    <w:uiPriority w:val="34"/>
    <w:qFormat/>
    <w:rsid w:val="004C35BD"/>
    <w:pPr>
      <w:ind w:left="720"/>
      <w:contextualSpacing/>
    </w:pPr>
  </w:style>
  <w:style w:type="character" w:customStyle="1" w:styleId="Style2Char">
    <w:name w:val="Style2 Char"/>
    <w:basedOn w:val="Style1Char"/>
    <w:link w:val="Style2"/>
    <w:rsid w:val="008A2378"/>
    <w:rPr>
      <w:sz w:val="24"/>
    </w:rPr>
  </w:style>
  <w:style w:type="paragraph" w:customStyle="1" w:styleId="Style3">
    <w:name w:val="Style3"/>
    <w:basedOn w:val="Style2"/>
    <w:link w:val="Style3Char"/>
    <w:qFormat/>
    <w:rsid w:val="00B43C5E"/>
    <w:rPr>
      <w:b w:val="0"/>
      <w:i/>
    </w:rPr>
  </w:style>
  <w:style w:type="paragraph" w:styleId="TOCHeading">
    <w:name w:val="TOC Heading"/>
    <w:basedOn w:val="Heading1"/>
    <w:next w:val="Normal"/>
    <w:uiPriority w:val="39"/>
    <w:unhideWhenUsed/>
    <w:qFormat/>
    <w:rsid w:val="00D249D8"/>
    <w:pPr>
      <w:outlineLvl w:val="9"/>
    </w:pPr>
  </w:style>
  <w:style w:type="character" w:customStyle="1" w:styleId="Style3Char">
    <w:name w:val="Style3 Char"/>
    <w:basedOn w:val="Style2Char"/>
    <w:link w:val="Style3"/>
    <w:rsid w:val="00B43C5E"/>
    <w:rPr>
      <w:i/>
    </w:rPr>
  </w:style>
  <w:style w:type="paragraph" w:styleId="TOC1">
    <w:name w:val="toc 1"/>
    <w:basedOn w:val="Normal"/>
    <w:next w:val="Normal"/>
    <w:autoRedefine/>
    <w:uiPriority w:val="39"/>
    <w:unhideWhenUsed/>
    <w:qFormat/>
    <w:rsid w:val="00BC1D54"/>
    <w:pPr>
      <w:spacing w:after="100"/>
    </w:pPr>
  </w:style>
  <w:style w:type="character" w:styleId="Hyperlink">
    <w:name w:val="Hyperlink"/>
    <w:basedOn w:val="DefaultParagraphFont"/>
    <w:uiPriority w:val="99"/>
    <w:unhideWhenUsed/>
    <w:rsid w:val="00D249D8"/>
    <w:rPr>
      <w:color w:val="0000FF" w:themeColor="hyperlink"/>
      <w:u w:val="single"/>
    </w:rPr>
  </w:style>
  <w:style w:type="paragraph" w:styleId="BalloonText">
    <w:name w:val="Balloon Text"/>
    <w:basedOn w:val="Normal"/>
    <w:link w:val="BalloonTextChar"/>
    <w:uiPriority w:val="99"/>
    <w:semiHidden/>
    <w:unhideWhenUsed/>
    <w:rsid w:val="00D249D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249D8"/>
    <w:rPr>
      <w:rFonts w:ascii="Tahoma" w:hAnsi="Tahoma" w:cs="Tahoma"/>
      <w:sz w:val="16"/>
      <w:szCs w:val="16"/>
    </w:rPr>
  </w:style>
  <w:style w:type="table" w:styleId="TableGrid">
    <w:name w:val="Table Grid"/>
    <w:basedOn w:val="TableNormal"/>
    <w:uiPriority w:val="59"/>
    <w:rsid w:val="00E2045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F96DCF"/>
    <w:rPr>
      <w:color w:val="808080"/>
    </w:rPr>
  </w:style>
  <w:style w:type="paragraph" w:styleId="Header">
    <w:name w:val="header"/>
    <w:basedOn w:val="Normal"/>
    <w:link w:val="HeaderChar"/>
    <w:uiPriority w:val="99"/>
    <w:unhideWhenUsed/>
    <w:rsid w:val="008A2378"/>
    <w:pPr>
      <w:tabs>
        <w:tab w:val="center" w:pos="4680"/>
        <w:tab w:val="right" w:pos="9360"/>
      </w:tabs>
      <w:spacing w:after="0" w:line="240" w:lineRule="auto"/>
    </w:pPr>
  </w:style>
  <w:style w:type="character" w:customStyle="1" w:styleId="HeaderChar">
    <w:name w:val="Header Char"/>
    <w:basedOn w:val="DefaultParagraphFont"/>
    <w:link w:val="Header"/>
    <w:uiPriority w:val="99"/>
    <w:rsid w:val="008A2378"/>
  </w:style>
  <w:style w:type="paragraph" w:styleId="Footer">
    <w:name w:val="footer"/>
    <w:basedOn w:val="Normal"/>
    <w:link w:val="FooterChar"/>
    <w:uiPriority w:val="99"/>
    <w:unhideWhenUsed/>
    <w:rsid w:val="008A2378"/>
    <w:pPr>
      <w:tabs>
        <w:tab w:val="center" w:pos="4680"/>
        <w:tab w:val="right" w:pos="9360"/>
      </w:tabs>
      <w:spacing w:after="0" w:line="240" w:lineRule="auto"/>
    </w:pPr>
  </w:style>
  <w:style w:type="character" w:customStyle="1" w:styleId="FooterChar">
    <w:name w:val="Footer Char"/>
    <w:basedOn w:val="DefaultParagraphFont"/>
    <w:link w:val="Footer"/>
    <w:uiPriority w:val="99"/>
    <w:rsid w:val="008A2378"/>
  </w:style>
  <w:style w:type="paragraph" w:styleId="TOC2">
    <w:name w:val="toc 2"/>
    <w:basedOn w:val="Normal"/>
    <w:next w:val="Normal"/>
    <w:autoRedefine/>
    <w:uiPriority w:val="39"/>
    <w:semiHidden/>
    <w:unhideWhenUsed/>
    <w:qFormat/>
    <w:rsid w:val="00102A3E"/>
    <w:pPr>
      <w:spacing w:after="100"/>
      <w:ind w:left="220"/>
    </w:pPr>
    <w:rPr>
      <w:rFonts w:eastAsiaTheme="minorEastAsia"/>
    </w:rPr>
  </w:style>
  <w:style w:type="paragraph" w:styleId="TOC3">
    <w:name w:val="toc 3"/>
    <w:basedOn w:val="Normal"/>
    <w:next w:val="Normal"/>
    <w:autoRedefine/>
    <w:uiPriority w:val="39"/>
    <w:semiHidden/>
    <w:unhideWhenUsed/>
    <w:qFormat/>
    <w:rsid w:val="00102A3E"/>
    <w:pPr>
      <w:spacing w:after="100"/>
      <w:ind w:left="440"/>
    </w:pPr>
    <w:rPr>
      <w:rFonts w:eastAsiaTheme="minorEastAsia"/>
    </w:rPr>
  </w:style>
  <w:style w:type="character" w:customStyle="1" w:styleId="Heading2Char">
    <w:name w:val="Heading 2 Char"/>
    <w:basedOn w:val="DefaultParagraphFont"/>
    <w:link w:val="Heading2"/>
    <w:uiPriority w:val="9"/>
    <w:semiHidden/>
    <w:rsid w:val="00BC1D54"/>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semiHidden/>
    <w:rsid w:val="00BC1D54"/>
    <w:rPr>
      <w:rFonts w:asciiTheme="majorHAnsi" w:eastAsiaTheme="majorEastAsia" w:hAnsiTheme="majorHAnsi" w:cstheme="majorBidi"/>
      <w:b/>
      <w:bCs/>
      <w:color w:val="4F81BD" w:themeColor="accent1"/>
    </w:rPr>
  </w:style>
  <w:style w:type="paragraph" w:styleId="Quote">
    <w:name w:val="Quote"/>
    <w:aliases w:val="Tables"/>
    <w:basedOn w:val="Normal"/>
    <w:next w:val="Normal"/>
    <w:link w:val="QuoteChar"/>
    <w:uiPriority w:val="29"/>
    <w:qFormat/>
    <w:rsid w:val="004D71AC"/>
    <w:rPr>
      <w:iCs/>
      <w:color w:val="000000" w:themeColor="text1"/>
    </w:rPr>
  </w:style>
  <w:style w:type="paragraph" w:styleId="TableofFigures">
    <w:name w:val="table of figures"/>
    <w:aliases w:val="LIST OF TABLES"/>
    <w:basedOn w:val="Normal"/>
    <w:next w:val="Normal"/>
    <w:uiPriority w:val="99"/>
    <w:unhideWhenUsed/>
    <w:rsid w:val="00557BA9"/>
    <w:pPr>
      <w:spacing w:after="0"/>
      <w:ind w:left="480" w:hanging="480"/>
    </w:pPr>
    <w:rPr>
      <w:rFonts w:ascii="Cambria" w:hAnsi="Cambria" w:cstheme="minorHAnsi"/>
      <w:caps/>
      <w:szCs w:val="20"/>
    </w:rPr>
  </w:style>
  <w:style w:type="character" w:customStyle="1" w:styleId="QuoteChar">
    <w:name w:val="Quote Char"/>
    <w:aliases w:val="Tables Char"/>
    <w:basedOn w:val="DefaultParagraphFont"/>
    <w:link w:val="Quote"/>
    <w:uiPriority w:val="29"/>
    <w:rsid w:val="004D71AC"/>
    <w:rPr>
      <w:rFonts w:asciiTheme="majorHAnsi" w:hAnsiTheme="majorHAnsi"/>
      <w:iCs/>
      <w:color w:val="000000" w:themeColor="text1"/>
      <w:sz w:val="24"/>
    </w:rPr>
  </w:style>
  <w:style w:type="character" w:styleId="Strong">
    <w:name w:val="Strong"/>
    <w:aliases w:val="Figures"/>
    <w:basedOn w:val="DefaultParagraphFont"/>
    <w:uiPriority w:val="22"/>
    <w:qFormat/>
    <w:rsid w:val="004D71AC"/>
    <w:rPr>
      <w:rFonts w:asciiTheme="majorHAnsi" w:hAnsiTheme="majorHAnsi"/>
      <w:bCs/>
      <w:sz w:val="24"/>
    </w:rPr>
  </w:style>
  <w:style w:type="paragraph" w:styleId="NoSpacing">
    <w:name w:val="No Spacing"/>
    <w:uiPriority w:val="1"/>
    <w:qFormat/>
    <w:rsid w:val="005046D3"/>
    <w:pPr>
      <w:spacing w:after="0" w:line="240" w:lineRule="auto"/>
    </w:pPr>
    <w:rPr>
      <w:rFonts w:asciiTheme="majorHAnsi" w:hAnsiTheme="majorHAnsi"/>
      <w:sz w:val="24"/>
    </w:rPr>
  </w:style>
  <w:style w:type="paragraph" w:styleId="Caption">
    <w:name w:val="caption"/>
    <w:basedOn w:val="Normal"/>
    <w:next w:val="Normal"/>
    <w:uiPriority w:val="35"/>
    <w:unhideWhenUsed/>
    <w:qFormat/>
    <w:rsid w:val="009B37A1"/>
    <w:pPr>
      <w:spacing w:line="240" w:lineRule="auto"/>
    </w:pPr>
    <w:rPr>
      <w:bCs/>
      <w:szCs w:val="18"/>
    </w:rPr>
  </w:style>
  <w:style w:type="paragraph" w:styleId="Bibliography">
    <w:name w:val="Bibliography"/>
    <w:basedOn w:val="Normal"/>
    <w:next w:val="Normal"/>
    <w:uiPriority w:val="37"/>
    <w:unhideWhenUsed/>
    <w:rsid w:val="002478F3"/>
    <w:pPr>
      <w:spacing w:after="240" w:line="240" w:lineRule="auto"/>
      <w:ind w:left="720" w:hanging="720"/>
    </w:pPr>
  </w:style>
  <w:style w:type="paragraph" w:styleId="CommentText">
    <w:name w:val="annotation text"/>
    <w:basedOn w:val="Normal"/>
    <w:link w:val="CommentTextChar"/>
    <w:uiPriority w:val="99"/>
    <w:semiHidden/>
    <w:unhideWhenUsed/>
    <w:rsid w:val="002F3B63"/>
    <w:pPr>
      <w:spacing w:line="240" w:lineRule="auto"/>
    </w:pPr>
    <w:rPr>
      <w:sz w:val="20"/>
      <w:szCs w:val="20"/>
    </w:rPr>
  </w:style>
  <w:style w:type="character" w:customStyle="1" w:styleId="CommentTextChar">
    <w:name w:val="Comment Text Char"/>
    <w:basedOn w:val="DefaultParagraphFont"/>
    <w:link w:val="CommentText"/>
    <w:uiPriority w:val="99"/>
    <w:semiHidden/>
    <w:rsid w:val="002F3B63"/>
    <w:rPr>
      <w:rFonts w:asciiTheme="majorHAnsi" w:hAnsiTheme="majorHAnsi"/>
      <w:sz w:val="20"/>
      <w:szCs w:val="20"/>
    </w:rPr>
  </w:style>
  <w:style w:type="character" w:customStyle="1" w:styleId="apple-converted-space">
    <w:name w:val="apple-converted-space"/>
    <w:basedOn w:val="DefaultParagraphFont"/>
    <w:rsid w:val="00D171AE"/>
  </w:style>
</w:styles>
</file>

<file path=word/webSettings.xml><?xml version="1.0" encoding="utf-8"?>
<w:webSettings xmlns:r="http://schemas.openxmlformats.org/officeDocument/2006/relationships" xmlns:w="http://schemas.openxmlformats.org/wordprocessingml/2006/main">
  <w:divs>
    <w:div w:id="461774882">
      <w:bodyDiv w:val="1"/>
      <w:marLeft w:val="0"/>
      <w:marRight w:val="0"/>
      <w:marTop w:val="0"/>
      <w:marBottom w:val="0"/>
      <w:divBdr>
        <w:top w:val="none" w:sz="0" w:space="0" w:color="auto"/>
        <w:left w:val="none" w:sz="0" w:space="0" w:color="auto"/>
        <w:bottom w:val="none" w:sz="0" w:space="0" w:color="auto"/>
        <w:right w:val="none" w:sz="0" w:space="0" w:color="auto"/>
      </w:divBdr>
    </w:div>
    <w:div w:id="1140459849">
      <w:bodyDiv w:val="1"/>
      <w:marLeft w:val="0"/>
      <w:marRight w:val="0"/>
      <w:marTop w:val="0"/>
      <w:marBottom w:val="0"/>
      <w:divBdr>
        <w:top w:val="none" w:sz="0" w:space="0" w:color="auto"/>
        <w:left w:val="none" w:sz="0" w:space="0" w:color="auto"/>
        <w:bottom w:val="none" w:sz="0" w:space="0" w:color="auto"/>
        <w:right w:val="none" w:sz="0" w:space="0" w:color="auto"/>
      </w:divBdr>
    </w:div>
    <w:div w:id="1250502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2.xml"/><Relationship Id="rId18" Type="http://schemas.openxmlformats.org/officeDocument/2006/relationships/chart" Target="charts/chart7.xml"/><Relationship Id="rId26" Type="http://schemas.openxmlformats.org/officeDocument/2006/relationships/chart" Target="charts/chart15.xml"/><Relationship Id="rId39" Type="http://schemas.openxmlformats.org/officeDocument/2006/relationships/image" Target="media/image13.png"/><Relationship Id="rId21" Type="http://schemas.openxmlformats.org/officeDocument/2006/relationships/chart" Target="charts/chart10.xml"/><Relationship Id="rId34" Type="http://schemas.openxmlformats.org/officeDocument/2006/relationships/image" Target="media/image8.png"/><Relationship Id="rId42" Type="http://schemas.openxmlformats.org/officeDocument/2006/relationships/chart" Target="charts/chart19.xml"/><Relationship Id="rId47" Type="http://schemas.openxmlformats.org/officeDocument/2006/relationships/image" Target="media/image19.png"/><Relationship Id="rId50" Type="http://schemas.openxmlformats.org/officeDocument/2006/relationships/chart" Target="charts/chart21.xml"/><Relationship Id="rId55"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chart" Target="charts/chart6.xml"/><Relationship Id="rId25" Type="http://schemas.openxmlformats.org/officeDocument/2006/relationships/chart" Target="charts/chart14.xml"/><Relationship Id="rId33" Type="http://schemas.openxmlformats.org/officeDocument/2006/relationships/image" Target="media/image7.png"/><Relationship Id="rId38" Type="http://schemas.openxmlformats.org/officeDocument/2006/relationships/image" Target="media/image12.png"/><Relationship Id="rId46" Type="http://schemas.openxmlformats.org/officeDocument/2006/relationships/image" Target="media/image18.png"/><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chart" Target="charts/chart9.xml"/><Relationship Id="rId29" Type="http://schemas.openxmlformats.org/officeDocument/2006/relationships/chart" Target="charts/chart18.xml"/><Relationship Id="rId41" Type="http://schemas.openxmlformats.org/officeDocument/2006/relationships/image" Target="media/image15.png"/><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chart" Target="charts/chart13.xml"/><Relationship Id="rId32" Type="http://schemas.openxmlformats.org/officeDocument/2006/relationships/image" Target="media/image6.png"/><Relationship Id="rId37" Type="http://schemas.openxmlformats.org/officeDocument/2006/relationships/image" Target="media/image11.png"/><Relationship Id="rId40" Type="http://schemas.openxmlformats.org/officeDocument/2006/relationships/image" Target="media/image14.png"/><Relationship Id="rId45" Type="http://schemas.openxmlformats.org/officeDocument/2006/relationships/image" Target="media/image17.png"/><Relationship Id="rId53" Type="http://schemas.openxmlformats.org/officeDocument/2006/relationships/chart" Target="charts/chart24.xml"/><Relationship Id="rId5" Type="http://schemas.openxmlformats.org/officeDocument/2006/relationships/webSettings" Target="webSettings.xml"/><Relationship Id="rId15" Type="http://schemas.openxmlformats.org/officeDocument/2006/relationships/chart" Target="charts/chart4.xml"/><Relationship Id="rId23" Type="http://schemas.openxmlformats.org/officeDocument/2006/relationships/chart" Target="charts/chart12.xml"/><Relationship Id="rId28" Type="http://schemas.openxmlformats.org/officeDocument/2006/relationships/chart" Target="charts/chart17.xml"/><Relationship Id="rId36" Type="http://schemas.openxmlformats.org/officeDocument/2006/relationships/image" Target="media/image10.png"/><Relationship Id="rId49" Type="http://schemas.openxmlformats.org/officeDocument/2006/relationships/image" Target="media/image21.png"/><Relationship Id="rId10" Type="http://schemas.openxmlformats.org/officeDocument/2006/relationships/image" Target="media/image2.emf"/><Relationship Id="rId19" Type="http://schemas.openxmlformats.org/officeDocument/2006/relationships/chart" Target="charts/chart8.xml"/><Relationship Id="rId31" Type="http://schemas.openxmlformats.org/officeDocument/2006/relationships/image" Target="media/image5.png"/><Relationship Id="rId44" Type="http://schemas.openxmlformats.org/officeDocument/2006/relationships/image" Target="media/image16.png"/><Relationship Id="rId52" Type="http://schemas.openxmlformats.org/officeDocument/2006/relationships/chart" Target="charts/chart23.xml"/><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chart" Target="charts/chart3.xml"/><Relationship Id="rId22" Type="http://schemas.openxmlformats.org/officeDocument/2006/relationships/chart" Target="charts/chart11.xml"/><Relationship Id="rId27" Type="http://schemas.openxmlformats.org/officeDocument/2006/relationships/chart" Target="charts/chart16.xml"/><Relationship Id="rId30" Type="http://schemas.openxmlformats.org/officeDocument/2006/relationships/image" Target="media/image4.png"/><Relationship Id="rId35" Type="http://schemas.openxmlformats.org/officeDocument/2006/relationships/image" Target="media/image9.png"/><Relationship Id="rId43" Type="http://schemas.openxmlformats.org/officeDocument/2006/relationships/chart" Target="charts/chart20.xml"/><Relationship Id="rId48" Type="http://schemas.openxmlformats.org/officeDocument/2006/relationships/image" Target="media/image20.png"/><Relationship Id="rId8" Type="http://schemas.openxmlformats.org/officeDocument/2006/relationships/footer" Target="footer1.xml"/><Relationship Id="rId51" Type="http://schemas.openxmlformats.org/officeDocument/2006/relationships/chart" Target="charts/chart22.xm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Desktop\6)%20Thesis%20Data\2)%20Validation%20Methods\Residual%20and%20Histogram.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user\Desktop\6)%20Thesis%20Data\dtrd.csv" TargetMode="External"/></Relationships>
</file>

<file path=word/charts/_rels/chart1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user\Desktop\6)%20Thesis%20Data\Correlation\Correlation.xlsx" TargetMode="External"/></Relationships>
</file>

<file path=word/charts/_rels/chart1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C:\Users\user\Desktop\6)%20Thesis%20Data\Correlation\Correlation.xlsx" TargetMode="External"/></Relationships>
</file>

<file path=word/charts/_rels/chart13.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file:///C:\Users\user\Desktop\6)%20Thesis%20Data\Correlation\Correlation.xlsx" TargetMode="External"/></Relationships>
</file>

<file path=word/charts/_rels/chart14.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oleObject" Target="file:///C:\Users\user\Desktop\6)%20Thesis%20Data\Correlation\Correlation.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user\Desktop\6)%20Thesis%20Data\2)%20Validation%20Methods\Kruskal%20Wallis%20and%20IQR%20Plots.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user\Desktop\6)%20Thesis%20Data\2)%20Validation%20Methods\Kruskal%20Wallis%20and%20IQR%20Plots.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user\Desktop\6)%20Thesis%20Data\2)%20Validation%20Methods\Kruskal%20Wallis%20and%20IQR%20Plots.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user\Desktop\6)%20Thesis%20Data\2)%20Validation%20Methods\Kruskal%20Wallis%20and%20IQR%20Plots.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C:\Users\user\Desktop\6)%20Thesis%20Data\Prediction%20Accuracy%20r,%20a,%20b%20for%20AE%20and%20T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er\Desktop\6)%20Thesis%20Data\2)%20Validation%20Methods\Residual%20and%20Histogram.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Users\user\Desktop\6)%20Thesis%20Data\Prediction%20Accuracy%20r,%20a,%20b%20for%20AE%20and%20TS.xlsx"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file:///C:\Users\user\Desktop\6)%20Thesis%20Data\2)%20Validation%20Methods\Median%20Comparison%20and%20Mann%20Whitney.xlsx"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file:///C:\Users\user\Desktop\6)%20Thesis%20Data\2)%20Validation%20Methods\Median%20Comparison%20and%20Mann%20Whitney.xlsx"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file:///C:\Users\user\Desktop\6)%20Thesis%20Data\2)%20Validation%20Methods\Median%20Comparison%20and%20Mann%20Whitney.xlsx"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file:///C:\Users\user\Desktop\6)%20Thesis%20Data\2)%20Validation%20Methods\Median%20Comparison%20and%20Mann%20Whitney.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user\Desktop\6)%20Thesis%20Data\2)%20Validation%20Methods\Residual%20and%20Histogram.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user\Desktop\6)%20Thesis%20Data\2)%20Validation%20Methods\Residual%20and%20Histogram.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user\Desktop\6)%20Thesis%20Data\Preliminary%20Statistics.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user\Desktop\6)%20Thesis%20Data\Preliminary%20Statistics.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user\Desktop\6)%20Thesis%20Data\Preliminary%20Statistics.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user\Desktop\6)%20Thesis%20Data\Preliminary%20Statistics.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user\Desktop\6)%20Thesis%20Data\dtrd.csv"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8632072630265467"/>
          <c:y val="9.4966462525520531E-2"/>
          <c:w val="0.72624757970827414"/>
          <c:h val="0.56371430843871784"/>
        </c:manualLayout>
      </c:layout>
      <c:barChart>
        <c:barDir val="col"/>
        <c:grouping val="clustered"/>
        <c:ser>
          <c:idx val="0"/>
          <c:order val="0"/>
          <c:cat>
            <c:numRef>
              <c:f>'AE OK'!$H$29:$H$37</c:f>
              <c:numCache>
                <c:formatCode>0.0</c:formatCode>
                <c:ptCount val="9"/>
                <c:pt idx="0" formatCode="General">
                  <c:v>15.5</c:v>
                </c:pt>
                <c:pt idx="1">
                  <c:v>16</c:v>
                </c:pt>
                <c:pt idx="2" formatCode="General">
                  <c:v>16.5</c:v>
                </c:pt>
                <c:pt idx="3">
                  <c:v>17</c:v>
                </c:pt>
                <c:pt idx="4" formatCode="General">
                  <c:v>17.5</c:v>
                </c:pt>
                <c:pt idx="5">
                  <c:v>18</c:v>
                </c:pt>
                <c:pt idx="6" formatCode="General">
                  <c:v>18.5</c:v>
                </c:pt>
                <c:pt idx="7">
                  <c:v>19</c:v>
                </c:pt>
                <c:pt idx="8" formatCode="General">
                  <c:v>19.5</c:v>
                </c:pt>
              </c:numCache>
            </c:numRef>
          </c:cat>
          <c:val>
            <c:numRef>
              <c:f>'AE OK'!$I$29:$I$37</c:f>
              <c:numCache>
                <c:formatCode>General</c:formatCode>
                <c:ptCount val="9"/>
                <c:pt idx="0">
                  <c:v>1</c:v>
                </c:pt>
                <c:pt idx="1">
                  <c:v>4</c:v>
                </c:pt>
                <c:pt idx="2">
                  <c:v>7</c:v>
                </c:pt>
                <c:pt idx="3">
                  <c:v>22</c:v>
                </c:pt>
                <c:pt idx="4">
                  <c:v>24</c:v>
                </c:pt>
                <c:pt idx="5">
                  <c:v>27</c:v>
                </c:pt>
                <c:pt idx="6">
                  <c:v>18</c:v>
                </c:pt>
                <c:pt idx="7">
                  <c:v>9</c:v>
                </c:pt>
                <c:pt idx="8">
                  <c:v>3</c:v>
                </c:pt>
              </c:numCache>
            </c:numRef>
          </c:val>
        </c:ser>
        <c:gapWidth val="79"/>
        <c:axId val="96390528"/>
        <c:axId val="96011776"/>
      </c:barChart>
      <c:catAx>
        <c:axId val="96390528"/>
        <c:scaling>
          <c:orientation val="minMax"/>
        </c:scaling>
        <c:axPos val="b"/>
        <c:title>
          <c:tx>
            <c:rich>
              <a:bodyPr/>
              <a:lstStyle/>
              <a:p>
                <a:pPr>
                  <a:defRPr>
                    <a:latin typeface="+mj-lt"/>
                  </a:defRPr>
                </a:pPr>
                <a:r>
                  <a:rPr lang="en-US">
                    <a:latin typeface="+mj-lt"/>
                  </a:rPr>
                  <a:t>Air Entry, </a:t>
                </a:r>
                <a:r>
                  <a:rPr lang="el-GR">
                    <a:latin typeface="+mj-lt"/>
                  </a:rPr>
                  <a:t>ψ</a:t>
                </a:r>
                <a:r>
                  <a:rPr lang="en-US" baseline="-25000">
                    <a:latin typeface="+mj-lt"/>
                  </a:rPr>
                  <a:t>a</a:t>
                </a:r>
                <a:r>
                  <a:rPr lang="en-US">
                    <a:latin typeface="+mj-lt"/>
                  </a:rPr>
                  <a:t> (cm)</a:t>
                </a:r>
              </a:p>
            </c:rich>
          </c:tx>
        </c:title>
        <c:numFmt formatCode="General" sourceLinked="1"/>
        <c:tickLblPos val="nextTo"/>
        <c:txPr>
          <a:bodyPr rot="-5400000" vert="horz"/>
          <a:lstStyle/>
          <a:p>
            <a:pPr>
              <a:defRPr baseline="0">
                <a:latin typeface="Cambria" pitchFamily="18" charset="0"/>
              </a:defRPr>
            </a:pPr>
            <a:endParaRPr lang="en-US"/>
          </a:p>
        </c:txPr>
        <c:crossAx val="96011776"/>
        <c:crosses val="autoZero"/>
        <c:auto val="1"/>
        <c:lblAlgn val="ctr"/>
        <c:lblOffset val="100"/>
      </c:catAx>
      <c:valAx>
        <c:axId val="96011776"/>
        <c:scaling>
          <c:orientation val="minMax"/>
        </c:scaling>
        <c:axPos val="l"/>
        <c:title>
          <c:tx>
            <c:rich>
              <a:bodyPr/>
              <a:lstStyle/>
              <a:p>
                <a:pPr>
                  <a:defRPr>
                    <a:latin typeface="+mj-lt"/>
                  </a:defRPr>
                </a:pPr>
                <a:r>
                  <a:rPr lang="en-US">
                    <a:latin typeface="+mj-lt"/>
                  </a:rPr>
                  <a:t>Frequency</a:t>
                </a:r>
              </a:p>
            </c:rich>
          </c:tx>
          <c:layout>
            <c:manualLayout>
              <c:xMode val="edge"/>
              <c:yMode val="edge"/>
              <c:x val="8.7431693989071056E-3"/>
              <c:y val="0.1908640207852807"/>
            </c:manualLayout>
          </c:layout>
        </c:title>
        <c:numFmt formatCode="General" sourceLinked="1"/>
        <c:tickLblPos val="nextTo"/>
        <c:txPr>
          <a:bodyPr/>
          <a:lstStyle/>
          <a:p>
            <a:pPr>
              <a:defRPr baseline="0">
                <a:latin typeface="Cambria" pitchFamily="18" charset="0"/>
              </a:defRPr>
            </a:pPr>
            <a:endParaRPr lang="en-US"/>
          </a:p>
        </c:txPr>
        <c:crossAx val="96390528"/>
        <c:crosses val="autoZero"/>
        <c:crossBetween val="between"/>
      </c:valAx>
    </c:plotArea>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400" baseline="0">
                <a:latin typeface="Cambria" pitchFamily="18" charset="0"/>
              </a:defRPr>
            </a:pPr>
            <a:r>
              <a:rPr lang="en-US" sz="1400" baseline="0">
                <a:latin typeface="Cambria" pitchFamily="18" charset="0"/>
              </a:rPr>
              <a:t>Log Pore Size Distribution, (-)</a:t>
            </a:r>
          </a:p>
        </c:rich>
      </c:tx>
      <c:layout>
        <c:manualLayout>
          <c:xMode val="edge"/>
          <c:yMode val="edge"/>
          <c:x val="0.30477146315260251"/>
          <c:y val="5.2403964016372054E-2"/>
        </c:manualLayout>
      </c:layout>
    </c:title>
    <c:plotArea>
      <c:layout/>
      <c:scatterChart>
        <c:scatterStyle val="lineMarker"/>
        <c:ser>
          <c:idx val="0"/>
          <c:order val="0"/>
          <c:spPr>
            <a:ln w="28575">
              <a:noFill/>
            </a:ln>
          </c:spPr>
          <c:trendline>
            <c:trendlineType val="linear"/>
            <c:dispRSqr val="1"/>
            <c:dispEq val="1"/>
            <c:trendlineLbl>
              <c:layout>
                <c:manualLayout>
                  <c:x val="3.9141945940638904E-2"/>
                  <c:y val="0.27278907844852729"/>
                </c:manualLayout>
              </c:layout>
              <c:numFmt formatCode="General" sourceLinked="0"/>
              <c:txPr>
                <a:bodyPr/>
                <a:lstStyle/>
                <a:p>
                  <a:pPr>
                    <a:defRPr baseline="0">
                      <a:latin typeface="Cambria" pitchFamily="18" charset="0"/>
                    </a:defRPr>
                  </a:pPr>
                  <a:endParaRPr lang="en-US"/>
                </a:p>
              </c:txPr>
            </c:trendlineLbl>
          </c:trendline>
          <c:xVal>
            <c:numRef>
              <c:f>Sheet1!$D$2:$D$116</c:f>
              <c:numCache>
                <c:formatCode>General</c:formatCode>
                <c:ptCount val="115"/>
                <c:pt idx="0">
                  <c:v>-2.6237933694069571</c:v>
                </c:pt>
                <c:pt idx="1">
                  <c:v>-2.2249148262139626</c:v>
                </c:pt>
                <c:pt idx="2">
                  <c:v>-2.0190862005831427</c:v>
                </c:pt>
                <c:pt idx="3">
                  <c:v>-1.8744417383388301</c:v>
                </c:pt>
                <c:pt idx="4">
                  <c:v>-1.7608672771355798</c:v>
                </c:pt>
                <c:pt idx="5">
                  <c:v>-1.6663075490659209</c:v>
                </c:pt>
                <c:pt idx="6">
                  <c:v>-1.5846605561450571</c:v>
                </c:pt>
                <c:pt idx="7">
                  <c:v>-1.5123895860676804</c:v>
                </c:pt>
                <c:pt idx="8">
                  <c:v>-1.4472529659444886</c:v>
                </c:pt>
                <c:pt idx="9">
                  <c:v>-1.3877361911044424</c:v>
                </c:pt>
                <c:pt idx="10">
                  <c:v>-1.3327657287523951</c:v>
                </c:pt>
                <c:pt idx="11">
                  <c:v>-1.2815515655446004</c:v>
                </c:pt>
                <c:pt idx="12">
                  <c:v>-1.2334945619686919</c:v>
                </c:pt>
                <c:pt idx="13">
                  <c:v>-1.1881289540339981</c:v>
                </c:pt>
                <c:pt idx="14">
                  <c:v>-1.1450850855563288</c:v>
                </c:pt>
                <c:pt idx="15">
                  <c:v>-1.1040643662127523</c:v>
                </c:pt>
                <c:pt idx="16">
                  <c:v>-1.0648219243888501</c:v>
                </c:pt>
                <c:pt idx="17">
                  <c:v>-1.0271542729149867</c:v>
                </c:pt>
                <c:pt idx="18">
                  <c:v>-0.99089033871030896</c:v>
                </c:pt>
                <c:pt idx="19">
                  <c:v>-0.95588480864401182</c:v>
                </c:pt>
                <c:pt idx="20">
                  <c:v>-0.92201310665558378</c:v>
                </c:pt>
                <c:pt idx="21">
                  <c:v>-0.88916754291700539</c:v>
                </c:pt>
                <c:pt idx="22">
                  <c:v>-0.85725432022117865</c:v>
                </c:pt>
                <c:pt idx="23">
                  <c:v>-0.82619117743196502</c:v>
                </c:pt>
                <c:pt idx="24">
                  <c:v>-0.79590551324403158</c:v>
                </c:pt>
                <c:pt idx="25">
                  <c:v>-0.766332876827162</c:v>
                </c:pt>
                <c:pt idx="26">
                  <c:v>-0.73741574206609262</c:v>
                </c:pt>
                <c:pt idx="27">
                  <c:v>-0.7091025034090237</c:v>
                </c:pt>
                <c:pt idx="28">
                  <c:v>-0.68134664662180233</c:v>
                </c:pt>
                <c:pt idx="29">
                  <c:v>-0.65410605885892514</c:v>
                </c:pt>
                <c:pt idx="30">
                  <c:v>-0.62734245064752014</c:v>
                </c:pt>
                <c:pt idx="31">
                  <c:v>-0.60102086847700564</c:v>
                </c:pt>
                <c:pt idx="32">
                  <c:v>-0.57510928127843863</c:v>
                </c:pt>
                <c:pt idx="33">
                  <c:v>-0.54957822756786423</c:v>
                </c:pt>
                <c:pt idx="34">
                  <c:v>-0.52440051270804089</c:v>
                </c:pt>
                <c:pt idx="35">
                  <c:v>-0.49955094781682036</c:v>
                </c:pt>
                <c:pt idx="36">
                  <c:v>-0.47500612346948551</c:v>
                </c:pt>
                <c:pt idx="37">
                  <c:v>-0.45074421261535924</c:v>
                </c:pt>
                <c:pt idx="38">
                  <c:v>-0.42674479813694438</c:v>
                </c:pt>
                <c:pt idx="39">
                  <c:v>-0.40298872128356106</c:v>
                </c:pt>
                <c:pt idx="40">
                  <c:v>-0.37945794785597203</c:v>
                </c:pt>
                <c:pt idx="41">
                  <c:v>-0.35613544953856729</c:v>
                </c:pt>
                <c:pt idx="42">
                  <c:v>-0.33300509819729968</c:v>
                </c:pt>
                <c:pt idx="43">
                  <c:v>-0.31005157130554423</c:v>
                </c:pt>
                <c:pt idx="44">
                  <c:v>-0.28726026694159212</c:v>
                </c:pt>
                <c:pt idx="45">
                  <c:v>-0.26461722703292628</c:v>
                </c:pt>
                <c:pt idx="46">
                  <c:v>-0.24210906771350066</c:v>
                </c:pt>
                <c:pt idx="47">
                  <c:v>-0.21972291581857983</c:v>
                </c:pt>
                <c:pt idx="48">
                  <c:v>-0.1974463506728073</c:v>
                </c:pt>
                <c:pt idx="49">
                  <c:v>-0.17526735043641375</c:v>
                </c:pt>
                <c:pt idx="50">
                  <c:v>-0.15317424236531821</c:v>
                </c:pt>
                <c:pt idx="51">
                  <c:v>-0.1311556564163372</c:v>
                </c:pt>
                <c:pt idx="52">
                  <c:v>-0.10920048169143172</c:v>
                </c:pt>
                <c:pt idx="53">
                  <c:v>-8.7297825266754725E-2</c:v>
                </c:pt>
                <c:pt idx="54">
                  <c:v>-6.5436972994667733E-2</c:v>
                </c:pt>
                <c:pt idx="55">
                  <c:v>-4.3607351901347333E-2</c:v>
                </c:pt>
                <c:pt idx="56">
                  <c:v>-2.1798493829908429E-2</c:v>
                </c:pt>
                <c:pt idx="57">
                  <c:v>-1.3921376352919025E-16</c:v>
                </c:pt>
                <c:pt idx="58">
                  <c:v>2.1798493829908179E-2</c:v>
                </c:pt>
                <c:pt idx="59">
                  <c:v>4.3607351901346993E-2</c:v>
                </c:pt>
                <c:pt idx="60">
                  <c:v>6.5436972994667414E-2</c:v>
                </c:pt>
                <c:pt idx="61">
                  <c:v>8.7297825266754364E-2</c:v>
                </c:pt>
                <c:pt idx="62">
                  <c:v>0.10920048169143159</c:v>
                </c:pt>
                <c:pt idx="63">
                  <c:v>0.1311556564163372</c:v>
                </c:pt>
                <c:pt idx="64">
                  <c:v>0.15317424236531779</c:v>
                </c:pt>
                <c:pt idx="65">
                  <c:v>0.17526735043641375</c:v>
                </c:pt>
                <c:pt idx="66">
                  <c:v>0.19744635067280703</c:v>
                </c:pt>
                <c:pt idx="67">
                  <c:v>0.21972291581857983</c:v>
                </c:pt>
                <c:pt idx="68">
                  <c:v>0.24210906771350038</c:v>
                </c:pt>
                <c:pt idx="69">
                  <c:v>0.26461722703292589</c:v>
                </c:pt>
                <c:pt idx="70">
                  <c:v>0.28726026694159185</c:v>
                </c:pt>
                <c:pt idx="71">
                  <c:v>0.31005157130554351</c:v>
                </c:pt>
                <c:pt idx="72">
                  <c:v>0.33300509819729945</c:v>
                </c:pt>
                <c:pt idx="73">
                  <c:v>0.35613544953856724</c:v>
                </c:pt>
                <c:pt idx="74">
                  <c:v>0.37945794785597203</c:v>
                </c:pt>
                <c:pt idx="75">
                  <c:v>0.40298872128356061</c:v>
                </c:pt>
                <c:pt idx="76">
                  <c:v>0.42674479813694438</c:v>
                </c:pt>
                <c:pt idx="77">
                  <c:v>0.45074421261535913</c:v>
                </c:pt>
                <c:pt idx="78">
                  <c:v>0.4750061234694854</c:v>
                </c:pt>
                <c:pt idx="79">
                  <c:v>0.49955094781682002</c:v>
                </c:pt>
                <c:pt idx="80">
                  <c:v>0.52440051270804044</c:v>
                </c:pt>
                <c:pt idx="81">
                  <c:v>0.54957822756786379</c:v>
                </c:pt>
                <c:pt idx="82">
                  <c:v>0.57510928127843775</c:v>
                </c:pt>
                <c:pt idx="83">
                  <c:v>0.60102086847700564</c:v>
                </c:pt>
                <c:pt idx="84">
                  <c:v>0.6273424506475197</c:v>
                </c:pt>
                <c:pt idx="85">
                  <c:v>0.65410605885892514</c:v>
                </c:pt>
                <c:pt idx="86">
                  <c:v>0.68134664662180211</c:v>
                </c:pt>
                <c:pt idx="87">
                  <c:v>0.7091025034090237</c:v>
                </c:pt>
                <c:pt idx="88">
                  <c:v>0.73741574206609162</c:v>
                </c:pt>
                <c:pt idx="89">
                  <c:v>0.76633287682716167</c:v>
                </c:pt>
                <c:pt idx="90">
                  <c:v>0.79590551324403125</c:v>
                </c:pt>
                <c:pt idx="91">
                  <c:v>0.8261911774319648</c:v>
                </c:pt>
                <c:pt idx="92">
                  <c:v>0.85725432022117865</c:v>
                </c:pt>
                <c:pt idx="93">
                  <c:v>0.88916754291700506</c:v>
                </c:pt>
                <c:pt idx="94">
                  <c:v>0.92201310665558378</c:v>
                </c:pt>
                <c:pt idx="95">
                  <c:v>0.95588480864401115</c:v>
                </c:pt>
                <c:pt idx="96">
                  <c:v>0.99089033871030896</c:v>
                </c:pt>
                <c:pt idx="97">
                  <c:v>1.0271542729149854</c:v>
                </c:pt>
                <c:pt idx="98">
                  <c:v>1.0648219243888501</c:v>
                </c:pt>
                <c:pt idx="99">
                  <c:v>1.1040643662127521</c:v>
                </c:pt>
                <c:pt idx="100">
                  <c:v>1.1450850855563284</c:v>
                </c:pt>
                <c:pt idx="101">
                  <c:v>1.1881289540339981</c:v>
                </c:pt>
                <c:pt idx="102">
                  <c:v>1.2334945619686906</c:v>
                </c:pt>
                <c:pt idx="103">
                  <c:v>1.2815515655446004</c:v>
                </c:pt>
                <c:pt idx="104">
                  <c:v>1.3327657287523946</c:v>
                </c:pt>
                <c:pt idx="105">
                  <c:v>1.3877361911044424</c:v>
                </c:pt>
                <c:pt idx="106">
                  <c:v>1.4472529659444873</c:v>
                </c:pt>
                <c:pt idx="107">
                  <c:v>1.5123895860676804</c:v>
                </c:pt>
                <c:pt idx="108">
                  <c:v>1.5846605561450562</c:v>
                </c:pt>
                <c:pt idx="109">
                  <c:v>1.6663075490659209</c:v>
                </c:pt>
                <c:pt idx="110">
                  <c:v>1.7608672771355798</c:v>
                </c:pt>
                <c:pt idx="111">
                  <c:v>1.8744417383388301</c:v>
                </c:pt>
                <c:pt idx="112">
                  <c:v>2.0190862005831427</c:v>
                </c:pt>
                <c:pt idx="113">
                  <c:v>2.2249148262139617</c:v>
                </c:pt>
                <c:pt idx="114">
                  <c:v>2.6237933694069571</c:v>
                </c:pt>
              </c:numCache>
            </c:numRef>
          </c:xVal>
          <c:yVal>
            <c:numRef>
              <c:f>Sheet1!$E$2:$E$116</c:f>
              <c:numCache>
                <c:formatCode>General</c:formatCode>
                <c:ptCount val="115"/>
                <c:pt idx="0">
                  <c:v>0.55005704799999999</c:v>
                </c:pt>
                <c:pt idx="1">
                  <c:v>0.5779970340000059</c:v>
                </c:pt>
                <c:pt idx="2">
                  <c:v>0.57936052499999957</c:v>
                </c:pt>
                <c:pt idx="3">
                  <c:v>0.60640286399999999</c:v>
                </c:pt>
                <c:pt idx="4">
                  <c:v>0.61063887400000683</c:v>
                </c:pt>
                <c:pt idx="5">
                  <c:v>0.63992454700000589</c:v>
                </c:pt>
                <c:pt idx="6">
                  <c:v>0.64320584800000635</c:v>
                </c:pt>
                <c:pt idx="7">
                  <c:v>0.64875021300001179</c:v>
                </c:pt>
                <c:pt idx="8">
                  <c:v>0.66386104800000589</c:v>
                </c:pt>
                <c:pt idx="9">
                  <c:v>0.67094128100000694</c:v>
                </c:pt>
                <c:pt idx="10">
                  <c:v>0.68126837999999956</c:v>
                </c:pt>
                <c:pt idx="11">
                  <c:v>0.68287581000000896</c:v>
                </c:pt>
                <c:pt idx="12">
                  <c:v>0.69328715699999999</c:v>
                </c:pt>
                <c:pt idx="13">
                  <c:v>0.69341034399999957</c:v>
                </c:pt>
                <c:pt idx="14">
                  <c:v>0.70207709800000062</c:v>
                </c:pt>
                <c:pt idx="15">
                  <c:v>0.711469782</c:v>
                </c:pt>
                <c:pt idx="16">
                  <c:v>0.7262788310000059</c:v>
                </c:pt>
                <c:pt idx="17">
                  <c:v>0.7262788310000059</c:v>
                </c:pt>
                <c:pt idx="18">
                  <c:v>0.72975587000000919</c:v>
                </c:pt>
                <c:pt idx="19">
                  <c:v>0.73438373099999998</c:v>
                </c:pt>
                <c:pt idx="20">
                  <c:v>0.73599788400000365</c:v>
                </c:pt>
                <c:pt idx="21">
                  <c:v>0.73874093100000682</c:v>
                </c:pt>
                <c:pt idx="22">
                  <c:v>0.73946949399999995</c:v>
                </c:pt>
                <c:pt idx="23">
                  <c:v>0.7407020960000068</c:v>
                </c:pt>
                <c:pt idx="24">
                  <c:v>0.74204921100000942</c:v>
                </c:pt>
                <c:pt idx="25">
                  <c:v>0.74444945700000931</c:v>
                </c:pt>
                <c:pt idx="26">
                  <c:v>0.75100180600000999</c:v>
                </c:pt>
                <c:pt idx="27">
                  <c:v>0.75345282800000002</c:v>
                </c:pt>
                <c:pt idx="28">
                  <c:v>0.7545623719999941</c:v>
                </c:pt>
                <c:pt idx="29">
                  <c:v>0.76796431100000062</c:v>
                </c:pt>
                <c:pt idx="30">
                  <c:v>0.77138902700000589</c:v>
                </c:pt>
                <c:pt idx="31">
                  <c:v>0.77385955200001122</c:v>
                </c:pt>
                <c:pt idx="32">
                  <c:v>0.77947383300000772</c:v>
                </c:pt>
                <c:pt idx="33">
                  <c:v>0.7799930910000068</c:v>
                </c:pt>
                <c:pt idx="34">
                  <c:v>0.78347478799999959</c:v>
                </c:pt>
                <c:pt idx="35">
                  <c:v>0.79100955700000064</c:v>
                </c:pt>
                <c:pt idx="36">
                  <c:v>0.79174677400000004</c:v>
                </c:pt>
                <c:pt idx="37">
                  <c:v>0.79213243600000005</c:v>
                </c:pt>
                <c:pt idx="38">
                  <c:v>0.80771087500000005</c:v>
                </c:pt>
                <c:pt idx="39">
                  <c:v>0.82096294199999409</c:v>
                </c:pt>
                <c:pt idx="40">
                  <c:v>0.8216903540000059</c:v>
                </c:pt>
                <c:pt idx="41">
                  <c:v>0.82463991100000578</c:v>
                </c:pt>
                <c:pt idx="42">
                  <c:v>0.8361214820000068</c:v>
                </c:pt>
                <c:pt idx="43">
                  <c:v>0.83867282000000065</c:v>
                </c:pt>
                <c:pt idx="44">
                  <c:v>0.83978590400000064</c:v>
                </c:pt>
                <c:pt idx="45">
                  <c:v>0.84161596599999999</c:v>
                </c:pt>
                <c:pt idx="46">
                  <c:v>0.84327016200000005</c:v>
                </c:pt>
                <c:pt idx="47">
                  <c:v>0.8465535869999995</c:v>
                </c:pt>
                <c:pt idx="48">
                  <c:v>0.84994737200000681</c:v>
                </c:pt>
                <c:pt idx="49">
                  <c:v>0.85021111000000005</c:v>
                </c:pt>
                <c:pt idx="50">
                  <c:v>0.8511788230000068</c:v>
                </c:pt>
                <c:pt idx="51">
                  <c:v>0.85122164600000683</c:v>
                </c:pt>
                <c:pt idx="52">
                  <c:v>0.85395968300000635</c:v>
                </c:pt>
                <c:pt idx="53">
                  <c:v>0.85578558700000062</c:v>
                </c:pt>
                <c:pt idx="54">
                  <c:v>0.85730836799999999</c:v>
                </c:pt>
                <c:pt idx="55">
                  <c:v>0.86189865900000784</c:v>
                </c:pt>
                <c:pt idx="56">
                  <c:v>0.86353697999999957</c:v>
                </c:pt>
                <c:pt idx="57">
                  <c:v>0.87059701199999995</c:v>
                </c:pt>
                <c:pt idx="58">
                  <c:v>0.87725613300000005</c:v>
                </c:pt>
                <c:pt idx="59">
                  <c:v>0.88069357299999995</c:v>
                </c:pt>
                <c:pt idx="60">
                  <c:v>0.88260421800000521</c:v>
                </c:pt>
                <c:pt idx="61">
                  <c:v>0.88349676899999319</c:v>
                </c:pt>
                <c:pt idx="62">
                  <c:v>0.88650764499999957</c:v>
                </c:pt>
                <c:pt idx="63">
                  <c:v>0.89000720799999999</c:v>
                </c:pt>
                <c:pt idx="64">
                  <c:v>0.89449882700000005</c:v>
                </c:pt>
                <c:pt idx="65">
                  <c:v>0.89499688399999999</c:v>
                </c:pt>
                <c:pt idx="66">
                  <c:v>0.8971100279999995</c:v>
                </c:pt>
                <c:pt idx="67">
                  <c:v>0.90019228299999998</c:v>
                </c:pt>
                <c:pt idx="68">
                  <c:v>0.90674435700000544</c:v>
                </c:pt>
                <c:pt idx="69">
                  <c:v>0.90980733400000002</c:v>
                </c:pt>
                <c:pt idx="70">
                  <c:v>0.92163446100000002</c:v>
                </c:pt>
                <c:pt idx="71">
                  <c:v>0.92252305099999998</c:v>
                </c:pt>
                <c:pt idx="72">
                  <c:v>0.922818845</c:v>
                </c:pt>
                <c:pt idx="73">
                  <c:v>0.9278987920000068</c:v>
                </c:pt>
                <c:pt idx="74">
                  <c:v>0.92795518899999996</c:v>
                </c:pt>
                <c:pt idx="75">
                  <c:v>0.940202604</c:v>
                </c:pt>
                <c:pt idx="76">
                  <c:v>0.94629502600000681</c:v>
                </c:pt>
                <c:pt idx="77">
                  <c:v>0.94630485499999994</c:v>
                </c:pt>
                <c:pt idx="78">
                  <c:v>0.94630485499999994</c:v>
                </c:pt>
                <c:pt idx="79">
                  <c:v>0.94926799699999997</c:v>
                </c:pt>
                <c:pt idx="80">
                  <c:v>0.95052549400000064</c:v>
                </c:pt>
                <c:pt idx="81">
                  <c:v>0.95287958399999995</c:v>
                </c:pt>
                <c:pt idx="82">
                  <c:v>0.95507651900000001</c:v>
                </c:pt>
                <c:pt idx="83">
                  <c:v>0.96018051700000062</c:v>
                </c:pt>
                <c:pt idx="84">
                  <c:v>0.96018051700000062</c:v>
                </c:pt>
                <c:pt idx="85">
                  <c:v>0.96100321100000063</c:v>
                </c:pt>
                <c:pt idx="86">
                  <c:v>0.96142584000000064</c:v>
                </c:pt>
                <c:pt idx="87">
                  <c:v>0.96477331200000682</c:v>
                </c:pt>
                <c:pt idx="88">
                  <c:v>0.96972335100000062</c:v>
                </c:pt>
                <c:pt idx="89">
                  <c:v>0.97206854700000001</c:v>
                </c:pt>
                <c:pt idx="90">
                  <c:v>0.97416614599999318</c:v>
                </c:pt>
                <c:pt idx="91">
                  <c:v>0.97867344199999995</c:v>
                </c:pt>
                <c:pt idx="92">
                  <c:v>0.9807530759999995</c:v>
                </c:pt>
                <c:pt idx="93">
                  <c:v>0.98436076399999317</c:v>
                </c:pt>
                <c:pt idx="94">
                  <c:v>0.98951210999998807</c:v>
                </c:pt>
                <c:pt idx="95">
                  <c:v>1.0009673979999831</c:v>
                </c:pt>
                <c:pt idx="96">
                  <c:v>1.0032709179999884</c:v>
                </c:pt>
                <c:pt idx="97">
                  <c:v>1.0055365569999883</c:v>
                </c:pt>
                <c:pt idx="98">
                  <c:v>1.014028844</c:v>
                </c:pt>
                <c:pt idx="99">
                  <c:v>1.0205021569999999</c:v>
                </c:pt>
                <c:pt idx="100">
                  <c:v>1.0293066529999766</c:v>
                </c:pt>
                <c:pt idx="101">
                  <c:v>1.032735578</c:v>
                </c:pt>
                <c:pt idx="102">
                  <c:v>1.038600293999987</c:v>
                </c:pt>
                <c:pt idx="103">
                  <c:v>1.0396401310000001</c:v>
                </c:pt>
                <c:pt idx="104">
                  <c:v>1.0453933989999791</c:v>
                </c:pt>
                <c:pt idx="105">
                  <c:v>1.048029844</c:v>
                </c:pt>
                <c:pt idx="106">
                  <c:v>1.0570229330000001</c:v>
                </c:pt>
                <c:pt idx="107">
                  <c:v>1.0601309999999999</c:v>
                </c:pt>
                <c:pt idx="108">
                  <c:v>1.0614411690000001</c:v>
                </c:pt>
                <c:pt idx="109">
                  <c:v>1.0636147899999886</c:v>
                </c:pt>
                <c:pt idx="110">
                  <c:v>1.0875116739999895</c:v>
                </c:pt>
                <c:pt idx="111">
                  <c:v>1.112397187</c:v>
                </c:pt>
                <c:pt idx="112">
                  <c:v>1.116737216</c:v>
                </c:pt>
                <c:pt idx="113">
                  <c:v>1.2021912389999847</c:v>
                </c:pt>
                <c:pt idx="114">
                  <c:v>1.2451744769999895</c:v>
                </c:pt>
              </c:numCache>
            </c:numRef>
          </c:yVal>
        </c:ser>
        <c:axId val="125489920"/>
        <c:axId val="125491840"/>
      </c:scatterChart>
      <c:valAx>
        <c:axId val="125489920"/>
        <c:scaling>
          <c:orientation val="minMax"/>
        </c:scaling>
        <c:axPos val="b"/>
        <c:title>
          <c:tx>
            <c:rich>
              <a:bodyPr/>
              <a:lstStyle/>
              <a:p>
                <a:pPr>
                  <a:defRPr baseline="0">
                    <a:latin typeface="Cambria" pitchFamily="18" charset="0"/>
                  </a:defRPr>
                </a:pPr>
                <a:r>
                  <a:rPr lang="en-US" baseline="0">
                    <a:latin typeface="Cambria" pitchFamily="18" charset="0"/>
                  </a:rPr>
                  <a:t>Theoretical Quantile</a:t>
                </a:r>
              </a:p>
            </c:rich>
          </c:tx>
        </c:title>
        <c:numFmt formatCode="General" sourceLinked="1"/>
        <c:majorTickMark val="none"/>
        <c:tickLblPos val="nextTo"/>
        <c:txPr>
          <a:bodyPr/>
          <a:lstStyle/>
          <a:p>
            <a:pPr>
              <a:defRPr baseline="0">
                <a:latin typeface="Cambria" pitchFamily="18" charset="0"/>
              </a:defRPr>
            </a:pPr>
            <a:endParaRPr lang="en-US"/>
          </a:p>
        </c:txPr>
        <c:crossAx val="125491840"/>
        <c:crosses val="autoZero"/>
        <c:crossBetween val="midCat"/>
      </c:valAx>
      <c:valAx>
        <c:axId val="125491840"/>
        <c:scaling>
          <c:orientation val="minMax"/>
          <c:min val="0.4"/>
        </c:scaling>
        <c:axPos val="l"/>
        <c:title>
          <c:tx>
            <c:rich>
              <a:bodyPr/>
              <a:lstStyle/>
              <a:p>
                <a:pPr>
                  <a:defRPr baseline="0">
                    <a:latin typeface="Cambria" pitchFamily="18" charset="0"/>
                  </a:defRPr>
                </a:pPr>
                <a:r>
                  <a:rPr lang="en-US" baseline="0">
                    <a:latin typeface="Cambria" pitchFamily="18" charset="0"/>
                  </a:rPr>
                  <a:t>Sample Quantile</a:t>
                </a:r>
              </a:p>
            </c:rich>
          </c:tx>
        </c:title>
        <c:numFmt formatCode="General" sourceLinked="1"/>
        <c:majorTickMark val="none"/>
        <c:tickLblPos val="low"/>
        <c:txPr>
          <a:bodyPr/>
          <a:lstStyle/>
          <a:p>
            <a:pPr>
              <a:defRPr baseline="0">
                <a:latin typeface="Cambria" pitchFamily="18" charset="0"/>
              </a:defRPr>
            </a:pPr>
            <a:endParaRPr lang="en-US"/>
          </a:p>
        </c:txPr>
        <c:crossAx val="125489920"/>
        <c:crossesAt val="-3"/>
        <c:crossBetween val="midCat"/>
      </c:valAx>
    </c:plotArea>
    <c:plotVisOnly val="1"/>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4339129483814544"/>
          <c:y val="9.7696850393701268E-2"/>
          <c:w val="0.80142825896762859"/>
          <c:h val="0.65375729075532263"/>
        </c:manualLayout>
      </c:layout>
      <c:scatterChart>
        <c:scatterStyle val="lineMarker"/>
        <c:ser>
          <c:idx val="0"/>
          <c:order val="0"/>
          <c:tx>
            <c:v>Saturated Water Content vs. Air Entry</c:v>
          </c:tx>
          <c:spPr>
            <a:ln w="28575">
              <a:noFill/>
            </a:ln>
          </c:spPr>
          <c:marker>
            <c:symbol val="circle"/>
            <c:size val="7"/>
          </c:marker>
          <c:trendline>
            <c:spPr>
              <a:ln w="19050"/>
            </c:spPr>
            <c:trendlineType val="linear"/>
          </c:trendline>
          <c:xVal>
            <c:numRef>
              <c:f>Raw!$A$2:$A$116</c:f>
              <c:numCache>
                <c:formatCode>General</c:formatCode>
                <c:ptCount val="115"/>
                <c:pt idx="0">
                  <c:v>0.33370000000000088</c:v>
                </c:pt>
                <c:pt idx="1">
                  <c:v>0.35050000000000031</c:v>
                </c:pt>
                <c:pt idx="2">
                  <c:v>0.43800000000000472</c:v>
                </c:pt>
                <c:pt idx="3">
                  <c:v>0.38320000000000032</c:v>
                </c:pt>
                <c:pt idx="4">
                  <c:v>0.42500000000000032</c:v>
                </c:pt>
                <c:pt idx="5">
                  <c:v>0.39730000000000826</c:v>
                </c:pt>
                <c:pt idx="6">
                  <c:v>0.36380000000000534</c:v>
                </c:pt>
                <c:pt idx="7">
                  <c:v>0.31520000000000031</c:v>
                </c:pt>
                <c:pt idx="8">
                  <c:v>0.34890000000000032</c:v>
                </c:pt>
                <c:pt idx="9">
                  <c:v>0.36770000000000008</c:v>
                </c:pt>
                <c:pt idx="10">
                  <c:v>0.36770000000000008</c:v>
                </c:pt>
                <c:pt idx="11">
                  <c:v>0.41250000000000031</c:v>
                </c:pt>
                <c:pt idx="12">
                  <c:v>0.35210000000000002</c:v>
                </c:pt>
                <c:pt idx="13">
                  <c:v>0.32500000000000534</c:v>
                </c:pt>
                <c:pt idx="14">
                  <c:v>0.32980000000000737</c:v>
                </c:pt>
                <c:pt idx="15">
                  <c:v>0.37630000000000607</c:v>
                </c:pt>
                <c:pt idx="16">
                  <c:v>0.30920000000000031</c:v>
                </c:pt>
                <c:pt idx="17">
                  <c:v>0.35030000000000472</c:v>
                </c:pt>
                <c:pt idx="18">
                  <c:v>0.34620000000000001</c:v>
                </c:pt>
                <c:pt idx="19">
                  <c:v>0.36620000000000008</c:v>
                </c:pt>
                <c:pt idx="20">
                  <c:v>0.36010000000000031</c:v>
                </c:pt>
                <c:pt idx="21">
                  <c:v>0.37570000000000031</c:v>
                </c:pt>
                <c:pt idx="22">
                  <c:v>0.31410000000000032</c:v>
                </c:pt>
                <c:pt idx="23">
                  <c:v>0.35660000000000008</c:v>
                </c:pt>
                <c:pt idx="24">
                  <c:v>0.37460000000000032</c:v>
                </c:pt>
                <c:pt idx="25">
                  <c:v>0.35750000000000032</c:v>
                </c:pt>
                <c:pt idx="26">
                  <c:v>0.32130000000000697</c:v>
                </c:pt>
                <c:pt idx="27">
                  <c:v>0.36260000000000031</c:v>
                </c:pt>
                <c:pt idx="28">
                  <c:v>0.38690000000000607</c:v>
                </c:pt>
                <c:pt idx="29">
                  <c:v>0.32610000000000472</c:v>
                </c:pt>
                <c:pt idx="30">
                  <c:v>0.36100000000000032</c:v>
                </c:pt>
                <c:pt idx="31">
                  <c:v>0.33730000000000843</c:v>
                </c:pt>
                <c:pt idx="32">
                  <c:v>0.41040000000000032</c:v>
                </c:pt>
                <c:pt idx="33">
                  <c:v>0.35020000000000001</c:v>
                </c:pt>
                <c:pt idx="34">
                  <c:v>0.40300000000000002</c:v>
                </c:pt>
                <c:pt idx="35">
                  <c:v>0.43250000000000038</c:v>
                </c:pt>
                <c:pt idx="36">
                  <c:v>0.34080000000000032</c:v>
                </c:pt>
                <c:pt idx="37">
                  <c:v>0.35190000000000032</c:v>
                </c:pt>
                <c:pt idx="38">
                  <c:v>0.32670000000000032</c:v>
                </c:pt>
                <c:pt idx="39">
                  <c:v>0.32670000000000032</c:v>
                </c:pt>
                <c:pt idx="40">
                  <c:v>0.38420000000000032</c:v>
                </c:pt>
                <c:pt idx="41">
                  <c:v>0.38080000000000652</c:v>
                </c:pt>
                <c:pt idx="42">
                  <c:v>0.39980000000000843</c:v>
                </c:pt>
                <c:pt idx="43">
                  <c:v>0.44190000000000002</c:v>
                </c:pt>
                <c:pt idx="44">
                  <c:v>0.35750000000000032</c:v>
                </c:pt>
                <c:pt idx="45">
                  <c:v>0.34110000000000001</c:v>
                </c:pt>
                <c:pt idx="46">
                  <c:v>0.33320000000000038</c:v>
                </c:pt>
                <c:pt idx="47">
                  <c:v>0.41030000000000288</c:v>
                </c:pt>
                <c:pt idx="48">
                  <c:v>0.40180000000000032</c:v>
                </c:pt>
                <c:pt idx="49">
                  <c:v>0.45620000000000005</c:v>
                </c:pt>
                <c:pt idx="50">
                  <c:v>0.51149999999999951</c:v>
                </c:pt>
                <c:pt idx="51">
                  <c:v>0.5504</c:v>
                </c:pt>
                <c:pt idx="52">
                  <c:v>0.39110000000000478</c:v>
                </c:pt>
                <c:pt idx="53">
                  <c:v>0.36910000000000032</c:v>
                </c:pt>
                <c:pt idx="54">
                  <c:v>0.36350000000000032</c:v>
                </c:pt>
                <c:pt idx="55">
                  <c:v>0.43700000000000438</c:v>
                </c:pt>
                <c:pt idx="56">
                  <c:v>0.41520000000000001</c:v>
                </c:pt>
                <c:pt idx="57">
                  <c:v>0.41260000000000002</c:v>
                </c:pt>
                <c:pt idx="58">
                  <c:v>0.40930000000000138</c:v>
                </c:pt>
                <c:pt idx="59">
                  <c:v>0.48280000000000528</c:v>
                </c:pt>
                <c:pt idx="60">
                  <c:v>0.36160000000000031</c:v>
                </c:pt>
                <c:pt idx="61">
                  <c:v>0.39210000000000489</c:v>
                </c:pt>
                <c:pt idx="62">
                  <c:v>0.32670000000000032</c:v>
                </c:pt>
                <c:pt idx="63">
                  <c:v>0.35140000000000032</c:v>
                </c:pt>
                <c:pt idx="64">
                  <c:v>0.34900000000000031</c:v>
                </c:pt>
                <c:pt idx="65">
                  <c:v>0.36430000000000534</c:v>
                </c:pt>
                <c:pt idx="66">
                  <c:v>0.36740000000000494</c:v>
                </c:pt>
                <c:pt idx="67">
                  <c:v>0.34850000000000031</c:v>
                </c:pt>
                <c:pt idx="68">
                  <c:v>0.35100000000000031</c:v>
                </c:pt>
                <c:pt idx="69">
                  <c:v>0.33030000000000742</c:v>
                </c:pt>
                <c:pt idx="70">
                  <c:v>0.34390000000000032</c:v>
                </c:pt>
                <c:pt idx="71">
                  <c:v>0.3819000000000059</c:v>
                </c:pt>
                <c:pt idx="72">
                  <c:v>0.47780000000000472</c:v>
                </c:pt>
                <c:pt idx="73">
                  <c:v>0.33410000000000534</c:v>
                </c:pt>
                <c:pt idx="74">
                  <c:v>0.39370000000000038</c:v>
                </c:pt>
                <c:pt idx="75">
                  <c:v>0.36810000000000032</c:v>
                </c:pt>
                <c:pt idx="76">
                  <c:v>0.32180000000000702</c:v>
                </c:pt>
                <c:pt idx="77">
                  <c:v>0.38630000000000703</c:v>
                </c:pt>
                <c:pt idx="78">
                  <c:v>0.36200000000000032</c:v>
                </c:pt>
                <c:pt idx="79">
                  <c:v>0.35720000000000002</c:v>
                </c:pt>
                <c:pt idx="80">
                  <c:v>0.4002</c:v>
                </c:pt>
                <c:pt idx="81">
                  <c:v>0.4002</c:v>
                </c:pt>
                <c:pt idx="82">
                  <c:v>0.32930000000000725</c:v>
                </c:pt>
                <c:pt idx="83">
                  <c:v>0.31090000000000534</c:v>
                </c:pt>
                <c:pt idx="84">
                  <c:v>0.34610000000000002</c:v>
                </c:pt>
                <c:pt idx="85">
                  <c:v>0.37170000000000031</c:v>
                </c:pt>
                <c:pt idx="86">
                  <c:v>0.34980000000000472</c:v>
                </c:pt>
                <c:pt idx="87">
                  <c:v>0.37110000000000032</c:v>
                </c:pt>
                <c:pt idx="88">
                  <c:v>0.43010000000000032</c:v>
                </c:pt>
                <c:pt idx="89">
                  <c:v>0.34440000000000032</c:v>
                </c:pt>
                <c:pt idx="90">
                  <c:v>0.35570000000000002</c:v>
                </c:pt>
                <c:pt idx="91">
                  <c:v>0.34330000000000038</c:v>
                </c:pt>
                <c:pt idx="92">
                  <c:v>0.32960000000000489</c:v>
                </c:pt>
                <c:pt idx="93">
                  <c:v>0.35590000000000038</c:v>
                </c:pt>
                <c:pt idx="94">
                  <c:v>0.37920000000000031</c:v>
                </c:pt>
                <c:pt idx="95">
                  <c:v>0.35380000000000483</c:v>
                </c:pt>
                <c:pt idx="96">
                  <c:v>0.42430000000000534</c:v>
                </c:pt>
                <c:pt idx="97">
                  <c:v>0.34820000000000001</c:v>
                </c:pt>
                <c:pt idx="98">
                  <c:v>0.35970000000000002</c:v>
                </c:pt>
                <c:pt idx="99">
                  <c:v>0.38480000000000703</c:v>
                </c:pt>
                <c:pt idx="100">
                  <c:v>0.33380000000000803</c:v>
                </c:pt>
                <c:pt idx="101">
                  <c:v>0.42420000000000002</c:v>
                </c:pt>
                <c:pt idx="102">
                  <c:v>0.39560000000000534</c:v>
                </c:pt>
                <c:pt idx="103">
                  <c:v>0.35080000000000472</c:v>
                </c:pt>
                <c:pt idx="104">
                  <c:v>0.37790000000000534</c:v>
                </c:pt>
                <c:pt idx="105">
                  <c:v>0.37370000000000031</c:v>
                </c:pt>
                <c:pt idx="106">
                  <c:v>0.34150000000000008</c:v>
                </c:pt>
                <c:pt idx="107">
                  <c:v>0.30260000000000031</c:v>
                </c:pt>
                <c:pt idx="108">
                  <c:v>0.38470000000000032</c:v>
                </c:pt>
                <c:pt idx="109">
                  <c:v>0.50549999999999951</c:v>
                </c:pt>
                <c:pt idx="110">
                  <c:v>0.38860000000000472</c:v>
                </c:pt>
                <c:pt idx="111">
                  <c:v>0.37010000000000032</c:v>
                </c:pt>
                <c:pt idx="112">
                  <c:v>0.48660000000000031</c:v>
                </c:pt>
                <c:pt idx="113">
                  <c:v>0.35310000000000002</c:v>
                </c:pt>
                <c:pt idx="114">
                  <c:v>0.34320000000000001</c:v>
                </c:pt>
              </c:numCache>
            </c:numRef>
          </c:xVal>
          <c:yVal>
            <c:numRef>
              <c:f>Raw!$C$2:$C$116</c:f>
              <c:numCache>
                <c:formatCode>General</c:formatCode>
                <c:ptCount val="115"/>
                <c:pt idx="0">
                  <c:v>18.601500000000001</c:v>
                </c:pt>
                <c:pt idx="1">
                  <c:v>17.602399999999989</c:v>
                </c:pt>
                <c:pt idx="2">
                  <c:v>17.691700000000001</c:v>
                </c:pt>
                <c:pt idx="3">
                  <c:v>17.674700000000001</c:v>
                </c:pt>
                <c:pt idx="4">
                  <c:v>15.8241</c:v>
                </c:pt>
                <c:pt idx="5">
                  <c:v>16.672999999999988</c:v>
                </c:pt>
                <c:pt idx="6">
                  <c:v>17.383900000000001</c:v>
                </c:pt>
                <c:pt idx="7">
                  <c:v>18.705100000000002</c:v>
                </c:pt>
                <c:pt idx="8">
                  <c:v>18.902199999999599</c:v>
                </c:pt>
                <c:pt idx="9">
                  <c:v>18.530999999999999</c:v>
                </c:pt>
                <c:pt idx="10">
                  <c:v>18.530999999999999</c:v>
                </c:pt>
                <c:pt idx="11">
                  <c:v>17.103200000000001</c:v>
                </c:pt>
                <c:pt idx="12">
                  <c:v>18.6844</c:v>
                </c:pt>
                <c:pt idx="13">
                  <c:v>16.710599999999989</c:v>
                </c:pt>
                <c:pt idx="14">
                  <c:v>17.5688</c:v>
                </c:pt>
                <c:pt idx="15">
                  <c:v>18.601299999999988</c:v>
                </c:pt>
                <c:pt idx="16">
                  <c:v>19.098699999999617</c:v>
                </c:pt>
                <c:pt idx="17">
                  <c:v>18.436</c:v>
                </c:pt>
                <c:pt idx="18">
                  <c:v>17.610600000000005</c:v>
                </c:pt>
                <c:pt idx="19">
                  <c:v>18.289699999999556</c:v>
                </c:pt>
                <c:pt idx="20">
                  <c:v>17.635999999999999</c:v>
                </c:pt>
                <c:pt idx="21">
                  <c:v>16.908799999999513</c:v>
                </c:pt>
                <c:pt idx="22">
                  <c:v>18.333100000000005</c:v>
                </c:pt>
                <c:pt idx="23">
                  <c:v>18.651499999999999</c:v>
                </c:pt>
                <c:pt idx="24">
                  <c:v>18.464399999999689</c:v>
                </c:pt>
                <c:pt idx="25">
                  <c:v>17.86</c:v>
                </c:pt>
                <c:pt idx="26">
                  <c:v>18.897900000000035</c:v>
                </c:pt>
                <c:pt idx="27">
                  <c:v>17.7943</c:v>
                </c:pt>
                <c:pt idx="28">
                  <c:v>18.057200000000005</c:v>
                </c:pt>
                <c:pt idx="29">
                  <c:v>17.9147</c:v>
                </c:pt>
                <c:pt idx="30">
                  <c:v>18.292199999999635</c:v>
                </c:pt>
                <c:pt idx="31">
                  <c:v>18.181100000000001</c:v>
                </c:pt>
                <c:pt idx="32">
                  <c:v>18.194400000000005</c:v>
                </c:pt>
                <c:pt idx="33">
                  <c:v>18.072500000000002</c:v>
                </c:pt>
                <c:pt idx="34">
                  <c:v>17.878299999999989</c:v>
                </c:pt>
                <c:pt idx="35">
                  <c:v>17.805299999999889</c:v>
                </c:pt>
                <c:pt idx="36">
                  <c:v>17.647099999999988</c:v>
                </c:pt>
                <c:pt idx="37">
                  <c:v>16.3889</c:v>
                </c:pt>
                <c:pt idx="38">
                  <c:v>18.025299999999689</c:v>
                </c:pt>
                <c:pt idx="39">
                  <c:v>18.025299999999689</c:v>
                </c:pt>
                <c:pt idx="40">
                  <c:v>18.019600000000001</c:v>
                </c:pt>
                <c:pt idx="41">
                  <c:v>16.78679999999952</c:v>
                </c:pt>
                <c:pt idx="42">
                  <c:v>15.856800000000026</c:v>
                </c:pt>
                <c:pt idx="43">
                  <c:v>16.911799999999989</c:v>
                </c:pt>
                <c:pt idx="44">
                  <c:v>17.611100000000135</c:v>
                </c:pt>
                <c:pt idx="45">
                  <c:v>18.010999999999999</c:v>
                </c:pt>
                <c:pt idx="46">
                  <c:v>17.952599999999581</c:v>
                </c:pt>
                <c:pt idx="47">
                  <c:v>16.770099999999989</c:v>
                </c:pt>
                <c:pt idx="48">
                  <c:v>16.826699999999889</c:v>
                </c:pt>
                <c:pt idx="49">
                  <c:v>16.905099999999621</c:v>
                </c:pt>
                <c:pt idx="50">
                  <c:v>16.291399999999989</c:v>
                </c:pt>
                <c:pt idx="51">
                  <c:v>16.058900000000001</c:v>
                </c:pt>
                <c:pt idx="52">
                  <c:v>17.1707</c:v>
                </c:pt>
                <c:pt idx="53">
                  <c:v>18.4818</c:v>
                </c:pt>
                <c:pt idx="54">
                  <c:v>17.481399999999606</c:v>
                </c:pt>
                <c:pt idx="55">
                  <c:v>16.789499999999581</c:v>
                </c:pt>
                <c:pt idx="56">
                  <c:v>16.947299999999789</c:v>
                </c:pt>
                <c:pt idx="57">
                  <c:v>16.985999999999606</c:v>
                </c:pt>
                <c:pt idx="58">
                  <c:v>17.486399999999552</c:v>
                </c:pt>
                <c:pt idx="59">
                  <c:v>17.0167</c:v>
                </c:pt>
                <c:pt idx="60">
                  <c:v>17.4971</c:v>
                </c:pt>
                <c:pt idx="61">
                  <c:v>17.661200000000001</c:v>
                </c:pt>
                <c:pt idx="62">
                  <c:v>17.405399999999574</c:v>
                </c:pt>
                <c:pt idx="63">
                  <c:v>17.2028</c:v>
                </c:pt>
                <c:pt idx="64">
                  <c:v>17.163499999999889</c:v>
                </c:pt>
                <c:pt idx="65">
                  <c:v>16.743499999999621</c:v>
                </c:pt>
                <c:pt idx="66">
                  <c:v>17.224299999999989</c:v>
                </c:pt>
                <c:pt idx="67">
                  <c:v>18.433900000000001</c:v>
                </c:pt>
                <c:pt idx="68">
                  <c:v>18.373100000000001</c:v>
                </c:pt>
                <c:pt idx="69">
                  <c:v>17.664200000000001</c:v>
                </c:pt>
                <c:pt idx="70">
                  <c:v>16.993200000000002</c:v>
                </c:pt>
                <c:pt idx="71">
                  <c:v>17.030200000000001</c:v>
                </c:pt>
                <c:pt idx="72">
                  <c:v>16.693200000000001</c:v>
                </c:pt>
                <c:pt idx="73">
                  <c:v>17.700299999999789</c:v>
                </c:pt>
                <c:pt idx="74">
                  <c:v>17.930499999999789</c:v>
                </c:pt>
                <c:pt idx="75">
                  <c:v>17.054300000000001</c:v>
                </c:pt>
                <c:pt idx="76">
                  <c:v>17.461999999999989</c:v>
                </c:pt>
                <c:pt idx="77">
                  <c:v>16.535699999999789</c:v>
                </c:pt>
                <c:pt idx="78">
                  <c:v>17.176500000000001</c:v>
                </c:pt>
                <c:pt idx="79">
                  <c:v>17.358699999999889</c:v>
                </c:pt>
                <c:pt idx="80">
                  <c:v>17.7576</c:v>
                </c:pt>
                <c:pt idx="81">
                  <c:v>17.7576</c:v>
                </c:pt>
                <c:pt idx="82">
                  <c:v>18.363</c:v>
                </c:pt>
                <c:pt idx="83">
                  <c:v>17.981499999999599</c:v>
                </c:pt>
                <c:pt idx="84">
                  <c:v>17.851299999999988</c:v>
                </c:pt>
                <c:pt idx="85">
                  <c:v>17.408599999999559</c:v>
                </c:pt>
                <c:pt idx="86">
                  <c:v>17.503</c:v>
                </c:pt>
                <c:pt idx="87">
                  <c:v>17.677000000000035</c:v>
                </c:pt>
                <c:pt idx="88">
                  <c:v>19.012</c:v>
                </c:pt>
                <c:pt idx="89">
                  <c:v>19.060399999999689</c:v>
                </c:pt>
                <c:pt idx="90">
                  <c:v>17.756</c:v>
                </c:pt>
                <c:pt idx="91">
                  <c:v>18.308900000000001</c:v>
                </c:pt>
                <c:pt idx="92">
                  <c:v>16.655000000000001</c:v>
                </c:pt>
                <c:pt idx="93">
                  <c:v>17.7165</c:v>
                </c:pt>
                <c:pt idx="94">
                  <c:v>16.603800000000035</c:v>
                </c:pt>
                <c:pt idx="95">
                  <c:v>16.460699999999509</c:v>
                </c:pt>
                <c:pt idx="96">
                  <c:v>17.397500000000001</c:v>
                </c:pt>
                <c:pt idx="97">
                  <c:v>17.282399999999498</c:v>
                </c:pt>
                <c:pt idx="98">
                  <c:v>17.478099999999689</c:v>
                </c:pt>
                <c:pt idx="99">
                  <c:v>17.1797</c:v>
                </c:pt>
                <c:pt idx="100">
                  <c:v>16.7362</c:v>
                </c:pt>
                <c:pt idx="101">
                  <c:v>17.269599999999603</c:v>
                </c:pt>
                <c:pt idx="102">
                  <c:v>16.9849</c:v>
                </c:pt>
                <c:pt idx="103">
                  <c:v>17.692799999999789</c:v>
                </c:pt>
                <c:pt idx="104">
                  <c:v>16.8917</c:v>
                </c:pt>
                <c:pt idx="105">
                  <c:v>17.051500000000001</c:v>
                </c:pt>
                <c:pt idx="106">
                  <c:v>16.939800000000005</c:v>
                </c:pt>
                <c:pt idx="107">
                  <c:v>16.090299999999989</c:v>
                </c:pt>
                <c:pt idx="108">
                  <c:v>15.897500000000004</c:v>
                </c:pt>
                <c:pt idx="109">
                  <c:v>14.501800000000001</c:v>
                </c:pt>
                <c:pt idx="110">
                  <c:v>16.417400000000001</c:v>
                </c:pt>
                <c:pt idx="111">
                  <c:v>15.571100000000001</c:v>
                </c:pt>
                <c:pt idx="112">
                  <c:v>16.550599999999989</c:v>
                </c:pt>
                <c:pt idx="113">
                  <c:v>16.343399999999889</c:v>
                </c:pt>
                <c:pt idx="114">
                  <c:v>17.028599999999614</c:v>
                </c:pt>
              </c:numCache>
            </c:numRef>
          </c:yVal>
        </c:ser>
        <c:axId val="108280832"/>
        <c:axId val="108299392"/>
      </c:scatterChart>
      <c:valAx>
        <c:axId val="108280832"/>
        <c:scaling>
          <c:orientation val="minMax"/>
          <c:max val="0.56000000000000005"/>
          <c:min val="0.30000000000000032"/>
        </c:scaling>
        <c:axPos val="b"/>
        <c:title>
          <c:tx>
            <c:rich>
              <a:bodyPr/>
              <a:lstStyle/>
              <a:p>
                <a:pPr>
                  <a:defRPr>
                    <a:latin typeface="+mj-lt"/>
                  </a:defRPr>
                </a:pPr>
                <a:r>
                  <a:rPr lang="az-Cyrl-AZ">
                    <a:latin typeface="+mj-lt"/>
                  </a:rPr>
                  <a:t>Ѳ</a:t>
                </a:r>
                <a:r>
                  <a:rPr lang="en-US" baseline="-25000">
                    <a:latin typeface="+mj-lt"/>
                  </a:rPr>
                  <a:t>s</a:t>
                </a:r>
                <a:r>
                  <a:rPr lang="en-US">
                    <a:latin typeface="+mj-lt"/>
                  </a:rPr>
                  <a:t> </a:t>
                </a:r>
                <a:r>
                  <a:rPr lang="en-US" sz="1000" b="1" i="0" u="none" strike="noStrike" baseline="0">
                    <a:latin typeface="+mj-lt"/>
                  </a:rPr>
                  <a:t>(cm</a:t>
                </a:r>
                <a:r>
                  <a:rPr lang="en-US" sz="1000" b="1" i="0" u="none" strike="noStrike" baseline="30000">
                    <a:latin typeface="+mj-lt"/>
                  </a:rPr>
                  <a:t>3</a:t>
                </a:r>
                <a:r>
                  <a:rPr lang="en-US" sz="1000" b="1" i="0" u="none" strike="noStrike" baseline="0">
                    <a:latin typeface="+mj-lt"/>
                  </a:rPr>
                  <a:t>/cm</a:t>
                </a:r>
                <a:r>
                  <a:rPr lang="en-US" sz="1000" b="1" i="0" u="none" strike="noStrike" baseline="30000">
                    <a:latin typeface="+mj-lt"/>
                  </a:rPr>
                  <a:t>3</a:t>
                </a:r>
                <a:r>
                  <a:rPr lang="en-US" sz="1000" b="1" i="0" u="none" strike="noStrike" baseline="0">
                    <a:latin typeface="+mj-lt"/>
                  </a:rPr>
                  <a:t>)</a:t>
                </a:r>
                <a:r>
                  <a:rPr lang="en-US">
                    <a:latin typeface="+mj-lt"/>
                  </a:rPr>
                  <a:t>  </a:t>
                </a:r>
              </a:p>
            </c:rich>
          </c:tx>
        </c:title>
        <c:numFmt formatCode="General" sourceLinked="1"/>
        <c:majorTickMark val="none"/>
        <c:tickLblPos val="nextTo"/>
        <c:txPr>
          <a:bodyPr/>
          <a:lstStyle/>
          <a:p>
            <a:pPr>
              <a:defRPr baseline="0">
                <a:latin typeface="Cambria" pitchFamily="18" charset="0"/>
              </a:defRPr>
            </a:pPr>
            <a:endParaRPr lang="en-US"/>
          </a:p>
        </c:txPr>
        <c:crossAx val="108299392"/>
        <c:crosses val="autoZero"/>
        <c:crossBetween val="midCat"/>
      </c:valAx>
      <c:valAx>
        <c:axId val="108299392"/>
        <c:scaling>
          <c:orientation val="minMax"/>
          <c:min val="15"/>
        </c:scaling>
        <c:axPos val="l"/>
        <c:title>
          <c:tx>
            <c:rich>
              <a:bodyPr/>
              <a:lstStyle/>
              <a:p>
                <a:pPr>
                  <a:defRPr>
                    <a:latin typeface="+mj-lt"/>
                  </a:defRPr>
                </a:pPr>
                <a:r>
                  <a:rPr lang="el-GR" sz="1000" b="1" i="0" u="none" strike="noStrike" baseline="0">
                    <a:latin typeface="+mj-lt"/>
                    <a:cs typeface="Calibri"/>
                  </a:rPr>
                  <a:t>ψ</a:t>
                </a:r>
                <a:r>
                  <a:rPr lang="en-US" sz="1000" b="1" i="0" u="none" strike="noStrike" baseline="-25000">
                    <a:latin typeface="+mj-lt"/>
                    <a:cs typeface="Calibri"/>
                  </a:rPr>
                  <a:t>a</a:t>
                </a:r>
                <a:r>
                  <a:rPr lang="en-US" sz="1000" b="1" i="0" u="none" strike="noStrike" baseline="0">
                    <a:latin typeface="+mj-lt"/>
                    <a:cs typeface="Calibri"/>
                  </a:rPr>
                  <a:t> </a:t>
                </a:r>
                <a:r>
                  <a:rPr lang="en-US" sz="1000" b="1" i="0" u="none" strike="noStrike" baseline="0">
                    <a:latin typeface="+mj-lt"/>
                  </a:rPr>
                  <a:t>(cm</a:t>
                </a:r>
                <a:r>
                  <a:rPr lang="en-US" sz="1000" b="1" i="0" u="none" strike="noStrike" baseline="30000">
                    <a:latin typeface="+mj-lt"/>
                  </a:rPr>
                  <a:t>2</a:t>
                </a:r>
                <a:r>
                  <a:rPr lang="en-US" sz="1000" b="1" i="0" u="none" strike="noStrike" baseline="0">
                    <a:latin typeface="+mj-lt"/>
                  </a:rPr>
                  <a:t>)</a:t>
                </a:r>
                <a:endParaRPr lang="en-US">
                  <a:latin typeface="+mj-lt"/>
                </a:endParaRPr>
              </a:p>
            </c:rich>
          </c:tx>
        </c:title>
        <c:numFmt formatCode="General" sourceLinked="1"/>
        <c:majorTickMark val="none"/>
        <c:tickLblPos val="nextTo"/>
        <c:txPr>
          <a:bodyPr/>
          <a:lstStyle/>
          <a:p>
            <a:pPr>
              <a:defRPr baseline="0">
                <a:latin typeface="Cambria" pitchFamily="18" charset="0"/>
              </a:defRPr>
            </a:pPr>
            <a:endParaRPr lang="en-US"/>
          </a:p>
        </c:txPr>
        <c:crossAx val="108280832"/>
        <c:crosses val="autoZero"/>
        <c:crossBetween val="midCat"/>
        <c:majorUnit val="1"/>
      </c:valAx>
    </c:plotArea>
    <c:plotVisOnly val="1"/>
  </c:chart>
  <c:externalData r:id="rId1"/>
  <c:userShapes r:id="rId2"/>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6448862642169729"/>
          <c:y val="0.12061351706036745"/>
          <c:w val="0.7908794838145331"/>
          <c:h val="0.6308406240886677"/>
        </c:manualLayout>
      </c:layout>
      <c:scatterChart>
        <c:scatterStyle val="lineMarker"/>
        <c:ser>
          <c:idx val="0"/>
          <c:order val="0"/>
          <c:tx>
            <c:v>Saturated Water Content vs. Air Entry</c:v>
          </c:tx>
          <c:spPr>
            <a:ln w="28575">
              <a:noFill/>
            </a:ln>
          </c:spPr>
          <c:marker>
            <c:symbol val="circle"/>
            <c:size val="7"/>
          </c:marker>
          <c:trendline>
            <c:spPr>
              <a:ln w="19050"/>
            </c:spPr>
            <c:trendlineType val="linear"/>
          </c:trendline>
          <c:xVal>
            <c:numRef>
              <c:f>Raw!$D$2:$D$116</c:f>
              <c:numCache>
                <c:formatCode>General</c:formatCode>
                <c:ptCount val="115"/>
                <c:pt idx="0">
                  <c:v>6.6215999999999955</c:v>
                </c:pt>
                <c:pt idx="1">
                  <c:v>5.4795000000000034</c:v>
                </c:pt>
                <c:pt idx="2">
                  <c:v>7.3036000000000003</c:v>
                </c:pt>
                <c:pt idx="3">
                  <c:v>6.6326999999999998</c:v>
                </c:pt>
                <c:pt idx="4">
                  <c:v>5.1459999999999955</c:v>
                </c:pt>
                <c:pt idx="5">
                  <c:v>5.5519999999999996</c:v>
                </c:pt>
                <c:pt idx="6">
                  <c:v>5.4450000000000003</c:v>
                </c:pt>
                <c:pt idx="7">
                  <c:v>8.3718000000000004</c:v>
                </c:pt>
                <c:pt idx="8">
                  <c:v>6.9440999999999997</c:v>
                </c:pt>
                <c:pt idx="9">
                  <c:v>8.8370000000000015</c:v>
                </c:pt>
                <c:pt idx="10">
                  <c:v>8.8370000000000015</c:v>
                </c:pt>
                <c:pt idx="11">
                  <c:v>7.0987</c:v>
                </c:pt>
                <c:pt idx="12">
                  <c:v>9.3771000000000004</c:v>
                </c:pt>
                <c:pt idx="13">
                  <c:v>4.3974999999999955</c:v>
                </c:pt>
                <c:pt idx="14">
                  <c:v>4.9349999999999996</c:v>
                </c:pt>
                <c:pt idx="15">
                  <c:v>11.485000000000024</c:v>
                </c:pt>
                <c:pt idx="16">
                  <c:v>11.577500000000002</c:v>
                </c:pt>
                <c:pt idx="17">
                  <c:v>9.4225000000000048</c:v>
                </c:pt>
                <c:pt idx="18">
                  <c:v>6.9706000000000534</c:v>
                </c:pt>
                <c:pt idx="19">
                  <c:v>7.5380000000000003</c:v>
                </c:pt>
                <c:pt idx="20">
                  <c:v>7.0234999999999985</c:v>
                </c:pt>
                <c:pt idx="21">
                  <c:v>6.0739999999999998</c:v>
                </c:pt>
                <c:pt idx="22">
                  <c:v>4.6874999999999956</c:v>
                </c:pt>
                <c:pt idx="23">
                  <c:v>17.586299999999689</c:v>
                </c:pt>
                <c:pt idx="24">
                  <c:v>10.7829</c:v>
                </c:pt>
                <c:pt idx="25">
                  <c:v>8.8368000000000002</c:v>
                </c:pt>
                <c:pt idx="26">
                  <c:v>12.953800000000006</c:v>
                </c:pt>
                <c:pt idx="27">
                  <c:v>7.9468000000000014</c:v>
                </c:pt>
                <c:pt idx="28">
                  <c:v>10.483400000000024</c:v>
                </c:pt>
                <c:pt idx="29">
                  <c:v>8.4703000000000035</c:v>
                </c:pt>
                <c:pt idx="30">
                  <c:v>10.128299999999999</c:v>
                </c:pt>
                <c:pt idx="31">
                  <c:v>9.5665000000000067</c:v>
                </c:pt>
                <c:pt idx="32">
                  <c:v>8.4714000000000027</c:v>
                </c:pt>
                <c:pt idx="33">
                  <c:v>7.1996000000000002</c:v>
                </c:pt>
                <c:pt idx="34">
                  <c:v>11.5197</c:v>
                </c:pt>
                <c:pt idx="35">
                  <c:v>10.698099999999998</c:v>
                </c:pt>
                <c:pt idx="36">
                  <c:v>11.4031</c:v>
                </c:pt>
                <c:pt idx="37">
                  <c:v>5.4247999999999985</c:v>
                </c:pt>
                <c:pt idx="38">
                  <c:v>5.3244999999999845</c:v>
                </c:pt>
                <c:pt idx="39">
                  <c:v>5.3244999999999845</c:v>
                </c:pt>
                <c:pt idx="40">
                  <c:v>10.955700000000126</c:v>
                </c:pt>
                <c:pt idx="41">
                  <c:v>6.8567999999999998</c:v>
                </c:pt>
                <c:pt idx="42">
                  <c:v>6.1802999999999999</c:v>
                </c:pt>
                <c:pt idx="43">
                  <c:v>10.075600000000026</c:v>
                </c:pt>
                <c:pt idx="44">
                  <c:v>7.8433000000000002</c:v>
                </c:pt>
                <c:pt idx="45">
                  <c:v>6.1962999999999999</c:v>
                </c:pt>
                <c:pt idx="46">
                  <c:v>9.7614000000000001</c:v>
                </c:pt>
                <c:pt idx="47">
                  <c:v>7.8522999999999996</c:v>
                </c:pt>
                <c:pt idx="48">
                  <c:v>6.0254999999999965</c:v>
                </c:pt>
                <c:pt idx="49">
                  <c:v>8.3661000000000048</c:v>
                </c:pt>
                <c:pt idx="50">
                  <c:v>8.0676000000000005</c:v>
                </c:pt>
                <c:pt idx="51">
                  <c:v>6.4226000000000001</c:v>
                </c:pt>
                <c:pt idx="52">
                  <c:v>8.8975000000000026</c:v>
                </c:pt>
                <c:pt idx="53">
                  <c:v>8.1246999999999989</c:v>
                </c:pt>
                <c:pt idx="54">
                  <c:v>7.1743999999999986</c:v>
                </c:pt>
                <c:pt idx="55">
                  <c:v>6.9148999999999985</c:v>
                </c:pt>
                <c:pt idx="56">
                  <c:v>7.5978999999999965</c:v>
                </c:pt>
                <c:pt idx="57">
                  <c:v>7.7625999999999955</c:v>
                </c:pt>
                <c:pt idx="58">
                  <c:v>10.328299999999999</c:v>
                </c:pt>
                <c:pt idx="59">
                  <c:v>9.3266000000000027</c:v>
                </c:pt>
                <c:pt idx="60">
                  <c:v>8.9718</c:v>
                </c:pt>
                <c:pt idx="61">
                  <c:v>15.9291</c:v>
                </c:pt>
                <c:pt idx="62">
                  <c:v>4.6116999999999999</c:v>
                </c:pt>
                <c:pt idx="63">
                  <c:v>4.0798000000000014</c:v>
                </c:pt>
                <c:pt idx="64">
                  <c:v>4.8180999999999985</c:v>
                </c:pt>
                <c:pt idx="65">
                  <c:v>4.8003</c:v>
                </c:pt>
                <c:pt idx="66">
                  <c:v>5.0358999999999998</c:v>
                </c:pt>
                <c:pt idx="67">
                  <c:v>9.6462999999999983</c:v>
                </c:pt>
                <c:pt idx="68">
                  <c:v>4.9364000000000114</c:v>
                </c:pt>
                <c:pt idx="69">
                  <c:v>5.5042999999999997</c:v>
                </c:pt>
                <c:pt idx="70">
                  <c:v>5.8608999999999956</c:v>
                </c:pt>
                <c:pt idx="71">
                  <c:v>5.6827999999999985</c:v>
                </c:pt>
                <c:pt idx="72">
                  <c:v>7.6470999999999965</c:v>
                </c:pt>
                <c:pt idx="73">
                  <c:v>9.5208000000000013</c:v>
                </c:pt>
                <c:pt idx="74">
                  <c:v>11.169400000000024</c:v>
                </c:pt>
                <c:pt idx="75">
                  <c:v>3.7844000000000002</c:v>
                </c:pt>
                <c:pt idx="76">
                  <c:v>9.0172999999999988</c:v>
                </c:pt>
                <c:pt idx="77">
                  <c:v>6.6778999999999975</c:v>
                </c:pt>
                <c:pt idx="78">
                  <c:v>7.0994000000000002</c:v>
                </c:pt>
                <c:pt idx="79">
                  <c:v>7.0828999999999995</c:v>
                </c:pt>
                <c:pt idx="80">
                  <c:v>9.123899999999999</c:v>
                </c:pt>
                <c:pt idx="81">
                  <c:v>9.123899999999999</c:v>
                </c:pt>
                <c:pt idx="82">
                  <c:v>7.2761000000000013</c:v>
                </c:pt>
                <c:pt idx="83">
                  <c:v>10.0223</c:v>
                </c:pt>
                <c:pt idx="84">
                  <c:v>7.1442999999999985</c:v>
                </c:pt>
                <c:pt idx="85">
                  <c:v>5.9073000000000002</c:v>
                </c:pt>
                <c:pt idx="86">
                  <c:v>5.3672999999999975</c:v>
                </c:pt>
                <c:pt idx="87">
                  <c:v>4.4539999999999997</c:v>
                </c:pt>
                <c:pt idx="88">
                  <c:v>10.929500000000004</c:v>
                </c:pt>
                <c:pt idx="89">
                  <c:v>12.2324</c:v>
                </c:pt>
                <c:pt idx="90">
                  <c:v>6.1907999999999985</c:v>
                </c:pt>
                <c:pt idx="91">
                  <c:v>5.6364000000000001</c:v>
                </c:pt>
                <c:pt idx="92">
                  <c:v>7.8906000000000001</c:v>
                </c:pt>
                <c:pt idx="93">
                  <c:v>8.7137000000000011</c:v>
                </c:pt>
                <c:pt idx="94">
                  <c:v>5.4887000000000024</c:v>
                </c:pt>
                <c:pt idx="95">
                  <c:v>4.0401999999999996</c:v>
                </c:pt>
                <c:pt idx="96">
                  <c:v>9.2208999999999985</c:v>
                </c:pt>
                <c:pt idx="97">
                  <c:v>7.6314000000000002</c:v>
                </c:pt>
                <c:pt idx="98">
                  <c:v>11.101800000000001</c:v>
                </c:pt>
                <c:pt idx="99">
                  <c:v>5.5213999999999999</c:v>
                </c:pt>
                <c:pt idx="100">
                  <c:v>5.6682999999999995</c:v>
                </c:pt>
                <c:pt idx="101">
                  <c:v>13.0839</c:v>
                </c:pt>
                <c:pt idx="102">
                  <c:v>7.0785999999999998</c:v>
                </c:pt>
                <c:pt idx="103">
                  <c:v>8.9233000000000011</c:v>
                </c:pt>
                <c:pt idx="104">
                  <c:v>7.7003000000000004</c:v>
                </c:pt>
                <c:pt idx="105">
                  <c:v>9.1501000000000001</c:v>
                </c:pt>
                <c:pt idx="106">
                  <c:v>6.0183</c:v>
                </c:pt>
                <c:pt idx="107">
                  <c:v>3.5486</c:v>
                </c:pt>
                <c:pt idx="108">
                  <c:v>6.8971999999999865</c:v>
                </c:pt>
                <c:pt idx="109">
                  <c:v>3.7963</c:v>
                </c:pt>
                <c:pt idx="110">
                  <c:v>8.3490000000000002</c:v>
                </c:pt>
                <c:pt idx="111">
                  <c:v>4.3643999999999945</c:v>
                </c:pt>
                <c:pt idx="112">
                  <c:v>9.1411999999999995</c:v>
                </c:pt>
                <c:pt idx="113">
                  <c:v>5.9409999999999998</c:v>
                </c:pt>
                <c:pt idx="114">
                  <c:v>7.4233000000000002</c:v>
                </c:pt>
              </c:numCache>
            </c:numRef>
          </c:xVal>
          <c:yVal>
            <c:numRef>
              <c:f>Raw!$B$2:$B$116</c:f>
              <c:numCache>
                <c:formatCode>General</c:formatCode>
                <c:ptCount val="115"/>
                <c:pt idx="0">
                  <c:v>2.01E-2</c:v>
                </c:pt>
                <c:pt idx="1">
                  <c:v>2.6800000000000056E-2</c:v>
                </c:pt>
                <c:pt idx="2">
                  <c:v>2.1999999999999999E-2</c:v>
                </c:pt>
                <c:pt idx="3">
                  <c:v>2.5500000000000002E-2</c:v>
                </c:pt>
                <c:pt idx="4">
                  <c:v>2.0799999999999999E-2</c:v>
                </c:pt>
                <c:pt idx="5">
                  <c:v>2.6700000000000002E-2</c:v>
                </c:pt>
                <c:pt idx="6">
                  <c:v>2.47E-2</c:v>
                </c:pt>
                <c:pt idx="7">
                  <c:v>1.8400000000000041E-2</c:v>
                </c:pt>
                <c:pt idx="8">
                  <c:v>2.6800000000000056E-2</c:v>
                </c:pt>
                <c:pt idx="9">
                  <c:v>2.0900000000000002E-2</c:v>
                </c:pt>
                <c:pt idx="10">
                  <c:v>2.0900000000000002E-2</c:v>
                </c:pt>
                <c:pt idx="11">
                  <c:v>2.1000000000000012E-2</c:v>
                </c:pt>
                <c:pt idx="12">
                  <c:v>2.93E-2</c:v>
                </c:pt>
                <c:pt idx="13">
                  <c:v>2.7100000000000006E-2</c:v>
                </c:pt>
                <c:pt idx="14">
                  <c:v>1.4400000000000001E-2</c:v>
                </c:pt>
                <c:pt idx="15">
                  <c:v>4.9900000000000014E-2</c:v>
                </c:pt>
                <c:pt idx="16">
                  <c:v>3.1300000000000001E-2</c:v>
                </c:pt>
                <c:pt idx="17">
                  <c:v>2.3800000000000002E-2</c:v>
                </c:pt>
                <c:pt idx="18">
                  <c:v>3.4200000000000001E-2</c:v>
                </c:pt>
                <c:pt idx="19">
                  <c:v>2.0500000000000001E-2</c:v>
                </c:pt>
                <c:pt idx="20">
                  <c:v>3.0700000000000002E-2</c:v>
                </c:pt>
                <c:pt idx="21">
                  <c:v>2.2700000000000001E-2</c:v>
                </c:pt>
                <c:pt idx="22">
                  <c:v>1.8900000000000305E-2</c:v>
                </c:pt>
                <c:pt idx="23">
                  <c:v>2.9100000000000001E-2</c:v>
                </c:pt>
                <c:pt idx="24">
                  <c:v>3.4599999999999999E-2</c:v>
                </c:pt>
                <c:pt idx="25">
                  <c:v>2.2600000000000012E-2</c:v>
                </c:pt>
                <c:pt idx="26">
                  <c:v>0.05</c:v>
                </c:pt>
                <c:pt idx="27">
                  <c:v>2.5399999999999999E-2</c:v>
                </c:pt>
                <c:pt idx="28">
                  <c:v>3.1399999999999997E-2</c:v>
                </c:pt>
                <c:pt idx="29">
                  <c:v>2.4799999999999999E-2</c:v>
                </c:pt>
                <c:pt idx="30">
                  <c:v>3.15E-2</c:v>
                </c:pt>
                <c:pt idx="31">
                  <c:v>2.6100000000000002E-2</c:v>
                </c:pt>
                <c:pt idx="32">
                  <c:v>4.3199999999999995E-2</c:v>
                </c:pt>
                <c:pt idx="33">
                  <c:v>1.6000000000000021E-2</c:v>
                </c:pt>
                <c:pt idx="34">
                  <c:v>2.7700000000000002E-2</c:v>
                </c:pt>
                <c:pt idx="35">
                  <c:v>3.49E-2</c:v>
                </c:pt>
                <c:pt idx="36">
                  <c:v>3.1100000000000006E-2</c:v>
                </c:pt>
                <c:pt idx="37">
                  <c:v>3.3399999999999999E-2</c:v>
                </c:pt>
                <c:pt idx="38">
                  <c:v>1.2300000000000005E-2</c:v>
                </c:pt>
                <c:pt idx="39">
                  <c:v>1.2300000000000005E-2</c:v>
                </c:pt>
                <c:pt idx="40">
                  <c:v>3.0800000000000011E-2</c:v>
                </c:pt>
                <c:pt idx="41">
                  <c:v>2.5800000000000052E-2</c:v>
                </c:pt>
                <c:pt idx="42">
                  <c:v>2.5200000000000011E-2</c:v>
                </c:pt>
                <c:pt idx="43">
                  <c:v>3.7700000000000011E-2</c:v>
                </c:pt>
                <c:pt idx="44">
                  <c:v>4.1099999999999998E-2</c:v>
                </c:pt>
                <c:pt idx="45">
                  <c:v>3.32E-2</c:v>
                </c:pt>
                <c:pt idx="46">
                  <c:v>2.0000000000000011E-2</c:v>
                </c:pt>
                <c:pt idx="47">
                  <c:v>1.9699999999999999E-2</c:v>
                </c:pt>
                <c:pt idx="48">
                  <c:v>4.2900000000000021E-2</c:v>
                </c:pt>
                <c:pt idx="49">
                  <c:v>3.6300000000000006E-2</c:v>
                </c:pt>
                <c:pt idx="50">
                  <c:v>1.0000000000000005E-2</c:v>
                </c:pt>
                <c:pt idx="51">
                  <c:v>3.95E-2</c:v>
                </c:pt>
                <c:pt idx="52">
                  <c:v>4.2000000000000023E-2</c:v>
                </c:pt>
                <c:pt idx="53">
                  <c:v>2.9899999999999999E-2</c:v>
                </c:pt>
                <c:pt idx="54">
                  <c:v>1.0100000000000001E-2</c:v>
                </c:pt>
                <c:pt idx="55">
                  <c:v>3.61E-2</c:v>
                </c:pt>
                <c:pt idx="56">
                  <c:v>2.7300000000000001E-2</c:v>
                </c:pt>
                <c:pt idx="57">
                  <c:v>2.63E-2</c:v>
                </c:pt>
                <c:pt idx="58">
                  <c:v>2.4299999999999999E-2</c:v>
                </c:pt>
                <c:pt idx="59">
                  <c:v>2.81E-2</c:v>
                </c:pt>
                <c:pt idx="60">
                  <c:v>4.3199999999999995E-2</c:v>
                </c:pt>
                <c:pt idx="61">
                  <c:v>6.1300000000000014E-2</c:v>
                </c:pt>
                <c:pt idx="62">
                  <c:v>1.3899999999999999E-2</c:v>
                </c:pt>
                <c:pt idx="63">
                  <c:v>0</c:v>
                </c:pt>
                <c:pt idx="64">
                  <c:v>2.3599999999999993E-2</c:v>
                </c:pt>
                <c:pt idx="65">
                  <c:v>2.5399999999999999E-2</c:v>
                </c:pt>
                <c:pt idx="66">
                  <c:v>1.2E-2</c:v>
                </c:pt>
                <c:pt idx="67">
                  <c:v>2.3400000000000001E-2</c:v>
                </c:pt>
                <c:pt idx="68">
                  <c:v>0</c:v>
                </c:pt>
                <c:pt idx="69">
                  <c:v>9.6000000000000026E-3</c:v>
                </c:pt>
                <c:pt idx="70">
                  <c:v>1.7600000000000001E-2</c:v>
                </c:pt>
                <c:pt idx="71">
                  <c:v>2.1999999999999999E-2</c:v>
                </c:pt>
                <c:pt idx="72">
                  <c:v>4.6300000000000001E-2</c:v>
                </c:pt>
                <c:pt idx="73">
                  <c:v>2.2400000000000052E-2</c:v>
                </c:pt>
                <c:pt idx="74">
                  <c:v>4.1800000000000004E-2</c:v>
                </c:pt>
                <c:pt idx="75">
                  <c:v>2.8400000000000002E-2</c:v>
                </c:pt>
                <c:pt idx="76">
                  <c:v>4.6199999999999998E-2</c:v>
                </c:pt>
                <c:pt idx="77">
                  <c:v>3.3399999999999999E-2</c:v>
                </c:pt>
                <c:pt idx="78">
                  <c:v>1.7899999999999999E-2</c:v>
                </c:pt>
                <c:pt idx="79">
                  <c:v>2.4E-2</c:v>
                </c:pt>
                <c:pt idx="80">
                  <c:v>2.8899999999999999E-2</c:v>
                </c:pt>
                <c:pt idx="81">
                  <c:v>2.8899999999999999E-2</c:v>
                </c:pt>
                <c:pt idx="82">
                  <c:v>1.9000000000000308E-2</c:v>
                </c:pt>
                <c:pt idx="83">
                  <c:v>2.6900000000000011E-2</c:v>
                </c:pt>
                <c:pt idx="84">
                  <c:v>2.35E-2</c:v>
                </c:pt>
                <c:pt idx="85">
                  <c:v>2.1100000000000001E-2</c:v>
                </c:pt>
                <c:pt idx="86">
                  <c:v>2.6800000000000056E-2</c:v>
                </c:pt>
                <c:pt idx="87">
                  <c:v>1.2500000000000001E-2</c:v>
                </c:pt>
                <c:pt idx="88">
                  <c:v>2.1900000000000006E-2</c:v>
                </c:pt>
                <c:pt idx="89">
                  <c:v>3.1700000000000006E-2</c:v>
                </c:pt>
                <c:pt idx="90">
                  <c:v>1.9000000000000308E-2</c:v>
                </c:pt>
                <c:pt idx="91">
                  <c:v>3.5600000000000041E-2</c:v>
                </c:pt>
                <c:pt idx="92">
                  <c:v>1.7999999999999999E-2</c:v>
                </c:pt>
                <c:pt idx="93">
                  <c:v>1.3599999999999998E-2</c:v>
                </c:pt>
                <c:pt idx="94">
                  <c:v>1.5599999999999998E-2</c:v>
                </c:pt>
                <c:pt idx="95">
                  <c:v>0</c:v>
                </c:pt>
                <c:pt idx="96">
                  <c:v>4.6899999999999997E-2</c:v>
                </c:pt>
                <c:pt idx="97">
                  <c:v>1.1100000000000203E-2</c:v>
                </c:pt>
                <c:pt idx="98">
                  <c:v>3.7500000000000006E-2</c:v>
                </c:pt>
                <c:pt idx="99">
                  <c:v>1.7800000000000003E-2</c:v>
                </c:pt>
                <c:pt idx="100">
                  <c:v>3.0700000000000002E-2</c:v>
                </c:pt>
                <c:pt idx="101">
                  <c:v>3.6999999999999998E-2</c:v>
                </c:pt>
                <c:pt idx="102">
                  <c:v>2.5100000000000001E-2</c:v>
                </c:pt>
                <c:pt idx="103">
                  <c:v>4.4800000000000034E-2</c:v>
                </c:pt>
                <c:pt idx="104">
                  <c:v>2.53E-2</c:v>
                </c:pt>
                <c:pt idx="105">
                  <c:v>2.1900000000000006E-2</c:v>
                </c:pt>
                <c:pt idx="106">
                  <c:v>4.4299999999999999E-2</c:v>
                </c:pt>
                <c:pt idx="107">
                  <c:v>2.4199999999999989E-2</c:v>
                </c:pt>
                <c:pt idx="108">
                  <c:v>2.4799999999999999E-2</c:v>
                </c:pt>
                <c:pt idx="109">
                  <c:v>9.1000000000000004E-3</c:v>
                </c:pt>
                <c:pt idx="110">
                  <c:v>2.7000000000000256E-2</c:v>
                </c:pt>
                <c:pt idx="111">
                  <c:v>2.4199999999999989E-2</c:v>
                </c:pt>
                <c:pt idx="112">
                  <c:v>3.5099999999999999E-2</c:v>
                </c:pt>
                <c:pt idx="113">
                  <c:v>3.210000000000001E-2</c:v>
                </c:pt>
                <c:pt idx="114">
                  <c:v>2.9000000000000001E-2</c:v>
                </c:pt>
              </c:numCache>
            </c:numRef>
          </c:yVal>
        </c:ser>
        <c:axId val="125486208"/>
        <c:axId val="125488128"/>
      </c:scatterChart>
      <c:valAx>
        <c:axId val="125486208"/>
        <c:scaling>
          <c:orientation val="minMax"/>
          <c:max val="18"/>
          <c:min val="3"/>
        </c:scaling>
        <c:axPos val="b"/>
        <c:title>
          <c:tx>
            <c:rich>
              <a:bodyPr/>
              <a:lstStyle/>
              <a:p>
                <a:pPr>
                  <a:defRPr/>
                </a:pPr>
                <a:r>
                  <a:rPr lang="el-GR"/>
                  <a:t>λ</a:t>
                </a:r>
                <a:r>
                  <a:rPr lang="en-US"/>
                  <a:t> (-)</a:t>
                </a:r>
              </a:p>
            </c:rich>
          </c:tx>
        </c:title>
        <c:numFmt formatCode="General" sourceLinked="1"/>
        <c:majorTickMark val="none"/>
        <c:tickLblPos val="nextTo"/>
        <c:crossAx val="125488128"/>
        <c:crosses val="autoZero"/>
        <c:crossBetween val="midCat"/>
        <c:majorUnit val="2"/>
      </c:valAx>
      <c:valAx>
        <c:axId val="125488128"/>
        <c:scaling>
          <c:orientation val="minMax"/>
          <c:max val="7.0000000000000021E-2"/>
          <c:min val="0"/>
        </c:scaling>
        <c:axPos val="l"/>
        <c:title>
          <c:tx>
            <c:rich>
              <a:bodyPr/>
              <a:lstStyle/>
              <a:p>
                <a:pPr>
                  <a:defRPr>
                    <a:latin typeface="Cambria" pitchFamily="18" charset="0"/>
                  </a:defRPr>
                </a:pPr>
                <a:r>
                  <a:rPr lang="az-Cyrl-AZ">
                    <a:latin typeface="Cambria" pitchFamily="18" charset="0"/>
                  </a:rPr>
                  <a:t>Ѳ</a:t>
                </a:r>
                <a:r>
                  <a:rPr lang="en-US" baseline="-25000">
                    <a:latin typeface="Cambria" pitchFamily="18" charset="0"/>
                  </a:rPr>
                  <a:t>r</a:t>
                </a:r>
                <a:r>
                  <a:rPr lang="en-US">
                    <a:latin typeface="Cambria" pitchFamily="18" charset="0"/>
                  </a:rPr>
                  <a:t> (cm</a:t>
                </a:r>
                <a:r>
                  <a:rPr lang="en-US" baseline="30000">
                    <a:latin typeface="Cambria" pitchFamily="18" charset="0"/>
                  </a:rPr>
                  <a:t>3</a:t>
                </a:r>
                <a:r>
                  <a:rPr lang="en-US">
                    <a:latin typeface="Cambria" pitchFamily="18" charset="0"/>
                  </a:rPr>
                  <a:t>/cm</a:t>
                </a:r>
                <a:r>
                  <a:rPr lang="en-US" baseline="30000">
                    <a:latin typeface="Cambria" pitchFamily="18" charset="0"/>
                  </a:rPr>
                  <a:t>3</a:t>
                </a:r>
                <a:r>
                  <a:rPr lang="en-US">
                    <a:latin typeface="Cambria" pitchFamily="18" charset="0"/>
                  </a:rPr>
                  <a:t>)</a:t>
                </a:r>
                <a:endParaRPr lang="en-US" baseline="30000">
                  <a:latin typeface="Cambria" pitchFamily="18" charset="0"/>
                </a:endParaRPr>
              </a:p>
            </c:rich>
          </c:tx>
          <c:layout>
            <c:manualLayout>
              <c:xMode val="edge"/>
              <c:yMode val="edge"/>
              <c:x val="3.0555555555555582E-2"/>
              <c:y val="0.30579870224555733"/>
            </c:manualLayout>
          </c:layout>
        </c:title>
        <c:numFmt formatCode="General" sourceLinked="1"/>
        <c:majorTickMark val="none"/>
        <c:tickLblPos val="nextTo"/>
        <c:crossAx val="125486208"/>
        <c:crosses val="autoZero"/>
        <c:crossBetween val="midCat"/>
      </c:valAx>
    </c:plotArea>
    <c:plotVisOnly val="1"/>
  </c:chart>
  <c:txPr>
    <a:bodyPr/>
    <a:lstStyle/>
    <a:p>
      <a:pPr>
        <a:defRPr>
          <a:latin typeface="+mj-lt"/>
        </a:defRPr>
      </a:pPr>
      <a:endParaRPr lang="en-US"/>
    </a:p>
  </c:txPr>
  <c:externalData r:id="rId1"/>
  <c:userShapes r:id="rId2"/>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4339129483814544"/>
          <c:y val="8.3807961504814607E-2"/>
          <c:w val="0.81197681539809208"/>
          <c:h val="0.66764617964422213"/>
        </c:manualLayout>
      </c:layout>
      <c:scatterChart>
        <c:scatterStyle val="lineMarker"/>
        <c:ser>
          <c:idx val="0"/>
          <c:order val="0"/>
          <c:tx>
            <c:v>Saturated Water Content vs. Air Entry</c:v>
          </c:tx>
          <c:spPr>
            <a:ln w="28575">
              <a:noFill/>
            </a:ln>
          </c:spPr>
          <c:marker>
            <c:symbol val="circle"/>
            <c:size val="7"/>
          </c:marker>
          <c:trendline>
            <c:spPr>
              <a:ln w="19050"/>
            </c:spPr>
            <c:trendlineType val="linear"/>
          </c:trendline>
          <c:xVal>
            <c:numRef>
              <c:f>Raw!$D$2:$D$116</c:f>
              <c:numCache>
                <c:formatCode>General</c:formatCode>
                <c:ptCount val="115"/>
                <c:pt idx="0">
                  <c:v>6.6215999999999955</c:v>
                </c:pt>
                <c:pt idx="1">
                  <c:v>5.4795000000000034</c:v>
                </c:pt>
                <c:pt idx="2">
                  <c:v>7.3036000000000003</c:v>
                </c:pt>
                <c:pt idx="3">
                  <c:v>6.6326999999999998</c:v>
                </c:pt>
                <c:pt idx="4">
                  <c:v>5.1459999999999955</c:v>
                </c:pt>
                <c:pt idx="5">
                  <c:v>5.5519999999999996</c:v>
                </c:pt>
                <c:pt idx="6">
                  <c:v>5.4450000000000003</c:v>
                </c:pt>
                <c:pt idx="7">
                  <c:v>8.3718000000000004</c:v>
                </c:pt>
                <c:pt idx="8">
                  <c:v>6.9440999999999997</c:v>
                </c:pt>
                <c:pt idx="9">
                  <c:v>8.8370000000000015</c:v>
                </c:pt>
                <c:pt idx="10">
                  <c:v>8.8370000000000015</c:v>
                </c:pt>
                <c:pt idx="11">
                  <c:v>7.0987</c:v>
                </c:pt>
                <c:pt idx="12">
                  <c:v>9.3771000000000004</c:v>
                </c:pt>
                <c:pt idx="13">
                  <c:v>4.3974999999999955</c:v>
                </c:pt>
                <c:pt idx="14">
                  <c:v>4.9349999999999996</c:v>
                </c:pt>
                <c:pt idx="15">
                  <c:v>11.485000000000024</c:v>
                </c:pt>
                <c:pt idx="16">
                  <c:v>11.577500000000002</c:v>
                </c:pt>
                <c:pt idx="17">
                  <c:v>9.4225000000000048</c:v>
                </c:pt>
                <c:pt idx="18">
                  <c:v>6.9706000000000534</c:v>
                </c:pt>
                <c:pt idx="19">
                  <c:v>7.5380000000000003</c:v>
                </c:pt>
                <c:pt idx="20">
                  <c:v>7.0234999999999985</c:v>
                </c:pt>
                <c:pt idx="21">
                  <c:v>6.0739999999999998</c:v>
                </c:pt>
                <c:pt idx="22">
                  <c:v>4.6874999999999956</c:v>
                </c:pt>
                <c:pt idx="23">
                  <c:v>17.586299999999689</c:v>
                </c:pt>
                <c:pt idx="24">
                  <c:v>10.7829</c:v>
                </c:pt>
                <c:pt idx="25">
                  <c:v>8.8368000000000002</c:v>
                </c:pt>
                <c:pt idx="26">
                  <c:v>12.953800000000006</c:v>
                </c:pt>
                <c:pt idx="27">
                  <c:v>7.9468000000000014</c:v>
                </c:pt>
                <c:pt idx="28">
                  <c:v>10.483400000000024</c:v>
                </c:pt>
                <c:pt idx="29">
                  <c:v>8.4703000000000035</c:v>
                </c:pt>
                <c:pt idx="30">
                  <c:v>10.128299999999999</c:v>
                </c:pt>
                <c:pt idx="31">
                  <c:v>9.5665000000000067</c:v>
                </c:pt>
                <c:pt idx="32">
                  <c:v>8.4714000000000027</c:v>
                </c:pt>
                <c:pt idx="33">
                  <c:v>7.1996000000000002</c:v>
                </c:pt>
                <c:pt idx="34">
                  <c:v>11.5197</c:v>
                </c:pt>
                <c:pt idx="35">
                  <c:v>10.698099999999998</c:v>
                </c:pt>
                <c:pt idx="36">
                  <c:v>11.4031</c:v>
                </c:pt>
                <c:pt idx="37">
                  <c:v>5.4247999999999985</c:v>
                </c:pt>
                <c:pt idx="38">
                  <c:v>5.3244999999999845</c:v>
                </c:pt>
                <c:pt idx="39">
                  <c:v>5.3244999999999845</c:v>
                </c:pt>
                <c:pt idx="40">
                  <c:v>10.955700000000126</c:v>
                </c:pt>
                <c:pt idx="41">
                  <c:v>6.8567999999999998</c:v>
                </c:pt>
                <c:pt idx="42">
                  <c:v>6.1802999999999999</c:v>
                </c:pt>
                <c:pt idx="43">
                  <c:v>10.075600000000026</c:v>
                </c:pt>
                <c:pt idx="44">
                  <c:v>7.8433000000000002</c:v>
                </c:pt>
                <c:pt idx="45">
                  <c:v>6.1962999999999999</c:v>
                </c:pt>
                <c:pt idx="46">
                  <c:v>9.7614000000000001</c:v>
                </c:pt>
                <c:pt idx="47">
                  <c:v>7.8522999999999996</c:v>
                </c:pt>
                <c:pt idx="48">
                  <c:v>6.0254999999999965</c:v>
                </c:pt>
                <c:pt idx="49">
                  <c:v>8.3661000000000048</c:v>
                </c:pt>
                <c:pt idx="50">
                  <c:v>8.0676000000000005</c:v>
                </c:pt>
                <c:pt idx="51">
                  <c:v>6.4226000000000001</c:v>
                </c:pt>
                <c:pt idx="52">
                  <c:v>8.8975000000000026</c:v>
                </c:pt>
                <c:pt idx="53">
                  <c:v>8.1246999999999989</c:v>
                </c:pt>
                <c:pt idx="54">
                  <c:v>7.1743999999999986</c:v>
                </c:pt>
                <c:pt idx="55">
                  <c:v>6.9148999999999985</c:v>
                </c:pt>
                <c:pt idx="56">
                  <c:v>7.5978999999999965</c:v>
                </c:pt>
                <c:pt idx="57">
                  <c:v>7.7625999999999955</c:v>
                </c:pt>
                <c:pt idx="58">
                  <c:v>10.328299999999999</c:v>
                </c:pt>
                <c:pt idx="59">
                  <c:v>9.3266000000000027</c:v>
                </c:pt>
                <c:pt idx="60">
                  <c:v>8.9718</c:v>
                </c:pt>
                <c:pt idx="61">
                  <c:v>15.9291</c:v>
                </c:pt>
                <c:pt idx="62">
                  <c:v>4.6116999999999999</c:v>
                </c:pt>
                <c:pt idx="63">
                  <c:v>4.0798000000000014</c:v>
                </c:pt>
                <c:pt idx="64">
                  <c:v>4.8180999999999985</c:v>
                </c:pt>
                <c:pt idx="65">
                  <c:v>4.8003</c:v>
                </c:pt>
                <c:pt idx="66">
                  <c:v>5.0358999999999998</c:v>
                </c:pt>
                <c:pt idx="67">
                  <c:v>9.6462999999999983</c:v>
                </c:pt>
                <c:pt idx="68">
                  <c:v>4.9364000000000114</c:v>
                </c:pt>
                <c:pt idx="69">
                  <c:v>5.5042999999999997</c:v>
                </c:pt>
                <c:pt idx="70">
                  <c:v>5.8608999999999956</c:v>
                </c:pt>
                <c:pt idx="71">
                  <c:v>5.6827999999999985</c:v>
                </c:pt>
                <c:pt idx="72">
                  <c:v>7.6470999999999965</c:v>
                </c:pt>
                <c:pt idx="73">
                  <c:v>9.5208000000000013</c:v>
                </c:pt>
                <c:pt idx="74">
                  <c:v>11.169400000000024</c:v>
                </c:pt>
                <c:pt idx="75">
                  <c:v>3.7844000000000002</c:v>
                </c:pt>
                <c:pt idx="76">
                  <c:v>9.0172999999999988</c:v>
                </c:pt>
                <c:pt idx="77">
                  <c:v>6.6778999999999975</c:v>
                </c:pt>
                <c:pt idx="78">
                  <c:v>7.0994000000000002</c:v>
                </c:pt>
                <c:pt idx="79">
                  <c:v>7.0828999999999995</c:v>
                </c:pt>
                <c:pt idx="80">
                  <c:v>9.123899999999999</c:v>
                </c:pt>
                <c:pt idx="81">
                  <c:v>9.123899999999999</c:v>
                </c:pt>
                <c:pt idx="82">
                  <c:v>7.2761000000000013</c:v>
                </c:pt>
                <c:pt idx="83">
                  <c:v>10.0223</c:v>
                </c:pt>
                <c:pt idx="84">
                  <c:v>7.1442999999999985</c:v>
                </c:pt>
                <c:pt idx="85">
                  <c:v>5.9073000000000002</c:v>
                </c:pt>
                <c:pt idx="86">
                  <c:v>5.3672999999999975</c:v>
                </c:pt>
                <c:pt idx="87">
                  <c:v>4.4539999999999997</c:v>
                </c:pt>
                <c:pt idx="88">
                  <c:v>10.929500000000004</c:v>
                </c:pt>
                <c:pt idx="89">
                  <c:v>12.2324</c:v>
                </c:pt>
                <c:pt idx="90">
                  <c:v>6.1907999999999985</c:v>
                </c:pt>
                <c:pt idx="91">
                  <c:v>5.6364000000000001</c:v>
                </c:pt>
                <c:pt idx="92">
                  <c:v>7.8906000000000001</c:v>
                </c:pt>
                <c:pt idx="93">
                  <c:v>8.7137000000000011</c:v>
                </c:pt>
                <c:pt idx="94">
                  <c:v>5.4887000000000024</c:v>
                </c:pt>
                <c:pt idx="95">
                  <c:v>4.0401999999999996</c:v>
                </c:pt>
                <c:pt idx="96">
                  <c:v>9.2208999999999985</c:v>
                </c:pt>
                <c:pt idx="97">
                  <c:v>7.6314000000000002</c:v>
                </c:pt>
                <c:pt idx="98">
                  <c:v>11.101800000000001</c:v>
                </c:pt>
                <c:pt idx="99">
                  <c:v>5.5213999999999999</c:v>
                </c:pt>
                <c:pt idx="100">
                  <c:v>5.6682999999999995</c:v>
                </c:pt>
                <c:pt idx="101">
                  <c:v>13.0839</c:v>
                </c:pt>
                <c:pt idx="102">
                  <c:v>7.0785999999999998</c:v>
                </c:pt>
                <c:pt idx="103">
                  <c:v>8.9233000000000011</c:v>
                </c:pt>
                <c:pt idx="104">
                  <c:v>7.7003000000000004</c:v>
                </c:pt>
                <c:pt idx="105">
                  <c:v>9.1501000000000001</c:v>
                </c:pt>
                <c:pt idx="106">
                  <c:v>6.0183</c:v>
                </c:pt>
                <c:pt idx="107">
                  <c:v>3.5486</c:v>
                </c:pt>
                <c:pt idx="108">
                  <c:v>6.8971999999999865</c:v>
                </c:pt>
                <c:pt idx="109">
                  <c:v>3.7963</c:v>
                </c:pt>
                <c:pt idx="110">
                  <c:v>8.3490000000000002</c:v>
                </c:pt>
                <c:pt idx="111">
                  <c:v>4.3643999999999945</c:v>
                </c:pt>
                <c:pt idx="112">
                  <c:v>9.1411999999999995</c:v>
                </c:pt>
                <c:pt idx="113">
                  <c:v>5.9409999999999998</c:v>
                </c:pt>
                <c:pt idx="114">
                  <c:v>7.4233000000000002</c:v>
                </c:pt>
              </c:numCache>
            </c:numRef>
          </c:xVal>
          <c:yVal>
            <c:numRef>
              <c:f>Raw!$C$2:$C$116</c:f>
              <c:numCache>
                <c:formatCode>General</c:formatCode>
                <c:ptCount val="115"/>
                <c:pt idx="0">
                  <c:v>18.601500000000001</c:v>
                </c:pt>
                <c:pt idx="1">
                  <c:v>17.602399999999989</c:v>
                </c:pt>
                <c:pt idx="2">
                  <c:v>17.691700000000001</c:v>
                </c:pt>
                <c:pt idx="3">
                  <c:v>17.674700000000001</c:v>
                </c:pt>
                <c:pt idx="4">
                  <c:v>15.8241</c:v>
                </c:pt>
                <c:pt idx="5">
                  <c:v>16.672999999999988</c:v>
                </c:pt>
                <c:pt idx="6">
                  <c:v>17.383900000000001</c:v>
                </c:pt>
                <c:pt idx="7">
                  <c:v>18.705100000000002</c:v>
                </c:pt>
                <c:pt idx="8">
                  <c:v>18.902199999999599</c:v>
                </c:pt>
                <c:pt idx="9">
                  <c:v>18.530999999999999</c:v>
                </c:pt>
                <c:pt idx="10">
                  <c:v>18.530999999999999</c:v>
                </c:pt>
                <c:pt idx="11">
                  <c:v>17.103200000000001</c:v>
                </c:pt>
                <c:pt idx="12">
                  <c:v>18.6844</c:v>
                </c:pt>
                <c:pt idx="13">
                  <c:v>16.710599999999989</c:v>
                </c:pt>
                <c:pt idx="14">
                  <c:v>17.5688</c:v>
                </c:pt>
                <c:pt idx="15">
                  <c:v>18.601299999999988</c:v>
                </c:pt>
                <c:pt idx="16">
                  <c:v>19.098699999999617</c:v>
                </c:pt>
                <c:pt idx="17">
                  <c:v>18.436</c:v>
                </c:pt>
                <c:pt idx="18">
                  <c:v>17.610600000000005</c:v>
                </c:pt>
                <c:pt idx="19">
                  <c:v>18.289699999999556</c:v>
                </c:pt>
                <c:pt idx="20">
                  <c:v>17.635999999999999</c:v>
                </c:pt>
                <c:pt idx="21">
                  <c:v>16.908799999999513</c:v>
                </c:pt>
                <c:pt idx="22">
                  <c:v>18.333100000000005</c:v>
                </c:pt>
                <c:pt idx="23">
                  <c:v>18.651499999999999</c:v>
                </c:pt>
                <c:pt idx="24">
                  <c:v>18.464399999999689</c:v>
                </c:pt>
                <c:pt idx="25">
                  <c:v>17.86</c:v>
                </c:pt>
                <c:pt idx="26">
                  <c:v>18.897900000000035</c:v>
                </c:pt>
                <c:pt idx="27">
                  <c:v>17.7943</c:v>
                </c:pt>
                <c:pt idx="28">
                  <c:v>18.057200000000005</c:v>
                </c:pt>
                <c:pt idx="29">
                  <c:v>17.9147</c:v>
                </c:pt>
                <c:pt idx="30">
                  <c:v>18.292199999999635</c:v>
                </c:pt>
                <c:pt idx="31">
                  <c:v>18.181100000000001</c:v>
                </c:pt>
                <c:pt idx="32">
                  <c:v>18.194400000000005</c:v>
                </c:pt>
                <c:pt idx="33">
                  <c:v>18.072500000000002</c:v>
                </c:pt>
                <c:pt idx="34">
                  <c:v>17.878299999999989</c:v>
                </c:pt>
                <c:pt idx="35">
                  <c:v>17.805299999999889</c:v>
                </c:pt>
                <c:pt idx="36">
                  <c:v>17.647099999999988</c:v>
                </c:pt>
                <c:pt idx="37">
                  <c:v>16.3889</c:v>
                </c:pt>
                <c:pt idx="38">
                  <c:v>18.025299999999689</c:v>
                </c:pt>
                <c:pt idx="39">
                  <c:v>18.025299999999689</c:v>
                </c:pt>
                <c:pt idx="40">
                  <c:v>18.019600000000001</c:v>
                </c:pt>
                <c:pt idx="41">
                  <c:v>16.78679999999952</c:v>
                </c:pt>
                <c:pt idx="42">
                  <c:v>15.856800000000026</c:v>
                </c:pt>
                <c:pt idx="43">
                  <c:v>16.911799999999989</c:v>
                </c:pt>
                <c:pt idx="44">
                  <c:v>17.611100000000135</c:v>
                </c:pt>
                <c:pt idx="45">
                  <c:v>18.010999999999999</c:v>
                </c:pt>
                <c:pt idx="46">
                  <c:v>17.952599999999581</c:v>
                </c:pt>
                <c:pt idx="47">
                  <c:v>16.770099999999989</c:v>
                </c:pt>
                <c:pt idx="48">
                  <c:v>16.826699999999889</c:v>
                </c:pt>
                <c:pt idx="49">
                  <c:v>16.905099999999621</c:v>
                </c:pt>
                <c:pt idx="50">
                  <c:v>16.291399999999989</c:v>
                </c:pt>
                <c:pt idx="51">
                  <c:v>16.058900000000001</c:v>
                </c:pt>
                <c:pt idx="52">
                  <c:v>17.1707</c:v>
                </c:pt>
                <c:pt idx="53">
                  <c:v>18.4818</c:v>
                </c:pt>
                <c:pt idx="54">
                  <c:v>17.481399999999606</c:v>
                </c:pt>
                <c:pt idx="55">
                  <c:v>16.789499999999581</c:v>
                </c:pt>
                <c:pt idx="56">
                  <c:v>16.947299999999789</c:v>
                </c:pt>
                <c:pt idx="57">
                  <c:v>16.985999999999606</c:v>
                </c:pt>
                <c:pt idx="58">
                  <c:v>17.486399999999552</c:v>
                </c:pt>
                <c:pt idx="59">
                  <c:v>17.0167</c:v>
                </c:pt>
                <c:pt idx="60">
                  <c:v>17.4971</c:v>
                </c:pt>
                <c:pt idx="61">
                  <c:v>17.661200000000001</c:v>
                </c:pt>
                <c:pt idx="62">
                  <c:v>17.405399999999574</c:v>
                </c:pt>
                <c:pt idx="63">
                  <c:v>17.2028</c:v>
                </c:pt>
                <c:pt idx="64">
                  <c:v>17.163499999999889</c:v>
                </c:pt>
                <c:pt idx="65">
                  <c:v>16.743499999999621</c:v>
                </c:pt>
                <c:pt idx="66">
                  <c:v>17.224299999999989</c:v>
                </c:pt>
                <c:pt idx="67">
                  <c:v>18.433900000000001</c:v>
                </c:pt>
                <c:pt idx="68">
                  <c:v>18.373100000000001</c:v>
                </c:pt>
                <c:pt idx="69">
                  <c:v>17.664200000000001</c:v>
                </c:pt>
                <c:pt idx="70">
                  <c:v>16.993200000000002</c:v>
                </c:pt>
                <c:pt idx="71">
                  <c:v>17.030200000000001</c:v>
                </c:pt>
                <c:pt idx="72">
                  <c:v>16.693200000000001</c:v>
                </c:pt>
                <c:pt idx="73">
                  <c:v>17.700299999999789</c:v>
                </c:pt>
                <c:pt idx="74">
                  <c:v>17.930499999999789</c:v>
                </c:pt>
                <c:pt idx="75">
                  <c:v>17.054300000000001</c:v>
                </c:pt>
                <c:pt idx="76">
                  <c:v>17.461999999999989</c:v>
                </c:pt>
                <c:pt idx="77">
                  <c:v>16.535699999999789</c:v>
                </c:pt>
                <c:pt idx="78">
                  <c:v>17.176500000000001</c:v>
                </c:pt>
                <c:pt idx="79">
                  <c:v>17.358699999999889</c:v>
                </c:pt>
                <c:pt idx="80">
                  <c:v>17.7576</c:v>
                </c:pt>
                <c:pt idx="81">
                  <c:v>17.7576</c:v>
                </c:pt>
                <c:pt idx="82">
                  <c:v>18.363</c:v>
                </c:pt>
                <c:pt idx="83">
                  <c:v>17.981499999999599</c:v>
                </c:pt>
                <c:pt idx="84">
                  <c:v>17.851299999999988</c:v>
                </c:pt>
                <c:pt idx="85">
                  <c:v>17.408599999999559</c:v>
                </c:pt>
                <c:pt idx="86">
                  <c:v>17.503</c:v>
                </c:pt>
                <c:pt idx="87">
                  <c:v>17.677000000000035</c:v>
                </c:pt>
                <c:pt idx="88">
                  <c:v>19.012</c:v>
                </c:pt>
                <c:pt idx="89">
                  <c:v>19.060399999999689</c:v>
                </c:pt>
                <c:pt idx="90">
                  <c:v>17.756</c:v>
                </c:pt>
                <c:pt idx="91">
                  <c:v>18.308900000000001</c:v>
                </c:pt>
                <c:pt idx="92">
                  <c:v>16.655000000000001</c:v>
                </c:pt>
                <c:pt idx="93">
                  <c:v>17.7165</c:v>
                </c:pt>
                <c:pt idx="94">
                  <c:v>16.603800000000035</c:v>
                </c:pt>
                <c:pt idx="95">
                  <c:v>16.460699999999509</c:v>
                </c:pt>
                <c:pt idx="96">
                  <c:v>17.397500000000001</c:v>
                </c:pt>
                <c:pt idx="97">
                  <c:v>17.282399999999498</c:v>
                </c:pt>
                <c:pt idx="98">
                  <c:v>17.478099999999689</c:v>
                </c:pt>
                <c:pt idx="99">
                  <c:v>17.1797</c:v>
                </c:pt>
                <c:pt idx="100">
                  <c:v>16.7362</c:v>
                </c:pt>
                <c:pt idx="101">
                  <c:v>17.269599999999603</c:v>
                </c:pt>
                <c:pt idx="102">
                  <c:v>16.9849</c:v>
                </c:pt>
                <c:pt idx="103">
                  <c:v>17.692799999999789</c:v>
                </c:pt>
                <c:pt idx="104">
                  <c:v>16.8917</c:v>
                </c:pt>
                <c:pt idx="105">
                  <c:v>17.051500000000001</c:v>
                </c:pt>
                <c:pt idx="106">
                  <c:v>16.939800000000005</c:v>
                </c:pt>
                <c:pt idx="107">
                  <c:v>16.090299999999989</c:v>
                </c:pt>
                <c:pt idx="108">
                  <c:v>15.897500000000004</c:v>
                </c:pt>
                <c:pt idx="109">
                  <c:v>14.501800000000001</c:v>
                </c:pt>
                <c:pt idx="110">
                  <c:v>16.417400000000001</c:v>
                </c:pt>
                <c:pt idx="111">
                  <c:v>15.571100000000001</c:v>
                </c:pt>
                <c:pt idx="112">
                  <c:v>16.550599999999989</c:v>
                </c:pt>
                <c:pt idx="113">
                  <c:v>16.343399999999889</c:v>
                </c:pt>
                <c:pt idx="114">
                  <c:v>17.028599999999614</c:v>
                </c:pt>
              </c:numCache>
            </c:numRef>
          </c:yVal>
        </c:ser>
        <c:axId val="125688832"/>
        <c:axId val="125502592"/>
      </c:scatterChart>
      <c:valAx>
        <c:axId val="125688832"/>
        <c:scaling>
          <c:orientation val="minMax"/>
          <c:max val="18"/>
          <c:min val="3"/>
        </c:scaling>
        <c:axPos val="b"/>
        <c:title>
          <c:tx>
            <c:rich>
              <a:bodyPr/>
              <a:lstStyle/>
              <a:p>
                <a:pPr>
                  <a:defRPr>
                    <a:latin typeface="+mj-lt"/>
                  </a:defRPr>
                </a:pPr>
                <a:r>
                  <a:rPr lang="el-GR">
                    <a:latin typeface="+mj-lt"/>
                    <a:cs typeface="Arial"/>
                  </a:rPr>
                  <a:t>λ</a:t>
                </a:r>
                <a:r>
                  <a:rPr lang="en-US" baseline="0">
                    <a:latin typeface="+mj-lt"/>
                    <a:cs typeface="Arial"/>
                  </a:rPr>
                  <a:t> </a:t>
                </a:r>
                <a:r>
                  <a:rPr lang="en-US">
                    <a:latin typeface="+mj-lt"/>
                  </a:rPr>
                  <a:t>(-)</a:t>
                </a:r>
              </a:p>
            </c:rich>
          </c:tx>
          <c:layout>
            <c:manualLayout>
              <c:xMode val="edge"/>
              <c:yMode val="edge"/>
              <c:x val="0.47561570428696431"/>
              <c:y val="0.87868037328668458"/>
            </c:manualLayout>
          </c:layout>
        </c:title>
        <c:numFmt formatCode="General" sourceLinked="1"/>
        <c:majorTickMark val="none"/>
        <c:tickLblPos val="nextTo"/>
        <c:txPr>
          <a:bodyPr/>
          <a:lstStyle/>
          <a:p>
            <a:pPr>
              <a:defRPr baseline="0">
                <a:latin typeface="Cambria" pitchFamily="18" charset="0"/>
              </a:defRPr>
            </a:pPr>
            <a:endParaRPr lang="en-US"/>
          </a:p>
        </c:txPr>
        <c:crossAx val="125502592"/>
        <c:crosses val="autoZero"/>
        <c:crossBetween val="midCat"/>
        <c:majorUnit val="2"/>
      </c:valAx>
      <c:valAx>
        <c:axId val="125502592"/>
        <c:scaling>
          <c:orientation val="minMax"/>
          <c:min val="15"/>
        </c:scaling>
        <c:axPos val="l"/>
        <c:title>
          <c:tx>
            <c:rich>
              <a:bodyPr/>
              <a:lstStyle/>
              <a:p>
                <a:pPr>
                  <a:defRPr>
                    <a:latin typeface="+mj-lt"/>
                  </a:defRPr>
                </a:pPr>
                <a:r>
                  <a:rPr lang="el-GR" sz="1000" b="1" i="0" u="none" strike="noStrike" baseline="0">
                    <a:latin typeface="+mj-lt"/>
                    <a:cs typeface="Calibri"/>
                  </a:rPr>
                  <a:t>ψ</a:t>
                </a:r>
                <a:r>
                  <a:rPr lang="en-US" sz="1000" b="1" i="0" u="none" strike="noStrike" baseline="-25000">
                    <a:latin typeface="+mj-lt"/>
                    <a:cs typeface="Calibri"/>
                  </a:rPr>
                  <a:t>a</a:t>
                </a:r>
                <a:r>
                  <a:rPr lang="en-US" sz="1000" b="1" i="0" u="none" strike="noStrike" baseline="0">
                    <a:latin typeface="+mj-lt"/>
                    <a:cs typeface="Calibri"/>
                  </a:rPr>
                  <a:t> </a:t>
                </a:r>
                <a:r>
                  <a:rPr lang="en-US" sz="1000" b="1" i="0" u="none" strike="noStrike" baseline="0">
                    <a:latin typeface="+mj-lt"/>
                  </a:rPr>
                  <a:t>(cm)</a:t>
                </a:r>
                <a:endParaRPr lang="en-US">
                  <a:latin typeface="+mj-lt"/>
                </a:endParaRPr>
              </a:p>
            </c:rich>
          </c:tx>
        </c:title>
        <c:numFmt formatCode="General" sourceLinked="1"/>
        <c:majorTickMark val="none"/>
        <c:tickLblPos val="nextTo"/>
        <c:txPr>
          <a:bodyPr/>
          <a:lstStyle/>
          <a:p>
            <a:pPr>
              <a:defRPr baseline="0">
                <a:latin typeface="Cambria" pitchFamily="18" charset="0"/>
              </a:defRPr>
            </a:pPr>
            <a:endParaRPr lang="en-US"/>
          </a:p>
        </c:txPr>
        <c:crossAx val="125688832"/>
        <c:crosses val="autoZero"/>
        <c:crossBetween val="midCat"/>
        <c:majorUnit val="1"/>
      </c:valAx>
    </c:plotArea>
    <c:plotVisOnly val="1"/>
  </c:chart>
  <c:externalData r:id="rId1"/>
  <c:userShapes r:id="rId2"/>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6448862642169729"/>
          <c:y val="0.10672462817148165"/>
          <c:w val="0.79087948381453332"/>
          <c:h val="0.6447295129775622"/>
        </c:manualLayout>
      </c:layout>
      <c:scatterChart>
        <c:scatterStyle val="lineMarker"/>
        <c:ser>
          <c:idx val="0"/>
          <c:order val="0"/>
          <c:tx>
            <c:v>Saturated Water Content vs. Air Entry</c:v>
          </c:tx>
          <c:spPr>
            <a:ln w="28575">
              <a:noFill/>
            </a:ln>
          </c:spPr>
          <c:marker>
            <c:symbol val="circle"/>
            <c:size val="7"/>
          </c:marker>
          <c:trendline>
            <c:spPr>
              <a:ln w="19050"/>
            </c:spPr>
            <c:trendlineType val="linear"/>
          </c:trendline>
          <c:xVal>
            <c:numRef>
              <c:f>Raw!$A$2:$A$116</c:f>
              <c:numCache>
                <c:formatCode>General</c:formatCode>
                <c:ptCount val="115"/>
                <c:pt idx="0">
                  <c:v>0.33370000000000088</c:v>
                </c:pt>
                <c:pt idx="1">
                  <c:v>0.35050000000000031</c:v>
                </c:pt>
                <c:pt idx="2">
                  <c:v>0.43800000000000472</c:v>
                </c:pt>
                <c:pt idx="3">
                  <c:v>0.38320000000000032</c:v>
                </c:pt>
                <c:pt idx="4">
                  <c:v>0.42500000000000032</c:v>
                </c:pt>
                <c:pt idx="5">
                  <c:v>0.39730000000000826</c:v>
                </c:pt>
                <c:pt idx="6">
                  <c:v>0.36380000000000534</c:v>
                </c:pt>
                <c:pt idx="7">
                  <c:v>0.31520000000000031</c:v>
                </c:pt>
                <c:pt idx="8">
                  <c:v>0.34890000000000032</c:v>
                </c:pt>
                <c:pt idx="9">
                  <c:v>0.36770000000000008</c:v>
                </c:pt>
                <c:pt idx="10">
                  <c:v>0.36770000000000008</c:v>
                </c:pt>
                <c:pt idx="11">
                  <c:v>0.41250000000000031</c:v>
                </c:pt>
                <c:pt idx="12">
                  <c:v>0.35210000000000002</c:v>
                </c:pt>
                <c:pt idx="13">
                  <c:v>0.32500000000000534</c:v>
                </c:pt>
                <c:pt idx="14">
                  <c:v>0.32980000000000737</c:v>
                </c:pt>
                <c:pt idx="15">
                  <c:v>0.37630000000000607</c:v>
                </c:pt>
                <c:pt idx="16">
                  <c:v>0.30920000000000031</c:v>
                </c:pt>
                <c:pt idx="17">
                  <c:v>0.35030000000000472</c:v>
                </c:pt>
                <c:pt idx="18">
                  <c:v>0.34620000000000001</c:v>
                </c:pt>
                <c:pt idx="19">
                  <c:v>0.36620000000000008</c:v>
                </c:pt>
                <c:pt idx="20">
                  <c:v>0.36010000000000031</c:v>
                </c:pt>
                <c:pt idx="21">
                  <c:v>0.37570000000000031</c:v>
                </c:pt>
                <c:pt idx="22">
                  <c:v>0.31410000000000032</c:v>
                </c:pt>
                <c:pt idx="23">
                  <c:v>0.35660000000000008</c:v>
                </c:pt>
                <c:pt idx="24">
                  <c:v>0.37460000000000032</c:v>
                </c:pt>
                <c:pt idx="25">
                  <c:v>0.35750000000000032</c:v>
                </c:pt>
                <c:pt idx="26">
                  <c:v>0.32130000000000697</c:v>
                </c:pt>
                <c:pt idx="27">
                  <c:v>0.36260000000000031</c:v>
                </c:pt>
                <c:pt idx="28">
                  <c:v>0.38690000000000607</c:v>
                </c:pt>
                <c:pt idx="29">
                  <c:v>0.32610000000000472</c:v>
                </c:pt>
                <c:pt idx="30">
                  <c:v>0.36100000000000032</c:v>
                </c:pt>
                <c:pt idx="31">
                  <c:v>0.33730000000000843</c:v>
                </c:pt>
                <c:pt idx="32">
                  <c:v>0.41040000000000032</c:v>
                </c:pt>
                <c:pt idx="33">
                  <c:v>0.35020000000000001</c:v>
                </c:pt>
                <c:pt idx="34">
                  <c:v>0.40300000000000002</c:v>
                </c:pt>
                <c:pt idx="35">
                  <c:v>0.43250000000000038</c:v>
                </c:pt>
                <c:pt idx="36">
                  <c:v>0.34080000000000032</c:v>
                </c:pt>
                <c:pt idx="37">
                  <c:v>0.35190000000000032</c:v>
                </c:pt>
                <c:pt idx="38">
                  <c:v>0.32670000000000032</c:v>
                </c:pt>
                <c:pt idx="39">
                  <c:v>0.32670000000000032</c:v>
                </c:pt>
                <c:pt idx="40">
                  <c:v>0.38420000000000032</c:v>
                </c:pt>
                <c:pt idx="41">
                  <c:v>0.38080000000000652</c:v>
                </c:pt>
                <c:pt idx="42">
                  <c:v>0.39980000000000843</c:v>
                </c:pt>
                <c:pt idx="43">
                  <c:v>0.44190000000000002</c:v>
                </c:pt>
                <c:pt idx="44">
                  <c:v>0.35750000000000032</c:v>
                </c:pt>
                <c:pt idx="45">
                  <c:v>0.34110000000000001</c:v>
                </c:pt>
                <c:pt idx="46">
                  <c:v>0.33320000000000038</c:v>
                </c:pt>
                <c:pt idx="47">
                  <c:v>0.41030000000000288</c:v>
                </c:pt>
                <c:pt idx="48">
                  <c:v>0.40180000000000032</c:v>
                </c:pt>
                <c:pt idx="49">
                  <c:v>0.45620000000000005</c:v>
                </c:pt>
                <c:pt idx="50">
                  <c:v>0.51149999999999951</c:v>
                </c:pt>
                <c:pt idx="51">
                  <c:v>0.5504</c:v>
                </c:pt>
                <c:pt idx="52">
                  <c:v>0.39110000000000478</c:v>
                </c:pt>
                <c:pt idx="53">
                  <c:v>0.36910000000000032</c:v>
                </c:pt>
                <c:pt idx="54">
                  <c:v>0.36350000000000032</c:v>
                </c:pt>
                <c:pt idx="55">
                  <c:v>0.43700000000000438</c:v>
                </c:pt>
                <c:pt idx="56">
                  <c:v>0.41520000000000001</c:v>
                </c:pt>
                <c:pt idx="57">
                  <c:v>0.41260000000000002</c:v>
                </c:pt>
                <c:pt idx="58">
                  <c:v>0.40930000000000138</c:v>
                </c:pt>
                <c:pt idx="59">
                  <c:v>0.48280000000000528</c:v>
                </c:pt>
                <c:pt idx="60">
                  <c:v>0.36160000000000031</c:v>
                </c:pt>
                <c:pt idx="61">
                  <c:v>0.39210000000000489</c:v>
                </c:pt>
                <c:pt idx="62">
                  <c:v>0.32670000000000032</c:v>
                </c:pt>
                <c:pt idx="63">
                  <c:v>0.35140000000000032</c:v>
                </c:pt>
                <c:pt idx="64">
                  <c:v>0.34900000000000031</c:v>
                </c:pt>
                <c:pt idx="65">
                  <c:v>0.36430000000000534</c:v>
                </c:pt>
                <c:pt idx="66">
                  <c:v>0.36740000000000494</c:v>
                </c:pt>
                <c:pt idx="67">
                  <c:v>0.34850000000000031</c:v>
                </c:pt>
                <c:pt idx="68">
                  <c:v>0.35100000000000031</c:v>
                </c:pt>
                <c:pt idx="69">
                  <c:v>0.33030000000000742</c:v>
                </c:pt>
                <c:pt idx="70">
                  <c:v>0.34390000000000032</c:v>
                </c:pt>
                <c:pt idx="71">
                  <c:v>0.3819000000000059</c:v>
                </c:pt>
                <c:pt idx="72">
                  <c:v>0.47780000000000472</c:v>
                </c:pt>
                <c:pt idx="73">
                  <c:v>0.33410000000000534</c:v>
                </c:pt>
                <c:pt idx="74">
                  <c:v>0.39370000000000038</c:v>
                </c:pt>
                <c:pt idx="75">
                  <c:v>0.36810000000000032</c:v>
                </c:pt>
                <c:pt idx="76">
                  <c:v>0.32180000000000702</c:v>
                </c:pt>
                <c:pt idx="77">
                  <c:v>0.38630000000000703</c:v>
                </c:pt>
                <c:pt idx="78">
                  <c:v>0.36200000000000032</c:v>
                </c:pt>
                <c:pt idx="79">
                  <c:v>0.35720000000000002</c:v>
                </c:pt>
                <c:pt idx="80">
                  <c:v>0.4002</c:v>
                </c:pt>
                <c:pt idx="81">
                  <c:v>0.4002</c:v>
                </c:pt>
                <c:pt idx="82">
                  <c:v>0.32930000000000725</c:v>
                </c:pt>
                <c:pt idx="83">
                  <c:v>0.31090000000000534</c:v>
                </c:pt>
                <c:pt idx="84">
                  <c:v>0.34610000000000002</c:v>
                </c:pt>
                <c:pt idx="85">
                  <c:v>0.37170000000000031</c:v>
                </c:pt>
                <c:pt idx="86">
                  <c:v>0.34980000000000472</c:v>
                </c:pt>
                <c:pt idx="87">
                  <c:v>0.37110000000000032</c:v>
                </c:pt>
                <c:pt idx="88">
                  <c:v>0.43010000000000032</c:v>
                </c:pt>
                <c:pt idx="89">
                  <c:v>0.34440000000000032</c:v>
                </c:pt>
                <c:pt idx="90">
                  <c:v>0.35570000000000002</c:v>
                </c:pt>
                <c:pt idx="91">
                  <c:v>0.34330000000000038</c:v>
                </c:pt>
                <c:pt idx="92">
                  <c:v>0.32960000000000489</c:v>
                </c:pt>
                <c:pt idx="93">
                  <c:v>0.35590000000000038</c:v>
                </c:pt>
                <c:pt idx="94">
                  <c:v>0.37920000000000031</c:v>
                </c:pt>
                <c:pt idx="95">
                  <c:v>0.35380000000000483</c:v>
                </c:pt>
                <c:pt idx="96">
                  <c:v>0.42430000000000534</c:v>
                </c:pt>
                <c:pt idx="97">
                  <c:v>0.34820000000000001</c:v>
                </c:pt>
                <c:pt idx="98">
                  <c:v>0.35970000000000002</c:v>
                </c:pt>
                <c:pt idx="99">
                  <c:v>0.38480000000000703</c:v>
                </c:pt>
                <c:pt idx="100">
                  <c:v>0.33380000000000803</c:v>
                </c:pt>
                <c:pt idx="101">
                  <c:v>0.42420000000000002</c:v>
                </c:pt>
                <c:pt idx="102">
                  <c:v>0.39560000000000534</c:v>
                </c:pt>
                <c:pt idx="103">
                  <c:v>0.35080000000000472</c:v>
                </c:pt>
                <c:pt idx="104">
                  <c:v>0.37790000000000534</c:v>
                </c:pt>
                <c:pt idx="105">
                  <c:v>0.37370000000000031</c:v>
                </c:pt>
                <c:pt idx="106">
                  <c:v>0.34150000000000008</c:v>
                </c:pt>
                <c:pt idx="107">
                  <c:v>0.30260000000000031</c:v>
                </c:pt>
                <c:pt idx="108">
                  <c:v>0.38470000000000032</c:v>
                </c:pt>
                <c:pt idx="109">
                  <c:v>0.50549999999999951</c:v>
                </c:pt>
                <c:pt idx="110">
                  <c:v>0.38860000000000472</c:v>
                </c:pt>
                <c:pt idx="111">
                  <c:v>0.37010000000000032</c:v>
                </c:pt>
                <c:pt idx="112">
                  <c:v>0.48660000000000031</c:v>
                </c:pt>
                <c:pt idx="113">
                  <c:v>0.35310000000000002</c:v>
                </c:pt>
                <c:pt idx="114">
                  <c:v>0.34320000000000001</c:v>
                </c:pt>
              </c:numCache>
            </c:numRef>
          </c:xVal>
          <c:yVal>
            <c:numRef>
              <c:f>Raw!$B$2:$B$116</c:f>
              <c:numCache>
                <c:formatCode>General</c:formatCode>
                <c:ptCount val="115"/>
                <c:pt idx="0">
                  <c:v>2.01E-2</c:v>
                </c:pt>
                <c:pt idx="1">
                  <c:v>2.6800000000000056E-2</c:v>
                </c:pt>
                <c:pt idx="2">
                  <c:v>2.1999999999999999E-2</c:v>
                </c:pt>
                <c:pt idx="3">
                  <c:v>2.5500000000000002E-2</c:v>
                </c:pt>
                <c:pt idx="4">
                  <c:v>2.0799999999999999E-2</c:v>
                </c:pt>
                <c:pt idx="5">
                  <c:v>2.6700000000000002E-2</c:v>
                </c:pt>
                <c:pt idx="6">
                  <c:v>2.47E-2</c:v>
                </c:pt>
                <c:pt idx="7">
                  <c:v>1.8400000000000041E-2</c:v>
                </c:pt>
                <c:pt idx="8">
                  <c:v>2.6800000000000056E-2</c:v>
                </c:pt>
                <c:pt idx="9">
                  <c:v>2.0900000000000002E-2</c:v>
                </c:pt>
                <c:pt idx="10">
                  <c:v>2.0900000000000002E-2</c:v>
                </c:pt>
                <c:pt idx="11">
                  <c:v>2.1000000000000012E-2</c:v>
                </c:pt>
                <c:pt idx="12">
                  <c:v>2.93E-2</c:v>
                </c:pt>
                <c:pt idx="13">
                  <c:v>2.7100000000000006E-2</c:v>
                </c:pt>
                <c:pt idx="14">
                  <c:v>1.4400000000000001E-2</c:v>
                </c:pt>
                <c:pt idx="15">
                  <c:v>4.9900000000000014E-2</c:v>
                </c:pt>
                <c:pt idx="16">
                  <c:v>3.1300000000000001E-2</c:v>
                </c:pt>
                <c:pt idx="17">
                  <c:v>2.3800000000000002E-2</c:v>
                </c:pt>
                <c:pt idx="18">
                  <c:v>3.4200000000000001E-2</c:v>
                </c:pt>
                <c:pt idx="19">
                  <c:v>2.0500000000000001E-2</c:v>
                </c:pt>
                <c:pt idx="20">
                  <c:v>3.0700000000000002E-2</c:v>
                </c:pt>
                <c:pt idx="21">
                  <c:v>2.2700000000000001E-2</c:v>
                </c:pt>
                <c:pt idx="22">
                  <c:v>1.8900000000000305E-2</c:v>
                </c:pt>
                <c:pt idx="23">
                  <c:v>2.9100000000000001E-2</c:v>
                </c:pt>
                <c:pt idx="24">
                  <c:v>3.4599999999999999E-2</c:v>
                </c:pt>
                <c:pt idx="25">
                  <c:v>2.2600000000000012E-2</c:v>
                </c:pt>
                <c:pt idx="26">
                  <c:v>0.05</c:v>
                </c:pt>
                <c:pt idx="27">
                  <c:v>2.5399999999999999E-2</c:v>
                </c:pt>
                <c:pt idx="28">
                  <c:v>3.1399999999999997E-2</c:v>
                </c:pt>
                <c:pt idx="29">
                  <c:v>2.4799999999999999E-2</c:v>
                </c:pt>
                <c:pt idx="30">
                  <c:v>3.15E-2</c:v>
                </c:pt>
                <c:pt idx="31">
                  <c:v>2.6100000000000002E-2</c:v>
                </c:pt>
                <c:pt idx="32">
                  <c:v>4.3199999999999995E-2</c:v>
                </c:pt>
                <c:pt idx="33">
                  <c:v>1.6000000000000021E-2</c:v>
                </c:pt>
                <c:pt idx="34">
                  <c:v>2.7700000000000002E-2</c:v>
                </c:pt>
                <c:pt idx="35">
                  <c:v>3.49E-2</c:v>
                </c:pt>
                <c:pt idx="36">
                  <c:v>3.1100000000000006E-2</c:v>
                </c:pt>
                <c:pt idx="37">
                  <c:v>3.3399999999999999E-2</c:v>
                </c:pt>
                <c:pt idx="38">
                  <c:v>1.2300000000000005E-2</c:v>
                </c:pt>
                <c:pt idx="39">
                  <c:v>1.2300000000000005E-2</c:v>
                </c:pt>
                <c:pt idx="40">
                  <c:v>3.0800000000000011E-2</c:v>
                </c:pt>
                <c:pt idx="41">
                  <c:v>2.5800000000000052E-2</c:v>
                </c:pt>
                <c:pt idx="42">
                  <c:v>2.5200000000000011E-2</c:v>
                </c:pt>
                <c:pt idx="43">
                  <c:v>3.7700000000000011E-2</c:v>
                </c:pt>
                <c:pt idx="44">
                  <c:v>4.1099999999999998E-2</c:v>
                </c:pt>
                <c:pt idx="45">
                  <c:v>3.32E-2</c:v>
                </c:pt>
                <c:pt idx="46">
                  <c:v>2.0000000000000011E-2</c:v>
                </c:pt>
                <c:pt idx="47">
                  <c:v>1.9699999999999999E-2</c:v>
                </c:pt>
                <c:pt idx="48">
                  <c:v>4.2900000000000021E-2</c:v>
                </c:pt>
                <c:pt idx="49">
                  <c:v>3.6300000000000006E-2</c:v>
                </c:pt>
                <c:pt idx="50">
                  <c:v>1.0000000000000005E-2</c:v>
                </c:pt>
                <c:pt idx="51">
                  <c:v>3.95E-2</c:v>
                </c:pt>
                <c:pt idx="52">
                  <c:v>4.2000000000000023E-2</c:v>
                </c:pt>
                <c:pt idx="53">
                  <c:v>2.9899999999999999E-2</c:v>
                </c:pt>
                <c:pt idx="54">
                  <c:v>1.0100000000000001E-2</c:v>
                </c:pt>
                <c:pt idx="55">
                  <c:v>3.61E-2</c:v>
                </c:pt>
                <c:pt idx="56">
                  <c:v>2.7300000000000001E-2</c:v>
                </c:pt>
                <c:pt idx="57">
                  <c:v>2.63E-2</c:v>
                </c:pt>
                <c:pt idx="58">
                  <c:v>2.4299999999999999E-2</c:v>
                </c:pt>
                <c:pt idx="59">
                  <c:v>2.81E-2</c:v>
                </c:pt>
                <c:pt idx="60">
                  <c:v>4.3199999999999995E-2</c:v>
                </c:pt>
                <c:pt idx="61">
                  <c:v>6.1300000000000014E-2</c:v>
                </c:pt>
                <c:pt idx="62">
                  <c:v>1.3899999999999999E-2</c:v>
                </c:pt>
                <c:pt idx="63">
                  <c:v>0</c:v>
                </c:pt>
                <c:pt idx="64">
                  <c:v>2.3599999999999993E-2</c:v>
                </c:pt>
                <c:pt idx="65">
                  <c:v>2.5399999999999999E-2</c:v>
                </c:pt>
                <c:pt idx="66">
                  <c:v>1.2E-2</c:v>
                </c:pt>
                <c:pt idx="67">
                  <c:v>2.3400000000000001E-2</c:v>
                </c:pt>
                <c:pt idx="68">
                  <c:v>0</c:v>
                </c:pt>
                <c:pt idx="69">
                  <c:v>9.6000000000000026E-3</c:v>
                </c:pt>
                <c:pt idx="70">
                  <c:v>1.7600000000000001E-2</c:v>
                </c:pt>
                <c:pt idx="71">
                  <c:v>2.1999999999999999E-2</c:v>
                </c:pt>
                <c:pt idx="72">
                  <c:v>4.6300000000000001E-2</c:v>
                </c:pt>
                <c:pt idx="73">
                  <c:v>2.2400000000000052E-2</c:v>
                </c:pt>
                <c:pt idx="74">
                  <c:v>4.1800000000000004E-2</c:v>
                </c:pt>
                <c:pt idx="75">
                  <c:v>2.8400000000000002E-2</c:v>
                </c:pt>
                <c:pt idx="76">
                  <c:v>4.6199999999999998E-2</c:v>
                </c:pt>
                <c:pt idx="77">
                  <c:v>3.3399999999999999E-2</c:v>
                </c:pt>
                <c:pt idx="78">
                  <c:v>1.7899999999999999E-2</c:v>
                </c:pt>
                <c:pt idx="79">
                  <c:v>2.4E-2</c:v>
                </c:pt>
                <c:pt idx="80">
                  <c:v>2.8899999999999999E-2</c:v>
                </c:pt>
                <c:pt idx="81">
                  <c:v>2.8899999999999999E-2</c:v>
                </c:pt>
                <c:pt idx="82">
                  <c:v>1.9000000000000308E-2</c:v>
                </c:pt>
                <c:pt idx="83">
                  <c:v>2.6900000000000011E-2</c:v>
                </c:pt>
                <c:pt idx="84">
                  <c:v>2.35E-2</c:v>
                </c:pt>
                <c:pt idx="85">
                  <c:v>2.1100000000000001E-2</c:v>
                </c:pt>
                <c:pt idx="86">
                  <c:v>2.6800000000000056E-2</c:v>
                </c:pt>
                <c:pt idx="87">
                  <c:v>1.2500000000000001E-2</c:v>
                </c:pt>
                <c:pt idx="88">
                  <c:v>2.1900000000000006E-2</c:v>
                </c:pt>
                <c:pt idx="89">
                  <c:v>3.1700000000000006E-2</c:v>
                </c:pt>
                <c:pt idx="90">
                  <c:v>1.9000000000000308E-2</c:v>
                </c:pt>
                <c:pt idx="91">
                  <c:v>3.5600000000000041E-2</c:v>
                </c:pt>
                <c:pt idx="92">
                  <c:v>1.7999999999999999E-2</c:v>
                </c:pt>
                <c:pt idx="93">
                  <c:v>1.3599999999999998E-2</c:v>
                </c:pt>
                <c:pt idx="94">
                  <c:v>1.5599999999999998E-2</c:v>
                </c:pt>
                <c:pt idx="95">
                  <c:v>0</c:v>
                </c:pt>
                <c:pt idx="96">
                  <c:v>4.6899999999999997E-2</c:v>
                </c:pt>
                <c:pt idx="97">
                  <c:v>1.1100000000000203E-2</c:v>
                </c:pt>
                <c:pt idx="98">
                  <c:v>3.7500000000000006E-2</c:v>
                </c:pt>
                <c:pt idx="99">
                  <c:v>1.7800000000000003E-2</c:v>
                </c:pt>
                <c:pt idx="100">
                  <c:v>3.0700000000000002E-2</c:v>
                </c:pt>
                <c:pt idx="101">
                  <c:v>3.6999999999999998E-2</c:v>
                </c:pt>
                <c:pt idx="102">
                  <c:v>2.5100000000000001E-2</c:v>
                </c:pt>
                <c:pt idx="103">
                  <c:v>4.4800000000000034E-2</c:v>
                </c:pt>
                <c:pt idx="104">
                  <c:v>2.53E-2</c:v>
                </c:pt>
                <c:pt idx="105">
                  <c:v>2.1900000000000006E-2</c:v>
                </c:pt>
                <c:pt idx="106">
                  <c:v>4.4299999999999999E-2</c:v>
                </c:pt>
                <c:pt idx="107">
                  <c:v>2.4199999999999989E-2</c:v>
                </c:pt>
                <c:pt idx="108">
                  <c:v>2.4799999999999999E-2</c:v>
                </c:pt>
                <c:pt idx="109">
                  <c:v>9.1000000000000004E-3</c:v>
                </c:pt>
                <c:pt idx="110">
                  <c:v>2.7000000000000256E-2</c:v>
                </c:pt>
                <c:pt idx="111">
                  <c:v>2.4199999999999989E-2</c:v>
                </c:pt>
                <c:pt idx="112">
                  <c:v>3.5099999999999999E-2</c:v>
                </c:pt>
                <c:pt idx="113">
                  <c:v>3.210000000000001E-2</c:v>
                </c:pt>
                <c:pt idx="114">
                  <c:v>2.9000000000000001E-2</c:v>
                </c:pt>
              </c:numCache>
            </c:numRef>
          </c:yVal>
        </c:ser>
        <c:axId val="125539456"/>
        <c:axId val="125541376"/>
      </c:scatterChart>
      <c:valAx>
        <c:axId val="125539456"/>
        <c:scaling>
          <c:orientation val="minMax"/>
          <c:max val="0.56000000000000005"/>
          <c:min val="0.30000000000000032"/>
        </c:scaling>
        <c:axPos val="b"/>
        <c:title>
          <c:tx>
            <c:rich>
              <a:bodyPr/>
              <a:lstStyle/>
              <a:p>
                <a:pPr>
                  <a:defRPr>
                    <a:latin typeface="+mj-lt"/>
                  </a:defRPr>
                </a:pPr>
                <a:r>
                  <a:rPr lang="en-US">
                    <a:latin typeface="+mj-lt"/>
                    <a:cs typeface="Calibri"/>
                  </a:rPr>
                  <a:t>ϴ</a:t>
                </a:r>
                <a:r>
                  <a:rPr lang="en-US" baseline="-25000">
                    <a:latin typeface="+mj-lt"/>
                    <a:cs typeface="Calibri"/>
                  </a:rPr>
                  <a:t>s</a:t>
                </a:r>
                <a:r>
                  <a:rPr lang="en-US">
                    <a:latin typeface="+mj-lt"/>
                  </a:rPr>
                  <a:t> </a:t>
                </a:r>
                <a:r>
                  <a:rPr lang="en-US" sz="1000" b="1" i="0" u="none" strike="noStrike" baseline="0">
                    <a:latin typeface="+mj-lt"/>
                  </a:rPr>
                  <a:t>(cm</a:t>
                </a:r>
                <a:r>
                  <a:rPr lang="en-US" sz="1000" b="1" i="0" u="none" strike="noStrike" baseline="30000">
                    <a:latin typeface="+mj-lt"/>
                  </a:rPr>
                  <a:t>3</a:t>
                </a:r>
                <a:r>
                  <a:rPr lang="en-US" sz="1000" b="1" i="0" u="none" strike="noStrike" baseline="0">
                    <a:latin typeface="+mj-lt"/>
                  </a:rPr>
                  <a:t>/cm</a:t>
                </a:r>
                <a:r>
                  <a:rPr lang="en-US" sz="1000" b="1" i="0" u="none" strike="noStrike" baseline="30000">
                    <a:latin typeface="+mj-lt"/>
                  </a:rPr>
                  <a:t>3</a:t>
                </a:r>
                <a:r>
                  <a:rPr lang="en-US" sz="1000" b="1" i="0" u="none" strike="noStrike" baseline="0">
                    <a:latin typeface="+mj-lt"/>
                  </a:rPr>
                  <a:t>)</a:t>
                </a:r>
                <a:endParaRPr lang="en-US">
                  <a:latin typeface="+mj-lt"/>
                </a:endParaRPr>
              </a:p>
            </c:rich>
          </c:tx>
          <c:layout>
            <c:manualLayout>
              <c:xMode val="edge"/>
              <c:yMode val="edge"/>
              <c:x val="0.389108923884525"/>
              <c:y val="0.87868037328668458"/>
            </c:manualLayout>
          </c:layout>
        </c:title>
        <c:numFmt formatCode="General" sourceLinked="1"/>
        <c:majorTickMark val="none"/>
        <c:tickLblPos val="nextTo"/>
        <c:txPr>
          <a:bodyPr/>
          <a:lstStyle/>
          <a:p>
            <a:pPr>
              <a:defRPr baseline="0">
                <a:latin typeface="Cambria" pitchFamily="18" charset="0"/>
              </a:defRPr>
            </a:pPr>
            <a:endParaRPr lang="en-US"/>
          </a:p>
        </c:txPr>
        <c:crossAx val="125541376"/>
        <c:crosses val="autoZero"/>
        <c:crossBetween val="midCat"/>
      </c:valAx>
      <c:valAx>
        <c:axId val="125541376"/>
        <c:scaling>
          <c:orientation val="minMax"/>
          <c:max val="7.0000000000000021E-2"/>
          <c:min val="0"/>
        </c:scaling>
        <c:axPos val="l"/>
        <c:title>
          <c:tx>
            <c:rich>
              <a:bodyPr/>
              <a:lstStyle/>
              <a:p>
                <a:pPr>
                  <a:defRPr>
                    <a:latin typeface="+mj-lt"/>
                  </a:defRPr>
                </a:pPr>
                <a:r>
                  <a:rPr lang="el-GR" sz="1000" b="1" i="0" u="none" strike="noStrike" baseline="0">
                    <a:latin typeface="+mj-lt"/>
                    <a:cs typeface="Calibri"/>
                  </a:rPr>
                  <a:t>ϴ</a:t>
                </a:r>
                <a:r>
                  <a:rPr lang="en-US" sz="1000" b="1" i="0" u="none" strike="noStrike" baseline="-25000">
                    <a:latin typeface="+mj-lt"/>
                    <a:cs typeface="Calibri"/>
                  </a:rPr>
                  <a:t>r</a:t>
                </a:r>
                <a:r>
                  <a:rPr lang="en-US" sz="1000" b="1" i="0" u="none" strike="noStrike" baseline="0">
                    <a:latin typeface="+mj-lt"/>
                    <a:cs typeface="Calibri"/>
                  </a:rPr>
                  <a:t> </a:t>
                </a:r>
                <a:r>
                  <a:rPr lang="en-US" sz="1000" b="1" i="0" u="none" strike="noStrike" baseline="0">
                    <a:latin typeface="+mj-lt"/>
                  </a:rPr>
                  <a:t>(cm</a:t>
                </a:r>
                <a:r>
                  <a:rPr lang="en-US" sz="1000" b="1" i="0" u="none" strike="noStrike" baseline="30000">
                    <a:latin typeface="+mj-lt"/>
                  </a:rPr>
                  <a:t>3</a:t>
                </a:r>
                <a:r>
                  <a:rPr lang="en-US" sz="1000" b="1" i="0" u="none" strike="noStrike" baseline="0">
                    <a:latin typeface="+mj-lt"/>
                  </a:rPr>
                  <a:t>/cm</a:t>
                </a:r>
                <a:r>
                  <a:rPr lang="en-US" sz="1000" b="1" i="0" u="none" strike="noStrike" baseline="30000">
                    <a:latin typeface="+mj-lt"/>
                  </a:rPr>
                  <a:t>3</a:t>
                </a:r>
                <a:r>
                  <a:rPr lang="en-US" sz="1000" b="1" i="0" u="none" strike="noStrike" baseline="0">
                    <a:latin typeface="+mj-lt"/>
                  </a:rPr>
                  <a:t>)</a:t>
                </a:r>
                <a:r>
                  <a:rPr lang="en-US">
                    <a:latin typeface="+mj-lt"/>
                  </a:rPr>
                  <a:t> </a:t>
                </a:r>
              </a:p>
            </c:rich>
          </c:tx>
          <c:layout>
            <c:manualLayout>
              <c:xMode val="edge"/>
              <c:yMode val="edge"/>
              <c:x val="3.0555555555555582E-2"/>
              <c:y val="0.25024314668999104"/>
            </c:manualLayout>
          </c:layout>
        </c:title>
        <c:numFmt formatCode="General" sourceLinked="1"/>
        <c:majorTickMark val="none"/>
        <c:tickLblPos val="nextTo"/>
        <c:txPr>
          <a:bodyPr/>
          <a:lstStyle/>
          <a:p>
            <a:pPr>
              <a:defRPr baseline="0">
                <a:latin typeface="Cambria" pitchFamily="18" charset="0"/>
              </a:defRPr>
            </a:pPr>
            <a:endParaRPr lang="en-US"/>
          </a:p>
        </c:txPr>
        <c:crossAx val="125539456"/>
        <c:crosses val="autoZero"/>
        <c:crossBetween val="midCat"/>
      </c:valAx>
    </c:plotArea>
    <c:plotVisOnly val="1"/>
  </c:chart>
  <c:externalData r:id="rId1"/>
  <c:userShapes r:id="rId2"/>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400" baseline="0">
                <a:latin typeface="Cambria" pitchFamily="18" charset="0"/>
              </a:defRPr>
            </a:pPr>
            <a:r>
              <a:rPr lang="en-US" sz="1400" baseline="0">
                <a:latin typeface="Cambria" pitchFamily="18" charset="0"/>
              </a:rPr>
              <a:t>Saturated Water Content, </a:t>
            </a:r>
            <a:r>
              <a:rPr lang="az-Cyrl-AZ" sz="1400" baseline="0">
                <a:latin typeface="Cambria" pitchFamily="18" charset="0"/>
              </a:rPr>
              <a:t>Ѳ</a:t>
            </a:r>
            <a:r>
              <a:rPr lang="en-US" sz="1400" baseline="-25000">
                <a:latin typeface="Cambria" pitchFamily="18" charset="0"/>
              </a:rPr>
              <a:t>s</a:t>
            </a:r>
            <a:r>
              <a:rPr lang="en-US" sz="1400" baseline="0">
                <a:latin typeface="Cambria" pitchFamily="18" charset="0"/>
              </a:rPr>
              <a:t> (cm</a:t>
            </a:r>
            <a:r>
              <a:rPr lang="en-US" sz="1400" baseline="30000">
                <a:latin typeface="Cambria" pitchFamily="18" charset="0"/>
              </a:rPr>
              <a:t>3</a:t>
            </a:r>
            <a:r>
              <a:rPr lang="en-US" sz="1400" baseline="0">
                <a:latin typeface="Cambria" pitchFamily="18" charset="0"/>
              </a:rPr>
              <a:t>/cm</a:t>
            </a:r>
            <a:r>
              <a:rPr lang="en-US" sz="1400" baseline="30000">
                <a:latin typeface="Cambria" pitchFamily="18" charset="0"/>
              </a:rPr>
              <a:t>3</a:t>
            </a:r>
            <a:r>
              <a:rPr lang="en-US" sz="1400" baseline="0">
                <a:latin typeface="Cambria" pitchFamily="18" charset="0"/>
              </a:rPr>
              <a:t>)</a:t>
            </a:r>
          </a:p>
        </c:rich>
      </c:tx>
      <c:layout>
        <c:manualLayout>
          <c:xMode val="edge"/>
          <c:yMode val="edge"/>
          <c:x val="0.22070822397200349"/>
          <c:y val="4.1666666666666664E-2"/>
        </c:manualLayout>
      </c:layout>
    </c:title>
    <c:plotArea>
      <c:layout/>
      <c:scatterChart>
        <c:scatterStyle val="lineMarker"/>
        <c:ser>
          <c:idx val="0"/>
          <c:order val="0"/>
          <c:spPr>
            <a:ln>
              <a:solidFill>
                <a:srgbClr val="00B050"/>
              </a:solidFill>
            </a:ln>
          </c:spPr>
          <c:marker>
            <c:symbol val="circle"/>
            <c:size val="8"/>
            <c:spPr>
              <a:solidFill>
                <a:srgbClr val="00B050"/>
              </a:solidFill>
              <a:ln>
                <a:solidFill>
                  <a:schemeClr val="tx1"/>
                </a:solidFill>
              </a:ln>
            </c:spPr>
          </c:marker>
          <c:errBars>
            <c:errDir val="y"/>
            <c:errBarType val="both"/>
            <c:errValType val="cust"/>
            <c:plus>
              <c:numRef>
                <c:f>'TS KW Plot'!$J$4:$J$11</c:f>
                <c:numCache>
                  <c:formatCode>General</c:formatCode>
                  <c:ptCount val="8"/>
                  <c:pt idx="0">
                    <c:v>2.3250000000000048E-2</c:v>
                  </c:pt>
                  <c:pt idx="1">
                    <c:v>2.679999999999999E-2</c:v>
                  </c:pt>
                  <c:pt idx="2">
                    <c:v>3.095000000000004E-2</c:v>
                  </c:pt>
                  <c:pt idx="3">
                    <c:v>1.3850000000000041E-2</c:v>
                  </c:pt>
                  <c:pt idx="4">
                    <c:v>1.1099999999999994E-2</c:v>
                  </c:pt>
                  <c:pt idx="5">
                    <c:v>4.1700000000000022E-2</c:v>
                  </c:pt>
                  <c:pt idx="6">
                    <c:v>2.3799999999999988E-2</c:v>
                  </c:pt>
                  <c:pt idx="7">
                    <c:v>1.5625000000000062E-2</c:v>
                  </c:pt>
                </c:numCache>
              </c:numRef>
            </c:plus>
            <c:minus>
              <c:numRef>
                <c:f>'TS KW Plot'!$I$4:$I$11</c:f>
                <c:numCache>
                  <c:formatCode>General</c:formatCode>
                  <c:ptCount val="8"/>
                  <c:pt idx="0">
                    <c:v>6.0500000000000024E-3</c:v>
                  </c:pt>
                  <c:pt idx="1">
                    <c:v>1.0799999999999954E-2</c:v>
                  </c:pt>
                  <c:pt idx="2">
                    <c:v>1.9625000000000208E-2</c:v>
                  </c:pt>
                  <c:pt idx="3">
                    <c:v>1.9950000000000214E-2</c:v>
                  </c:pt>
                  <c:pt idx="4">
                    <c:v>4.0750000000000022E-2</c:v>
                  </c:pt>
                  <c:pt idx="5">
                    <c:v>3.7600000000000418E-2</c:v>
                  </c:pt>
                  <c:pt idx="6">
                    <c:v>9.1500000000000227E-3</c:v>
                  </c:pt>
                  <c:pt idx="7">
                    <c:v>5.9500000000000134E-3</c:v>
                  </c:pt>
                </c:numCache>
              </c:numRef>
            </c:minus>
          </c:errBars>
          <c:xVal>
            <c:numRef>
              <c:f>'TS KW Plot'!$E$4:$E$11</c:f>
              <c:numCache>
                <c:formatCode>General</c:formatCode>
                <c:ptCount val="8"/>
                <c:pt idx="0">
                  <c:v>3.2</c:v>
                </c:pt>
                <c:pt idx="1">
                  <c:v>6.4</c:v>
                </c:pt>
                <c:pt idx="2">
                  <c:v>9.6</c:v>
                </c:pt>
                <c:pt idx="3">
                  <c:v>12.8</c:v>
                </c:pt>
                <c:pt idx="4">
                  <c:v>16</c:v>
                </c:pt>
                <c:pt idx="5">
                  <c:v>19.2</c:v>
                </c:pt>
                <c:pt idx="6">
                  <c:v>22.4</c:v>
                </c:pt>
                <c:pt idx="7">
                  <c:v>25.6</c:v>
                </c:pt>
              </c:numCache>
            </c:numRef>
          </c:xVal>
          <c:yVal>
            <c:numRef>
              <c:f>'TS KW Plot'!$F$4:$F$11</c:f>
              <c:numCache>
                <c:formatCode>General</c:formatCode>
                <c:ptCount val="8"/>
                <c:pt idx="0">
                  <c:v>0.33030000000000476</c:v>
                </c:pt>
                <c:pt idx="1">
                  <c:v>0.35140000000000032</c:v>
                </c:pt>
                <c:pt idx="2">
                  <c:v>0.38305000000000294</c:v>
                </c:pt>
                <c:pt idx="3">
                  <c:v>0.38000000000000317</c:v>
                </c:pt>
                <c:pt idx="4">
                  <c:v>0.39980000000000526</c:v>
                </c:pt>
                <c:pt idx="5">
                  <c:v>0.4002</c:v>
                </c:pt>
                <c:pt idx="6">
                  <c:v>0.35750000000000032</c:v>
                </c:pt>
                <c:pt idx="7">
                  <c:v>0.34715000000000001</c:v>
                </c:pt>
              </c:numCache>
            </c:numRef>
          </c:yVal>
        </c:ser>
        <c:axId val="125594240"/>
        <c:axId val="125608704"/>
      </c:scatterChart>
      <c:valAx>
        <c:axId val="125594240"/>
        <c:scaling>
          <c:orientation val="minMax"/>
          <c:max val="25.6"/>
          <c:min val="3.2"/>
        </c:scaling>
        <c:axPos val="b"/>
        <c:title>
          <c:tx>
            <c:rich>
              <a:bodyPr/>
              <a:lstStyle/>
              <a:p>
                <a:pPr>
                  <a:defRPr sz="1200" baseline="0">
                    <a:latin typeface="Cambria" pitchFamily="18" charset="0"/>
                  </a:defRPr>
                </a:pPr>
                <a:r>
                  <a:rPr lang="en-US" sz="1200" baseline="0">
                    <a:latin typeface="Cambria" pitchFamily="18" charset="0"/>
                  </a:rPr>
                  <a:t>X-Direction (mm)</a:t>
                </a:r>
              </a:p>
            </c:rich>
          </c:tx>
        </c:title>
        <c:numFmt formatCode="General" sourceLinked="1"/>
        <c:majorTickMark val="none"/>
        <c:tickLblPos val="nextTo"/>
        <c:txPr>
          <a:bodyPr/>
          <a:lstStyle/>
          <a:p>
            <a:pPr>
              <a:defRPr sz="1200" baseline="0">
                <a:latin typeface="Cambria" pitchFamily="18" charset="0"/>
              </a:defRPr>
            </a:pPr>
            <a:endParaRPr lang="en-US"/>
          </a:p>
        </c:txPr>
        <c:crossAx val="125608704"/>
        <c:crosses val="autoZero"/>
        <c:crossBetween val="midCat"/>
        <c:majorUnit val="3.2"/>
      </c:valAx>
      <c:valAx>
        <c:axId val="125608704"/>
        <c:scaling>
          <c:orientation val="minMax"/>
          <c:max val="0.45"/>
          <c:min val="0.32000000000000361"/>
        </c:scaling>
        <c:axPos val="l"/>
        <c:title>
          <c:tx>
            <c:rich>
              <a:bodyPr/>
              <a:lstStyle/>
              <a:p>
                <a:pPr>
                  <a:defRPr sz="1200" baseline="0">
                    <a:latin typeface="Cambria" pitchFamily="18" charset="0"/>
                  </a:defRPr>
                </a:pPr>
                <a:r>
                  <a:rPr lang="en-US" sz="1200" baseline="0">
                    <a:latin typeface="Cambria" pitchFamily="18" charset="0"/>
                  </a:rPr>
                  <a:t>Median</a:t>
                </a:r>
              </a:p>
            </c:rich>
          </c:tx>
        </c:title>
        <c:numFmt formatCode="General" sourceLinked="1"/>
        <c:majorTickMark val="none"/>
        <c:tickLblPos val="nextTo"/>
        <c:txPr>
          <a:bodyPr/>
          <a:lstStyle/>
          <a:p>
            <a:pPr>
              <a:defRPr sz="1200" baseline="0">
                <a:latin typeface="Cambria" pitchFamily="18" charset="0"/>
              </a:defRPr>
            </a:pPr>
            <a:endParaRPr lang="en-US"/>
          </a:p>
        </c:txPr>
        <c:crossAx val="125594240"/>
        <c:crosses val="autoZero"/>
        <c:crossBetween val="midCat"/>
      </c:valAx>
    </c:plotArea>
    <c:plotVisOnly val="1"/>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400" baseline="0">
                <a:latin typeface="Cambria" pitchFamily="18" charset="0"/>
              </a:defRPr>
            </a:pPr>
            <a:r>
              <a:rPr lang="en-US" sz="1400" baseline="0">
                <a:latin typeface="Cambria" pitchFamily="18" charset="0"/>
              </a:rPr>
              <a:t>Residual Water Content, </a:t>
            </a:r>
            <a:r>
              <a:rPr lang="az-Cyrl-AZ" sz="1400" baseline="0">
                <a:latin typeface="Cambria" pitchFamily="18" charset="0"/>
              </a:rPr>
              <a:t>Ѳ</a:t>
            </a:r>
            <a:r>
              <a:rPr lang="en-US" sz="1400" baseline="-25000">
                <a:latin typeface="Cambria" pitchFamily="18" charset="0"/>
              </a:rPr>
              <a:t>r</a:t>
            </a:r>
            <a:r>
              <a:rPr lang="en-US" sz="1400" baseline="0">
                <a:latin typeface="Cambria" pitchFamily="18" charset="0"/>
              </a:rPr>
              <a:t> (cm</a:t>
            </a:r>
            <a:r>
              <a:rPr lang="en-US" sz="1400" baseline="30000">
                <a:latin typeface="Cambria" pitchFamily="18" charset="0"/>
              </a:rPr>
              <a:t>3</a:t>
            </a:r>
            <a:r>
              <a:rPr lang="en-US" sz="1400" baseline="0">
                <a:latin typeface="Cambria" pitchFamily="18" charset="0"/>
              </a:rPr>
              <a:t>/cm</a:t>
            </a:r>
            <a:r>
              <a:rPr lang="en-US" sz="1400" baseline="30000">
                <a:latin typeface="Cambria" pitchFamily="18" charset="0"/>
              </a:rPr>
              <a:t>3</a:t>
            </a:r>
            <a:r>
              <a:rPr lang="en-US" sz="1400" baseline="0">
                <a:latin typeface="Cambria" pitchFamily="18" charset="0"/>
              </a:rPr>
              <a:t>)</a:t>
            </a:r>
          </a:p>
        </c:rich>
      </c:tx>
      <c:layout>
        <c:manualLayout>
          <c:xMode val="edge"/>
          <c:yMode val="edge"/>
          <c:x val="0.23533333333333484"/>
          <c:y val="3.2407407407407829E-2"/>
        </c:manualLayout>
      </c:layout>
    </c:title>
    <c:plotArea>
      <c:layout/>
      <c:scatterChart>
        <c:scatterStyle val="lineMarker"/>
        <c:ser>
          <c:idx val="0"/>
          <c:order val="0"/>
          <c:spPr>
            <a:ln>
              <a:solidFill>
                <a:srgbClr val="00B050"/>
              </a:solidFill>
            </a:ln>
          </c:spPr>
          <c:marker>
            <c:symbol val="circle"/>
            <c:size val="8"/>
            <c:spPr>
              <a:solidFill>
                <a:srgbClr val="00B050"/>
              </a:solidFill>
              <a:ln>
                <a:solidFill>
                  <a:schemeClr val="tx1"/>
                </a:solidFill>
              </a:ln>
            </c:spPr>
          </c:marker>
          <c:errBars>
            <c:errDir val="y"/>
            <c:errBarType val="both"/>
            <c:errValType val="cust"/>
            <c:plus>
              <c:numRef>
                <c:f>'TR KW Plot'!$J$4:$J$11</c:f>
                <c:numCache>
                  <c:formatCode>General</c:formatCode>
                  <c:ptCount val="8"/>
                  <c:pt idx="0">
                    <c:v>4.9500000000000134E-3</c:v>
                  </c:pt>
                  <c:pt idx="1">
                    <c:v>3.8000000000000052E-3</c:v>
                  </c:pt>
                  <c:pt idx="2">
                    <c:v>8.3500000000001247E-3</c:v>
                  </c:pt>
                  <c:pt idx="3">
                    <c:v>1.5250000000000081E-3</c:v>
                  </c:pt>
                  <c:pt idx="4">
                    <c:v>2.3499999999999992E-3</c:v>
                  </c:pt>
                  <c:pt idx="5">
                    <c:v>4.3999999999999994E-3</c:v>
                  </c:pt>
                  <c:pt idx="6">
                    <c:v>9.5000000000000067E-3</c:v>
                  </c:pt>
                  <c:pt idx="7">
                    <c:v>5.6000000000000034E-3</c:v>
                  </c:pt>
                </c:numCache>
              </c:numRef>
            </c:plus>
            <c:minus>
              <c:numRef>
                <c:f>'TR KW Plot'!$I$4:$I$11</c:f>
                <c:numCache>
                  <c:formatCode>General</c:formatCode>
                  <c:ptCount val="8"/>
                  <c:pt idx="0">
                    <c:v>3.0500000000000006E-3</c:v>
                  </c:pt>
                  <c:pt idx="1">
                    <c:v>7.4500000000000755E-3</c:v>
                  </c:pt>
                  <c:pt idx="2">
                    <c:v>3.3000000000000052E-3</c:v>
                  </c:pt>
                  <c:pt idx="3">
                    <c:v>3.9750000000000046E-3</c:v>
                  </c:pt>
                  <c:pt idx="4">
                    <c:v>3.3000000000000052E-3</c:v>
                  </c:pt>
                  <c:pt idx="5">
                    <c:v>2.600000000000035E-3</c:v>
                  </c:pt>
                  <c:pt idx="6">
                    <c:v>4.8000000000000004E-3</c:v>
                  </c:pt>
                  <c:pt idx="7">
                    <c:v>4.1250000000000002E-3</c:v>
                  </c:pt>
                </c:numCache>
              </c:numRef>
            </c:minus>
          </c:errBars>
          <c:xVal>
            <c:numRef>
              <c:f>'TS KW Plot'!$E$4:$E$11</c:f>
              <c:numCache>
                <c:formatCode>General</c:formatCode>
                <c:ptCount val="8"/>
                <c:pt idx="0">
                  <c:v>3.2</c:v>
                </c:pt>
                <c:pt idx="1">
                  <c:v>6.4</c:v>
                </c:pt>
                <c:pt idx="2">
                  <c:v>9.6</c:v>
                </c:pt>
                <c:pt idx="3">
                  <c:v>12.8</c:v>
                </c:pt>
                <c:pt idx="4">
                  <c:v>16</c:v>
                </c:pt>
                <c:pt idx="5">
                  <c:v>19.2</c:v>
                </c:pt>
                <c:pt idx="6">
                  <c:v>22.4</c:v>
                </c:pt>
                <c:pt idx="7">
                  <c:v>25.6</c:v>
                </c:pt>
              </c:numCache>
            </c:numRef>
          </c:xVal>
          <c:yVal>
            <c:numRef>
              <c:f>'TR KW Plot'!$F$4:$F$11</c:f>
              <c:numCache>
                <c:formatCode>General</c:formatCode>
                <c:ptCount val="8"/>
                <c:pt idx="0">
                  <c:v>1.8900000000000187E-2</c:v>
                </c:pt>
                <c:pt idx="1">
                  <c:v>2.6100000000000002E-2</c:v>
                </c:pt>
                <c:pt idx="2">
                  <c:v>2.530000000000001E-2</c:v>
                </c:pt>
                <c:pt idx="3">
                  <c:v>2.53E-2</c:v>
                </c:pt>
                <c:pt idx="4">
                  <c:v>2.4199999999999989E-2</c:v>
                </c:pt>
                <c:pt idx="5">
                  <c:v>3.0700000000000002E-2</c:v>
                </c:pt>
                <c:pt idx="6">
                  <c:v>2.7100000000000006E-2</c:v>
                </c:pt>
                <c:pt idx="7">
                  <c:v>2.945E-2</c:v>
                </c:pt>
              </c:numCache>
            </c:numRef>
          </c:yVal>
        </c:ser>
        <c:axId val="134284032"/>
        <c:axId val="134285952"/>
      </c:scatterChart>
      <c:valAx>
        <c:axId val="134284032"/>
        <c:scaling>
          <c:orientation val="minMax"/>
          <c:max val="25.6"/>
          <c:min val="3.2"/>
        </c:scaling>
        <c:axPos val="b"/>
        <c:title>
          <c:tx>
            <c:rich>
              <a:bodyPr/>
              <a:lstStyle/>
              <a:p>
                <a:pPr>
                  <a:defRPr sz="1200" baseline="0">
                    <a:latin typeface="Cambria" pitchFamily="18" charset="0"/>
                  </a:defRPr>
                </a:pPr>
                <a:r>
                  <a:rPr lang="en-US" sz="1200" baseline="0">
                    <a:latin typeface="Cambria" pitchFamily="18" charset="0"/>
                  </a:rPr>
                  <a:t>X-Direction (mm)</a:t>
                </a:r>
              </a:p>
            </c:rich>
          </c:tx>
        </c:title>
        <c:numFmt formatCode="General" sourceLinked="1"/>
        <c:majorTickMark val="none"/>
        <c:tickLblPos val="nextTo"/>
        <c:txPr>
          <a:bodyPr/>
          <a:lstStyle/>
          <a:p>
            <a:pPr>
              <a:defRPr sz="1200" baseline="0">
                <a:latin typeface="Cambria" pitchFamily="18" charset="0"/>
              </a:defRPr>
            </a:pPr>
            <a:endParaRPr lang="en-US"/>
          </a:p>
        </c:txPr>
        <c:crossAx val="134285952"/>
        <c:crosses val="autoZero"/>
        <c:crossBetween val="midCat"/>
        <c:majorUnit val="3.2"/>
      </c:valAx>
      <c:valAx>
        <c:axId val="134285952"/>
        <c:scaling>
          <c:orientation val="minMax"/>
          <c:max val="3.7000000000000012E-2"/>
          <c:min val="1.5000000000000025E-2"/>
        </c:scaling>
        <c:axPos val="l"/>
        <c:title>
          <c:tx>
            <c:rich>
              <a:bodyPr/>
              <a:lstStyle/>
              <a:p>
                <a:pPr>
                  <a:defRPr sz="1200" baseline="0">
                    <a:latin typeface="Cambria" pitchFamily="18" charset="0"/>
                  </a:defRPr>
                </a:pPr>
                <a:r>
                  <a:rPr lang="en-US" sz="1200" baseline="0">
                    <a:latin typeface="Cambria" pitchFamily="18" charset="0"/>
                  </a:rPr>
                  <a:t>Median</a:t>
                </a:r>
              </a:p>
            </c:rich>
          </c:tx>
        </c:title>
        <c:numFmt formatCode="General" sourceLinked="1"/>
        <c:majorTickMark val="none"/>
        <c:tickLblPos val="nextTo"/>
        <c:txPr>
          <a:bodyPr/>
          <a:lstStyle/>
          <a:p>
            <a:pPr>
              <a:defRPr sz="1200" baseline="0">
                <a:latin typeface="Cambria" pitchFamily="18" charset="0"/>
              </a:defRPr>
            </a:pPr>
            <a:endParaRPr lang="en-US"/>
          </a:p>
        </c:txPr>
        <c:crossAx val="134284032"/>
        <c:crosses val="autoZero"/>
        <c:crossBetween val="midCat"/>
      </c:valAx>
    </c:plotArea>
    <c:plotVisOnly val="1"/>
  </c:chart>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400" baseline="0">
                <a:latin typeface="Cambria" pitchFamily="18" charset="0"/>
              </a:defRPr>
            </a:pPr>
            <a:r>
              <a:rPr lang="en-US" sz="1400" baseline="0">
                <a:latin typeface="Cambria" pitchFamily="18" charset="0"/>
              </a:rPr>
              <a:t>Air Entry, </a:t>
            </a:r>
            <a:r>
              <a:rPr lang="el-GR" sz="1400" baseline="0">
                <a:latin typeface="Cambria" pitchFamily="18" charset="0"/>
              </a:rPr>
              <a:t>ψ</a:t>
            </a:r>
            <a:r>
              <a:rPr lang="en-US" sz="1400" baseline="-25000">
                <a:latin typeface="Cambria" pitchFamily="18" charset="0"/>
              </a:rPr>
              <a:t>a</a:t>
            </a:r>
            <a:r>
              <a:rPr lang="en-US" sz="1400" baseline="0">
                <a:latin typeface="Cambria" pitchFamily="18" charset="0"/>
              </a:rPr>
              <a:t> (cm)</a:t>
            </a:r>
          </a:p>
        </c:rich>
      </c:tx>
    </c:title>
    <c:plotArea>
      <c:layout>
        <c:manualLayout>
          <c:layoutTarget val="inner"/>
          <c:xMode val="edge"/>
          <c:yMode val="edge"/>
          <c:x val="0.16448862642169729"/>
          <c:y val="0.19769047257884359"/>
          <c:w val="0.79087948381452977"/>
          <c:h val="0.74135793446134468"/>
        </c:manualLayout>
      </c:layout>
      <c:scatterChart>
        <c:scatterStyle val="lineMarker"/>
        <c:ser>
          <c:idx val="0"/>
          <c:order val="0"/>
          <c:spPr>
            <a:ln>
              <a:solidFill>
                <a:srgbClr val="00B050"/>
              </a:solidFill>
            </a:ln>
          </c:spPr>
          <c:marker>
            <c:symbol val="circle"/>
            <c:size val="8"/>
            <c:spPr>
              <a:solidFill>
                <a:srgbClr val="00B050"/>
              </a:solidFill>
              <a:ln>
                <a:solidFill>
                  <a:schemeClr val="tx1"/>
                </a:solidFill>
              </a:ln>
            </c:spPr>
          </c:marker>
          <c:errBars>
            <c:errDir val="x"/>
            <c:errBarType val="both"/>
            <c:errValType val="cust"/>
            <c:plus>
              <c:numRef>
                <c:f>'AE KW Plot'!$J$4:$J$18</c:f>
                <c:numCache>
                  <c:formatCode>General</c:formatCode>
                  <c:ptCount val="15"/>
                  <c:pt idx="0">
                    <c:v>8.0800000000000025E-2</c:v>
                  </c:pt>
                  <c:pt idx="1">
                    <c:v>0.15857500000000271</c:v>
                  </c:pt>
                  <c:pt idx="2">
                    <c:v>0.22895000000000121</c:v>
                  </c:pt>
                  <c:pt idx="3">
                    <c:v>0.31602500000000294</c:v>
                  </c:pt>
                  <c:pt idx="4">
                    <c:v>0.20902500000000046</c:v>
                  </c:pt>
                  <c:pt idx="5">
                    <c:v>0.20997500000000024</c:v>
                  </c:pt>
                  <c:pt idx="6">
                    <c:v>0.50027499999999847</c:v>
                  </c:pt>
                  <c:pt idx="7">
                    <c:v>0.24002499999999929</c:v>
                  </c:pt>
                  <c:pt idx="8">
                    <c:v>0.6649500000000087</c:v>
                  </c:pt>
                  <c:pt idx="9">
                    <c:v>0.62795000000000512</c:v>
                  </c:pt>
                  <c:pt idx="10">
                    <c:v>0.20377500000000026</c:v>
                  </c:pt>
                  <c:pt idx="11">
                    <c:v>0.68102500000000565</c:v>
                  </c:pt>
                  <c:pt idx="12">
                    <c:v>0.15540000000000551</c:v>
                  </c:pt>
                  <c:pt idx="13">
                    <c:v>0.18397500000000044</c:v>
                  </c:pt>
                  <c:pt idx="14">
                    <c:v>0.23385000000000034</c:v>
                  </c:pt>
                </c:numCache>
              </c:numRef>
            </c:plus>
            <c:minus>
              <c:numRef>
                <c:f>'AE KW Plot'!$I$4:$I$18</c:f>
                <c:numCache>
                  <c:formatCode>General</c:formatCode>
                  <c:ptCount val="15"/>
                  <c:pt idx="0">
                    <c:v>0.57395000000000063</c:v>
                  </c:pt>
                  <c:pt idx="1">
                    <c:v>1.0785999999999978</c:v>
                  </c:pt>
                  <c:pt idx="2">
                    <c:v>0.66640000000000532</c:v>
                  </c:pt>
                  <c:pt idx="3">
                    <c:v>0.29412500000000108</c:v>
                  </c:pt>
                  <c:pt idx="4">
                    <c:v>0.20965000000000342</c:v>
                  </c:pt>
                  <c:pt idx="5">
                    <c:v>0.9305000000000021</c:v>
                  </c:pt>
                  <c:pt idx="6">
                    <c:v>0.21547500000000144</c:v>
                  </c:pt>
                  <c:pt idx="7">
                    <c:v>0.27272500000000122</c:v>
                  </c:pt>
                  <c:pt idx="8">
                    <c:v>4.1150000000001803E-2</c:v>
                  </c:pt>
                  <c:pt idx="9">
                    <c:v>4.2600000000000186E-2</c:v>
                  </c:pt>
                  <c:pt idx="10">
                    <c:v>0.29665000000000002</c:v>
                  </c:pt>
                  <c:pt idx="11">
                    <c:v>0.17014999999999991</c:v>
                  </c:pt>
                  <c:pt idx="12">
                    <c:v>0.65300000000000591</c:v>
                  </c:pt>
                  <c:pt idx="13">
                    <c:v>9.0425000000000047E-2</c:v>
                  </c:pt>
                  <c:pt idx="14">
                    <c:v>0.40095000000000008</c:v>
                  </c:pt>
                </c:numCache>
              </c:numRef>
            </c:minus>
          </c:errBars>
          <c:xVal>
            <c:numRef>
              <c:f>'AE KW Plot'!$F$4:$F$18</c:f>
              <c:numCache>
                <c:formatCode>General</c:formatCode>
                <c:ptCount val="15"/>
                <c:pt idx="0">
                  <c:v>17.602399999999989</c:v>
                </c:pt>
                <c:pt idx="1">
                  <c:v>18.530999999999999</c:v>
                </c:pt>
                <c:pt idx="2">
                  <c:v>18.289699999999705</c:v>
                </c:pt>
                <c:pt idx="3">
                  <c:v>18.195150000000005</c:v>
                </c:pt>
                <c:pt idx="4">
                  <c:v>17.975399999999727</c:v>
                </c:pt>
                <c:pt idx="5">
                  <c:v>17.811050000000247</c:v>
                </c:pt>
                <c:pt idx="6">
                  <c:v>16.8659</c:v>
                </c:pt>
                <c:pt idx="7">
                  <c:v>17.24905</c:v>
                </c:pt>
                <c:pt idx="8">
                  <c:v>17.224299999999989</c:v>
                </c:pt>
                <c:pt idx="9">
                  <c:v>17.054300000000001</c:v>
                </c:pt>
                <c:pt idx="10">
                  <c:v>17.609800000000035</c:v>
                </c:pt>
                <c:pt idx="11">
                  <c:v>17.803649999999756</c:v>
                </c:pt>
                <c:pt idx="12">
                  <c:v>17.282399999999665</c:v>
                </c:pt>
                <c:pt idx="13">
                  <c:v>17.0182</c:v>
                </c:pt>
                <c:pt idx="14">
                  <c:v>16.216850000000225</c:v>
                </c:pt>
              </c:numCache>
            </c:numRef>
          </c:xVal>
          <c:yVal>
            <c:numRef>
              <c:f>'LAM KW Plot'!$E$4:$E$18</c:f>
              <c:numCache>
                <c:formatCode>General</c:formatCode>
                <c:ptCount val="15"/>
                <c:pt idx="0">
                  <c:v>6.4</c:v>
                </c:pt>
                <c:pt idx="1">
                  <c:v>9.6</c:v>
                </c:pt>
                <c:pt idx="2">
                  <c:v>12.8</c:v>
                </c:pt>
                <c:pt idx="3">
                  <c:v>16</c:v>
                </c:pt>
                <c:pt idx="4">
                  <c:v>19.2</c:v>
                </c:pt>
                <c:pt idx="5">
                  <c:v>22.4</c:v>
                </c:pt>
                <c:pt idx="6">
                  <c:v>25.599999999999987</c:v>
                </c:pt>
                <c:pt idx="7">
                  <c:v>28.799999999999986</c:v>
                </c:pt>
                <c:pt idx="8">
                  <c:v>31.999999999999989</c:v>
                </c:pt>
                <c:pt idx="9">
                  <c:v>35.20000000000001</c:v>
                </c:pt>
                <c:pt idx="10">
                  <c:v>38.4</c:v>
                </c:pt>
                <c:pt idx="11">
                  <c:v>41.6</c:v>
                </c:pt>
                <c:pt idx="12">
                  <c:v>44.800000000000004</c:v>
                </c:pt>
                <c:pt idx="13">
                  <c:v>48.000000000000007</c:v>
                </c:pt>
                <c:pt idx="14">
                  <c:v>51.20000000000001</c:v>
                </c:pt>
              </c:numCache>
            </c:numRef>
          </c:yVal>
        </c:ser>
        <c:axId val="134302336"/>
        <c:axId val="134329088"/>
      </c:scatterChart>
      <c:valAx>
        <c:axId val="134302336"/>
        <c:scaling>
          <c:orientation val="minMax"/>
          <c:max val="19"/>
          <c:min val="15.5"/>
        </c:scaling>
        <c:axPos val="t"/>
        <c:title>
          <c:tx>
            <c:rich>
              <a:bodyPr/>
              <a:lstStyle/>
              <a:p>
                <a:pPr>
                  <a:defRPr sz="1200" baseline="0">
                    <a:latin typeface="Cambria" pitchFamily="18" charset="0"/>
                  </a:defRPr>
                </a:pPr>
                <a:r>
                  <a:rPr lang="en-US" sz="1200" baseline="0">
                    <a:latin typeface="Cambria" pitchFamily="18" charset="0"/>
                  </a:rPr>
                  <a:t>Median</a:t>
                </a:r>
              </a:p>
            </c:rich>
          </c:tx>
        </c:title>
        <c:numFmt formatCode="General" sourceLinked="1"/>
        <c:majorTickMark val="none"/>
        <c:tickLblPos val="nextTo"/>
        <c:txPr>
          <a:bodyPr/>
          <a:lstStyle/>
          <a:p>
            <a:pPr>
              <a:defRPr sz="1200" baseline="0">
                <a:latin typeface="Cambria" pitchFamily="18" charset="0"/>
              </a:defRPr>
            </a:pPr>
            <a:endParaRPr lang="en-US"/>
          </a:p>
        </c:txPr>
        <c:crossAx val="134329088"/>
        <c:crosses val="autoZero"/>
        <c:crossBetween val="midCat"/>
      </c:valAx>
      <c:valAx>
        <c:axId val="134329088"/>
        <c:scaling>
          <c:orientation val="maxMin"/>
          <c:max val="51.2"/>
          <c:min val="6.4"/>
        </c:scaling>
        <c:axPos val="l"/>
        <c:title>
          <c:tx>
            <c:rich>
              <a:bodyPr/>
              <a:lstStyle/>
              <a:p>
                <a:pPr>
                  <a:defRPr sz="1200" baseline="0">
                    <a:latin typeface="Cambria" pitchFamily="18" charset="0"/>
                  </a:defRPr>
                </a:pPr>
                <a:r>
                  <a:rPr lang="en-US" sz="1200" baseline="0">
                    <a:latin typeface="Cambria" pitchFamily="18" charset="0"/>
                  </a:rPr>
                  <a:t>Y-Direction (mm)</a:t>
                </a:r>
              </a:p>
            </c:rich>
          </c:tx>
        </c:title>
        <c:numFmt formatCode="General" sourceLinked="1"/>
        <c:majorTickMark val="none"/>
        <c:tickLblPos val="nextTo"/>
        <c:txPr>
          <a:bodyPr/>
          <a:lstStyle/>
          <a:p>
            <a:pPr>
              <a:defRPr sz="1200" baseline="0">
                <a:latin typeface="Cambria" pitchFamily="18" charset="0"/>
              </a:defRPr>
            </a:pPr>
            <a:endParaRPr lang="en-US"/>
          </a:p>
        </c:txPr>
        <c:crossAx val="134302336"/>
        <c:crosses val="autoZero"/>
        <c:crossBetween val="midCat"/>
        <c:majorUnit val="3.2"/>
      </c:valAx>
    </c:plotArea>
    <c:plotVisOnly val="1"/>
  </c:chart>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t>Pore Size Distribution, </a:t>
            </a:r>
            <a:r>
              <a:rPr lang="el-GR"/>
              <a:t>λ</a:t>
            </a:r>
            <a:r>
              <a:rPr lang="en-US"/>
              <a:t> (-)</a:t>
            </a:r>
          </a:p>
        </c:rich>
      </c:tx>
    </c:title>
    <c:plotArea>
      <c:layout>
        <c:manualLayout>
          <c:layoutTarget val="inner"/>
          <c:xMode val="edge"/>
          <c:yMode val="edge"/>
          <c:x val="0.16448862642169729"/>
          <c:y val="0.19769047257884359"/>
          <c:w val="0.79087948381452955"/>
          <c:h val="0.74135793446134468"/>
        </c:manualLayout>
      </c:layout>
      <c:scatterChart>
        <c:scatterStyle val="lineMarker"/>
        <c:ser>
          <c:idx val="0"/>
          <c:order val="0"/>
          <c:spPr>
            <a:ln>
              <a:solidFill>
                <a:srgbClr val="00B050"/>
              </a:solidFill>
            </a:ln>
          </c:spPr>
          <c:marker>
            <c:symbol val="circle"/>
            <c:size val="8"/>
            <c:spPr>
              <a:solidFill>
                <a:srgbClr val="00B050"/>
              </a:solidFill>
              <a:ln>
                <a:solidFill>
                  <a:schemeClr val="tx1"/>
                </a:solidFill>
              </a:ln>
            </c:spPr>
          </c:marker>
          <c:errBars>
            <c:errDir val="x"/>
            <c:errBarType val="both"/>
            <c:errValType val="cust"/>
            <c:plus>
              <c:numRef>
                <c:f>'LAM KW Plot'!$J$4:$J$18</c:f>
                <c:numCache>
                  <c:formatCode>General</c:formatCode>
                  <c:ptCount val="15"/>
                  <c:pt idx="0">
                    <c:v>1.0751500000000007</c:v>
                  </c:pt>
                  <c:pt idx="1">
                    <c:v>1.1017499999999978</c:v>
                  </c:pt>
                  <c:pt idx="2">
                    <c:v>2.9157499999999663</c:v>
                  </c:pt>
                  <c:pt idx="3">
                    <c:v>1.6655249999999864</c:v>
                  </c:pt>
                  <c:pt idx="4">
                    <c:v>1.0269499999999994</c:v>
                  </c:pt>
                  <c:pt idx="5">
                    <c:v>1.8748249999999878</c:v>
                  </c:pt>
                  <c:pt idx="6">
                    <c:v>0.40279999999999938</c:v>
                  </c:pt>
                  <c:pt idx="7">
                    <c:v>1.2098249999999751</c:v>
                  </c:pt>
                  <c:pt idx="8">
                    <c:v>0.16805000000000003</c:v>
                  </c:pt>
                  <c:pt idx="9">
                    <c:v>2.7230499999999997</c:v>
                  </c:pt>
                  <c:pt idx="10">
                    <c:v>0.97720000000000162</c:v>
                  </c:pt>
                  <c:pt idx="11">
                    <c:v>2.04155</c:v>
                  </c:pt>
                  <c:pt idx="12">
                    <c:v>1.0766999999999998</c:v>
                  </c:pt>
                  <c:pt idx="13">
                    <c:v>1.5905500000000021</c:v>
                  </c:pt>
                  <c:pt idx="14">
                    <c:v>1.2356249999999787</c:v>
                  </c:pt>
                </c:numCache>
              </c:numRef>
            </c:plus>
            <c:minus>
              <c:numRef>
                <c:f>'LAM KW Plot'!$I$4:$I$18</c:f>
                <c:numCache>
                  <c:formatCode>General</c:formatCode>
                  <c:ptCount val="15"/>
                  <c:pt idx="0">
                    <c:v>8.9750000000000746E-2</c:v>
                  </c:pt>
                  <c:pt idx="1">
                    <c:v>1.2934249999999841</c:v>
                  </c:pt>
                  <c:pt idx="2">
                    <c:v>0.5409500000000006</c:v>
                  </c:pt>
                  <c:pt idx="3">
                    <c:v>1.3206749999999996</c:v>
                  </c:pt>
                  <c:pt idx="4">
                    <c:v>1.6939500000000021</c:v>
                  </c:pt>
                  <c:pt idx="5">
                    <c:v>0.56020000000000003</c:v>
                  </c:pt>
                  <c:pt idx="6">
                    <c:v>0.60127500000000833</c:v>
                  </c:pt>
                  <c:pt idx="7">
                    <c:v>0.87517500000000803</c:v>
                  </c:pt>
                  <c:pt idx="8">
                    <c:v>0.11210000000000075</c:v>
                  </c:pt>
                  <c:pt idx="9">
                    <c:v>0.26735000000000031</c:v>
                  </c:pt>
                  <c:pt idx="10">
                    <c:v>1.051424999999983</c:v>
                  </c:pt>
                  <c:pt idx="11">
                    <c:v>0.47992500000000082</c:v>
                  </c:pt>
                  <c:pt idx="12">
                    <c:v>1.3305499999999997</c:v>
                  </c:pt>
                  <c:pt idx="13">
                    <c:v>1.4586500000000004</c:v>
                  </c:pt>
                  <c:pt idx="14">
                    <c:v>2.1967250000000007</c:v>
                  </c:pt>
                </c:numCache>
              </c:numRef>
            </c:minus>
          </c:errBars>
          <c:xVal>
            <c:numRef>
              <c:f>'LAM KW Plot'!$F$4:$F$18</c:f>
              <c:numCache>
                <c:formatCode>0.0</c:formatCode>
                <c:ptCount val="15"/>
                <c:pt idx="0">
                  <c:v>5.5519999999999996</c:v>
                </c:pt>
                <c:pt idx="1">
                  <c:v>7.7352500000000024</c:v>
                </c:pt>
                <c:pt idx="2">
                  <c:v>7.5380000000000003</c:v>
                </c:pt>
                <c:pt idx="3">
                  <c:v>9.6601000000000035</c:v>
                </c:pt>
                <c:pt idx="4">
                  <c:v>9.8474000000000004</c:v>
                </c:pt>
                <c:pt idx="5">
                  <c:v>6.5265499999999985</c:v>
                </c:pt>
                <c:pt idx="6">
                  <c:v>8.0961500000000015</c:v>
                </c:pt>
                <c:pt idx="7">
                  <c:v>8.3672000000000004</c:v>
                </c:pt>
                <c:pt idx="8">
                  <c:v>4.8180999999999985</c:v>
                </c:pt>
                <c:pt idx="9">
                  <c:v>5.8608999999999956</c:v>
                </c:pt>
                <c:pt idx="10">
                  <c:v>8.1467000000000009</c:v>
                </c:pt>
                <c:pt idx="11">
                  <c:v>6.0490500000000003</c:v>
                </c:pt>
                <c:pt idx="12">
                  <c:v>7.8906000000000001</c:v>
                </c:pt>
                <c:pt idx="13">
                  <c:v>7.3894500000000001</c:v>
                </c:pt>
                <c:pt idx="14">
                  <c:v>6.4191000000000003</c:v>
                </c:pt>
              </c:numCache>
            </c:numRef>
          </c:xVal>
          <c:yVal>
            <c:numRef>
              <c:f>'LAM KW Plot'!$E$4:$E$18</c:f>
              <c:numCache>
                <c:formatCode>General</c:formatCode>
                <c:ptCount val="15"/>
                <c:pt idx="0">
                  <c:v>6.4</c:v>
                </c:pt>
                <c:pt idx="1">
                  <c:v>9.6</c:v>
                </c:pt>
                <c:pt idx="2">
                  <c:v>12.8</c:v>
                </c:pt>
                <c:pt idx="3">
                  <c:v>16</c:v>
                </c:pt>
                <c:pt idx="4">
                  <c:v>19.2</c:v>
                </c:pt>
                <c:pt idx="5">
                  <c:v>22.4</c:v>
                </c:pt>
                <c:pt idx="6">
                  <c:v>25.599999999999987</c:v>
                </c:pt>
                <c:pt idx="7">
                  <c:v>28.799999999999986</c:v>
                </c:pt>
                <c:pt idx="8">
                  <c:v>31.999999999999989</c:v>
                </c:pt>
                <c:pt idx="9">
                  <c:v>35.20000000000001</c:v>
                </c:pt>
                <c:pt idx="10">
                  <c:v>38.4</c:v>
                </c:pt>
                <c:pt idx="11">
                  <c:v>41.6</c:v>
                </c:pt>
                <c:pt idx="12">
                  <c:v>44.800000000000004</c:v>
                </c:pt>
                <c:pt idx="13">
                  <c:v>48.000000000000007</c:v>
                </c:pt>
                <c:pt idx="14">
                  <c:v>51.20000000000001</c:v>
                </c:pt>
              </c:numCache>
            </c:numRef>
          </c:yVal>
        </c:ser>
        <c:axId val="134492928"/>
        <c:axId val="134494848"/>
      </c:scatterChart>
      <c:valAx>
        <c:axId val="134492928"/>
        <c:scaling>
          <c:orientation val="minMax"/>
          <c:min val="4"/>
        </c:scaling>
        <c:axPos val="t"/>
        <c:title>
          <c:tx>
            <c:rich>
              <a:bodyPr/>
              <a:lstStyle/>
              <a:p>
                <a:pPr>
                  <a:defRPr/>
                </a:pPr>
                <a:r>
                  <a:rPr lang="en-US"/>
                  <a:t>Median</a:t>
                </a:r>
              </a:p>
            </c:rich>
          </c:tx>
        </c:title>
        <c:numFmt formatCode="0.0" sourceLinked="1"/>
        <c:majorTickMark val="none"/>
        <c:tickLblPos val="nextTo"/>
        <c:crossAx val="134494848"/>
        <c:crosses val="autoZero"/>
        <c:crossBetween val="midCat"/>
      </c:valAx>
      <c:valAx>
        <c:axId val="134494848"/>
        <c:scaling>
          <c:orientation val="maxMin"/>
          <c:max val="51.2"/>
          <c:min val="6.4"/>
        </c:scaling>
        <c:axPos val="l"/>
        <c:title>
          <c:tx>
            <c:rich>
              <a:bodyPr/>
              <a:lstStyle/>
              <a:p>
                <a:pPr>
                  <a:defRPr/>
                </a:pPr>
                <a:r>
                  <a:rPr lang="en-US"/>
                  <a:t>Y-Direction (mm)</a:t>
                </a:r>
              </a:p>
            </c:rich>
          </c:tx>
        </c:title>
        <c:numFmt formatCode="General" sourceLinked="1"/>
        <c:majorTickMark val="none"/>
        <c:tickLblPos val="nextTo"/>
        <c:crossAx val="134492928"/>
        <c:crosses val="autoZero"/>
        <c:crossBetween val="midCat"/>
        <c:majorUnit val="3.2"/>
      </c:valAx>
    </c:plotArea>
    <c:plotVisOnly val="1"/>
  </c:chart>
  <c:txPr>
    <a:bodyPr/>
    <a:lstStyle/>
    <a:p>
      <a:pPr>
        <a:defRPr sz="1200" baseline="0">
          <a:latin typeface="Cambria" pitchFamily="18" charset="0"/>
        </a:defRPr>
      </a:pPr>
      <a:endParaRPr lang="en-US"/>
    </a:p>
  </c:txPr>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5645191542068476"/>
          <c:y val="5.8052390510009794E-2"/>
          <c:w val="0.81038709487156757"/>
          <c:h val="0.72398209047398565"/>
        </c:manualLayout>
      </c:layout>
      <c:scatterChart>
        <c:scatterStyle val="smoothMarker"/>
        <c:ser>
          <c:idx val="1"/>
          <c:order val="1"/>
          <c:spPr>
            <a:ln w="9525">
              <a:solidFill>
                <a:srgbClr val="FF0000"/>
              </a:solidFill>
            </a:ln>
          </c:spPr>
          <c:marker>
            <c:symbol val="none"/>
          </c:marker>
          <c:trendline>
            <c:name>Theoretical Trend Line</c:name>
            <c:spPr>
              <a:ln w="25400">
                <a:solidFill>
                  <a:srgbClr val="FF0000"/>
                </a:solidFill>
              </a:ln>
            </c:spPr>
            <c:trendlineType val="linear"/>
          </c:trendline>
          <c:xVal>
            <c:numRef>
              <c:f>AE!$I$11:$I$31</c:f>
              <c:numCache>
                <c:formatCode>General</c:formatCode>
                <c:ptCount val="21"/>
                <c:pt idx="0">
                  <c:v>0</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15</c:v>
                </c:pt>
                <c:pt idx="16">
                  <c:v>16</c:v>
                </c:pt>
                <c:pt idx="17">
                  <c:v>17</c:v>
                </c:pt>
                <c:pt idx="18">
                  <c:v>18</c:v>
                </c:pt>
                <c:pt idx="19">
                  <c:v>19</c:v>
                </c:pt>
                <c:pt idx="20">
                  <c:v>20</c:v>
                </c:pt>
              </c:numCache>
            </c:numRef>
          </c:xVal>
          <c:yVal>
            <c:numRef>
              <c:f>AE!$J$11:$J$31</c:f>
              <c:numCache>
                <c:formatCode>General</c:formatCode>
                <c:ptCount val="21"/>
                <c:pt idx="0">
                  <c:v>0</c:v>
                </c:pt>
                <c:pt idx="1">
                  <c:v>1</c:v>
                </c:pt>
                <c:pt idx="2">
                  <c:v>2</c:v>
                </c:pt>
                <c:pt idx="3">
                  <c:v>3</c:v>
                </c:pt>
                <c:pt idx="4">
                  <c:v>4</c:v>
                </c:pt>
                <c:pt idx="5">
                  <c:v>5</c:v>
                </c:pt>
                <c:pt idx="6">
                  <c:v>6</c:v>
                </c:pt>
                <c:pt idx="7">
                  <c:v>7</c:v>
                </c:pt>
                <c:pt idx="8">
                  <c:v>8</c:v>
                </c:pt>
                <c:pt idx="9">
                  <c:v>9</c:v>
                </c:pt>
                <c:pt idx="10">
                  <c:v>10</c:v>
                </c:pt>
                <c:pt idx="11">
                  <c:v>11</c:v>
                </c:pt>
                <c:pt idx="12">
                  <c:v>12</c:v>
                </c:pt>
                <c:pt idx="13">
                  <c:v>13</c:v>
                </c:pt>
                <c:pt idx="14">
                  <c:v>14</c:v>
                </c:pt>
                <c:pt idx="15">
                  <c:v>15</c:v>
                </c:pt>
                <c:pt idx="16">
                  <c:v>16</c:v>
                </c:pt>
                <c:pt idx="17">
                  <c:v>17</c:v>
                </c:pt>
                <c:pt idx="18">
                  <c:v>18</c:v>
                </c:pt>
                <c:pt idx="19">
                  <c:v>19</c:v>
                </c:pt>
                <c:pt idx="20">
                  <c:v>20</c:v>
                </c:pt>
              </c:numCache>
            </c:numRef>
          </c:yVal>
          <c:smooth val="1"/>
        </c:ser>
        <c:axId val="134539136"/>
        <c:axId val="139591680"/>
      </c:scatterChart>
      <c:scatterChart>
        <c:scatterStyle val="lineMarker"/>
        <c:ser>
          <c:idx val="0"/>
          <c:order val="0"/>
          <c:spPr>
            <a:ln w="28575">
              <a:noFill/>
            </a:ln>
          </c:spPr>
          <c:marker>
            <c:symbol val="circle"/>
            <c:size val="7"/>
          </c:marker>
          <c:trendline>
            <c:name>Experimental Trend Line</c:name>
            <c:spPr>
              <a:ln w="25400"/>
            </c:spPr>
            <c:trendlineType val="linear"/>
            <c:forward val="1"/>
            <c:dispEq val="1"/>
            <c:trendlineLbl>
              <c:layout>
                <c:manualLayout>
                  <c:x val="-3.4212274027544412E-2"/>
                  <c:y val="0.4115851989089635"/>
                </c:manualLayout>
              </c:layout>
              <c:numFmt formatCode="General" sourceLinked="0"/>
              <c:txPr>
                <a:bodyPr/>
                <a:lstStyle/>
                <a:p>
                  <a:pPr>
                    <a:defRPr sz="1200" baseline="0">
                      <a:latin typeface="Cambria" pitchFamily="18" charset="0"/>
                    </a:defRPr>
                  </a:pPr>
                  <a:endParaRPr lang="en-US"/>
                </a:p>
              </c:txPr>
            </c:trendlineLbl>
          </c:trendline>
          <c:xVal>
            <c:numRef>
              <c:f>'AE OK'!$A$2:$A$116</c:f>
              <c:numCache>
                <c:formatCode>General</c:formatCode>
                <c:ptCount val="115"/>
                <c:pt idx="0">
                  <c:v>18.601500000000001</c:v>
                </c:pt>
                <c:pt idx="1">
                  <c:v>17.602399999999989</c:v>
                </c:pt>
                <c:pt idx="2">
                  <c:v>17.691700000000001</c:v>
                </c:pt>
                <c:pt idx="3">
                  <c:v>17.674700000000001</c:v>
                </c:pt>
                <c:pt idx="4">
                  <c:v>15.8241</c:v>
                </c:pt>
                <c:pt idx="5">
                  <c:v>16.672999999999988</c:v>
                </c:pt>
                <c:pt idx="6">
                  <c:v>17.383900000000001</c:v>
                </c:pt>
                <c:pt idx="7">
                  <c:v>18.705100000000002</c:v>
                </c:pt>
                <c:pt idx="8">
                  <c:v>18.902199999999741</c:v>
                </c:pt>
                <c:pt idx="9">
                  <c:v>18.530999999999999</c:v>
                </c:pt>
                <c:pt idx="10">
                  <c:v>18.530999999999999</c:v>
                </c:pt>
                <c:pt idx="11">
                  <c:v>17.103200000000001</c:v>
                </c:pt>
                <c:pt idx="12">
                  <c:v>18.6844</c:v>
                </c:pt>
                <c:pt idx="13">
                  <c:v>16.710599999999989</c:v>
                </c:pt>
                <c:pt idx="14">
                  <c:v>17.5688</c:v>
                </c:pt>
                <c:pt idx="15">
                  <c:v>18.601299999999988</c:v>
                </c:pt>
                <c:pt idx="16">
                  <c:v>19.098699999999756</c:v>
                </c:pt>
                <c:pt idx="17">
                  <c:v>18.436</c:v>
                </c:pt>
                <c:pt idx="18">
                  <c:v>17.610600000000005</c:v>
                </c:pt>
                <c:pt idx="19">
                  <c:v>18.289699999999712</c:v>
                </c:pt>
                <c:pt idx="20">
                  <c:v>17.635999999999999</c:v>
                </c:pt>
                <c:pt idx="21">
                  <c:v>16.90879999999968</c:v>
                </c:pt>
                <c:pt idx="22">
                  <c:v>18.333100000000005</c:v>
                </c:pt>
                <c:pt idx="23">
                  <c:v>18.651499999999999</c:v>
                </c:pt>
                <c:pt idx="24">
                  <c:v>18.464399999999774</c:v>
                </c:pt>
                <c:pt idx="25">
                  <c:v>17.86</c:v>
                </c:pt>
                <c:pt idx="26">
                  <c:v>18.897900000000035</c:v>
                </c:pt>
                <c:pt idx="27">
                  <c:v>17.7943</c:v>
                </c:pt>
                <c:pt idx="28">
                  <c:v>18.057200000000005</c:v>
                </c:pt>
                <c:pt idx="29">
                  <c:v>17.9147</c:v>
                </c:pt>
                <c:pt idx="30">
                  <c:v>18.292199999999767</c:v>
                </c:pt>
                <c:pt idx="31">
                  <c:v>18.181100000000001</c:v>
                </c:pt>
                <c:pt idx="32">
                  <c:v>18.194400000000005</c:v>
                </c:pt>
                <c:pt idx="33">
                  <c:v>18.072500000000002</c:v>
                </c:pt>
                <c:pt idx="34">
                  <c:v>17.878299999999989</c:v>
                </c:pt>
                <c:pt idx="35">
                  <c:v>17.805299999999889</c:v>
                </c:pt>
                <c:pt idx="36">
                  <c:v>17.647099999999988</c:v>
                </c:pt>
                <c:pt idx="37">
                  <c:v>16.3889</c:v>
                </c:pt>
                <c:pt idx="38">
                  <c:v>18.025299999999778</c:v>
                </c:pt>
                <c:pt idx="39">
                  <c:v>18.025299999999778</c:v>
                </c:pt>
                <c:pt idx="40">
                  <c:v>18.019600000000001</c:v>
                </c:pt>
                <c:pt idx="41">
                  <c:v>16.786799999999683</c:v>
                </c:pt>
                <c:pt idx="42">
                  <c:v>15.856800000000026</c:v>
                </c:pt>
                <c:pt idx="43">
                  <c:v>16.911799999999989</c:v>
                </c:pt>
                <c:pt idx="44">
                  <c:v>17.611100000000135</c:v>
                </c:pt>
                <c:pt idx="45">
                  <c:v>18.010999999999999</c:v>
                </c:pt>
                <c:pt idx="46">
                  <c:v>17.952599999999727</c:v>
                </c:pt>
                <c:pt idx="47">
                  <c:v>16.770099999999989</c:v>
                </c:pt>
                <c:pt idx="48">
                  <c:v>16.826699999999889</c:v>
                </c:pt>
                <c:pt idx="49">
                  <c:v>16.905099999999759</c:v>
                </c:pt>
                <c:pt idx="50">
                  <c:v>16.291399999999989</c:v>
                </c:pt>
                <c:pt idx="51">
                  <c:v>16.058900000000001</c:v>
                </c:pt>
                <c:pt idx="52">
                  <c:v>17.1707</c:v>
                </c:pt>
                <c:pt idx="53">
                  <c:v>18.4818</c:v>
                </c:pt>
                <c:pt idx="54">
                  <c:v>17.481399999999752</c:v>
                </c:pt>
                <c:pt idx="55">
                  <c:v>16.789499999999727</c:v>
                </c:pt>
                <c:pt idx="56">
                  <c:v>16.947299999999792</c:v>
                </c:pt>
                <c:pt idx="57">
                  <c:v>16.985999999999752</c:v>
                </c:pt>
                <c:pt idx="58">
                  <c:v>17.486399999999708</c:v>
                </c:pt>
                <c:pt idx="59">
                  <c:v>17.0167</c:v>
                </c:pt>
                <c:pt idx="60">
                  <c:v>17.4971</c:v>
                </c:pt>
                <c:pt idx="61">
                  <c:v>17.661200000000001</c:v>
                </c:pt>
                <c:pt idx="62">
                  <c:v>17.40539999999972</c:v>
                </c:pt>
                <c:pt idx="63">
                  <c:v>17.2028</c:v>
                </c:pt>
                <c:pt idx="64">
                  <c:v>17.163499999999889</c:v>
                </c:pt>
                <c:pt idx="65">
                  <c:v>16.743499999999759</c:v>
                </c:pt>
                <c:pt idx="66">
                  <c:v>17.224299999999989</c:v>
                </c:pt>
                <c:pt idx="67">
                  <c:v>18.433900000000001</c:v>
                </c:pt>
                <c:pt idx="68">
                  <c:v>18.373100000000001</c:v>
                </c:pt>
                <c:pt idx="69">
                  <c:v>17.664200000000001</c:v>
                </c:pt>
                <c:pt idx="70">
                  <c:v>16.993200000000002</c:v>
                </c:pt>
                <c:pt idx="71">
                  <c:v>17.030200000000001</c:v>
                </c:pt>
                <c:pt idx="72">
                  <c:v>16.693200000000001</c:v>
                </c:pt>
                <c:pt idx="73">
                  <c:v>17.7002999999998</c:v>
                </c:pt>
                <c:pt idx="74">
                  <c:v>17.9304999999998</c:v>
                </c:pt>
                <c:pt idx="75">
                  <c:v>17.054300000000001</c:v>
                </c:pt>
                <c:pt idx="76">
                  <c:v>17.461999999999989</c:v>
                </c:pt>
                <c:pt idx="77">
                  <c:v>16.535699999999796</c:v>
                </c:pt>
                <c:pt idx="78">
                  <c:v>17.176500000000001</c:v>
                </c:pt>
                <c:pt idx="79">
                  <c:v>17.358699999999889</c:v>
                </c:pt>
                <c:pt idx="80">
                  <c:v>17.7576</c:v>
                </c:pt>
                <c:pt idx="81">
                  <c:v>17.7576</c:v>
                </c:pt>
                <c:pt idx="82">
                  <c:v>18.363</c:v>
                </c:pt>
                <c:pt idx="83">
                  <c:v>17.981499999999741</c:v>
                </c:pt>
                <c:pt idx="84">
                  <c:v>17.851299999999988</c:v>
                </c:pt>
                <c:pt idx="85">
                  <c:v>17.408599999999712</c:v>
                </c:pt>
                <c:pt idx="86">
                  <c:v>17.503</c:v>
                </c:pt>
                <c:pt idx="87">
                  <c:v>17.677000000000035</c:v>
                </c:pt>
                <c:pt idx="88">
                  <c:v>19.012</c:v>
                </c:pt>
                <c:pt idx="89">
                  <c:v>19.060399999999774</c:v>
                </c:pt>
                <c:pt idx="90">
                  <c:v>17.756</c:v>
                </c:pt>
                <c:pt idx="91">
                  <c:v>18.308900000000001</c:v>
                </c:pt>
                <c:pt idx="92">
                  <c:v>16.655000000000001</c:v>
                </c:pt>
                <c:pt idx="93">
                  <c:v>17.7165</c:v>
                </c:pt>
                <c:pt idx="94">
                  <c:v>16.603800000000035</c:v>
                </c:pt>
                <c:pt idx="95">
                  <c:v>16.460699999999676</c:v>
                </c:pt>
                <c:pt idx="96">
                  <c:v>17.397500000000001</c:v>
                </c:pt>
                <c:pt idx="97">
                  <c:v>17.282399999999672</c:v>
                </c:pt>
                <c:pt idx="98">
                  <c:v>17.478099999999774</c:v>
                </c:pt>
                <c:pt idx="99">
                  <c:v>17.1797</c:v>
                </c:pt>
                <c:pt idx="100">
                  <c:v>16.7362</c:v>
                </c:pt>
                <c:pt idx="101">
                  <c:v>17.269599999999748</c:v>
                </c:pt>
                <c:pt idx="102">
                  <c:v>16.9849</c:v>
                </c:pt>
                <c:pt idx="103">
                  <c:v>17.692799999999789</c:v>
                </c:pt>
                <c:pt idx="104">
                  <c:v>16.8917</c:v>
                </c:pt>
                <c:pt idx="105">
                  <c:v>17.051500000000001</c:v>
                </c:pt>
                <c:pt idx="106">
                  <c:v>16.939800000000005</c:v>
                </c:pt>
                <c:pt idx="107">
                  <c:v>16.090299999999989</c:v>
                </c:pt>
                <c:pt idx="108">
                  <c:v>15.897500000000004</c:v>
                </c:pt>
                <c:pt idx="109">
                  <c:v>14.501800000000001</c:v>
                </c:pt>
                <c:pt idx="110">
                  <c:v>16.417400000000001</c:v>
                </c:pt>
                <c:pt idx="111">
                  <c:v>15.571100000000001</c:v>
                </c:pt>
                <c:pt idx="112">
                  <c:v>16.550599999999989</c:v>
                </c:pt>
                <c:pt idx="113">
                  <c:v>16.343399999999889</c:v>
                </c:pt>
                <c:pt idx="114">
                  <c:v>17.028599999999756</c:v>
                </c:pt>
              </c:numCache>
            </c:numRef>
          </c:xVal>
          <c:yVal>
            <c:numRef>
              <c:f>AE!$F$2:$F$116</c:f>
              <c:numCache>
                <c:formatCode>General</c:formatCode>
                <c:ptCount val="115"/>
                <c:pt idx="0">
                  <c:v>18.640464992400691</c:v>
                </c:pt>
                <c:pt idx="1">
                  <c:v>18.430049688545566</c:v>
                </c:pt>
                <c:pt idx="2">
                  <c:v>17.601909811903088</c:v>
                </c:pt>
                <c:pt idx="3">
                  <c:v>17.345018422666858</c:v>
                </c:pt>
                <c:pt idx="4">
                  <c:v>17.313256326013235</c:v>
                </c:pt>
                <c:pt idx="5">
                  <c:v>16.937225234752521</c:v>
                </c:pt>
                <c:pt idx="6">
                  <c:v>16.857063441792231</c:v>
                </c:pt>
                <c:pt idx="7">
                  <c:v>18.810623873400669</c:v>
                </c:pt>
                <c:pt idx="8">
                  <c:v>18.49219767003293</c:v>
                </c:pt>
                <c:pt idx="9">
                  <c:v>18.178005571542766</c:v>
                </c:pt>
                <c:pt idx="10">
                  <c:v>17.773037627338226</c:v>
                </c:pt>
                <c:pt idx="11">
                  <c:v>17.484374639393089</c:v>
                </c:pt>
                <c:pt idx="12">
                  <c:v>17.196737578382589</c:v>
                </c:pt>
                <c:pt idx="13">
                  <c:v>17.657285557882741</c:v>
                </c:pt>
                <c:pt idx="14">
                  <c:v>17.294501357191386</c:v>
                </c:pt>
                <c:pt idx="15">
                  <c:v>18.61336186811911</c:v>
                </c:pt>
                <c:pt idx="16">
                  <c:v>18.691926885890304</c:v>
                </c:pt>
                <c:pt idx="17">
                  <c:v>18.518637040495129</c:v>
                </c:pt>
                <c:pt idx="18">
                  <c:v>18.334743705223186</c:v>
                </c:pt>
                <c:pt idx="19">
                  <c:v>17.948782588248484</c:v>
                </c:pt>
                <c:pt idx="20">
                  <c:v>17.872022915638581</c:v>
                </c:pt>
                <c:pt idx="21">
                  <c:v>17.548078098858255</c:v>
                </c:pt>
                <c:pt idx="22">
                  <c:v>18.720916936299229</c:v>
                </c:pt>
                <c:pt idx="23">
                  <c:v>18.486581020679729</c:v>
                </c:pt>
                <c:pt idx="24">
                  <c:v>18.160406150907519</c:v>
                </c:pt>
                <c:pt idx="25">
                  <c:v>18.326403205764429</c:v>
                </c:pt>
                <c:pt idx="26">
                  <c:v>18.115313778452531</c:v>
                </c:pt>
                <c:pt idx="27">
                  <c:v>17.962946047046959</c:v>
                </c:pt>
                <c:pt idx="28">
                  <c:v>17.319242869456691</c:v>
                </c:pt>
                <c:pt idx="29">
                  <c:v>17.496790691672089</c:v>
                </c:pt>
                <c:pt idx="30">
                  <c:v>18.321210299364289</c:v>
                </c:pt>
                <c:pt idx="31">
                  <c:v>18.304578885068558</c:v>
                </c:pt>
                <c:pt idx="32">
                  <c:v>17.834712063773623</c:v>
                </c:pt>
                <c:pt idx="33">
                  <c:v>17.868322586253452</c:v>
                </c:pt>
                <c:pt idx="34">
                  <c:v>17.519983271211327</c:v>
                </c:pt>
                <c:pt idx="35">
                  <c:v>17.294968966980864</c:v>
                </c:pt>
                <c:pt idx="36">
                  <c:v>17.667785024979544</c:v>
                </c:pt>
                <c:pt idx="37">
                  <c:v>17.976397585472821</c:v>
                </c:pt>
                <c:pt idx="38">
                  <c:v>18.115532884686509</c:v>
                </c:pt>
                <c:pt idx="39">
                  <c:v>17.95884997939071</c:v>
                </c:pt>
                <c:pt idx="40">
                  <c:v>17.413467012496131</c:v>
                </c:pt>
                <c:pt idx="41">
                  <c:v>17.388845005498951</c:v>
                </c:pt>
                <c:pt idx="42">
                  <c:v>17.243681420890791</c:v>
                </c:pt>
                <c:pt idx="43">
                  <c:v>16.85325259328469</c:v>
                </c:pt>
                <c:pt idx="44">
                  <c:v>17.548371025518836</c:v>
                </c:pt>
                <c:pt idx="45">
                  <c:v>17.767371976313882</c:v>
                </c:pt>
                <c:pt idx="46">
                  <c:v>17.732966817659594</c:v>
                </c:pt>
                <c:pt idx="47">
                  <c:v>17.306088462695271</c:v>
                </c:pt>
                <c:pt idx="48">
                  <c:v>17.197574478156891</c:v>
                </c:pt>
                <c:pt idx="49">
                  <c:v>16.710509911752329</c:v>
                </c:pt>
                <c:pt idx="50">
                  <c:v>16.407164939718857</c:v>
                </c:pt>
                <c:pt idx="51">
                  <c:v>16.396638801157529</c:v>
                </c:pt>
                <c:pt idx="52">
                  <c:v>17.49151830961463</c:v>
                </c:pt>
                <c:pt idx="53">
                  <c:v>17.658891015567239</c:v>
                </c:pt>
                <c:pt idx="54">
                  <c:v>17.417389566150064</c:v>
                </c:pt>
                <c:pt idx="55">
                  <c:v>16.893301266898735</c:v>
                </c:pt>
                <c:pt idx="56">
                  <c:v>16.954738138619</c:v>
                </c:pt>
                <c:pt idx="57">
                  <c:v>16.933524307868627</c:v>
                </c:pt>
                <c:pt idx="58">
                  <c:v>16.82983710161923</c:v>
                </c:pt>
                <c:pt idx="59">
                  <c:v>16.829019651794987</c:v>
                </c:pt>
                <c:pt idx="60">
                  <c:v>17.756985712881935</c:v>
                </c:pt>
                <c:pt idx="61">
                  <c:v>17.919379416938227</c:v>
                </c:pt>
                <c:pt idx="62">
                  <c:v>17.517617842374786</c:v>
                </c:pt>
                <c:pt idx="63">
                  <c:v>17.225168292665089</c:v>
                </c:pt>
                <c:pt idx="64">
                  <c:v>17.14356829771928</c:v>
                </c:pt>
                <c:pt idx="65">
                  <c:v>17.592388981923204</c:v>
                </c:pt>
                <c:pt idx="66">
                  <c:v>17.71286551349289</c:v>
                </c:pt>
                <c:pt idx="67">
                  <c:v>17.731561446755691</c:v>
                </c:pt>
                <c:pt idx="68">
                  <c:v>17.869615463430847</c:v>
                </c:pt>
                <c:pt idx="69">
                  <c:v>17.458264555235182</c:v>
                </c:pt>
                <c:pt idx="70">
                  <c:v>17.25077516337187</c:v>
                </c:pt>
                <c:pt idx="71">
                  <c:v>17.043046988226877</c:v>
                </c:pt>
                <c:pt idx="72">
                  <c:v>16.852109572349615</c:v>
                </c:pt>
                <c:pt idx="73">
                  <c:v>17.674649100097842</c:v>
                </c:pt>
                <c:pt idx="74">
                  <c:v>17.691381161552343</c:v>
                </c:pt>
                <c:pt idx="75">
                  <c:v>18.060670353686326</c:v>
                </c:pt>
                <c:pt idx="76">
                  <c:v>17.380258952153181</c:v>
                </c:pt>
                <c:pt idx="77">
                  <c:v>17.190966269496691</c:v>
                </c:pt>
                <c:pt idx="78">
                  <c:v>17.265270700635689</c:v>
                </c:pt>
                <c:pt idx="79">
                  <c:v>17.563982766679942</c:v>
                </c:pt>
                <c:pt idx="80">
                  <c:v>17.709336230216589</c:v>
                </c:pt>
                <c:pt idx="81">
                  <c:v>17.95981906149521</c:v>
                </c:pt>
                <c:pt idx="82">
                  <c:v>18.068239351011517</c:v>
                </c:pt>
                <c:pt idx="83">
                  <c:v>18.244939356398717</c:v>
                </c:pt>
                <c:pt idx="84">
                  <c:v>17.220668345486491</c:v>
                </c:pt>
                <c:pt idx="85">
                  <c:v>17.172275226438948</c:v>
                </c:pt>
                <c:pt idx="86">
                  <c:v>17.502598172452178</c:v>
                </c:pt>
                <c:pt idx="87">
                  <c:v>17.506712614759156</c:v>
                </c:pt>
                <c:pt idx="88">
                  <c:v>17.358935057712095</c:v>
                </c:pt>
                <c:pt idx="89">
                  <c:v>17.863821924139369</c:v>
                </c:pt>
                <c:pt idx="90">
                  <c:v>18.058096163996115</c:v>
                </c:pt>
                <c:pt idx="91">
                  <c:v>17.820759787022411</c:v>
                </c:pt>
                <c:pt idx="92">
                  <c:v>17.321146639120489</c:v>
                </c:pt>
                <c:pt idx="93">
                  <c:v>17.110301136728744</c:v>
                </c:pt>
                <c:pt idx="94">
                  <c:v>17.405592855474438</c:v>
                </c:pt>
                <c:pt idx="95">
                  <c:v>17.746552547608182</c:v>
                </c:pt>
                <c:pt idx="96">
                  <c:v>17.342075931792873</c:v>
                </c:pt>
                <c:pt idx="97">
                  <c:v>17.581550499327889</c:v>
                </c:pt>
                <c:pt idx="98">
                  <c:v>17.618124243358285</c:v>
                </c:pt>
                <c:pt idx="99">
                  <c:v>16.591535194867827</c:v>
                </c:pt>
                <c:pt idx="100">
                  <c:v>16.825725530076689</c:v>
                </c:pt>
                <c:pt idx="101">
                  <c:v>16.298470257213889</c:v>
                </c:pt>
                <c:pt idx="102">
                  <c:v>16.547203320685618</c:v>
                </c:pt>
                <c:pt idx="103">
                  <c:v>16.866371110088735</c:v>
                </c:pt>
                <c:pt idx="104">
                  <c:v>16.927793996525629</c:v>
                </c:pt>
                <c:pt idx="105">
                  <c:v>17.048282153352652</c:v>
                </c:pt>
                <c:pt idx="106">
                  <c:v>17.515883828572033</c:v>
                </c:pt>
                <c:pt idx="107">
                  <c:v>16.609764475594915</c:v>
                </c:pt>
                <c:pt idx="108">
                  <c:v>16.020301674950787</c:v>
                </c:pt>
                <c:pt idx="109">
                  <c:v>15.711986564426956</c:v>
                </c:pt>
                <c:pt idx="110">
                  <c:v>16.06130787591978</c:v>
                </c:pt>
                <c:pt idx="111">
                  <c:v>16.551648690531046</c:v>
                </c:pt>
                <c:pt idx="112">
                  <c:v>16.021586264334989</c:v>
                </c:pt>
                <c:pt idx="113">
                  <c:v>16.875701037708026</c:v>
                </c:pt>
                <c:pt idx="114">
                  <c:v>17.155065892869185</c:v>
                </c:pt>
              </c:numCache>
            </c:numRef>
          </c:yVal>
        </c:ser>
        <c:axId val="134539136"/>
        <c:axId val="139591680"/>
      </c:scatterChart>
      <c:valAx>
        <c:axId val="134539136"/>
        <c:scaling>
          <c:orientation val="minMax"/>
          <c:max val="20"/>
          <c:min val="15"/>
        </c:scaling>
        <c:axPos val="b"/>
        <c:title>
          <c:tx>
            <c:rich>
              <a:bodyPr/>
              <a:lstStyle/>
              <a:p>
                <a:pPr>
                  <a:defRPr sz="1200" baseline="0">
                    <a:latin typeface="Cambria" pitchFamily="18" charset="0"/>
                  </a:defRPr>
                </a:pPr>
                <a:r>
                  <a:rPr lang="en-US" sz="1200" baseline="0">
                    <a:latin typeface="Cambria" pitchFamily="18" charset="0"/>
                  </a:rPr>
                  <a:t>Observed Values</a:t>
                </a:r>
              </a:p>
            </c:rich>
          </c:tx>
          <c:layout>
            <c:manualLayout>
              <c:xMode val="edge"/>
              <c:yMode val="edge"/>
              <c:x val="0.35820720162788638"/>
              <c:y val="0.88389521897998802"/>
            </c:manualLayout>
          </c:layout>
        </c:title>
        <c:numFmt formatCode="General" sourceLinked="1"/>
        <c:tickLblPos val="nextTo"/>
        <c:txPr>
          <a:bodyPr/>
          <a:lstStyle/>
          <a:p>
            <a:pPr>
              <a:defRPr sz="1200" baseline="0">
                <a:latin typeface="Cambria" pitchFamily="18" charset="0"/>
              </a:defRPr>
            </a:pPr>
            <a:endParaRPr lang="en-US"/>
          </a:p>
        </c:txPr>
        <c:crossAx val="139591680"/>
        <c:crosses val="autoZero"/>
        <c:crossBetween val="midCat"/>
      </c:valAx>
      <c:valAx>
        <c:axId val="139591680"/>
        <c:scaling>
          <c:orientation val="minMax"/>
          <c:max val="20"/>
          <c:min val="15"/>
        </c:scaling>
        <c:axPos val="l"/>
        <c:title>
          <c:tx>
            <c:rich>
              <a:bodyPr/>
              <a:lstStyle/>
              <a:p>
                <a:pPr>
                  <a:defRPr sz="1200" baseline="0">
                    <a:latin typeface="Cambria" pitchFamily="18" charset="0"/>
                  </a:defRPr>
                </a:pPr>
                <a:r>
                  <a:rPr lang="en-US" sz="1200" baseline="0">
                    <a:latin typeface="Cambria" pitchFamily="18" charset="0"/>
                  </a:rPr>
                  <a:t>Predicted Values</a:t>
                </a:r>
              </a:p>
            </c:rich>
          </c:tx>
        </c:title>
        <c:numFmt formatCode="General" sourceLinked="1"/>
        <c:tickLblPos val="nextTo"/>
        <c:txPr>
          <a:bodyPr/>
          <a:lstStyle/>
          <a:p>
            <a:pPr>
              <a:defRPr sz="1200" baseline="0">
                <a:latin typeface="Cambria" pitchFamily="18" charset="0"/>
              </a:defRPr>
            </a:pPr>
            <a:endParaRPr lang="en-US"/>
          </a:p>
        </c:txPr>
        <c:crossAx val="134539136"/>
        <c:crosses val="autoZero"/>
        <c:crossBetween val="midCat"/>
      </c:valAx>
    </c:plotArea>
    <c:legend>
      <c:legendPos val="r"/>
      <c:legendEntry>
        <c:idx val="0"/>
        <c:delete val="1"/>
      </c:legendEntry>
      <c:legendEntry>
        <c:idx val="1"/>
        <c:delete val="1"/>
      </c:legendEntry>
      <c:layout>
        <c:manualLayout>
          <c:xMode val="edge"/>
          <c:yMode val="edge"/>
          <c:x val="0.2097378277153559"/>
          <c:y val="4.9459523441922733E-2"/>
          <c:w val="0.46437464979799398"/>
          <c:h val="0.13245309042252304"/>
        </c:manualLayout>
      </c:layout>
      <c:txPr>
        <a:bodyPr/>
        <a:lstStyle/>
        <a:p>
          <a:pPr>
            <a:defRPr sz="1200" baseline="0">
              <a:latin typeface="Cambria" pitchFamily="18" charset="0"/>
            </a:defRPr>
          </a:pPr>
          <a:endParaRPr lang="en-US"/>
        </a:p>
      </c:txP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8632072630265467"/>
          <c:y val="0.10843447599353297"/>
          <c:w val="0.72624757970827414"/>
          <c:h val="0.54667780163844326"/>
        </c:manualLayout>
      </c:layout>
      <c:barChart>
        <c:barDir val="col"/>
        <c:grouping val="clustered"/>
        <c:ser>
          <c:idx val="0"/>
          <c:order val="0"/>
          <c:cat>
            <c:numRef>
              <c:f>'TS OK'!$F$52:$F$65</c:f>
              <c:numCache>
                <c:formatCode>General</c:formatCode>
                <c:ptCount val="14"/>
                <c:pt idx="0" formatCode="0.00">
                  <c:v>0.30000000000000032</c:v>
                </c:pt>
                <c:pt idx="1">
                  <c:v>0.32000000000000517</c:v>
                </c:pt>
                <c:pt idx="2">
                  <c:v>0.34</c:v>
                </c:pt>
                <c:pt idx="3">
                  <c:v>0.36000000000000032</c:v>
                </c:pt>
                <c:pt idx="4">
                  <c:v>0.38000000000000489</c:v>
                </c:pt>
                <c:pt idx="5" formatCode="0.00">
                  <c:v>0.40000000000000008</c:v>
                </c:pt>
                <c:pt idx="6">
                  <c:v>0.42000000000000032</c:v>
                </c:pt>
                <c:pt idx="7">
                  <c:v>0.44000000000000011</c:v>
                </c:pt>
                <c:pt idx="8">
                  <c:v>0.4600000000000003</c:v>
                </c:pt>
                <c:pt idx="9">
                  <c:v>0.48000000000000032</c:v>
                </c:pt>
                <c:pt idx="10" formatCode="0.00">
                  <c:v>0.50000000000000011</c:v>
                </c:pt>
                <c:pt idx="11">
                  <c:v>0.52000000000000013</c:v>
                </c:pt>
                <c:pt idx="12">
                  <c:v>0.54000000000000015</c:v>
                </c:pt>
                <c:pt idx="13">
                  <c:v>0.56000000000000061</c:v>
                </c:pt>
              </c:numCache>
            </c:numRef>
          </c:cat>
          <c:val>
            <c:numRef>
              <c:f>'TS OK'!$G$52:$G$65</c:f>
              <c:numCache>
                <c:formatCode>General</c:formatCode>
                <c:ptCount val="14"/>
                <c:pt idx="0">
                  <c:v>0</c:v>
                </c:pt>
                <c:pt idx="1">
                  <c:v>5</c:v>
                </c:pt>
                <c:pt idx="2">
                  <c:v>16</c:v>
                </c:pt>
                <c:pt idx="3">
                  <c:v>31</c:v>
                </c:pt>
                <c:pt idx="4">
                  <c:v>23</c:v>
                </c:pt>
                <c:pt idx="5">
                  <c:v>15</c:v>
                </c:pt>
                <c:pt idx="6">
                  <c:v>10</c:v>
                </c:pt>
                <c:pt idx="7">
                  <c:v>7</c:v>
                </c:pt>
                <c:pt idx="8">
                  <c:v>2</c:v>
                </c:pt>
                <c:pt idx="9">
                  <c:v>1</c:v>
                </c:pt>
                <c:pt idx="10">
                  <c:v>2</c:v>
                </c:pt>
                <c:pt idx="11">
                  <c:v>2</c:v>
                </c:pt>
                <c:pt idx="12">
                  <c:v>0</c:v>
                </c:pt>
                <c:pt idx="13">
                  <c:v>1</c:v>
                </c:pt>
              </c:numCache>
            </c:numRef>
          </c:val>
        </c:ser>
        <c:gapWidth val="79"/>
        <c:overlap val="-1"/>
        <c:axId val="96056064"/>
        <c:axId val="96057600"/>
      </c:barChart>
      <c:catAx>
        <c:axId val="96056064"/>
        <c:scaling>
          <c:orientation val="minMax"/>
        </c:scaling>
        <c:axPos val="b"/>
        <c:numFmt formatCode="0.00" sourceLinked="1"/>
        <c:tickLblPos val="nextTo"/>
        <c:txPr>
          <a:bodyPr rot="-5400000" vert="horz"/>
          <a:lstStyle/>
          <a:p>
            <a:pPr>
              <a:defRPr baseline="0">
                <a:latin typeface="Cambria" pitchFamily="18" charset="0"/>
              </a:defRPr>
            </a:pPr>
            <a:endParaRPr lang="en-US"/>
          </a:p>
        </c:txPr>
        <c:crossAx val="96057600"/>
        <c:crosses val="autoZero"/>
        <c:auto val="1"/>
        <c:lblAlgn val="ctr"/>
        <c:lblOffset val="100"/>
        <c:tickMarkSkip val="1"/>
      </c:catAx>
      <c:valAx>
        <c:axId val="96057600"/>
        <c:scaling>
          <c:orientation val="minMax"/>
        </c:scaling>
        <c:axPos val="l"/>
        <c:title>
          <c:tx>
            <c:rich>
              <a:bodyPr/>
              <a:lstStyle/>
              <a:p>
                <a:pPr>
                  <a:defRPr>
                    <a:latin typeface="+mj-lt"/>
                  </a:defRPr>
                </a:pPr>
                <a:r>
                  <a:rPr lang="en-US">
                    <a:latin typeface="+mj-lt"/>
                  </a:rPr>
                  <a:t>Frequency</a:t>
                </a:r>
              </a:p>
            </c:rich>
          </c:tx>
          <c:layout>
            <c:manualLayout>
              <c:xMode val="edge"/>
              <c:yMode val="edge"/>
              <c:x val="4.3715846994535519E-3"/>
              <c:y val="0.17224475728412741"/>
            </c:manualLayout>
          </c:layout>
        </c:title>
        <c:numFmt formatCode="General" sourceLinked="1"/>
        <c:tickLblPos val="nextTo"/>
        <c:txPr>
          <a:bodyPr/>
          <a:lstStyle/>
          <a:p>
            <a:pPr>
              <a:defRPr baseline="0">
                <a:latin typeface="Cambria" pitchFamily="18" charset="0"/>
              </a:defRPr>
            </a:pPr>
            <a:endParaRPr lang="en-US"/>
          </a:p>
        </c:txPr>
        <c:crossAx val="96056064"/>
        <c:crosses val="autoZero"/>
        <c:crossBetween val="between"/>
      </c:valAx>
    </c:plotArea>
    <c:plotVisOnly val="1"/>
  </c:chart>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6585244053688841"/>
          <c:y val="5.8052390510009794E-2"/>
          <c:w val="0.79720365495037671"/>
          <c:h val="0.7186660042470423"/>
        </c:manualLayout>
      </c:layout>
      <c:scatterChart>
        <c:scatterStyle val="smoothMarker"/>
        <c:ser>
          <c:idx val="1"/>
          <c:order val="1"/>
          <c:marker>
            <c:symbol val="none"/>
          </c:marker>
          <c:dPt>
            <c:idx val="4"/>
            <c:spPr>
              <a:ln w="9525">
                <a:solidFill>
                  <a:srgbClr val="FF0000"/>
                </a:solidFill>
              </a:ln>
            </c:spPr>
          </c:dPt>
          <c:dPt>
            <c:idx val="5"/>
            <c:spPr>
              <a:ln w="9525">
                <a:solidFill>
                  <a:srgbClr val="FF0000"/>
                </a:solidFill>
              </a:ln>
            </c:spPr>
          </c:dPt>
          <c:dPt>
            <c:idx val="6"/>
            <c:spPr>
              <a:ln w="9525">
                <a:solidFill>
                  <a:srgbClr val="FF0000"/>
                </a:solidFill>
              </a:ln>
            </c:spPr>
          </c:dPt>
          <c:trendline>
            <c:name>Theoretical Trend Line</c:name>
            <c:spPr>
              <a:ln w="25400">
                <a:solidFill>
                  <a:srgbClr val="FF0000"/>
                </a:solidFill>
              </a:ln>
            </c:spPr>
            <c:trendlineType val="linear"/>
          </c:trendline>
          <c:xVal>
            <c:numRef>
              <c:f>TS!$J$12:$J$18</c:f>
              <c:numCache>
                <c:formatCode>0.00</c:formatCode>
                <c:ptCount val="7"/>
                <c:pt idx="0" formatCode="General">
                  <c:v>0</c:v>
                </c:pt>
                <c:pt idx="1">
                  <c:v>0.1</c:v>
                </c:pt>
                <c:pt idx="2">
                  <c:v>0.2</c:v>
                </c:pt>
                <c:pt idx="3">
                  <c:v>0.30000000000000032</c:v>
                </c:pt>
                <c:pt idx="4">
                  <c:v>0.4</c:v>
                </c:pt>
                <c:pt idx="5">
                  <c:v>0.5</c:v>
                </c:pt>
                <c:pt idx="6">
                  <c:v>0.60000000000000064</c:v>
                </c:pt>
              </c:numCache>
            </c:numRef>
          </c:xVal>
          <c:yVal>
            <c:numRef>
              <c:f>TS!$K$12:$K$18</c:f>
              <c:numCache>
                <c:formatCode>0.00</c:formatCode>
                <c:ptCount val="7"/>
                <c:pt idx="0" formatCode="General">
                  <c:v>0</c:v>
                </c:pt>
                <c:pt idx="1">
                  <c:v>0.1</c:v>
                </c:pt>
                <c:pt idx="2">
                  <c:v>0.2</c:v>
                </c:pt>
                <c:pt idx="3">
                  <c:v>0.30000000000000032</c:v>
                </c:pt>
                <c:pt idx="4">
                  <c:v>0.4</c:v>
                </c:pt>
                <c:pt idx="5">
                  <c:v>0.5</c:v>
                </c:pt>
                <c:pt idx="6">
                  <c:v>0.60000000000000064</c:v>
                </c:pt>
              </c:numCache>
            </c:numRef>
          </c:yVal>
          <c:smooth val="1"/>
        </c:ser>
        <c:axId val="139619712"/>
        <c:axId val="139638272"/>
      </c:scatterChart>
      <c:scatterChart>
        <c:scatterStyle val="lineMarker"/>
        <c:ser>
          <c:idx val="0"/>
          <c:order val="0"/>
          <c:spPr>
            <a:ln w="28575">
              <a:noFill/>
            </a:ln>
          </c:spPr>
          <c:marker>
            <c:symbol val="circle"/>
            <c:size val="7"/>
          </c:marker>
          <c:trendline>
            <c:name>Experimental Trend Line</c:name>
            <c:spPr>
              <a:ln w="25400"/>
            </c:spPr>
            <c:trendlineType val="linear"/>
            <c:forward val="0.05"/>
            <c:dispEq val="1"/>
            <c:trendlineLbl>
              <c:layout>
                <c:manualLayout>
                  <c:x val="8.0759680320858767E-3"/>
                  <c:y val="0.23785662086356837"/>
                </c:manualLayout>
              </c:layout>
              <c:numFmt formatCode="General" sourceLinked="0"/>
              <c:txPr>
                <a:bodyPr/>
                <a:lstStyle/>
                <a:p>
                  <a:pPr>
                    <a:defRPr sz="1200" baseline="0">
                      <a:latin typeface="Cambria" pitchFamily="18" charset="0"/>
                    </a:defRPr>
                  </a:pPr>
                  <a:endParaRPr lang="en-US"/>
                </a:p>
              </c:txPr>
            </c:trendlineLbl>
          </c:trendline>
          <c:xVal>
            <c:numRef>
              <c:f>TS!$A$2:$A$116</c:f>
              <c:numCache>
                <c:formatCode>0.0000</c:formatCode>
                <c:ptCount val="115"/>
                <c:pt idx="0">
                  <c:v>0.33370000000000088</c:v>
                </c:pt>
                <c:pt idx="1">
                  <c:v>0.35050000000000031</c:v>
                </c:pt>
                <c:pt idx="2">
                  <c:v>0.43800000000000283</c:v>
                </c:pt>
                <c:pt idx="3">
                  <c:v>0.38320000000000032</c:v>
                </c:pt>
                <c:pt idx="4">
                  <c:v>0.42500000000000032</c:v>
                </c:pt>
                <c:pt idx="5">
                  <c:v>0.39730000000000504</c:v>
                </c:pt>
                <c:pt idx="6">
                  <c:v>0.36380000000000318</c:v>
                </c:pt>
                <c:pt idx="7">
                  <c:v>0.31520000000000031</c:v>
                </c:pt>
                <c:pt idx="8">
                  <c:v>0.34890000000000032</c:v>
                </c:pt>
                <c:pt idx="9">
                  <c:v>0.36770000000000008</c:v>
                </c:pt>
                <c:pt idx="10">
                  <c:v>0.36770000000000008</c:v>
                </c:pt>
                <c:pt idx="11">
                  <c:v>0.41250000000000031</c:v>
                </c:pt>
                <c:pt idx="12">
                  <c:v>0.35210000000000002</c:v>
                </c:pt>
                <c:pt idx="13">
                  <c:v>0.32500000000000318</c:v>
                </c:pt>
                <c:pt idx="14">
                  <c:v>0.32980000000000448</c:v>
                </c:pt>
                <c:pt idx="15">
                  <c:v>0.37630000000000363</c:v>
                </c:pt>
                <c:pt idx="16">
                  <c:v>0.30920000000000031</c:v>
                </c:pt>
                <c:pt idx="17">
                  <c:v>0.35030000000000283</c:v>
                </c:pt>
                <c:pt idx="18">
                  <c:v>0.34620000000000001</c:v>
                </c:pt>
                <c:pt idx="19">
                  <c:v>0.36620000000000008</c:v>
                </c:pt>
                <c:pt idx="20">
                  <c:v>0.36010000000000031</c:v>
                </c:pt>
                <c:pt idx="21">
                  <c:v>0.37570000000000031</c:v>
                </c:pt>
                <c:pt idx="22">
                  <c:v>0.31410000000000032</c:v>
                </c:pt>
                <c:pt idx="23">
                  <c:v>0.35660000000000008</c:v>
                </c:pt>
                <c:pt idx="24">
                  <c:v>0.37460000000000032</c:v>
                </c:pt>
                <c:pt idx="25">
                  <c:v>0.35750000000000032</c:v>
                </c:pt>
                <c:pt idx="26">
                  <c:v>0.32130000000000425</c:v>
                </c:pt>
                <c:pt idx="27">
                  <c:v>0.36260000000000031</c:v>
                </c:pt>
                <c:pt idx="28">
                  <c:v>0.38690000000000363</c:v>
                </c:pt>
                <c:pt idx="29">
                  <c:v>0.32610000000000283</c:v>
                </c:pt>
                <c:pt idx="30">
                  <c:v>0.36100000000000032</c:v>
                </c:pt>
                <c:pt idx="31">
                  <c:v>0.33730000000000504</c:v>
                </c:pt>
                <c:pt idx="32">
                  <c:v>0.41040000000000032</c:v>
                </c:pt>
                <c:pt idx="33">
                  <c:v>0.35020000000000001</c:v>
                </c:pt>
                <c:pt idx="34">
                  <c:v>0.40300000000000002</c:v>
                </c:pt>
                <c:pt idx="35">
                  <c:v>0.43250000000000038</c:v>
                </c:pt>
                <c:pt idx="36">
                  <c:v>0.34080000000000032</c:v>
                </c:pt>
                <c:pt idx="37">
                  <c:v>0.35190000000000032</c:v>
                </c:pt>
                <c:pt idx="38">
                  <c:v>0.32670000000000032</c:v>
                </c:pt>
                <c:pt idx="39">
                  <c:v>0.32670000000000032</c:v>
                </c:pt>
                <c:pt idx="40">
                  <c:v>0.38420000000000032</c:v>
                </c:pt>
                <c:pt idx="41">
                  <c:v>0.38080000000000408</c:v>
                </c:pt>
                <c:pt idx="42">
                  <c:v>0.39980000000000504</c:v>
                </c:pt>
                <c:pt idx="43">
                  <c:v>0.44190000000000002</c:v>
                </c:pt>
                <c:pt idx="44">
                  <c:v>0.35750000000000032</c:v>
                </c:pt>
                <c:pt idx="45">
                  <c:v>0.34110000000000001</c:v>
                </c:pt>
                <c:pt idx="46">
                  <c:v>0.33320000000000038</c:v>
                </c:pt>
                <c:pt idx="47">
                  <c:v>0.41030000000000283</c:v>
                </c:pt>
                <c:pt idx="48">
                  <c:v>0.40180000000000032</c:v>
                </c:pt>
                <c:pt idx="49">
                  <c:v>0.45620000000000005</c:v>
                </c:pt>
                <c:pt idx="50">
                  <c:v>0.51149999999999951</c:v>
                </c:pt>
                <c:pt idx="51">
                  <c:v>0.5504</c:v>
                </c:pt>
                <c:pt idx="52">
                  <c:v>0.39110000000000289</c:v>
                </c:pt>
                <c:pt idx="53">
                  <c:v>0.36910000000000032</c:v>
                </c:pt>
                <c:pt idx="54">
                  <c:v>0.36350000000000032</c:v>
                </c:pt>
                <c:pt idx="55">
                  <c:v>0.43700000000000283</c:v>
                </c:pt>
                <c:pt idx="56">
                  <c:v>0.41520000000000001</c:v>
                </c:pt>
                <c:pt idx="57">
                  <c:v>0.41260000000000002</c:v>
                </c:pt>
                <c:pt idx="58">
                  <c:v>0.40930000000000138</c:v>
                </c:pt>
                <c:pt idx="59">
                  <c:v>0.48280000000000317</c:v>
                </c:pt>
                <c:pt idx="60">
                  <c:v>0.36160000000000031</c:v>
                </c:pt>
                <c:pt idx="61">
                  <c:v>0.392100000000003</c:v>
                </c:pt>
                <c:pt idx="62">
                  <c:v>0.32670000000000032</c:v>
                </c:pt>
                <c:pt idx="63">
                  <c:v>0.35140000000000032</c:v>
                </c:pt>
                <c:pt idx="64">
                  <c:v>0.34900000000000031</c:v>
                </c:pt>
                <c:pt idx="65">
                  <c:v>0.36430000000000318</c:v>
                </c:pt>
                <c:pt idx="66">
                  <c:v>0.36740000000000306</c:v>
                </c:pt>
                <c:pt idx="67">
                  <c:v>0.34850000000000031</c:v>
                </c:pt>
                <c:pt idx="68">
                  <c:v>0.35100000000000031</c:v>
                </c:pt>
                <c:pt idx="69">
                  <c:v>0.33030000000000453</c:v>
                </c:pt>
                <c:pt idx="70">
                  <c:v>0.34390000000000032</c:v>
                </c:pt>
                <c:pt idx="71">
                  <c:v>0.38190000000000363</c:v>
                </c:pt>
                <c:pt idx="72">
                  <c:v>0.47780000000000283</c:v>
                </c:pt>
                <c:pt idx="73">
                  <c:v>0.33410000000000317</c:v>
                </c:pt>
                <c:pt idx="74">
                  <c:v>0.39370000000000038</c:v>
                </c:pt>
                <c:pt idx="75">
                  <c:v>0.36810000000000032</c:v>
                </c:pt>
                <c:pt idx="76">
                  <c:v>0.32180000000000425</c:v>
                </c:pt>
                <c:pt idx="77">
                  <c:v>0.38630000000000425</c:v>
                </c:pt>
                <c:pt idx="78">
                  <c:v>0.36200000000000032</c:v>
                </c:pt>
                <c:pt idx="79">
                  <c:v>0.35720000000000002</c:v>
                </c:pt>
                <c:pt idx="80">
                  <c:v>0.4002</c:v>
                </c:pt>
                <c:pt idx="81">
                  <c:v>0.4002</c:v>
                </c:pt>
                <c:pt idx="82">
                  <c:v>0.32930000000000442</c:v>
                </c:pt>
                <c:pt idx="83">
                  <c:v>0.31090000000000317</c:v>
                </c:pt>
                <c:pt idx="84">
                  <c:v>0.34610000000000002</c:v>
                </c:pt>
                <c:pt idx="85">
                  <c:v>0.37170000000000031</c:v>
                </c:pt>
                <c:pt idx="86">
                  <c:v>0.34980000000000283</c:v>
                </c:pt>
                <c:pt idx="87">
                  <c:v>0.37110000000000032</c:v>
                </c:pt>
                <c:pt idx="88">
                  <c:v>0.43010000000000032</c:v>
                </c:pt>
                <c:pt idx="89">
                  <c:v>0.34440000000000032</c:v>
                </c:pt>
                <c:pt idx="90">
                  <c:v>0.35570000000000002</c:v>
                </c:pt>
                <c:pt idx="91">
                  <c:v>0.34330000000000038</c:v>
                </c:pt>
                <c:pt idx="92">
                  <c:v>0.329600000000003</c:v>
                </c:pt>
                <c:pt idx="93">
                  <c:v>0.35590000000000038</c:v>
                </c:pt>
                <c:pt idx="94">
                  <c:v>0.37920000000000031</c:v>
                </c:pt>
                <c:pt idx="95">
                  <c:v>0.35380000000000295</c:v>
                </c:pt>
                <c:pt idx="96">
                  <c:v>0.42430000000000317</c:v>
                </c:pt>
                <c:pt idx="97">
                  <c:v>0.34820000000000001</c:v>
                </c:pt>
                <c:pt idx="98">
                  <c:v>0.35970000000000002</c:v>
                </c:pt>
                <c:pt idx="99">
                  <c:v>0.38480000000000425</c:v>
                </c:pt>
                <c:pt idx="100">
                  <c:v>0.33380000000000504</c:v>
                </c:pt>
                <c:pt idx="101">
                  <c:v>0.42420000000000002</c:v>
                </c:pt>
                <c:pt idx="102">
                  <c:v>0.39560000000000317</c:v>
                </c:pt>
                <c:pt idx="103">
                  <c:v>0.35080000000000283</c:v>
                </c:pt>
                <c:pt idx="104">
                  <c:v>0.37790000000000318</c:v>
                </c:pt>
                <c:pt idx="105">
                  <c:v>0.37370000000000031</c:v>
                </c:pt>
                <c:pt idx="106">
                  <c:v>0.34150000000000008</c:v>
                </c:pt>
                <c:pt idx="107">
                  <c:v>0.30260000000000031</c:v>
                </c:pt>
                <c:pt idx="108">
                  <c:v>0.38470000000000032</c:v>
                </c:pt>
                <c:pt idx="109">
                  <c:v>0.50549999999999951</c:v>
                </c:pt>
                <c:pt idx="110">
                  <c:v>0.38860000000000283</c:v>
                </c:pt>
                <c:pt idx="111">
                  <c:v>0.37010000000000032</c:v>
                </c:pt>
                <c:pt idx="112">
                  <c:v>0.48660000000000031</c:v>
                </c:pt>
                <c:pt idx="113">
                  <c:v>0.35310000000000002</c:v>
                </c:pt>
                <c:pt idx="114">
                  <c:v>0.34320000000000001</c:v>
                </c:pt>
              </c:numCache>
            </c:numRef>
          </c:xVal>
          <c:yVal>
            <c:numRef>
              <c:f>TS!$H$2:$H$116</c:f>
              <c:numCache>
                <c:formatCode>0.0000</c:formatCode>
                <c:ptCount val="115"/>
                <c:pt idx="0">
                  <c:v>0.34109667780486913</c:v>
                </c:pt>
                <c:pt idx="1">
                  <c:v>0.37826798254373978</c:v>
                </c:pt>
                <c:pt idx="2">
                  <c:v>0.37618271075955623</c:v>
                </c:pt>
                <c:pt idx="3">
                  <c:v>0.39645018697779494</c:v>
                </c:pt>
                <c:pt idx="4">
                  <c:v>0.42467534841681526</c:v>
                </c:pt>
                <c:pt idx="5">
                  <c:v>0.37122454284391632</c:v>
                </c:pt>
                <c:pt idx="6">
                  <c:v>0.33866236260289106</c:v>
                </c:pt>
                <c:pt idx="7">
                  <c:v>0.33535955719557686</c:v>
                </c:pt>
                <c:pt idx="8">
                  <c:v>0.3481415468006871</c:v>
                </c:pt>
                <c:pt idx="9">
                  <c:v>0.35978292207942797</c:v>
                </c:pt>
                <c:pt idx="10">
                  <c:v>0.37408501749028761</c:v>
                </c:pt>
                <c:pt idx="11">
                  <c:v>0.38036397194060317</c:v>
                </c:pt>
                <c:pt idx="12">
                  <c:v>0.35652064271974787</c:v>
                </c:pt>
                <c:pt idx="13">
                  <c:v>0.38032280727372786</c:v>
                </c:pt>
                <c:pt idx="14">
                  <c:v>0.34266030911089196</c:v>
                </c:pt>
                <c:pt idx="15">
                  <c:v>0.32812435402548268</c:v>
                </c:pt>
                <c:pt idx="16">
                  <c:v>0.33911327277930403</c:v>
                </c:pt>
                <c:pt idx="17">
                  <c:v>0.35976676320318696</c:v>
                </c:pt>
                <c:pt idx="18">
                  <c:v>0.37482070483283736</c:v>
                </c:pt>
                <c:pt idx="19">
                  <c:v>0.36497020400058788</c:v>
                </c:pt>
                <c:pt idx="20">
                  <c:v>0.37229138097962672</c:v>
                </c:pt>
                <c:pt idx="21">
                  <c:v>0.36831000763495469</c:v>
                </c:pt>
                <c:pt idx="22">
                  <c:v>0.34350651354047451</c:v>
                </c:pt>
                <c:pt idx="23">
                  <c:v>0.35011086939118852</c:v>
                </c:pt>
                <c:pt idx="24">
                  <c:v>0.35308696844356158</c:v>
                </c:pt>
                <c:pt idx="25">
                  <c:v>0.37496170175296079</c:v>
                </c:pt>
                <c:pt idx="26">
                  <c:v>0.36360875279557181</c:v>
                </c:pt>
                <c:pt idx="27">
                  <c:v>0.37211510797449615</c:v>
                </c:pt>
                <c:pt idx="28">
                  <c:v>0.34491544816538428</c:v>
                </c:pt>
                <c:pt idx="29">
                  <c:v>0.33973084163173395</c:v>
                </c:pt>
                <c:pt idx="30">
                  <c:v>0.33790907904211837</c:v>
                </c:pt>
                <c:pt idx="31">
                  <c:v>0.35716319416098136</c:v>
                </c:pt>
                <c:pt idx="32">
                  <c:v>0.36156881311816275</c:v>
                </c:pt>
                <c:pt idx="33">
                  <c:v>0.38020275467888481</c:v>
                </c:pt>
                <c:pt idx="34">
                  <c:v>0.38069553648372773</c:v>
                </c:pt>
                <c:pt idx="35">
                  <c:v>0.38357532534768729</c:v>
                </c:pt>
                <c:pt idx="36">
                  <c:v>0.37614266770872101</c:v>
                </c:pt>
                <c:pt idx="37">
                  <c:v>0.37728795912734792</c:v>
                </c:pt>
                <c:pt idx="38">
                  <c:v>0.33980899760909528</c:v>
                </c:pt>
                <c:pt idx="39">
                  <c:v>0.36824837863968224</c:v>
                </c:pt>
                <c:pt idx="40">
                  <c:v>0.37208536055443792</c:v>
                </c:pt>
                <c:pt idx="41">
                  <c:v>0.41935972293010232</c:v>
                </c:pt>
                <c:pt idx="42">
                  <c:v>0.4580136578944754</c:v>
                </c:pt>
                <c:pt idx="43">
                  <c:v>0.42286826396795113</c:v>
                </c:pt>
                <c:pt idx="44">
                  <c:v>0.39582064323795385</c:v>
                </c:pt>
                <c:pt idx="45">
                  <c:v>0.35730226508731427</c:v>
                </c:pt>
                <c:pt idx="46">
                  <c:v>0.34948675837922516</c:v>
                </c:pt>
                <c:pt idx="47">
                  <c:v>0.38931684491728058</c:v>
                </c:pt>
                <c:pt idx="48">
                  <c:v>0.41309792672001766</c:v>
                </c:pt>
                <c:pt idx="49">
                  <c:v>0.41620959489519777</c:v>
                </c:pt>
                <c:pt idx="50">
                  <c:v>0.44949940898669183</c:v>
                </c:pt>
                <c:pt idx="51">
                  <c:v>0.44074492363750101</c:v>
                </c:pt>
                <c:pt idx="52">
                  <c:v>0.41265513168721585</c:v>
                </c:pt>
                <c:pt idx="53">
                  <c:v>0.35146031282206186</c:v>
                </c:pt>
                <c:pt idx="54">
                  <c:v>0.34529797075605112</c:v>
                </c:pt>
                <c:pt idx="55">
                  <c:v>0.37489484834010711</c:v>
                </c:pt>
                <c:pt idx="56">
                  <c:v>0.40611777442336777</c:v>
                </c:pt>
                <c:pt idx="57">
                  <c:v>0.42042543664921783</c:v>
                </c:pt>
                <c:pt idx="58">
                  <c:v>0.41908017618237292</c:v>
                </c:pt>
                <c:pt idx="59">
                  <c:v>0.41868573504594647</c:v>
                </c:pt>
                <c:pt idx="60">
                  <c:v>0.40580458401055991</c:v>
                </c:pt>
                <c:pt idx="61">
                  <c:v>0.36063885778269761</c:v>
                </c:pt>
                <c:pt idx="62">
                  <c:v>0.34202324139509782</c:v>
                </c:pt>
                <c:pt idx="63">
                  <c:v>0.37248451205656891</c:v>
                </c:pt>
                <c:pt idx="64">
                  <c:v>0.39222980458149331</c:v>
                </c:pt>
                <c:pt idx="65">
                  <c:v>0.42178137604508831</c:v>
                </c:pt>
                <c:pt idx="66">
                  <c:v>0.40516060193777448</c:v>
                </c:pt>
                <c:pt idx="67">
                  <c:v>0.36607595150167238</c:v>
                </c:pt>
                <c:pt idx="68">
                  <c:v>0.35142753910063323</c:v>
                </c:pt>
                <c:pt idx="69">
                  <c:v>0.33127667506899316</c:v>
                </c:pt>
                <c:pt idx="70">
                  <c:v>0.36337033888430043</c:v>
                </c:pt>
                <c:pt idx="71">
                  <c:v>0.37926770965283052</c:v>
                </c:pt>
                <c:pt idx="72">
                  <c:v>0.38361426056508513</c:v>
                </c:pt>
                <c:pt idx="73">
                  <c:v>0.4062046643483998</c:v>
                </c:pt>
                <c:pt idx="74">
                  <c:v>0.35201031573628438</c:v>
                </c:pt>
                <c:pt idx="75">
                  <c:v>0.36042751237142057</c:v>
                </c:pt>
                <c:pt idx="76">
                  <c:v>0.33062847820398883</c:v>
                </c:pt>
                <c:pt idx="77">
                  <c:v>0.36428684864209881</c:v>
                </c:pt>
                <c:pt idx="78">
                  <c:v>0.38117113140129794</c:v>
                </c:pt>
                <c:pt idx="79">
                  <c:v>0.39612624938625968</c:v>
                </c:pt>
                <c:pt idx="80">
                  <c:v>0.38177058741145636</c:v>
                </c:pt>
                <c:pt idx="81">
                  <c:v>0.37576780801657467</c:v>
                </c:pt>
                <c:pt idx="82">
                  <c:v>0.35969879791542936</c:v>
                </c:pt>
                <c:pt idx="83">
                  <c:v>0.35241614858901732</c:v>
                </c:pt>
                <c:pt idx="84">
                  <c:v>0.32671445805361582</c:v>
                </c:pt>
                <c:pt idx="85">
                  <c:v>0.34783488396314577</c:v>
                </c:pt>
                <c:pt idx="86">
                  <c:v>0.38213257996786676</c:v>
                </c:pt>
                <c:pt idx="87">
                  <c:v>0.37394458434592748</c:v>
                </c:pt>
                <c:pt idx="88">
                  <c:v>0.35352925059274148</c:v>
                </c:pt>
                <c:pt idx="89">
                  <c:v>0.35796208859208073</c:v>
                </c:pt>
                <c:pt idx="90">
                  <c:v>0.36164244263340378</c:v>
                </c:pt>
                <c:pt idx="91">
                  <c:v>0.33417788993225594</c:v>
                </c:pt>
                <c:pt idx="92">
                  <c:v>0.3499973173265703</c:v>
                </c:pt>
                <c:pt idx="93">
                  <c:v>0.35386684240050381</c:v>
                </c:pt>
                <c:pt idx="94">
                  <c:v>0.40243311995680331</c:v>
                </c:pt>
                <c:pt idx="95">
                  <c:v>0.40827300766705832</c:v>
                </c:pt>
                <c:pt idx="96">
                  <c:v>0.37536594647567589</c:v>
                </c:pt>
                <c:pt idx="97">
                  <c:v>0.37247531779053616</c:v>
                </c:pt>
                <c:pt idx="98">
                  <c:v>0.34280237982237616</c:v>
                </c:pt>
                <c:pt idx="99">
                  <c:v>0.33453074928427118</c:v>
                </c:pt>
                <c:pt idx="100">
                  <c:v>0.37818282333746961</c:v>
                </c:pt>
                <c:pt idx="101">
                  <c:v>0.38103022781514401</c:v>
                </c:pt>
                <c:pt idx="102">
                  <c:v>0.38178131138627963</c:v>
                </c:pt>
                <c:pt idx="103">
                  <c:v>0.38269967064121962</c:v>
                </c:pt>
                <c:pt idx="104">
                  <c:v>0.38330761016004733</c:v>
                </c:pt>
                <c:pt idx="105">
                  <c:v>0.37847122563249752</c:v>
                </c:pt>
                <c:pt idx="106">
                  <c:v>0.36748950569911587</c:v>
                </c:pt>
                <c:pt idx="107">
                  <c:v>0.36790624854917781</c:v>
                </c:pt>
                <c:pt idx="108">
                  <c:v>0.39421447097771201</c:v>
                </c:pt>
                <c:pt idx="109">
                  <c:v>0.41171373626646418</c:v>
                </c:pt>
                <c:pt idx="110">
                  <c:v>0.41213154037283506</c:v>
                </c:pt>
                <c:pt idx="111">
                  <c:v>0.41986154344792581</c:v>
                </c:pt>
                <c:pt idx="112">
                  <c:v>0.38234516223419324</c:v>
                </c:pt>
                <c:pt idx="113">
                  <c:v>0.38930349997640123</c:v>
                </c:pt>
                <c:pt idx="114">
                  <c:v>0.36043928757355692</c:v>
                </c:pt>
              </c:numCache>
            </c:numRef>
          </c:yVal>
        </c:ser>
        <c:axId val="139619712"/>
        <c:axId val="139638272"/>
      </c:scatterChart>
      <c:valAx>
        <c:axId val="139619712"/>
        <c:scaling>
          <c:orientation val="minMax"/>
          <c:max val="0.60000000000000064"/>
          <c:min val="0.30000000000000032"/>
        </c:scaling>
        <c:axPos val="b"/>
        <c:title>
          <c:tx>
            <c:rich>
              <a:bodyPr/>
              <a:lstStyle/>
              <a:p>
                <a:pPr>
                  <a:defRPr sz="1200" baseline="0">
                    <a:latin typeface="Cambria" pitchFamily="18" charset="0"/>
                  </a:defRPr>
                </a:pPr>
                <a:r>
                  <a:rPr lang="en-US" sz="1200" baseline="0">
                    <a:latin typeface="Cambria" pitchFamily="18" charset="0"/>
                  </a:rPr>
                  <a:t>Observed Values</a:t>
                </a:r>
              </a:p>
            </c:rich>
          </c:tx>
        </c:title>
        <c:numFmt formatCode="General" sourceLinked="1"/>
        <c:tickLblPos val="nextTo"/>
        <c:txPr>
          <a:bodyPr/>
          <a:lstStyle/>
          <a:p>
            <a:pPr>
              <a:defRPr sz="1200" baseline="0">
                <a:latin typeface="Cambria" pitchFamily="18" charset="0"/>
              </a:defRPr>
            </a:pPr>
            <a:endParaRPr lang="en-US"/>
          </a:p>
        </c:txPr>
        <c:crossAx val="139638272"/>
        <c:crosses val="autoZero"/>
        <c:crossBetween val="midCat"/>
        <c:majorUnit val="0.05"/>
      </c:valAx>
      <c:valAx>
        <c:axId val="139638272"/>
        <c:scaling>
          <c:orientation val="minMax"/>
          <c:max val="0.60000000000000064"/>
          <c:min val="0.30000000000000032"/>
        </c:scaling>
        <c:axPos val="l"/>
        <c:title>
          <c:tx>
            <c:rich>
              <a:bodyPr/>
              <a:lstStyle/>
              <a:p>
                <a:pPr>
                  <a:defRPr sz="1200" baseline="0">
                    <a:latin typeface="Cambria" pitchFamily="18" charset="0"/>
                  </a:defRPr>
                </a:pPr>
                <a:r>
                  <a:rPr lang="en-US" sz="1200" baseline="0">
                    <a:latin typeface="Cambria" pitchFamily="18" charset="0"/>
                  </a:rPr>
                  <a:t>Predicted Values</a:t>
                </a:r>
              </a:p>
            </c:rich>
          </c:tx>
          <c:layout>
            <c:manualLayout>
              <c:xMode val="edge"/>
              <c:yMode val="edge"/>
              <c:x val="3.0601962344206052E-2"/>
              <c:y val="0.28006271682887834"/>
            </c:manualLayout>
          </c:layout>
        </c:title>
        <c:numFmt formatCode="General" sourceLinked="1"/>
        <c:tickLblPos val="nextTo"/>
        <c:txPr>
          <a:bodyPr/>
          <a:lstStyle/>
          <a:p>
            <a:pPr>
              <a:defRPr sz="1200" baseline="0">
                <a:latin typeface="Cambria" pitchFamily="18" charset="0"/>
              </a:defRPr>
            </a:pPr>
            <a:endParaRPr lang="en-US"/>
          </a:p>
        </c:txPr>
        <c:crossAx val="139619712"/>
        <c:crosses val="autoZero"/>
        <c:crossBetween val="midCat"/>
      </c:valAx>
    </c:plotArea>
    <c:legend>
      <c:legendPos val="r"/>
      <c:legendEntry>
        <c:idx val="0"/>
        <c:delete val="1"/>
      </c:legendEntry>
      <c:legendEntry>
        <c:idx val="1"/>
        <c:delete val="1"/>
      </c:legendEntry>
      <c:layout>
        <c:manualLayout>
          <c:xMode val="edge"/>
          <c:yMode val="edge"/>
          <c:x val="0.19176029962547017"/>
          <c:y val="5.9917039781792004E-2"/>
          <c:w val="0.43441210298151306"/>
          <c:h val="0.14813936493232738"/>
        </c:manualLayout>
      </c:layout>
      <c:txPr>
        <a:bodyPr/>
        <a:lstStyle/>
        <a:p>
          <a:pPr>
            <a:defRPr sz="1200" baseline="0">
              <a:latin typeface="Cambria" pitchFamily="18" charset="0"/>
            </a:defRPr>
          </a:pPr>
          <a:endParaRPr lang="en-US"/>
        </a:p>
      </c:txPr>
    </c:legend>
    <c:plotVisOnly val="1"/>
    <c:dispBlanksAs val="gap"/>
  </c:chart>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400" baseline="0">
                <a:latin typeface="Cambria" pitchFamily="18" charset="0"/>
              </a:defRPr>
            </a:pPr>
            <a:r>
              <a:rPr lang="en-US" sz="1400" baseline="0">
                <a:latin typeface="Cambria" pitchFamily="18" charset="0"/>
              </a:rPr>
              <a:t>Air Entry, </a:t>
            </a:r>
            <a:r>
              <a:rPr lang="el-GR" sz="1400" baseline="0">
                <a:latin typeface="Cambria" pitchFamily="18" charset="0"/>
              </a:rPr>
              <a:t>ψ</a:t>
            </a:r>
            <a:r>
              <a:rPr lang="en-US" sz="1400" baseline="-25000">
                <a:latin typeface="Cambria" pitchFamily="18" charset="0"/>
              </a:rPr>
              <a:t>a</a:t>
            </a:r>
            <a:r>
              <a:rPr lang="en-US" sz="1400" baseline="0">
                <a:latin typeface="Cambria" pitchFamily="18" charset="0"/>
              </a:rPr>
              <a:t> (cm)</a:t>
            </a:r>
          </a:p>
        </c:rich>
      </c:tx>
    </c:title>
    <c:plotArea>
      <c:layout/>
      <c:lineChart>
        <c:grouping val="stacked"/>
        <c:ser>
          <c:idx val="0"/>
          <c:order val="0"/>
          <c:tx>
            <c:v>Air Entry</c:v>
          </c:tx>
          <c:spPr>
            <a:ln>
              <a:noFill/>
            </a:ln>
          </c:spPr>
          <c:marker>
            <c:symbol val="circle"/>
            <c:size val="7"/>
            <c:spPr>
              <a:solidFill>
                <a:srgbClr val="00B050"/>
              </a:solidFill>
              <a:ln>
                <a:solidFill>
                  <a:schemeClr val="tx1"/>
                </a:solidFill>
              </a:ln>
            </c:spPr>
          </c:marker>
          <c:errBars>
            <c:errDir val="y"/>
            <c:errBarType val="both"/>
            <c:errValType val="cust"/>
            <c:plus>
              <c:numRef>
                <c:f>IQR!$E$10:$E$13</c:f>
                <c:numCache>
                  <c:formatCode>General</c:formatCode>
                  <c:ptCount val="4"/>
                  <c:pt idx="0">
                    <c:v>0.90000000000000069</c:v>
                  </c:pt>
                  <c:pt idx="1">
                    <c:v>0.51820000000000022</c:v>
                  </c:pt>
                  <c:pt idx="2">
                    <c:v>0.32054515</c:v>
                  </c:pt>
                  <c:pt idx="3">
                    <c:v>0.38780953325866391</c:v>
                  </c:pt>
                </c:numCache>
              </c:numRef>
            </c:plus>
            <c:minus>
              <c:numRef>
                <c:f>IQR!$F$10:$F$13</c:f>
                <c:numCache>
                  <c:formatCode>General</c:formatCode>
                  <c:ptCount val="4"/>
                  <c:pt idx="0">
                    <c:v>0.30000000000000032</c:v>
                  </c:pt>
                  <c:pt idx="1">
                    <c:v>0.57129999999999725</c:v>
                  </c:pt>
                  <c:pt idx="2">
                    <c:v>0.33603905499999698</c:v>
                  </c:pt>
                  <c:pt idx="3">
                    <c:v>0.44733375420836879</c:v>
                  </c:pt>
                </c:numCache>
              </c:numRef>
            </c:minus>
          </c:errBars>
          <c:cat>
            <c:strRef>
              <c:f>IQR!$A$10:$A$13</c:f>
              <c:strCache>
                <c:ptCount val="4"/>
                <c:pt idx="0">
                  <c:v>Cropper</c:v>
                </c:pt>
                <c:pt idx="1">
                  <c:v>Kang</c:v>
                </c:pt>
                <c:pt idx="2">
                  <c:v>Krige</c:v>
                </c:pt>
                <c:pt idx="3">
                  <c:v>Trend</c:v>
                </c:pt>
              </c:strCache>
            </c:strRef>
          </c:cat>
          <c:val>
            <c:numRef>
              <c:f>IQR!$C$10:$C$13</c:f>
              <c:numCache>
                <c:formatCode>General</c:formatCode>
                <c:ptCount val="4"/>
                <c:pt idx="0">
                  <c:v>15.6</c:v>
                </c:pt>
                <c:pt idx="1">
                  <c:v>17.4971</c:v>
                </c:pt>
                <c:pt idx="2">
                  <c:v>17.480300680869242</c:v>
                </c:pt>
                <c:pt idx="3">
                  <c:v>17.490293571636617</c:v>
                </c:pt>
              </c:numCache>
            </c:numRef>
          </c:val>
        </c:ser>
        <c:marker val="1"/>
        <c:axId val="139671808"/>
        <c:axId val="139681792"/>
      </c:lineChart>
      <c:catAx>
        <c:axId val="139671808"/>
        <c:scaling>
          <c:orientation val="minMax"/>
        </c:scaling>
        <c:axPos val="b"/>
        <c:tickLblPos val="nextTo"/>
        <c:txPr>
          <a:bodyPr/>
          <a:lstStyle/>
          <a:p>
            <a:pPr>
              <a:defRPr sz="1200" baseline="0">
                <a:latin typeface="Cambria" pitchFamily="18" charset="0"/>
              </a:defRPr>
            </a:pPr>
            <a:endParaRPr lang="en-US"/>
          </a:p>
        </c:txPr>
        <c:crossAx val="139681792"/>
        <c:crosses val="autoZero"/>
        <c:auto val="1"/>
        <c:lblAlgn val="ctr"/>
        <c:lblOffset val="100"/>
      </c:catAx>
      <c:valAx>
        <c:axId val="139681792"/>
        <c:scaling>
          <c:orientation val="minMax"/>
          <c:max val="18.3"/>
          <c:min val="15"/>
        </c:scaling>
        <c:axPos val="l"/>
        <c:numFmt formatCode="General" sourceLinked="1"/>
        <c:tickLblPos val="nextTo"/>
        <c:txPr>
          <a:bodyPr/>
          <a:lstStyle/>
          <a:p>
            <a:pPr>
              <a:defRPr sz="1200" baseline="0">
                <a:latin typeface="Cambria" pitchFamily="18" charset="0"/>
              </a:defRPr>
            </a:pPr>
            <a:endParaRPr lang="en-US"/>
          </a:p>
        </c:txPr>
        <c:crossAx val="139671808"/>
        <c:crosses val="autoZero"/>
        <c:crossBetween val="between"/>
      </c:valAx>
    </c:plotArea>
    <c:plotVisOnly val="1"/>
  </c:chart>
  <c:externalData r:id="rId1"/>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400" baseline="0">
                <a:latin typeface="Cambria" pitchFamily="18" charset="0"/>
              </a:defRPr>
            </a:pPr>
            <a:r>
              <a:rPr lang="en-US" sz="1400" baseline="0">
                <a:latin typeface="Cambria" pitchFamily="18" charset="0"/>
              </a:rPr>
              <a:t>Saturated Water Content, </a:t>
            </a:r>
            <a:r>
              <a:rPr lang="az-Cyrl-AZ" sz="1400" baseline="0">
                <a:latin typeface="Cambria" pitchFamily="18" charset="0"/>
              </a:rPr>
              <a:t>Ѳ</a:t>
            </a:r>
            <a:r>
              <a:rPr lang="en-US" sz="1400" baseline="-25000">
                <a:latin typeface="Cambria" pitchFamily="18" charset="0"/>
              </a:rPr>
              <a:t>s</a:t>
            </a:r>
            <a:r>
              <a:rPr lang="en-US" sz="1400" baseline="0">
                <a:latin typeface="Cambria" pitchFamily="18" charset="0"/>
              </a:rPr>
              <a:t> (cm</a:t>
            </a:r>
            <a:r>
              <a:rPr lang="en-US" sz="1400" baseline="30000">
                <a:latin typeface="Cambria" pitchFamily="18" charset="0"/>
              </a:rPr>
              <a:t>3</a:t>
            </a:r>
            <a:r>
              <a:rPr lang="en-US" sz="1400" baseline="0">
                <a:latin typeface="Cambria" pitchFamily="18" charset="0"/>
              </a:rPr>
              <a:t>/cm</a:t>
            </a:r>
            <a:r>
              <a:rPr lang="en-US" sz="1400" baseline="30000">
                <a:latin typeface="Cambria" pitchFamily="18" charset="0"/>
              </a:rPr>
              <a:t>3</a:t>
            </a:r>
            <a:r>
              <a:rPr lang="en-US" sz="1400" baseline="0">
                <a:latin typeface="Cambria" pitchFamily="18" charset="0"/>
              </a:rPr>
              <a:t>)</a:t>
            </a:r>
          </a:p>
        </c:rich>
      </c:tx>
    </c:title>
    <c:plotArea>
      <c:layout/>
      <c:lineChart>
        <c:grouping val="stacked"/>
        <c:ser>
          <c:idx val="0"/>
          <c:order val="0"/>
          <c:tx>
            <c:v>Saturated Water Content</c:v>
          </c:tx>
          <c:spPr>
            <a:ln>
              <a:noFill/>
            </a:ln>
          </c:spPr>
          <c:marker>
            <c:symbol val="circle"/>
            <c:size val="7"/>
            <c:spPr>
              <a:solidFill>
                <a:srgbClr val="00B050"/>
              </a:solidFill>
              <a:ln>
                <a:solidFill>
                  <a:schemeClr val="tx1"/>
                </a:solidFill>
              </a:ln>
            </c:spPr>
          </c:marker>
          <c:errBars>
            <c:errDir val="y"/>
            <c:errBarType val="both"/>
            <c:errValType val="cust"/>
            <c:plus>
              <c:numRef>
                <c:f>IQR!$E$3:$E$6</c:f>
                <c:numCache>
                  <c:formatCode>General</c:formatCode>
                  <c:ptCount val="4"/>
                  <c:pt idx="0">
                    <c:v>0</c:v>
                  </c:pt>
                  <c:pt idx="1">
                    <c:v>2.9400000000000051E-2</c:v>
                  </c:pt>
                  <c:pt idx="2">
                    <c:v>2.7864801999999911E-2</c:v>
                  </c:pt>
                  <c:pt idx="3">
                    <c:v>2.177607887871421E-2</c:v>
                  </c:pt>
                </c:numCache>
              </c:numRef>
            </c:plus>
            <c:minus>
              <c:numRef>
                <c:f>IQR!$F$3:$F$6</c:f>
                <c:numCache>
                  <c:formatCode>General</c:formatCode>
                  <c:ptCount val="4"/>
                  <c:pt idx="0">
                    <c:v>1.0000000000000021E-2</c:v>
                  </c:pt>
                  <c:pt idx="1">
                    <c:v>1.7349999999999977E-2</c:v>
                  </c:pt>
                  <c:pt idx="2">
                    <c:v>1.3030414500000033E-2</c:v>
                  </c:pt>
                  <c:pt idx="3">
                    <c:v>2.1486456567424452E-2</c:v>
                  </c:pt>
                </c:numCache>
              </c:numRef>
            </c:minus>
          </c:errBars>
          <c:cat>
            <c:strRef>
              <c:f>IQR!$A$3:$A$6</c:f>
              <c:strCache>
                <c:ptCount val="4"/>
                <c:pt idx="0">
                  <c:v>Cropper</c:v>
                </c:pt>
                <c:pt idx="1">
                  <c:v>Kang</c:v>
                </c:pt>
                <c:pt idx="2">
                  <c:v>Krige</c:v>
                </c:pt>
                <c:pt idx="3">
                  <c:v>Trend</c:v>
                </c:pt>
              </c:strCache>
            </c:strRef>
          </c:cat>
          <c:val>
            <c:numRef>
              <c:f>IQR!$C$3:$C$6</c:f>
              <c:numCache>
                <c:formatCode>General</c:formatCode>
                <c:ptCount val="4"/>
                <c:pt idx="0">
                  <c:v>0.34</c:v>
                </c:pt>
                <c:pt idx="1">
                  <c:v>0.36350000000000032</c:v>
                </c:pt>
                <c:pt idx="2">
                  <c:v>0.36814711400000005</c:v>
                </c:pt>
                <c:pt idx="3">
                  <c:v>0.36847965543525885</c:v>
                </c:pt>
              </c:numCache>
            </c:numRef>
          </c:val>
        </c:ser>
        <c:marker val="1"/>
        <c:axId val="139709824"/>
        <c:axId val="139719808"/>
      </c:lineChart>
      <c:catAx>
        <c:axId val="139709824"/>
        <c:scaling>
          <c:orientation val="minMax"/>
        </c:scaling>
        <c:axPos val="b"/>
        <c:tickLblPos val="nextTo"/>
        <c:txPr>
          <a:bodyPr/>
          <a:lstStyle/>
          <a:p>
            <a:pPr>
              <a:defRPr sz="1200" baseline="0">
                <a:latin typeface="Cambria" pitchFamily="18" charset="0"/>
              </a:defRPr>
            </a:pPr>
            <a:endParaRPr lang="en-US"/>
          </a:p>
        </c:txPr>
        <c:crossAx val="139719808"/>
        <c:crosses val="autoZero"/>
        <c:auto val="1"/>
        <c:lblAlgn val="ctr"/>
        <c:lblOffset val="100"/>
      </c:catAx>
      <c:valAx>
        <c:axId val="139719808"/>
        <c:scaling>
          <c:orientation val="minMax"/>
          <c:max val="0.4"/>
          <c:min val="0.32000000000000361"/>
        </c:scaling>
        <c:axPos val="l"/>
        <c:numFmt formatCode="General" sourceLinked="1"/>
        <c:tickLblPos val="nextTo"/>
        <c:txPr>
          <a:bodyPr/>
          <a:lstStyle/>
          <a:p>
            <a:pPr>
              <a:defRPr sz="1200" baseline="0">
                <a:latin typeface="Cambria" pitchFamily="18" charset="0"/>
              </a:defRPr>
            </a:pPr>
            <a:endParaRPr lang="en-US"/>
          </a:p>
        </c:txPr>
        <c:crossAx val="139709824"/>
        <c:crosses val="autoZero"/>
        <c:crossBetween val="between"/>
      </c:valAx>
    </c:plotArea>
    <c:plotVisOnly val="1"/>
  </c:chart>
  <c:externalData r:id="rId1"/>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400" baseline="0">
                <a:latin typeface="Cambria" pitchFamily="18" charset="0"/>
              </a:defRPr>
            </a:pPr>
            <a:r>
              <a:rPr lang="en-US" sz="1400" baseline="0">
                <a:latin typeface="Cambria" pitchFamily="18" charset="0"/>
              </a:rPr>
              <a:t>Pore Size Distribution, </a:t>
            </a:r>
            <a:r>
              <a:rPr lang="el-GR" sz="1400" baseline="0">
                <a:latin typeface="Cambria" pitchFamily="18" charset="0"/>
              </a:rPr>
              <a:t>λ</a:t>
            </a:r>
            <a:r>
              <a:rPr lang="en-US" sz="1400" baseline="0">
                <a:latin typeface="Cambria" pitchFamily="18" charset="0"/>
              </a:rPr>
              <a:t> (-)</a:t>
            </a:r>
          </a:p>
        </c:rich>
      </c:tx>
    </c:title>
    <c:plotArea>
      <c:layout/>
      <c:lineChart>
        <c:grouping val="stacked"/>
        <c:ser>
          <c:idx val="0"/>
          <c:order val="0"/>
          <c:tx>
            <c:v>Pore Size Distribution</c:v>
          </c:tx>
          <c:spPr>
            <a:ln>
              <a:noFill/>
            </a:ln>
          </c:spPr>
          <c:marker>
            <c:symbol val="circle"/>
            <c:size val="7"/>
            <c:spPr>
              <a:solidFill>
                <a:srgbClr val="00B050"/>
              </a:solidFill>
              <a:ln>
                <a:solidFill>
                  <a:schemeClr val="tx1"/>
                </a:solidFill>
              </a:ln>
            </c:spPr>
          </c:marker>
          <c:errBars>
            <c:errDir val="y"/>
            <c:errBarType val="both"/>
            <c:errValType val="cust"/>
            <c:plus>
              <c:numRef>
                <c:f>IQR!$E$17:$E$19</c:f>
                <c:numCache>
                  <c:formatCode>General</c:formatCode>
                  <c:ptCount val="3"/>
                  <c:pt idx="0">
                    <c:v>2.4899999999999998</c:v>
                  </c:pt>
                  <c:pt idx="1">
                    <c:v>1.7223499999999996</c:v>
                  </c:pt>
                  <c:pt idx="2">
                    <c:v>1.7978406380108318</c:v>
                  </c:pt>
                </c:numCache>
              </c:numRef>
            </c:plus>
            <c:minus>
              <c:numRef>
                <c:f>IQR!$F$17:$F$19</c:f>
                <c:numCache>
                  <c:formatCode>General</c:formatCode>
                  <c:ptCount val="3"/>
                  <c:pt idx="0">
                    <c:v>0.54999999999999982</c:v>
                  </c:pt>
                  <c:pt idx="1">
                    <c:v>1.6514499999999996</c:v>
                  </c:pt>
                  <c:pt idx="2">
                    <c:v>1.2365076937893418</c:v>
                  </c:pt>
                </c:numCache>
              </c:numRef>
            </c:minus>
          </c:errBars>
          <c:cat>
            <c:strRef>
              <c:f>IQR!$A$17:$A$19</c:f>
              <c:strCache>
                <c:ptCount val="3"/>
                <c:pt idx="0">
                  <c:v>Cropper</c:v>
                </c:pt>
                <c:pt idx="1">
                  <c:v>Kang</c:v>
                </c:pt>
                <c:pt idx="2">
                  <c:v>Trend</c:v>
                </c:pt>
              </c:strCache>
            </c:strRef>
          </c:cat>
          <c:val>
            <c:numRef>
              <c:f>IQR!$C$17:$C$19</c:f>
              <c:numCache>
                <c:formatCode>General</c:formatCode>
                <c:ptCount val="3"/>
                <c:pt idx="0">
                  <c:v>4.99</c:v>
                </c:pt>
                <c:pt idx="1">
                  <c:v>7.4233000000000002</c:v>
                </c:pt>
                <c:pt idx="2">
                  <c:v>7.3610383793980665</c:v>
                </c:pt>
              </c:numCache>
            </c:numRef>
          </c:val>
        </c:ser>
        <c:marker val="1"/>
        <c:axId val="134386816"/>
        <c:axId val="134388352"/>
      </c:lineChart>
      <c:catAx>
        <c:axId val="134386816"/>
        <c:scaling>
          <c:orientation val="minMax"/>
        </c:scaling>
        <c:axPos val="b"/>
        <c:tickLblPos val="nextTo"/>
        <c:txPr>
          <a:bodyPr/>
          <a:lstStyle/>
          <a:p>
            <a:pPr>
              <a:defRPr sz="1200" baseline="0">
                <a:latin typeface="Cambria" pitchFamily="18" charset="0"/>
              </a:defRPr>
            </a:pPr>
            <a:endParaRPr lang="en-US"/>
          </a:p>
        </c:txPr>
        <c:crossAx val="134388352"/>
        <c:crosses val="autoZero"/>
        <c:auto val="1"/>
        <c:lblAlgn val="ctr"/>
        <c:lblOffset val="100"/>
      </c:catAx>
      <c:valAx>
        <c:axId val="134388352"/>
        <c:scaling>
          <c:orientation val="minMax"/>
          <c:max val="9.3000000000000007"/>
          <c:min val="4.2"/>
        </c:scaling>
        <c:axPos val="l"/>
        <c:numFmt formatCode="General" sourceLinked="1"/>
        <c:tickLblPos val="nextTo"/>
        <c:txPr>
          <a:bodyPr/>
          <a:lstStyle/>
          <a:p>
            <a:pPr>
              <a:defRPr sz="1200" baseline="0">
                <a:latin typeface="Cambria" pitchFamily="18" charset="0"/>
              </a:defRPr>
            </a:pPr>
            <a:endParaRPr lang="en-US"/>
          </a:p>
        </c:txPr>
        <c:crossAx val="134386816"/>
        <c:crosses val="autoZero"/>
        <c:crossBetween val="between"/>
      </c:valAx>
    </c:plotArea>
    <c:plotVisOnly val="1"/>
  </c:chart>
  <c:externalData r:id="rId1"/>
</c:chartSpace>
</file>

<file path=word/charts/chart24.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400" baseline="0">
                <a:latin typeface="Cambria" pitchFamily="18" charset="0"/>
              </a:defRPr>
            </a:pPr>
            <a:r>
              <a:rPr lang="en-US" sz="1400" baseline="0">
                <a:latin typeface="Cambria" pitchFamily="18" charset="0"/>
              </a:rPr>
              <a:t>Residual Water Content, </a:t>
            </a:r>
            <a:r>
              <a:rPr lang="az-Cyrl-AZ" sz="1400" baseline="0">
                <a:latin typeface="Cambria" pitchFamily="18" charset="0"/>
              </a:rPr>
              <a:t>Ѳ</a:t>
            </a:r>
            <a:r>
              <a:rPr lang="en-US" sz="1400" baseline="-25000">
                <a:latin typeface="Cambria" pitchFamily="18" charset="0"/>
              </a:rPr>
              <a:t>r</a:t>
            </a:r>
            <a:r>
              <a:rPr lang="en-US" sz="1400" baseline="0">
                <a:latin typeface="Cambria" pitchFamily="18" charset="0"/>
              </a:rPr>
              <a:t> (cm</a:t>
            </a:r>
            <a:r>
              <a:rPr lang="en-US" sz="1400" baseline="30000">
                <a:latin typeface="Cambria" pitchFamily="18" charset="0"/>
              </a:rPr>
              <a:t>3</a:t>
            </a:r>
            <a:r>
              <a:rPr lang="en-US" sz="1400" baseline="0">
                <a:latin typeface="Cambria" pitchFamily="18" charset="0"/>
              </a:rPr>
              <a:t>/cm</a:t>
            </a:r>
            <a:r>
              <a:rPr lang="en-US" sz="1400" baseline="30000">
                <a:latin typeface="Cambria" pitchFamily="18" charset="0"/>
              </a:rPr>
              <a:t>3</a:t>
            </a:r>
            <a:r>
              <a:rPr lang="en-US" sz="1400" baseline="0">
                <a:latin typeface="Cambria" pitchFamily="18" charset="0"/>
              </a:rPr>
              <a:t>)</a:t>
            </a:r>
          </a:p>
        </c:rich>
      </c:tx>
    </c:title>
    <c:plotArea>
      <c:layout/>
      <c:lineChart>
        <c:grouping val="stacked"/>
        <c:ser>
          <c:idx val="0"/>
          <c:order val="0"/>
          <c:tx>
            <c:v>Residual Water Content</c:v>
          </c:tx>
          <c:spPr>
            <a:ln>
              <a:noFill/>
            </a:ln>
          </c:spPr>
          <c:marker>
            <c:symbol val="circle"/>
            <c:size val="7"/>
            <c:spPr>
              <a:solidFill>
                <a:srgbClr val="00B050"/>
              </a:solidFill>
              <a:ln>
                <a:solidFill>
                  <a:schemeClr val="tx1"/>
                </a:solidFill>
              </a:ln>
            </c:spPr>
          </c:marker>
          <c:errBars>
            <c:errDir val="y"/>
            <c:errBarType val="both"/>
            <c:errValType val="cust"/>
            <c:plus>
              <c:numRef>
                <c:f>IQR!$E$23:$E$25</c:f>
                <c:numCache>
                  <c:formatCode>General</c:formatCode>
                  <c:ptCount val="3"/>
                  <c:pt idx="0">
                    <c:v>1.0000000000000005E-2</c:v>
                  </c:pt>
                  <c:pt idx="1">
                    <c:v>6.3999999999999994E-3</c:v>
                  </c:pt>
                  <c:pt idx="2">
                    <c:v>6.2772124209474834E-3</c:v>
                  </c:pt>
                </c:numCache>
              </c:numRef>
            </c:plus>
            <c:minus>
              <c:numRef>
                <c:f>IQR!$F$23:$F$25</c:f>
                <c:numCache>
                  <c:formatCode>General</c:formatCode>
                  <c:ptCount val="3"/>
                  <c:pt idx="0">
                    <c:v>0</c:v>
                  </c:pt>
                  <c:pt idx="1">
                    <c:v>4.8499999999999984E-3</c:v>
                  </c:pt>
                  <c:pt idx="2">
                    <c:v>4.6124505819845774E-3</c:v>
                  </c:pt>
                </c:numCache>
              </c:numRef>
            </c:minus>
          </c:errBars>
          <c:cat>
            <c:strRef>
              <c:f>IQR!$A$23:$A$25</c:f>
              <c:strCache>
                <c:ptCount val="3"/>
                <c:pt idx="0">
                  <c:v>Cropper</c:v>
                </c:pt>
                <c:pt idx="1">
                  <c:v>Kang</c:v>
                </c:pt>
                <c:pt idx="2">
                  <c:v>Trend</c:v>
                </c:pt>
              </c:strCache>
            </c:strRef>
          </c:cat>
          <c:val>
            <c:numRef>
              <c:f>IQR!$C$23:$C$25</c:f>
              <c:numCache>
                <c:formatCode>General</c:formatCode>
                <c:ptCount val="3"/>
                <c:pt idx="0">
                  <c:v>4.0000000000000022E-2</c:v>
                </c:pt>
                <c:pt idx="1">
                  <c:v>2.5500000000000002E-2</c:v>
                </c:pt>
                <c:pt idx="2">
                  <c:v>2.5634743330382161E-2</c:v>
                </c:pt>
              </c:numCache>
            </c:numRef>
          </c:val>
        </c:ser>
        <c:marker val="1"/>
        <c:axId val="139700480"/>
        <c:axId val="139788288"/>
      </c:lineChart>
      <c:catAx>
        <c:axId val="139700480"/>
        <c:scaling>
          <c:orientation val="minMax"/>
        </c:scaling>
        <c:axPos val="b"/>
        <c:tickLblPos val="nextTo"/>
        <c:txPr>
          <a:bodyPr/>
          <a:lstStyle/>
          <a:p>
            <a:pPr>
              <a:defRPr sz="1200" baseline="0">
                <a:latin typeface="Cambria" pitchFamily="18" charset="0"/>
              </a:defRPr>
            </a:pPr>
            <a:endParaRPr lang="en-US"/>
          </a:p>
        </c:txPr>
        <c:crossAx val="139788288"/>
        <c:crosses val="autoZero"/>
        <c:auto val="1"/>
        <c:lblAlgn val="ctr"/>
        <c:lblOffset val="100"/>
      </c:catAx>
      <c:valAx>
        <c:axId val="139788288"/>
        <c:scaling>
          <c:orientation val="minMax"/>
          <c:max val="5.2000000000000032E-2"/>
          <c:min val="1.8000000000000023E-2"/>
        </c:scaling>
        <c:axPos val="l"/>
        <c:numFmt formatCode="General" sourceLinked="1"/>
        <c:tickLblPos val="nextTo"/>
        <c:txPr>
          <a:bodyPr/>
          <a:lstStyle/>
          <a:p>
            <a:pPr>
              <a:defRPr baseline="0">
                <a:latin typeface="Cambria" pitchFamily="18" charset="0"/>
              </a:defRPr>
            </a:pPr>
            <a:endParaRPr lang="en-US"/>
          </a:p>
        </c:txPr>
        <c:crossAx val="139700480"/>
        <c:crosses val="autoZero"/>
        <c:crossBetween val="between"/>
      </c:valAx>
    </c:plotArea>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20651546463668791"/>
          <c:y val="0.11122899960085585"/>
          <c:w val="0.72260967379079577"/>
          <c:h val="0.60191443811460466"/>
        </c:manualLayout>
      </c:layout>
      <c:barChart>
        <c:barDir val="col"/>
        <c:grouping val="clustered"/>
        <c:ser>
          <c:idx val="0"/>
          <c:order val="0"/>
          <c:cat>
            <c:numRef>
              <c:f>LAM!$E$2:$E$17</c:f>
              <c:numCache>
                <c:formatCode>0.0</c:formatCode>
                <c:ptCount val="16"/>
                <c:pt idx="0">
                  <c:v>3</c:v>
                </c:pt>
                <c:pt idx="1">
                  <c:v>4</c:v>
                </c:pt>
                <c:pt idx="2">
                  <c:v>5</c:v>
                </c:pt>
                <c:pt idx="3">
                  <c:v>6</c:v>
                </c:pt>
                <c:pt idx="4">
                  <c:v>7</c:v>
                </c:pt>
                <c:pt idx="5">
                  <c:v>8</c:v>
                </c:pt>
                <c:pt idx="6">
                  <c:v>9</c:v>
                </c:pt>
                <c:pt idx="7" formatCode="General">
                  <c:v>10</c:v>
                </c:pt>
                <c:pt idx="8" formatCode="General">
                  <c:v>11</c:v>
                </c:pt>
                <c:pt idx="9" formatCode="General">
                  <c:v>12</c:v>
                </c:pt>
                <c:pt idx="10" formatCode="General">
                  <c:v>13</c:v>
                </c:pt>
                <c:pt idx="11" formatCode="General">
                  <c:v>14</c:v>
                </c:pt>
                <c:pt idx="12" formatCode="General">
                  <c:v>15</c:v>
                </c:pt>
                <c:pt idx="13" formatCode="General">
                  <c:v>16</c:v>
                </c:pt>
                <c:pt idx="14" formatCode="General">
                  <c:v>17</c:v>
                </c:pt>
                <c:pt idx="15" formatCode="General">
                  <c:v>18</c:v>
                </c:pt>
              </c:numCache>
            </c:numRef>
          </c:cat>
          <c:val>
            <c:numRef>
              <c:f>LAM!$F$2:$F$17</c:f>
              <c:numCache>
                <c:formatCode>General</c:formatCode>
                <c:ptCount val="16"/>
                <c:pt idx="0">
                  <c:v>0</c:v>
                </c:pt>
                <c:pt idx="1">
                  <c:v>3</c:v>
                </c:pt>
                <c:pt idx="2">
                  <c:v>11</c:v>
                </c:pt>
                <c:pt idx="3">
                  <c:v>18</c:v>
                </c:pt>
                <c:pt idx="4">
                  <c:v>15</c:v>
                </c:pt>
                <c:pt idx="5">
                  <c:v>21</c:v>
                </c:pt>
                <c:pt idx="6">
                  <c:v>14</c:v>
                </c:pt>
                <c:pt idx="7">
                  <c:v>13</c:v>
                </c:pt>
                <c:pt idx="8">
                  <c:v>9</c:v>
                </c:pt>
                <c:pt idx="9">
                  <c:v>6</c:v>
                </c:pt>
                <c:pt idx="10">
                  <c:v>2</c:v>
                </c:pt>
                <c:pt idx="11">
                  <c:v>1</c:v>
                </c:pt>
                <c:pt idx="12">
                  <c:v>0</c:v>
                </c:pt>
                <c:pt idx="13">
                  <c:v>1</c:v>
                </c:pt>
                <c:pt idx="14">
                  <c:v>0</c:v>
                </c:pt>
                <c:pt idx="15">
                  <c:v>1</c:v>
                </c:pt>
              </c:numCache>
            </c:numRef>
          </c:val>
        </c:ser>
        <c:gapWidth val="79"/>
        <c:axId val="96065024"/>
        <c:axId val="96066944"/>
      </c:barChart>
      <c:catAx>
        <c:axId val="96065024"/>
        <c:scaling>
          <c:orientation val="minMax"/>
        </c:scaling>
        <c:axPos val="b"/>
        <c:title>
          <c:tx>
            <c:rich>
              <a:bodyPr/>
              <a:lstStyle/>
              <a:p>
                <a:pPr>
                  <a:defRPr>
                    <a:latin typeface="+mj-lt"/>
                  </a:defRPr>
                </a:pPr>
                <a:r>
                  <a:rPr lang="en-US">
                    <a:latin typeface="+mj-lt"/>
                  </a:rPr>
                  <a:t>Pore Size Distribution, </a:t>
                </a:r>
                <a:r>
                  <a:rPr lang="el-GR">
                    <a:latin typeface="+mj-lt"/>
                  </a:rPr>
                  <a:t>λ</a:t>
                </a:r>
                <a:r>
                  <a:rPr lang="en-US">
                    <a:latin typeface="+mj-lt"/>
                  </a:rPr>
                  <a:t> (-)</a:t>
                </a:r>
              </a:p>
            </c:rich>
          </c:tx>
          <c:layout>
            <c:manualLayout>
              <c:xMode val="edge"/>
              <c:yMode val="edge"/>
              <c:x val="0.29126428963821382"/>
              <c:y val="0.87545266519104459"/>
            </c:manualLayout>
          </c:layout>
        </c:title>
        <c:numFmt formatCode="0.0" sourceLinked="1"/>
        <c:tickLblPos val="nextTo"/>
        <c:txPr>
          <a:bodyPr rot="-5400000" vert="horz"/>
          <a:lstStyle/>
          <a:p>
            <a:pPr>
              <a:defRPr baseline="0">
                <a:latin typeface="Cambria" pitchFamily="18" charset="0"/>
              </a:defRPr>
            </a:pPr>
            <a:endParaRPr lang="en-US"/>
          </a:p>
        </c:txPr>
        <c:crossAx val="96066944"/>
        <c:crosses val="autoZero"/>
        <c:auto val="1"/>
        <c:lblAlgn val="ctr"/>
        <c:lblOffset val="100"/>
      </c:catAx>
      <c:valAx>
        <c:axId val="96066944"/>
        <c:scaling>
          <c:orientation val="minMax"/>
        </c:scaling>
        <c:axPos val="l"/>
        <c:title>
          <c:tx>
            <c:rich>
              <a:bodyPr/>
              <a:lstStyle/>
              <a:p>
                <a:pPr>
                  <a:defRPr/>
                </a:pPr>
                <a:r>
                  <a:rPr lang="en-US"/>
                  <a:t>Frequency</a:t>
                </a:r>
              </a:p>
            </c:rich>
          </c:tx>
          <c:layout>
            <c:manualLayout>
              <c:xMode val="edge"/>
              <c:yMode val="edge"/>
              <c:x val="8.8593576965673108E-3"/>
              <c:y val="0.21178659119223492"/>
            </c:manualLayout>
          </c:layout>
        </c:title>
        <c:numFmt formatCode="General" sourceLinked="1"/>
        <c:tickLblPos val="nextTo"/>
        <c:txPr>
          <a:bodyPr/>
          <a:lstStyle/>
          <a:p>
            <a:pPr>
              <a:defRPr baseline="0">
                <a:latin typeface="Cambria" pitchFamily="18" charset="0"/>
              </a:defRPr>
            </a:pPr>
            <a:endParaRPr lang="en-US"/>
          </a:p>
        </c:txPr>
        <c:crossAx val="96065024"/>
        <c:crosses val="autoZero"/>
        <c:crossBetween val="between"/>
      </c:valAx>
    </c:plotArea>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8632072630265467"/>
          <c:y val="0.10508460635969002"/>
          <c:w val="0.72624757970827414"/>
          <c:h val="0.56793594349093468"/>
        </c:manualLayout>
      </c:layout>
      <c:barChart>
        <c:barDir val="col"/>
        <c:grouping val="clustered"/>
        <c:ser>
          <c:idx val="0"/>
          <c:order val="0"/>
          <c:cat>
            <c:numRef>
              <c:f>TR!$E$2:$E$9</c:f>
              <c:numCache>
                <c:formatCode>General</c:formatCode>
                <c:ptCount val="8"/>
                <c:pt idx="0" formatCode="0.00">
                  <c:v>0</c:v>
                </c:pt>
                <c:pt idx="1">
                  <c:v>1.0000000000000005E-2</c:v>
                </c:pt>
                <c:pt idx="2">
                  <c:v>2.0000000000000011E-2</c:v>
                </c:pt>
                <c:pt idx="3">
                  <c:v>3.0000000000000002E-2</c:v>
                </c:pt>
                <c:pt idx="4">
                  <c:v>4.0000000000000022E-2</c:v>
                </c:pt>
                <c:pt idx="5">
                  <c:v>0.05</c:v>
                </c:pt>
                <c:pt idx="6">
                  <c:v>6.0000000000000032E-2</c:v>
                </c:pt>
                <c:pt idx="7">
                  <c:v>7.0000000000000021E-2</c:v>
                </c:pt>
              </c:numCache>
            </c:numRef>
          </c:cat>
          <c:val>
            <c:numRef>
              <c:f>TR!$F$2:$F$9</c:f>
              <c:numCache>
                <c:formatCode>General</c:formatCode>
                <c:ptCount val="8"/>
                <c:pt idx="0">
                  <c:v>3</c:v>
                </c:pt>
                <c:pt idx="1">
                  <c:v>3</c:v>
                </c:pt>
                <c:pt idx="2">
                  <c:v>21</c:v>
                </c:pt>
                <c:pt idx="3">
                  <c:v>51</c:v>
                </c:pt>
                <c:pt idx="4">
                  <c:v>23</c:v>
                </c:pt>
                <c:pt idx="5">
                  <c:v>13</c:v>
                </c:pt>
                <c:pt idx="6">
                  <c:v>0</c:v>
                </c:pt>
                <c:pt idx="7">
                  <c:v>1</c:v>
                </c:pt>
              </c:numCache>
            </c:numRef>
          </c:val>
        </c:ser>
        <c:gapWidth val="79"/>
        <c:axId val="96365184"/>
        <c:axId val="123220736"/>
      </c:barChart>
      <c:catAx>
        <c:axId val="96365184"/>
        <c:scaling>
          <c:orientation val="minMax"/>
        </c:scaling>
        <c:axPos val="b"/>
        <c:title>
          <c:tx>
            <c:rich>
              <a:bodyPr/>
              <a:lstStyle/>
              <a:p>
                <a:pPr>
                  <a:defRPr>
                    <a:latin typeface="+mj-lt"/>
                  </a:defRPr>
                </a:pPr>
                <a:r>
                  <a:rPr lang="en-US">
                    <a:latin typeface="+mj-lt"/>
                  </a:rPr>
                  <a:t>Residual Water Content, </a:t>
                </a:r>
                <a:r>
                  <a:rPr lang="el-GR">
                    <a:latin typeface="+mj-lt"/>
                    <a:cs typeface="Calibri"/>
                  </a:rPr>
                  <a:t>ϴ</a:t>
                </a:r>
                <a:r>
                  <a:rPr lang="en-US" baseline="-25000">
                    <a:latin typeface="+mj-lt"/>
                    <a:cs typeface="Calibri"/>
                  </a:rPr>
                  <a:t>r</a:t>
                </a:r>
                <a:r>
                  <a:rPr lang="en-US">
                    <a:latin typeface="+mj-lt"/>
                    <a:cs typeface="Calibri"/>
                  </a:rPr>
                  <a:t> (cm</a:t>
                </a:r>
                <a:r>
                  <a:rPr lang="en-US" baseline="30000">
                    <a:latin typeface="+mj-lt"/>
                    <a:cs typeface="Calibri"/>
                  </a:rPr>
                  <a:t>3</a:t>
                </a:r>
                <a:r>
                  <a:rPr lang="en-US">
                    <a:latin typeface="+mj-lt"/>
                    <a:cs typeface="Calibri"/>
                  </a:rPr>
                  <a:t>/cm</a:t>
                </a:r>
                <a:r>
                  <a:rPr lang="en-US" baseline="30000">
                    <a:latin typeface="+mj-lt"/>
                    <a:cs typeface="Calibri"/>
                  </a:rPr>
                  <a:t>3</a:t>
                </a:r>
                <a:r>
                  <a:rPr lang="en-US">
                    <a:latin typeface="+mj-lt"/>
                    <a:cs typeface="Calibri"/>
                  </a:rPr>
                  <a:t>)</a:t>
                </a:r>
                <a:r>
                  <a:rPr lang="en-US">
                    <a:latin typeface="+mj-lt"/>
                  </a:rPr>
                  <a:t>    </a:t>
                </a:r>
              </a:p>
            </c:rich>
          </c:tx>
          <c:layout>
            <c:manualLayout>
              <c:xMode val="edge"/>
              <c:yMode val="edge"/>
              <c:x val="0.14701639344262865"/>
              <c:y val="0.87585229265696662"/>
            </c:manualLayout>
          </c:layout>
        </c:title>
        <c:numFmt formatCode="0.00" sourceLinked="1"/>
        <c:tickLblPos val="nextTo"/>
        <c:txPr>
          <a:bodyPr rot="-5400000" vert="horz"/>
          <a:lstStyle/>
          <a:p>
            <a:pPr>
              <a:defRPr baseline="0">
                <a:latin typeface="Cambria" pitchFamily="18" charset="0"/>
              </a:defRPr>
            </a:pPr>
            <a:endParaRPr lang="en-US"/>
          </a:p>
        </c:txPr>
        <c:crossAx val="123220736"/>
        <c:crosses val="autoZero"/>
        <c:auto val="1"/>
        <c:lblAlgn val="ctr"/>
        <c:lblOffset val="100"/>
      </c:catAx>
      <c:valAx>
        <c:axId val="123220736"/>
        <c:scaling>
          <c:orientation val="minMax"/>
        </c:scaling>
        <c:axPos val="l"/>
        <c:title>
          <c:tx>
            <c:rich>
              <a:bodyPr/>
              <a:lstStyle/>
              <a:p>
                <a:pPr>
                  <a:defRPr>
                    <a:latin typeface="+mj-lt"/>
                  </a:defRPr>
                </a:pPr>
                <a:r>
                  <a:rPr lang="en-US">
                    <a:latin typeface="+mj-lt"/>
                  </a:rPr>
                  <a:t>Frequency</a:t>
                </a:r>
              </a:p>
            </c:rich>
          </c:tx>
          <c:layout>
            <c:manualLayout>
              <c:xMode val="edge"/>
              <c:yMode val="edge"/>
              <c:x val="8.7431693989071038E-3"/>
              <c:y val="0.20094197902681521"/>
            </c:manualLayout>
          </c:layout>
        </c:title>
        <c:numFmt formatCode="General" sourceLinked="1"/>
        <c:tickLblPos val="nextTo"/>
        <c:txPr>
          <a:bodyPr/>
          <a:lstStyle/>
          <a:p>
            <a:pPr>
              <a:defRPr baseline="0">
                <a:latin typeface="Cambria" pitchFamily="18" charset="0"/>
              </a:defRPr>
            </a:pPr>
            <a:endParaRPr lang="en-US"/>
          </a:p>
        </c:txPr>
        <c:crossAx val="96365184"/>
        <c:crosses val="autoZero"/>
        <c:crossBetween val="between"/>
      </c:valAx>
    </c:plotArea>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400">
                <a:latin typeface="+mj-lt"/>
              </a:defRPr>
            </a:pPr>
            <a:r>
              <a:rPr lang="en-US" sz="1400">
                <a:latin typeface="+mj-lt"/>
              </a:rPr>
              <a:t>Air Entry, </a:t>
            </a:r>
            <a:r>
              <a:rPr lang="el-GR" sz="1400">
                <a:latin typeface="+mj-lt"/>
              </a:rPr>
              <a:t>ψ</a:t>
            </a:r>
            <a:r>
              <a:rPr lang="en-US" sz="1400" baseline="-25000">
                <a:latin typeface="+mj-lt"/>
              </a:rPr>
              <a:t>a</a:t>
            </a:r>
            <a:r>
              <a:rPr lang="en-US" sz="1400">
                <a:latin typeface="+mj-lt"/>
              </a:rPr>
              <a:t> (cm)</a:t>
            </a:r>
          </a:p>
        </c:rich>
      </c:tx>
      <c:layout>
        <c:manualLayout>
          <c:xMode val="edge"/>
          <c:yMode val="edge"/>
          <c:x val="0.3583571378731033"/>
          <c:y val="6.3138347260909847E-2"/>
        </c:manualLayout>
      </c:layout>
    </c:title>
    <c:plotArea>
      <c:layout>
        <c:manualLayout>
          <c:layoutTarget val="inner"/>
          <c:xMode val="edge"/>
          <c:yMode val="edge"/>
          <c:x val="0.15944028468834551"/>
          <c:y val="0.20414859006134256"/>
          <c:w val="0.7944812113209776"/>
          <c:h val="0.57371438598030156"/>
        </c:manualLayout>
      </c:layout>
      <c:scatterChart>
        <c:scatterStyle val="lineMarker"/>
        <c:ser>
          <c:idx val="0"/>
          <c:order val="0"/>
          <c:tx>
            <c:strRef>
              <c:f>'Q-Q Plot Data'!$X$2</c:f>
              <c:strCache>
                <c:ptCount val="1"/>
                <c:pt idx="0">
                  <c:v>Air Entry</c:v>
                </c:pt>
              </c:strCache>
            </c:strRef>
          </c:tx>
          <c:spPr>
            <a:ln w="28575">
              <a:noFill/>
            </a:ln>
          </c:spPr>
          <c:trendline>
            <c:trendlineType val="linear"/>
            <c:dispRSqr val="1"/>
            <c:dispEq val="1"/>
            <c:trendlineLbl>
              <c:layout>
                <c:manualLayout>
                  <c:x val="-1.7603443741311481E-2"/>
                  <c:y val="0.26381798375482657"/>
                </c:manualLayout>
              </c:layout>
              <c:numFmt formatCode="General" sourceLinked="0"/>
              <c:txPr>
                <a:bodyPr/>
                <a:lstStyle/>
                <a:p>
                  <a:pPr>
                    <a:defRPr baseline="0">
                      <a:latin typeface="Cambria" pitchFamily="18" charset="0"/>
                    </a:defRPr>
                  </a:pPr>
                  <a:endParaRPr lang="en-US"/>
                </a:p>
              </c:txPr>
            </c:trendlineLbl>
          </c:trendline>
          <c:xVal>
            <c:numRef>
              <c:f>'Q-Q Plot Data'!$W$3:$W$117</c:f>
              <c:numCache>
                <c:formatCode>General</c:formatCode>
                <c:ptCount val="115"/>
                <c:pt idx="0">
                  <c:v>-2.6237933694069819</c:v>
                </c:pt>
                <c:pt idx="1">
                  <c:v>-2.2249148262139813</c:v>
                </c:pt>
                <c:pt idx="2">
                  <c:v>-2.0190862005831427</c:v>
                </c:pt>
                <c:pt idx="3">
                  <c:v>-1.8744417383388301</c:v>
                </c:pt>
                <c:pt idx="4">
                  <c:v>-1.7608672771355798</c:v>
                </c:pt>
                <c:pt idx="5">
                  <c:v>-1.6663075490659311</c:v>
                </c:pt>
                <c:pt idx="6">
                  <c:v>-1.5846605561450571</c:v>
                </c:pt>
                <c:pt idx="7">
                  <c:v>-1.5123895860676804</c:v>
                </c:pt>
                <c:pt idx="8">
                  <c:v>-1.4472529659444886</c:v>
                </c:pt>
                <c:pt idx="9">
                  <c:v>-1.3877361911044332</c:v>
                </c:pt>
                <c:pt idx="10">
                  <c:v>-1.3327657287523951</c:v>
                </c:pt>
                <c:pt idx="11">
                  <c:v>-1.2815515655446004</c:v>
                </c:pt>
                <c:pt idx="12">
                  <c:v>-1.2334945619686919</c:v>
                </c:pt>
                <c:pt idx="13">
                  <c:v>-1.1881289540339981</c:v>
                </c:pt>
                <c:pt idx="14">
                  <c:v>-1.1450850855563321</c:v>
                </c:pt>
                <c:pt idx="15">
                  <c:v>-1.1040643662127523</c:v>
                </c:pt>
                <c:pt idx="16">
                  <c:v>-1.0648219243888501</c:v>
                </c:pt>
                <c:pt idx="17">
                  <c:v>-1.0271542729149763</c:v>
                </c:pt>
                <c:pt idx="18">
                  <c:v>-0.99089033871030896</c:v>
                </c:pt>
                <c:pt idx="19">
                  <c:v>-0.95588480864401693</c:v>
                </c:pt>
                <c:pt idx="20">
                  <c:v>-0.92201310665558822</c:v>
                </c:pt>
                <c:pt idx="21">
                  <c:v>-0.88916754291700029</c:v>
                </c:pt>
                <c:pt idx="22">
                  <c:v>-0.85725432022117865</c:v>
                </c:pt>
                <c:pt idx="23">
                  <c:v>-0.82619117743196502</c:v>
                </c:pt>
                <c:pt idx="24">
                  <c:v>-0.7959055132440368</c:v>
                </c:pt>
                <c:pt idx="25">
                  <c:v>-0.766332876827162</c:v>
                </c:pt>
                <c:pt idx="26">
                  <c:v>-0.73741574206609262</c:v>
                </c:pt>
                <c:pt idx="27">
                  <c:v>-0.7091025034090237</c:v>
                </c:pt>
                <c:pt idx="28">
                  <c:v>-0.68134664662180633</c:v>
                </c:pt>
                <c:pt idx="29">
                  <c:v>-0.65410605885892514</c:v>
                </c:pt>
                <c:pt idx="30">
                  <c:v>-0.62734245064752525</c:v>
                </c:pt>
                <c:pt idx="31">
                  <c:v>-0.60102086847700564</c:v>
                </c:pt>
                <c:pt idx="32">
                  <c:v>-0.57510928127843863</c:v>
                </c:pt>
                <c:pt idx="33">
                  <c:v>-0.54957822756786423</c:v>
                </c:pt>
                <c:pt idx="34">
                  <c:v>-0.52440051270804089</c:v>
                </c:pt>
                <c:pt idx="35">
                  <c:v>-0.49955094781682291</c:v>
                </c:pt>
                <c:pt idx="36">
                  <c:v>-0.47500612346948773</c:v>
                </c:pt>
                <c:pt idx="37">
                  <c:v>-0.45074421261535924</c:v>
                </c:pt>
                <c:pt idx="38">
                  <c:v>-0.42674479813694438</c:v>
                </c:pt>
                <c:pt idx="39">
                  <c:v>-0.40298872128356505</c:v>
                </c:pt>
                <c:pt idx="40">
                  <c:v>-0.37945794785597503</c:v>
                </c:pt>
                <c:pt idx="41">
                  <c:v>-0.35613544953856729</c:v>
                </c:pt>
                <c:pt idx="42">
                  <c:v>-0.33300509819730195</c:v>
                </c:pt>
                <c:pt idx="43">
                  <c:v>-0.3100515713055485</c:v>
                </c:pt>
                <c:pt idx="44">
                  <c:v>-0.28726026694159212</c:v>
                </c:pt>
                <c:pt idx="45">
                  <c:v>-0.26461722703292628</c:v>
                </c:pt>
                <c:pt idx="46">
                  <c:v>-0.24210906771350066</c:v>
                </c:pt>
                <c:pt idx="47">
                  <c:v>-0.21972291581857983</c:v>
                </c:pt>
                <c:pt idx="48">
                  <c:v>-0.19744635067280908</c:v>
                </c:pt>
                <c:pt idx="49">
                  <c:v>-0.17526735043641586</c:v>
                </c:pt>
                <c:pt idx="50">
                  <c:v>-0.15317424236531821</c:v>
                </c:pt>
                <c:pt idx="51">
                  <c:v>-0.1311556564163372</c:v>
                </c:pt>
                <c:pt idx="52">
                  <c:v>-0.10920048169143172</c:v>
                </c:pt>
                <c:pt idx="53">
                  <c:v>-8.7297825266754725E-2</c:v>
                </c:pt>
                <c:pt idx="54">
                  <c:v>-6.5436972994667733E-2</c:v>
                </c:pt>
                <c:pt idx="55">
                  <c:v>-4.3607351901347333E-2</c:v>
                </c:pt>
                <c:pt idx="56">
                  <c:v>-2.1798493829908429E-2</c:v>
                </c:pt>
                <c:pt idx="57">
                  <c:v>-1.3921376352919543E-16</c:v>
                </c:pt>
                <c:pt idx="58">
                  <c:v>2.1798493829908179E-2</c:v>
                </c:pt>
                <c:pt idx="59">
                  <c:v>4.3607351901346993E-2</c:v>
                </c:pt>
                <c:pt idx="60">
                  <c:v>6.5436972994667414E-2</c:v>
                </c:pt>
                <c:pt idx="61">
                  <c:v>8.7297825266754364E-2</c:v>
                </c:pt>
                <c:pt idx="62">
                  <c:v>0.10920048169143159</c:v>
                </c:pt>
                <c:pt idx="63">
                  <c:v>0.1311556564163372</c:v>
                </c:pt>
                <c:pt idx="64">
                  <c:v>0.15317424236531779</c:v>
                </c:pt>
                <c:pt idx="65">
                  <c:v>0.17526735043641586</c:v>
                </c:pt>
                <c:pt idx="66">
                  <c:v>0.19744635067280886</c:v>
                </c:pt>
                <c:pt idx="67">
                  <c:v>0.21972291581857983</c:v>
                </c:pt>
                <c:pt idx="68">
                  <c:v>0.24210906771350038</c:v>
                </c:pt>
                <c:pt idx="69">
                  <c:v>0.26461722703292589</c:v>
                </c:pt>
                <c:pt idx="70">
                  <c:v>0.28726026694159185</c:v>
                </c:pt>
                <c:pt idx="71">
                  <c:v>0.31005157130554784</c:v>
                </c:pt>
                <c:pt idx="72">
                  <c:v>0.33300509819730167</c:v>
                </c:pt>
                <c:pt idx="73">
                  <c:v>0.35613544953856724</c:v>
                </c:pt>
                <c:pt idx="74">
                  <c:v>0.37945794785597503</c:v>
                </c:pt>
                <c:pt idx="75">
                  <c:v>0.40298872128356461</c:v>
                </c:pt>
                <c:pt idx="76">
                  <c:v>0.42674479813694438</c:v>
                </c:pt>
                <c:pt idx="77">
                  <c:v>0.45074421261535913</c:v>
                </c:pt>
                <c:pt idx="78">
                  <c:v>0.47500612346948762</c:v>
                </c:pt>
                <c:pt idx="79">
                  <c:v>0.49955094781682258</c:v>
                </c:pt>
                <c:pt idx="80">
                  <c:v>0.52440051270804044</c:v>
                </c:pt>
                <c:pt idx="81">
                  <c:v>0.54957822756786379</c:v>
                </c:pt>
                <c:pt idx="82">
                  <c:v>0.57510928127843775</c:v>
                </c:pt>
                <c:pt idx="83">
                  <c:v>0.60102086847700564</c:v>
                </c:pt>
                <c:pt idx="84">
                  <c:v>0.62734245064752481</c:v>
                </c:pt>
                <c:pt idx="85">
                  <c:v>0.65410605885892514</c:v>
                </c:pt>
                <c:pt idx="86">
                  <c:v>0.68134664662180611</c:v>
                </c:pt>
                <c:pt idx="87">
                  <c:v>0.7091025034090237</c:v>
                </c:pt>
                <c:pt idx="88">
                  <c:v>0.73741574206609162</c:v>
                </c:pt>
                <c:pt idx="89">
                  <c:v>0.76633287682716167</c:v>
                </c:pt>
                <c:pt idx="90">
                  <c:v>0.79590551324403636</c:v>
                </c:pt>
                <c:pt idx="91">
                  <c:v>0.8261911774319648</c:v>
                </c:pt>
                <c:pt idx="92">
                  <c:v>0.85725432022117865</c:v>
                </c:pt>
                <c:pt idx="93">
                  <c:v>0.88916754291699995</c:v>
                </c:pt>
                <c:pt idx="94">
                  <c:v>0.92201310665558822</c:v>
                </c:pt>
                <c:pt idx="95">
                  <c:v>0.95588480864401626</c:v>
                </c:pt>
                <c:pt idx="96">
                  <c:v>0.99089033871030896</c:v>
                </c:pt>
                <c:pt idx="97">
                  <c:v>1.0271542729149752</c:v>
                </c:pt>
                <c:pt idx="98">
                  <c:v>1.0648219243888501</c:v>
                </c:pt>
                <c:pt idx="99">
                  <c:v>1.1040643662127521</c:v>
                </c:pt>
                <c:pt idx="100">
                  <c:v>1.1450850855563321</c:v>
                </c:pt>
                <c:pt idx="101">
                  <c:v>1.1881289540339981</c:v>
                </c:pt>
                <c:pt idx="102">
                  <c:v>1.2334945619686906</c:v>
                </c:pt>
                <c:pt idx="103">
                  <c:v>1.2815515655446004</c:v>
                </c:pt>
                <c:pt idx="104">
                  <c:v>1.3327657287523946</c:v>
                </c:pt>
                <c:pt idx="105">
                  <c:v>1.3877361911044332</c:v>
                </c:pt>
                <c:pt idx="106">
                  <c:v>1.4472529659444873</c:v>
                </c:pt>
                <c:pt idx="107">
                  <c:v>1.5123895860676804</c:v>
                </c:pt>
                <c:pt idx="108">
                  <c:v>1.5846605561450562</c:v>
                </c:pt>
                <c:pt idx="109">
                  <c:v>1.6663075490659311</c:v>
                </c:pt>
                <c:pt idx="110">
                  <c:v>1.7608672771355798</c:v>
                </c:pt>
                <c:pt idx="111">
                  <c:v>1.8744417383388301</c:v>
                </c:pt>
                <c:pt idx="112">
                  <c:v>2.0190862005831427</c:v>
                </c:pt>
                <c:pt idx="113">
                  <c:v>2.2249148262139804</c:v>
                </c:pt>
                <c:pt idx="114">
                  <c:v>2.6237933694069819</c:v>
                </c:pt>
              </c:numCache>
            </c:numRef>
          </c:xVal>
          <c:yVal>
            <c:numRef>
              <c:f>'Q-Q Plot Data'!$X$3:$X$117</c:f>
              <c:numCache>
                <c:formatCode>General</c:formatCode>
                <c:ptCount val="115"/>
                <c:pt idx="0">
                  <c:v>14.501800000000001</c:v>
                </c:pt>
                <c:pt idx="1">
                  <c:v>15.571100000000001</c:v>
                </c:pt>
                <c:pt idx="2">
                  <c:v>15.8241</c:v>
                </c:pt>
                <c:pt idx="3">
                  <c:v>15.856800000000026</c:v>
                </c:pt>
                <c:pt idx="4">
                  <c:v>15.897500000000004</c:v>
                </c:pt>
                <c:pt idx="5">
                  <c:v>16.058900000000001</c:v>
                </c:pt>
                <c:pt idx="6">
                  <c:v>16.090299999999989</c:v>
                </c:pt>
                <c:pt idx="7">
                  <c:v>16.291399999999989</c:v>
                </c:pt>
                <c:pt idx="8">
                  <c:v>16.343399999999889</c:v>
                </c:pt>
                <c:pt idx="9">
                  <c:v>16.3889</c:v>
                </c:pt>
                <c:pt idx="10">
                  <c:v>16.417400000000001</c:v>
                </c:pt>
                <c:pt idx="11">
                  <c:v>16.460699999999516</c:v>
                </c:pt>
                <c:pt idx="12">
                  <c:v>16.535699999999789</c:v>
                </c:pt>
                <c:pt idx="13">
                  <c:v>16.550599999999989</c:v>
                </c:pt>
                <c:pt idx="14">
                  <c:v>16.603800000000035</c:v>
                </c:pt>
                <c:pt idx="15">
                  <c:v>16.655000000000001</c:v>
                </c:pt>
                <c:pt idx="16">
                  <c:v>16.672999999999988</c:v>
                </c:pt>
                <c:pt idx="17">
                  <c:v>16.693200000000001</c:v>
                </c:pt>
                <c:pt idx="18">
                  <c:v>16.710599999999989</c:v>
                </c:pt>
                <c:pt idx="19">
                  <c:v>16.7362</c:v>
                </c:pt>
                <c:pt idx="20">
                  <c:v>16.743499999999628</c:v>
                </c:pt>
                <c:pt idx="21">
                  <c:v>16.770099999999989</c:v>
                </c:pt>
                <c:pt idx="22">
                  <c:v>16.786799999999527</c:v>
                </c:pt>
                <c:pt idx="23">
                  <c:v>16.789499999999588</c:v>
                </c:pt>
                <c:pt idx="24">
                  <c:v>16.826699999999889</c:v>
                </c:pt>
                <c:pt idx="25">
                  <c:v>16.8917</c:v>
                </c:pt>
                <c:pt idx="26">
                  <c:v>16.905099999999628</c:v>
                </c:pt>
                <c:pt idx="27">
                  <c:v>16.90879999999952</c:v>
                </c:pt>
                <c:pt idx="28">
                  <c:v>16.911799999999989</c:v>
                </c:pt>
                <c:pt idx="29">
                  <c:v>16.939800000000005</c:v>
                </c:pt>
                <c:pt idx="30">
                  <c:v>16.947299999999789</c:v>
                </c:pt>
                <c:pt idx="31">
                  <c:v>16.9849</c:v>
                </c:pt>
                <c:pt idx="32">
                  <c:v>16.985999999999613</c:v>
                </c:pt>
                <c:pt idx="33">
                  <c:v>16.993200000000002</c:v>
                </c:pt>
                <c:pt idx="34">
                  <c:v>17.0167</c:v>
                </c:pt>
                <c:pt idx="35">
                  <c:v>17.028599999999621</c:v>
                </c:pt>
                <c:pt idx="36">
                  <c:v>17.030200000000001</c:v>
                </c:pt>
                <c:pt idx="37">
                  <c:v>17.051500000000001</c:v>
                </c:pt>
                <c:pt idx="38">
                  <c:v>17.054300000000001</c:v>
                </c:pt>
                <c:pt idx="39">
                  <c:v>17.103200000000001</c:v>
                </c:pt>
                <c:pt idx="40">
                  <c:v>17.163499999999889</c:v>
                </c:pt>
                <c:pt idx="41">
                  <c:v>17.1707</c:v>
                </c:pt>
                <c:pt idx="42">
                  <c:v>17.176500000000001</c:v>
                </c:pt>
                <c:pt idx="43">
                  <c:v>17.1797</c:v>
                </c:pt>
                <c:pt idx="44">
                  <c:v>17.2028</c:v>
                </c:pt>
                <c:pt idx="45">
                  <c:v>17.224299999999989</c:v>
                </c:pt>
                <c:pt idx="46">
                  <c:v>17.26959999999961</c:v>
                </c:pt>
                <c:pt idx="47">
                  <c:v>17.282399999999509</c:v>
                </c:pt>
                <c:pt idx="48">
                  <c:v>17.358699999999889</c:v>
                </c:pt>
                <c:pt idx="49">
                  <c:v>17.383900000000001</c:v>
                </c:pt>
                <c:pt idx="50">
                  <c:v>17.397500000000001</c:v>
                </c:pt>
                <c:pt idx="51">
                  <c:v>17.405399999999581</c:v>
                </c:pt>
                <c:pt idx="52">
                  <c:v>17.408599999999566</c:v>
                </c:pt>
                <c:pt idx="53">
                  <c:v>17.461999999999989</c:v>
                </c:pt>
                <c:pt idx="54">
                  <c:v>17.478099999999689</c:v>
                </c:pt>
                <c:pt idx="55">
                  <c:v>17.481399999999613</c:v>
                </c:pt>
                <c:pt idx="56">
                  <c:v>17.486399999999559</c:v>
                </c:pt>
                <c:pt idx="57">
                  <c:v>17.4971</c:v>
                </c:pt>
                <c:pt idx="58">
                  <c:v>17.503</c:v>
                </c:pt>
                <c:pt idx="59">
                  <c:v>17.5688</c:v>
                </c:pt>
                <c:pt idx="60">
                  <c:v>17.602399999999989</c:v>
                </c:pt>
                <c:pt idx="61">
                  <c:v>17.610600000000005</c:v>
                </c:pt>
                <c:pt idx="62">
                  <c:v>17.611100000000135</c:v>
                </c:pt>
                <c:pt idx="63">
                  <c:v>17.635999999999999</c:v>
                </c:pt>
                <c:pt idx="64">
                  <c:v>17.647099999999988</c:v>
                </c:pt>
                <c:pt idx="65">
                  <c:v>17.661200000000001</c:v>
                </c:pt>
                <c:pt idx="66">
                  <c:v>17.664200000000001</c:v>
                </c:pt>
                <c:pt idx="67">
                  <c:v>17.674700000000001</c:v>
                </c:pt>
                <c:pt idx="68">
                  <c:v>17.677000000000035</c:v>
                </c:pt>
                <c:pt idx="69">
                  <c:v>17.691700000000001</c:v>
                </c:pt>
                <c:pt idx="70">
                  <c:v>17.692799999999789</c:v>
                </c:pt>
                <c:pt idx="71">
                  <c:v>17.700299999999789</c:v>
                </c:pt>
                <c:pt idx="72">
                  <c:v>17.7165</c:v>
                </c:pt>
                <c:pt idx="73">
                  <c:v>17.756</c:v>
                </c:pt>
                <c:pt idx="74">
                  <c:v>17.7576</c:v>
                </c:pt>
                <c:pt idx="75">
                  <c:v>17.7576</c:v>
                </c:pt>
                <c:pt idx="76">
                  <c:v>17.7943</c:v>
                </c:pt>
                <c:pt idx="77">
                  <c:v>17.805299999999889</c:v>
                </c:pt>
                <c:pt idx="78">
                  <c:v>17.851299999999988</c:v>
                </c:pt>
                <c:pt idx="79">
                  <c:v>17.86</c:v>
                </c:pt>
                <c:pt idx="80">
                  <c:v>17.878299999999989</c:v>
                </c:pt>
                <c:pt idx="81">
                  <c:v>17.9147</c:v>
                </c:pt>
                <c:pt idx="82">
                  <c:v>17.930499999999789</c:v>
                </c:pt>
                <c:pt idx="83">
                  <c:v>17.952599999999588</c:v>
                </c:pt>
                <c:pt idx="84">
                  <c:v>17.981499999999606</c:v>
                </c:pt>
                <c:pt idx="85">
                  <c:v>18.010999999999999</c:v>
                </c:pt>
                <c:pt idx="86">
                  <c:v>18.019600000000001</c:v>
                </c:pt>
                <c:pt idx="87">
                  <c:v>18.025299999999689</c:v>
                </c:pt>
                <c:pt idx="88">
                  <c:v>18.025299999999689</c:v>
                </c:pt>
                <c:pt idx="89">
                  <c:v>18.057200000000005</c:v>
                </c:pt>
                <c:pt idx="90">
                  <c:v>18.072500000000002</c:v>
                </c:pt>
                <c:pt idx="91">
                  <c:v>18.181100000000001</c:v>
                </c:pt>
                <c:pt idx="92">
                  <c:v>18.194400000000005</c:v>
                </c:pt>
                <c:pt idx="93">
                  <c:v>18.289699999999563</c:v>
                </c:pt>
                <c:pt idx="94">
                  <c:v>18.292199999999642</c:v>
                </c:pt>
                <c:pt idx="95">
                  <c:v>18.308900000000001</c:v>
                </c:pt>
                <c:pt idx="96">
                  <c:v>18.333100000000005</c:v>
                </c:pt>
                <c:pt idx="97">
                  <c:v>18.363</c:v>
                </c:pt>
                <c:pt idx="98">
                  <c:v>18.373100000000001</c:v>
                </c:pt>
                <c:pt idx="99">
                  <c:v>18.433900000000001</c:v>
                </c:pt>
                <c:pt idx="100">
                  <c:v>18.436</c:v>
                </c:pt>
                <c:pt idx="101">
                  <c:v>18.464399999999689</c:v>
                </c:pt>
                <c:pt idx="102">
                  <c:v>18.4818</c:v>
                </c:pt>
                <c:pt idx="103">
                  <c:v>18.530999999999999</c:v>
                </c:pt>
                <c:pt idx="104">
                  <c:v>18.530999999999999</c:v>
                </c:pt>
                <c:pt idx="105">
                  <c:v>18.601299999999988</c:v>
                </c:pt>
                <c:pt idx="106">
                  <c:v>18.601500000000001</c:v>
                </c:pt>
                <c:pt idx="107">
                  <c:v>18.651499999999999</c:v>
                </c:pt>
                <c:pt idx="108">
                  <c:v>18.6844</c:v>
                </c:pt>
                <c:pt idx="109">
                  <c:v>18.705100000000002</c:v>
                </c:pt>
                <c:pt idx="110">
                  <c:v>18.897900000000035</c:v>
                </c:pt>
                <c:pt idx="111">
                  <c:v>18.902199999999606</c:v>
                </c:pt>
                <c:pt idx="112">
                  <c:v>19.012</c:v>
                </c:pt>
                <c:pt idx="113">
                  <c:v>19.060399999999689</c:v>
                </c:pt>
                <c:pt idx="114">
                  <c:v>19.098699999999624</c:v>
                </c:pt>
              </c:numCache>
            </c:numRef>
          </c:yVal>
        </c:ser>
        <c:axId val="96563968"/>
        <c:axId val="96565888"/>
      </c:scatterChart>
      <c:valAx>
        <c:axId val="96563968"/>
        <c:scaling>
          <c:orientation val="minMax"/>
          <c:min val="-3"/>
        </c:scaling>
        <c:axPos val="b"/>
        <c:title>
          <c:tx>
            <c:rich>
              <a:bodyPr/>
              <a:lstStyle/>
              <a:p>
                <a:pPr>
                  <a:defRPr>
                    <a:latin typeface="+mj-lt"/>
                  </a:defRPr>
                </a:pPr>
                <a:r>
                  <a:rPr lang="en-US">
                    <a:latin typeface="+mj-lt"/>
                  </a:rPr>
                  <a:t>Theoretical Quantile</a:t>
                </a:r>
              </a:p>
            </c:rich>
          </c:tx>
        </c:title>
        <c:numFmt formatCode="General" sourceLinked="1"/>
        <c:majorTickMark val="none"/>
        <c:tickLblPos val="nextTo"/>
        <c:txPr>
          <a:bodyPr/>
          <a:lstStyle/>
          <a:p>
            <a:pPr>
              <a:defRPr baseline="0">
                <a:latin typeface="Cambria" pitchFamily="18" charset="0"/>
              </a:defRPr>
            </a:pPr>
            <a:endParaRPr lang="en-US"/>
          </a:p>
        </c:txPr>
        <c:crossAx val="96565888"/>
        <c:crosses val="autoZero"/>
        <c:crossBetween val="midCat"/>
        <c:majorUnit val="1"/>
      </c:valAx>
      <c:valAx>
        <c:axId val="96565888"/>
        <c:scaling>
          <c:orientation val="minMax"/>
          <c:min val="13"/>
        </c:scaling>
        <c:axPos val="l"/>
        <c:title>
          <c:tx>
            <c:rich>
              <a:bodyPr/>
              <a:lstStyle/>
              <a:p>
                <a:pPr>
                  <a:defRPr>
                    <a:latin typeface="+mj-lt"/>
                  </a:defRPr>
                </a:pPr>
                <a:r>
                  <a:rPr lang="en-US">
                    <a:latin typeface="+mj-lt"/>
                  </a:rPr>
                  <a:t>Sample Quantile</a:t>
                </a:r>
              </a:p>
            </c:rich>
          </c:tx>
          <c:layout>
            <c:manualLayout>
              <c:xMode val="edge"/>
              <c:yMode val="edge"/>
              <c:x val="3.3282986865905591E-2"/>
              <c:y val="0.31966222885092038"/>
            </c:manualLayout>
          </c:layout>
        </c:title>
        <c:numFmt formatCode="General" sourceLinked="1"/>
        <c:majorTickMark val="none"/>
        <c:tickLblPos val="low"/>
        <c:txPr>
          <a:bodyPr/>
          <a:lstStyle/>
          <a:p>
            <a:pPr>
              <a:defRPr baseline="0">
                <a:latin typeface="Cambria" pitchFamily="18" charset="0"/>
              </a:defRPr>
            </a:pPr>
            <a:endParaRPr lang="en-US"/>
          </a:p>
        </c:txPr>
        <c:crossAx val="96563968"/>
        <c:crossesAt val="-3"/>
        <c:crossBetween val="midCat"/>
      </c:valAx>
    </c:plotArea>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400">
                <a:latin typeface="+mj-lt"/>
              </a:defRPr>
            </a:pPr>
            <a:r>
              <a:rPr lang="en-US" sz="1400">
                <a:latin typeface="+mj-lt"/>
              </a:rPr>
              <a:t>Saturated Water Content, </a:t>
            </a:r>
            <a:r>
              <a:rPr lang="el-GR" sz="1400">
                <a:latin typeface="+mj-lt"/>
              </a:rPr>
              <a:t>ϴ</a:t>
            </a:r>
            <a:r>
              <a:rPr lang="en-US" sz="1400" baseline="-25000">
                <a:latin typeface="+mj-lt"/>
              </a:rPr>
              <a:t>s</a:t>
            </a:r>
            <a:r>
              <a:rPr lang="en-US" sz="1400">
                <a:latin typeface="+mj-lt"/>
              </a:rPr>
              <a:t> (cm</a:t>
            </a:r>
            <a:r>
              <a:rPr lang="en-US" sz="1400" baseline="30000">
                <a:latin typeface="+mj-lt"/>
              </a:rPr>
              <a:t>3</a:t>
            </a:r>
            <a:r>
              <a:rPr lang="en-US" sz="1400">
                <a:latin typeface="+mj-lt"/>
              </a:rPr>
              <a:t>/cm</a:t>
            </a:r>
            <a:r>
              <a:rPr lang="en-US" sz="1400" baseline="30000">
                <a:latin typeface="+mj-lt"/>
              </a:rPr>
              <a:t>3</a:t>
            </a:r>
            <a:r>
              <a:rPr lang="en-US" sz="1400">
                <a:latin typeface="+mj-lt"/>
              </a:rPr>
              <a:t>)</a:t>
            </a:r>
          </a:p>
        </c:rich>
      </c:tx>
      <c:layout>
        <c:manualLayout>
          <c:xMode val="edge"/>
          <c:yMode val="edge"/>
          <c:x val="0.20357191547375567"/>
          <c:y val="9.3558305211852363E-2"/>
        </c:manualLayout>
      </c:layout>
    </c:title>
    <c:plotArea>
      <c:layout>
        <c:manualLayout>
          <c:layoutTarget val="inner"/>
          <c:xMode val="edge"/>
          <c:yMode val="edge"/>
          <c:x val="0.16815054559897802"/>
          <c:y val="0.23661857485205653"/>
          <c:w val="0.76091568308562663"/>
          <c:h val="0.51706493210088855"/>
        </c:manualLayout>
      </c:layout>
      <c:scatterChart>
        <c:scatterStyle val="lineMarker"/>
        <c:ser>
          <c:idx val="0"/>
          <c:order val="0"/>
          <c:spPr>
            <a:ln w="28575">
              <a:noFill/>
            </a:ln>
          </c:spPr>
          <c:trendline>
            <c:trendlineType val="linear"/>
            <c:dispRSqr val="1"/>
            <c:dispEq val="1"/>
            <c:trendlineLbl>
              <c:layout>
                <c:manualLayout>
                  <c:x val="6.874885782964856E-3"/>
                  <c:y val="0.23998797025371818"/>
                </c:manualLayout>
              </c:layout>
              <c:numFmt formatCode="General" sourceLinked="0"/>
              <c:txPr>
                <a:bodyPr/>
                <a:lstStyle/>
                <a:p>
                  <a:pPr>
                    <a:defRPr baseline="0">
                      <a:latin typeface="Cambria" pitchFamily="18" charset="0"/>
                    </a:defRPr>
                  </a:pPr>
                  <a:endParaRPr lang="en-US"/>
                </a:p>
              </c:txPr>
            </c:trendlineLbl>
          </c:trendline>
          <c:xVal>
            <c:numRef>
              <c:f>'Q-Q Plot Data'!$K$3:$K$117</c:f>
              <c:numCache>
                <c:formatCode>General</c:formatCode>
                <c:ptCount val="115"/>
                <c:pt idx="0">
                  <c:v>-2.6237933694069819</c:v>
                </c:pt>
                <c:pt idx="1">
                  <c:v>-2.2249148262139813</c:v>
                </c:pt>
                <c:pt idx="2">
                  <c:v>-2.0190862005831427</c:v>
                </c:pt>
                <c:pt idx="3">
                  <c:v>-1.8744417383388301</c:v>
                </c:pt>
                <c:pt idx="4">
                  <c:v>-1.7608672771355798</c:v>
                </c:pt>
                <c:pt idx="5">
                  <c:v>-1.6663075490659311</c:v>
                </c:pt>
                <c:pt idx="6">
                  <c:v>-1.5846605561450571</c:v>
                </c:pt>
                <c:pt idx="7">
                  <c:v>-1.5123895860676804</c:v>
                </c:pt>
                <c:pt idx="8">
                  <c:v>-1.4472529659444886</c:v>
                </c:pt>
                <c:pt idx="9">
                  <c:v>-1.3877361911044332</c:v>
                </c:pt>
                <c:pt idx="10">
                  <c:v>-1.3327657287523951</c:v>
                </c:pt>
                <c:pt idx="11">
                  <c:v>-1.2815515655446004</c:v>
                </c:pt>
                <c:pt idx="12">
                  <c:v>-1.2334945619686919</c:v>
                </c:pt>
                <c:pt idx="13">
                  <c:v>-1.1881289540339981</c:v>
                </c:pt>
                <c:pt idx="14">
                  <c:v>-1.1450850855563321</c:v>
                </c:pt>
                <c:pt idx="15">
                  <c:v>-1.1040643662127523</c:v>
                </c:pt>
                <c:pt idx="16">
                  <c:v>-1.0648219243888501</c:v>
                </c:pt>
                <c:pt idx="17">
                  <c:v>-1.0271542729149763</c:v>
                </c:pt>
                <c:pt idx="18">
                  <c:v>-0.99089033871030896</c:v>
                </c:pt>
                <c:pt idx="19">
                  <c:v>-0.95588480864401693</c:v>
                </c:pt>
                <c:pt idx="20">
                  <c:v>-0.92201310665558822</c:v>
                </c:pt>
                <c:pt idx="21">
                  <c:v>-0.88916754291700029</c:v>
                </c:pt>
                <c:pt idx="22">
                  <c:v>-0.85725432022117865</c:v>
                </c:pt>
                <c:pt idx="23">
                  <c:v>-0.82619117743196502</c:v>
                </c:pt>
                <c:pt idx="24">
                  <c:v>-0.7959055132440368</c:v>
                </c:pt>
                <c:pt idx="25">
                  <c:v>-0.766332876827162</c:v>
                </c:pt>
                <c:pt idx="26">
                  <c:v>-0.73741574206609262</c:v>
                </c:pt>
                <c:pt idx="27">
                  <c:v>-0.7091025034090237</c:v>
                </c:pt>
                <c:pt idx="28">
                  <c:v>-0.68134664662180633</c:v>
                </c:pt>
                <c:pt idx="29">
                  <c:v>-0.65410605885892514</c:v>
                </c:pt>
                <c:pt idx="30">
                  <c:v>-0.62734245064752525</c:v>
                </c:pt>
                <c:pt idx="31">
                  <c:v>-0.60102086847700564</c:v>
                </c:pt>
                <c:pt idx="32">
                  <c:v>-0.57510928127843863</c:v>
                </c:pt>
                <c:pt idx="33">
                  <c:v>-0.54957822756786423</c:v>
                </c:pt>
                <c:pt idx="34">
                  <c:v>-0.52440051270804089</c:v>
                </c:pt>
                <c:pt idx="35">
                  <c:v>-0.49955094781682291</c:v>
                </c:pt>
                <c:pt idx="36">
                  <c:v>-0.47500612346948773</c:v>
                </c:pt>
                <c:pt idx="37">
                  <c:v>-0.45074421261535924</c:v>
                </c:pt>
                <c:pt idx="38">
                  <c:v>-0.42674479813694438</c:v>
                </c:pt>
                <c:pt idx="39">
                  <c:v>-0.40298872128356505</c:v>
                </c:pt>
                <c:pt idx="40">
                  <c:v>-0.37945794785597503</c:v>
                </c:pt>
                <c:pt idx="41">
                  <c:v>-0.35613544953856729</c:v>
                </c:pt>
                <c:pt idx="42">
                  <c:v>-0.33300509819730195</c:v>
                </c:pt>
                <c:pt idx="43">
                  <c:v>-0.3100515713055485</c:v>
                </c:pt>
                <c:pt idx="44">
                  <c:v>-0.28726026694159212</c:v>
                </c:pt>
                <c:pt idx="45">
                  <c:v>-0.26461722703292628</c:v>
                </c:pt>
                <c:pt idx="46">
                  <c:v>-0.24210906771350066</c:v>
                </c:pt>
                <c:pt idx="47">
                  <c:v>-0.21972291581857983</c:v>
                </c:pt>
                <c:pt idx="48">
                  <c:v>-0.19744635067280908</c:v>
                </c:pt>
                <c:pt idx="49">
                  <c:v>-0.17526735043641586</c:v>
                </c:pt>
                <c:pt idx="50">
                  <c:v>-0.15317424236531821</c:v>
                </c:pt>
                <c:pt idx="51">
                  <c:v>-0.1311556564163372</c:v>
                </c:pt>
                <c:pt idx="52">
                  <c:v>-0.10920048169143172</c:v>
                </c:pt>
                <c:pt idx="53">
                  <c:v>-8.7297825266754725E-2</c:v>
                </c:pt>
                <c:pt idx="54">
                  <c:v>-6.5436972994667733E-2</c:v>
                </c:pt>
                <c:pt idx="55">
                  <c:v>-4.3607351901347333E-2</c:v>
                </c:pt>
                <c:pt idx="56">
                  <c:v>-2.1798493829908429E-2</c:v>
                </c:pt>
                <c:pt idx="57">
                  <c:v>-1.3921376352919543E-16</c:v>
                </c:pt>
                <c:pt idx="58">
                  <c:v>2.1798493829908179E-2</c:v>
                </c:pt>
                <c:pt idx="59">
                  <c:v>4.3607351901346993E-2</c:v>
                </c:pt>
                <c:pt idx="60">
                  <c:v>6.5436972994667414E-2</c:v>
                </c:pt>
                <c:pt idx="61">
                  <c:v>8.7297825266754364E-2</c:v>
                </c:pt>
                <c:pt idx="62">
                  <c:v>0.10920048169143159</c:v>
                </c:pt>
                <c:pt idx="63">
                  <c:v>0.1311556564163372</c:v>
                </c:pt>
                <c:pt idx="64">
                  <c:v>0.15317424236531779</c:v>
                </c:pt>
                <c:pt idx="65">
                  <c:v>0.17526735043641586</c:v>
                </c:pt>
                <c:pt idx="66">
                  <c:v>0.19744635067280886</c:v>
                </c:pt>
                <c:pt idx="67">
                  <c:v>0.21972291581857983</c:v>
                </c:pt>
                <c:pt idx="68">
                  <c:v>0.24210906771350038</c:v>
                </c:pt>
                <c:pt idx="69">
                  <c:v>0.26461722703292589</c:v>
                </c:pt>
                <c:pt idx="70">
                  <c:v>0.28726026694159185</c:v>
                </c:pt>
                <c:pt idx="71">
                  <c:v>0.31005157130554784</c:v>
                </c:pt>
                <c:pt idx="72">
                  <c:v>0.33300509819730167</c:v>
                </c:pt>
                <c:pt idx="73">
                  <c:v>0.35613544953856724</c:v>
                </c:pt>
                <c:pt idx="74">
                  <c:v>0.37945794785597503</c:v>
                </c:pt>
                <c:pt idx="75">
                  <c:v>0.40298872128356461</c:v>
                </c:pt>
                <c:pt idx="76">
                  <c:v>0.42674479813694438</c:v>
                </c:pt>
                <c:pt idx="77">
                  <c:v>0.45074421261535913</c:v>
                </c:pt>
                <c:pt idx="78">
                  <c:v>0.47500612346948762</c:v>
                </c:pt>
                <c:pt idx="79">
                  <c:v>0.49955094781682258</c:v>
                </c:pt>
                <c:pt idx="80">
                  <c:v>0.52440051270804044</c:v>
                </c:pt>
                <c:pt idx="81">
                  <c:v>0.54957822756786379</c:v>
                </c:pt>
                <c:pt idx="82">
                  <c:v>0.57510928127843775</c:v>
                </c:pt>
                <c:pt idx="83">
                  <c:v>0.60102086847700564</c:v>
                </c:pt>
                <c:pt idx="84">
                  <c:v>0.62734245064752481</c:v>
                </c:pt>
                <c:pt idx="85">
                  <c:v>0.65410605885892514</c:v>
                </c:pt>
                <c:pt idx="86">
                  <c:v>0.68134664662180611</c:v>
                </c:pt>
                <c:pt idx="87">
                  <c:v>0.7091025034090237</c:v>
                </c:pt>
                <c:pt idx="88">
                  <c:v>0.73741574206609162</c:v>
                </c:pt>
                <c:pt idx="89">
                  <c:v>0.76633287682716167</c:v>
                </c:pt>
                <c:pt idx="90">
                  <c:v>0.79590551324403636</c:v>
                </c:pt>
                <c:pt idx="91">
                  <c:v>0.8261911774319648</c:v>
                </c:pt>
                <c:pt idx="92">
                  <c:v>0.85725432022117865</c:v>
                </c:pt>
                <c:pt idx="93">
                  <c:v>0.88916754291699995</c:v>
                </c:pt>
                <c:pt idx="94">
                  <c:v>0.92201310665558822</c:v>
                </c:pt>
                <c:pt idx="95">
                  <c:v>0.95588480864401626</c:v>
                </c:pt>
                <c:pt idx="96">
                  <c:v>0.99089033871030896</c:v>
                </c:pt>
                <c:pt idx="97">
                  <c:v>1.0271542729149752</c:v>
                </c:pt>
                <c:pt idx="98">
                  <c:v>1.0648219243888501</c:v>
                </c:pt>
                <c:pt idx="99">
                  <c:v>1.1040643662127521</c:v>
                </c:pt>
                <c:pt idx="100">
                  <c:v>1.1450850855563321</c:v>
                </c:pt>
                <c:pt idx="101">
                  <c:v>1.1881289540339981</c:v>
                </c:pt>
                <c:pt idx="102">
                  <c:v>1.2334945619686906</c:v>
                </c:pt>
                <c:pt idx="103">
                  <c:v>1.2815515655446004</c:v>
                </c:pt>
                <c:pt idx="104">
                  <c:v>1.3327657287523946</c:v>
                </c:pt>
                <c:pt idx="105">
                  <c:v>1.3877361911044332</c:v>
                </c:pt>
                <c:pt idx="106">
                  <c:v>1.4472529659444873</c:v>
                </c:pt>
                <c:pt idx="107">
                  <c:v>1.5123895860676804</c:v>
                </c:pt>
                <c:pt idx="108">
                  <c:v>1.5846605561450562</c:v>
                </c:pt>
                <c:pt idx="109">
                  <c:v>1.6663075490659311</c:v>
                </c:pt>
                <c:pt idx="110">
                  <c:v>1.7608672771355798</c:v>
                </c:pt>
                <c:pt idx="111">
                  <c:v>1.8744417383388301</c:v>
                </c:pt>
                <c:pt idx="112">
                  <c:v>2.0190862005831427</c:v>
                </c:pt>
                <c:pt idx="113">
                  <c:v>2.2249148262139804</c:v>
                </c:pt>
                <c:pt idx="114">
                  <c:v>2.6237933694069819</c:v>
                </c:pt>
              </c:numCache>
            </c:numRef>
          </c:xVal>
          <c:yVal>
            <c:numRef>
              <c:f>'Q-Q Plot Data'!$L$3:$L$117</c:f>
              <c:numCache>
                <c:formatCode>General</c:formatCode>
                <c:ptCount val="115"/>
                <c:pt idx="0">
                  <c:v>0.30260000000000031</c:v>
                </c:pt>
                <c:pt idx="1">
                  <c:v>0.30920000000000031</c:v>
                </c:pt>
                <c:pt idx="2">
                  <c:v>0.31090000000000517</c:v>
                </c:pt>
                <c:pt idx="3">
                  <c:v>0.31410000000000032</c:v>
                </c:pt>
                <c:pt idx="4">
                  <c:v>0.31520000000000031</c:v>
                </c:pt>
                <c:pt idx="5">
                  <c:v>0.32130000000000686</c:v>
                </c:pt>
                <c:pt idx="6">
                  <c:v>0.32180000000000691</c:v>
                </c:pt>
                <c:pt idx="7">
                  <c:v>0.32500000000000517</c:v>
                </c:pt>
                <c:pt idx="8">
                  <c:v>0.32610000000000461</c:v>
                </c:pt>
                <c:pt idx="9">
                  <c:v>0.32670000000000032</c:v>
                </c:pt>
                <c:pt idx="10">
                  <c:v>0.32670000000000032</c:v>
                </c:pt>
                <c:pt idx="11">
                  <c:v>0.32670000000000032</c:v>
                </c:pt>
                <c:pt idx="12">
                  <c:v>0.32930000000000703</c:v>
                </c:pt>
                <c:pt idx="13">
                  <c:v>0.32960000000000478</c:v>
                </c:pt>
                <c:pt idx="14">
                  <c:v>0.32980000000000714</c:v>
                </c:pt>
                <c:pt idx="15">
                  <c:v>0.33030000000000725</c:v>
                </c:pt>
                <c:pt idx="16">
                  <c:v>0.33320000000000038</c:v>
                </c:pt>
                <c:pt idx="17">
                  <c:v>0.33370000000000088</c:v>
                </c:pt>
                <c:pt idx="18">
                  <c:v>0.33380000000000792</c:v>
                </c:pt>
                <c:pt idx="19">
                  <c:v>0.33410000000000517</c:v>
                </c:pt>
                <c:pt idx="20">
                  <c:v>0.33730000000000826</c:v>
                </c:pt>
                <c:pt idx="21">
                  <c:v>0.34080000000000032</c:v>
                </c:pt>
                <c:pt idx="22">
                  <c:v>0.34110000000000001</c:v>
                </c:pt>
                <c:pt idx="23">
                  <c:v>0.34150000000000008</c:v>
                </c:pt>
                <c:pt idx="24">
                  <c:v>0.34320000000000001</c:v>
                </c:pt>
                <c:pt idx="25">
                  <c:v>0.34330000000000038</c:v>
                </c:pt>
                <c:pt idx="26">
                  <c:v>0.34390000000000032</c:v>
                </c:pt>
                <c:pt idx="27">
                  <c:v>0.34440000000000032</c:v>
                </c:pt>
                <c:pt idx="28">
                  <c:v>0.34610000000000002</c:v>
                </c:pt>
                <c:pt idx="29">
                  <c:v>0.34620000000000001</c:v>
                </c:pt>
                <c:pt idx="30">
                  <c:v>0.34820000000000001</c:v>
                </c:pt>
                <c:pt idx="31">
                  <c:v>0.34850000000000031</c:v>
                </c:pt>
                <c:pt idx="32">
                  <c:v>0.34890000000000032</c:v>
                </c:pt>
                <c:pt idx="33">
                  <c:v>0.34900000000000031</c:v>
                </c:pt>
                <c:pt idx="34">
                  <c:v>0.34980000000000461</c:v>
                </c:pt>
                <c:pt idx="35">
                  <c:v>0.35020000000000001</c:v>
                </c:pt>
                <c:pt idx="36">
                  <c:v>0.35030000000000461</c:v>
                </c:pt>
                <c:pt idx="37">
                  <c:v>0.35050000000000031</c:v>
                </c:pt>
                <c:pt idx="38">
                  <c:v>0.35080000000000461</c:v>
                </c:pt>
                <c:pt idx="39">
                  <c:v>0.35100000000000031</c:v>
                </c:pt>
                <c:pt idx="40">
                  <c:v>0.35140000000000032</c:v>
                </c:pt>
                <c:pt idx="41">
                  <c:v>0.35190000000000032</c:v>
                </c:pt>
                <c:pt idx="42">
                  <c:v>0.35210000000000002</c:v>
                </c:pt>
                <c:pt idx="43">
                  <c:v>0.35310000000000002</c:v>
                </c:pt>
                <c:pt idx="44">
                  <c:v>0.35380000000000472</c:v>
                </c:pt>
                <c:pt idx="45">
                  <c:v>0.35570000000000002</c:v>
                </c:pt>
                <c:pt idx="46">
                  <c:v>0.35590000000000038</c:v>
                </c:pt>
                <c:pt idx="47">
                  <c:v>0.35660000000000008</c:v>
                </c:pt>
                <c:pt idx="48">
                  <c:v>0.35720000000000002</c:v>
                </c:pt>
                <c:pt idx="49">
                  <c:v>0.35750000000000032</c:v>
                </c:pt>
                <c:pt idx="50">
                  <c:v>0.35750000000000032</c:v>
                </c:pt>
                <c:pt idx="51">
                  <c:v>0.35970000000000002</c:v>
                </c:pt>
                <c:pt idx="52">
                  <c:v>0.36010000000000031</c:v>
                </c:pt>
                <c:pt idx="53">
                  <c:v>0.36100000000000032</c:v>
                </c:pt>
                <c:pt idx="54">
                  <c:v>0.36160000000000031</c:v>
                </c:pt>
                <c:pt idx="55">
                  <c:v>0.36200000000000032</c:v>
                </c:pt>
                <c:pt idx="56">
                  <c:v>0.36260000000000031</c:v>
                </c:pt>
                <c:pt idx="57">
                  <c:v>0.36350000000000032</c:v>
                </c:pt>
                <c:pt idx="58">
                  <c:v>0.36380000000000517</c:v>
                </c:pt>
                <c:pt idx="59">
                  <c:v>0.36430000000000518</c:v>
                </c:pt>
                <c:pt idx="60">
                  <c:v>0.36620000000000008</c:v>
                </c:pt>
                <c:pt idx="61">
                  <c:v>0.36740000000000483</c:v>
                </c:pt>
                <c:pt idx="62">
                  <c:v>0.36770000000000008</c:v>
                </c:pt>
                <c:pt idx="63">
                  <c:v>0.36770000000000008</c:v>
                </c:pt>
                <c:pt idx="64">
                  <c:v>0.36810000000000032</c:v>
                </c:pt>
                <c:pt idx="65">
                  <c:v>0.36910000000000032</c:v>
                </c:pt>
                <c:pt idx="66">
                  <c:v>0.37010000000000032</c:v>
                </c:pt>
                <c:pt idx="67">
                  <c:v>0.37110000000000032</c:v>
                </c:pt>
                <c:pt idx="68">
                  <c:v>0.37170000000000031</c:v>
                </c:pt>
                <c:pt idx="69">
                  <c:v>0.37370000000000031</c:v>
                </c:pt>
                <c:pt idx="70">
                  <c:v>0.37460000000000032</c:v>
                </c:pt>
                <c:pt idx="71">
                  <c:v>0.37570000000000031</c:v>
                </c:pt>
                <c:pt idx="72">
                  <c:v>0.37630000000000596</c:v>
                </c:pt>
                <c:pt idx="73">
                  <c:v>0.37790000000000518</c:v>
                </c:pt>
                <c:pt idx="74">
                  <c:v>0.37920000000000031</c:v>
                </c:pt>
                <c:pt idx="75">
                  <c:v>0.38080000000000641</c:v>
                </c:pt>
                <c:pt idx="76">
                  <c:v>0.38190000000000573</c:v>
                </c:pt>
                <c:pt idx="77">
                  <c:v>0.38320000000000032</c:v>
                </c:pt>
                <c:pt idx="78">
                  <c:v>0.38420000000000032</c:v>
                </c:pt>
                <c:pt idx="79">
                  <c:v>0.38470000000000032</c:v>
                </c:pt>
                <c:pt idx="80">
                  <c:v>0.38480000000000691</c:v>
                </c:pt>
                <c:pt idx="81">
                  <c:v>0.38630000000000692</c:v>
                </c:pt>
                <c:pt idx="82">
                  <c:v>0.38690000000000596</c:v>
                </c:pt>
                <c:pt idx="83">
                  <c:v>0.38860000000000461</c:v>
                </c:pt>
                <c:pt idx="84">
                  <c:v>0.39110000000000467</c:v>
                </c:pt>
                <c:pt idx="85">
                  <c:v>0.39210000000000478</c:v>
                </c:pt>
                <c:pt idx="86">
                  <c:v>0.39370000000000038</c:v>
                </c:pt>
                <c:pt idx="87">
                  <c:v>0.39560000000000517</c:v>
                </c:pt>
                <c:pt idx="88">
                  <c:v>0.39730000000000804</c:v>
                </c:pt>
                <c:pt idx="89">
                  <c:v>0.39980000000000826</c:v>
                </c:pt>
                <c:pt idx="90">
                  <c:v>0.4002</c:v>
                </c:pt>
                <c:pt idx="91">
                  <c:v>0.4002</c:v>
                </c:pt>
                <c:pt idx="92">
                  <c:v>0.40180000000000032</c:v>
                </c:pt>
                <c:pt idx="93">
                  <c:v>0.40300000000000002</c:v>
                </c:pt>
                <c:pt idx="94">
                  <c:v>0.40930000000000138</c:v>
                </c:pt>
                <c:pt idx="95">
                  <c:v>0.41030000000000288</c:v>
                </c:pt>
                <c:pt idx="96">
                  <c:v>0.41040000000000032</c:v>
                </c:pt>
                <c:pt idx="97">
                  <c:v>0.41250000000000031</c:v>
                </c:pt>
                <c:pt idx="98">
                  <c:v>0.41260000000000002</c:v>
                </c:pt>
                <c:pt idx="99">
                  <c:v>0.41520000000000001</c:v>
                </c:pt>
                <c:pt idx="100">
                  <c:v>0.42420000000000002</c:v>
                </c:pt>
                <c:pt idx="101">
                  <c:v>0.42430000000000517</c:v>
                </c:pt>
                <c:pt idx="102">
                  <c:v>0.42500000000000032</c:v>
                </c:pt>
                <c:pt idx="103">
                  <c:v>0.43010000000000032</c:v>
                </c:pt>
                <c:pt idx="104">
                  <c:v>0.43250000000000038</c:v>
                </c:pt>
                <c:pt idx="105">
                  <c:v>0.43700000000000438</c:v>
                </c:pt>
                <c:pt idx="106">
                  <c:v>0.43800000000000461</c:v>
                </c:pt>
                <c:pt idx="107">
                  <c:v>0.44190000000000002</c:v>
                </c:pt>
                <c:pt idx="108">
                  <c:v>0.45620000000000005</c:v>
                </c:pt>
                <c:pt idx="109">
                  <c:v>0.47780000000000461</c:v>
                </c:pt>
                <c:pt idx="110">
                  <c:v>0.48280000000000517</c:v>
                </c:pt>
                <c:pt idx="111">
                  <c:v>0.48660000000000031</c:v>
                </c:pt>
                <c:pt idx="112">
                  <c:v>0.50549999999999951</c:v>
                </c:pt>
                <c:pt idx="113">
                  <c:v>0.51149999999999951</c:v>
                </c:pt>
                <c:pt idx="114">
                  <c:v>0.5504</c:v>
                </c:pt>
              </c:numCache>
            </c:numRef>
          </c:yVal>
        </c:ser>
        <c:axId val="96590848"/>
        <c:axId val="104604800"/>
      </c:scatterChart>
      <c:valAx>
        <c:axId val="96590848"/>
        <c:scaling>
          <c:orientation val="minMax"/>
          <c:min val="-3"/>
        </c:scaling>
        <c:axPos val="b"/>
        <c:title>
          <c:tx>
            <c:rich>
              <a:bodyPr/>
              <a:lstStyle/>
              <a:p>
                <a:pPr>
                  <a:defRPr>
                    <a:latin typeface="+mj-lt"/>
                  </a:defRPr>
                </a:pPr>
                <a:r>
                  <a:rPr lang="en-US">
                    <a:latin typeface="+mj-lt"/>
                  </a:rPr>
                  <a:t>Theoretical Quantile</a:t>
                </a:r>
              </a:p>
            </c:rich>
          </c:tx>
        </c:title>
        <c:numFmt formatCode="General" sourceLinked="1"/>
        <c:majorTickMark val="none"/>
        <c:tickLblPos val="nextTo"/>
        <c:txPr>
          <a:bodyPr/>
          <a:lstStyle/>
          <a:p>
            <a:pPr>
              <a:defRPr baseline="0">
                <a:latin typeface="Cambria" pitchFamily="18" charset="0"/>
              </a:defRPr>
            </a:pPr>
            <a:endParaRPr lang="en-US"/>
          </a:p>
        </c:txPr>
        <c:crossAx val="104604800"/>
        <c:crosses val="autoZero"/>
        <c:crossBetween val="midCat"/>
        <c:majorUnit val="1"/>
      </c:valAx>
      <c:valAx>
        <c:axId val="104604800"/>
        <c:scaling>
          <c:orientation val="minMax"/>
          <c:min val="0.2"/>
        </c:scaling>
        <c:axPos val="l"/>
        <c:title>
          <c:tx>
            <c:rich>
              <a:bodyPr/>
              <a:lstStyle/>
              <a:p>
                <a:pPr>
                  <a:defRPr>
                    <a:latin typeface="+mj-lt"/>
                  </a:defRPr>
                </a:pPr>
                <a:r>
                  <a:rPr lang="en-US">
                    <a:latin typeface="+mj-lt"/>
                  </a:rPr>
                  <a:t>Sample Quantile</a:t>
                </a:r>
              </a:p>
            </c:rich>
          </c:tx>
          <c:layout>
            <c:manualLayout>
              <c:xMode val="edge"/>
              <c:yMode val="edge"/>
              <c:x val="3.3197966818564857E-2"/>
              <c:y val="0.31333202914853037"/>
            </c:manualLayout>
          </c:layout>
        </c:title>
        <c:numFmt formatCode="General" sourceLinked="1"/>
        <c:majorTickMark val="none"/>
        <c:tickLblPos val="low"/>
        <c:txPr>
          <a:bodyPr/>
          <a:lstStyle/>
          <a:p>
            <a:pPr>
              <a:defRPr baseline="0">
                <a:latin typeface="Cambria" pitchFamily="18" charset="0"/>
              </a:defRPr>
            </a:pPr>
            <a:endParaRPr lang="en-US"/>
          </a:p>
        </c:txPr>
        <c:crossAx val="96590848"/>
        <c:crossesAt val="-3"/>
        <c:crossBetween val="midCat"/>
      </c:valAx>
    </c:plotArea>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400">
                <a:latin typeface="+mj-lt"/>
              </a:defRPr>
            </a:pPr>
            <a:r>
              <a:rPr lang="en-US" sz="1400">
                <a:latin typeface="+mj-lt"/>
              </a:rPr>
              <a:t>Pore Size Distribution, </a:t>
            </a:r>
            <a:r>
              <a:rPr lang="el-GR" sz="1400">
                <a:latin typeface="+mj-lt"/>
              </a:rPr>
              <a:t>λ</a:t>
            </a:r>
            <a:r>
              <a:rPr lang="en-US" sz="1400">
                <a:latin typeface="+mj-lt"/>
              </a:rPr>
              <a:t> (-)</a:t>
            </a:r>
          </a:p>
        </c:rich>
      </c:tx>
    </c:title>
    <c:plotArea>
      <c:layout/>
      <c:scatterChart>
        <c:scatterStyle val="lineMarker"/>
        <c:ser>
          <c:idx val="0"/>
          <c:order val="0"/>
          <c:tx>
            <c:strRef>
              <c:f>'Q-Q Plot Data'!$AD$2</c:f>
              <c:strCache>
                <c:ptCount val="1"/>
                <c:pt idx="0">
                  <c:v>Lambda</c:v>
                </c:pt>
              </c:strCache>
            </c:strRef>
          </c:tx>
          <c:spPr>
            <a:ln w="28575">
              <a:noFill/>
            </a:ln>
          </c:spPr>
          <c:trendline>
            <c:trendlineType val="linear"/>
            <c:dispRSqr val="1"/>
            <c:dispEq val="1"/>
            <c:trendlineLbl>
              <c:layout>
                <c:manualLayout>
                  <c:x val="1.5241688538932869E-2"/>
                  <c:y val="0.27523257509478088"/>
                </c:manualLayout>
              </c:layout>
              <c:numFmt formatCode="General" sourceLinked="0"/>
            </c:trendlineLbl>
          </c:trendline>
          <c:xVal>
            <c:numRef>
              <c:f>'Q-Q Plot Data'!$AC$3:$AC$117</c:f>
              <c:numCache>
                <c:formatCode>General</c:formatCode>
                <c:ptCount val="115"/>
                <c:pt idx="0">
                  <c:v>-2.6237933694069819</c:v>
                </c:pt>
                <c:pt idx="1">
                  <c:v>-2.2249148262139813</c:v>
                </c:pt>
                <c:pt idx="2">
                  <c:v>-2.0190862005831427</c:v>
                </c:pt>
                <c:pt idx="3">
                  <c:v>-1.8744417383388301</c:v>
                </c:pt>
                <c:pt idx="4">
                  <c:v>-1.7608672771355798</c:v>
                </c:pt>
                <c:pt idx="5">
                  <c:v>-1.6663075490659311</c:v>
                </c:pt>
                <c:pt idx="6">
                  <c:v>-1.5846605561450571</c:v>
                </c:pt>
                <c:pt idx="7">
                  <c:v>-1.5123895860676804</c:v>
                </c:pt>
                <c:pt idx="8">
                  <c:v>-1.4472529659444886</c:v>
                </c:pt>
                <c:pt idx="9">
                  <c:v>-1.3877361911044332</c:v>
                </c:pt>
                <c:pt idx="10">
                  <c:v>-1.3327657287523951</c:v>
                </c:pt>
                <c:pt idx="11">
                  <c:v>-1.2815515655446004</c:v>
                </c:pt>
                <c:pt idx="12">
                  <c:v>-1.2334945619686919</c:v>
                </c:pt>
                <c:pt idx="13">
                  <c:v>-1.1881289540339981</c:v>
                </c:pt>
                <c:pt idx="14">
                  <c:v>-1.1450850855563321</c:v>
                </c:pt>
                <c:pt idx="15">
                  <c:v>-1.1040643662127523</c:v>
                </c:pt>
                <c:pt idx="16">
                  <c:v>-1.0648219243888501</c:v>
                </c:pt>
                <c:pt idx="17">
                  <c:v>-1.0271542729149763</c:v>
                </c:pt>
                <c:pt idx="18">
                  <c:v>-0.99089033871030896</c:v>
                </c:pt>
                <c:pt idx="19">
                  <c:v>-0.95588480864401693</c:v>
                </c:pt>
                <c:pt idx="20">
                  <c:v>-0.92201310665558822</c:v>
                </c:pt>
                <c:pt idx="21">
                  <c:v>-0.88916754291700029</c:v>
                </c:pt>
                <c:pt idx="22">
                  <c:v>-0.85725432022117865</c:v>
                </c:pt>
                <c:pt idx="23">
                  <c:v>-0.82619117743196502</c:v>
                </c:pt>
                <c:pt idx="24">
                  <c:v>-0.7959055132440368</c:v>
                </c:pt>
                <c:pt idx="25">
                  <c:v>-0.766332876827162</c:v>
                </c:pt>
                <c:pt idx="26">
                  <c:v>-0.73741574206609262</c:v>
                </c:pt>
                <c:pt idx="27">
                  <c:v>-0.7091025034090237</c:v>
                </c:pt>
                <c:pt idx="28">
                  <c:v>-0.68134664662180633</c:v>
                </c:pt>
                <c:pt idx="29">
                  <c:v>-0.65410605885892514</c:v>
                </c:pt>
                <c:pt idx="30">
                  <c:v>-0.62734245064752525</c:v>
                </c:pt>
                <c:pt idx="31">
                  <c:v>-0.60102086847700564</c:v>
                </c:pt>
                <c:pt idx="32">
                  <c:v>-0.57510928127843863</c:v>
                </c:pt>
                <c:pt idx="33">
                  <c:v>-0.54957822756786423</c:v>
                </c:pt>
                <c:pt idx="34">
                  <c:v>-0.52440051270804089</c:v>
                </c:pt>
                <c:pt idx="35">
                  <c:v>-0.49955094781682291</c:v>
                </c:pt>
                <c:pt idx="36">
                  <c:v>-0.47500612346948773</c:v>
                </c:pt>
                <c:pt idx="37">
                  <c:v>-0.45074421261535924</c:v>
                </c:pt>
                <c:pt idx="38">
                  <c:v>-0.42674479813694438</c:v>
                </c:pt>
                <c:pt idx="39">
                  <c:v>-0.40298872128356505</c:v>
                </c:pt>
                <c:pt idx="40">
                  <c:v>-0.37945794785597503</c:v>
                </c:pt>
                <c:pt idx="41">
                  <c:v>-0.35613544953856729</c:v>
                </c:pt>
                <c:pt idx="42">
                  <c:v>-0.33300509819730195</c:v>
                </c:pt>
                <c:pt idx="43">
                  <c:v>-0.3100515713055485</c:v>
                </c:pt>
                <c:pt idx="44">
                  <c:v>-0.28726026694159212</c:v>
                </c:pt>
                <c:pt idx="45">
                  <c:v>-0.26461722703292628</c:v>
                </c:pt>
                <c:pt idx="46">
                  <c:v>-0.24210906771350066</c:v>
                </c:pt>
                <c:pt idx="47">
                  <c:v>-0.21972291581857983</c:v>
                </c:pt>
                <c:pt idx="48">
                  <c:v>-0.19744635067280908</c:v>
                </c:pt>
                <c:pt idx="49">
                  <c:v>-0.17526735043641586</c:v>
                </c:pt>
                <c:pt idx="50">
                  <c:v>-0.15317424236531821</c:v>
                </c:pt>
                <c:pt idx="51">
                  <c:v>-0.1311556564163372</c:v>
                </c:pt>
                <c:pt idx="52">
                  <c:v>-0.10920048169143172</c:v>
                </c:pt>
                <c:pt idx="53">
                  <c:v>-8.7297825266754725E-2</c:v>
                </c:pt>
                <c:pt idx="54">
                  <c:v>-6.5436972994667733E-2</c:v>
                </c:pt>
                <c:pt idx="55">
                  <c:v>-4.3607351901347333E-2</c:v>
                </c:pt>
                <c:pt idx="56">
                  <c:v>-2.1798493829908429E-2</c:v>
                </c:pt>
                <c:pt idx="57">
                  <c:v>-1.3921376352919543E-16</c:v>
                </c:pt>
                <c:pt idx="58">
                  <c:v>2.1798493829908179E-2</c:v>
                </c:pt>
                <c:pt idx="59">
                  <c:v>4.3607351901346993E-2</c:v>
                </c:pt>
                <c:pt idx="60">
                  <c:v>6.5436972994667414E-2</c:v>
                </c:pt>
                <c:pt idx="61">
                  <c:v>8.7297825266754364E-2</c:v>
                </c:pt>
                <c:pt idx="62">
                  <c:v>0.10920048169143159</c:v>
                </c:pt>
                <c:pt idx="63">
                  <c:v>0.1311556564163372</c:v>
                </c:pt>
                <c:pt idx="64">
                  <c:v>0.15317424236531779</c:v>
                </c:pt>
                <c:pt idx="65">
                  <c:v>0.17526735043641586</c:v>
                </c:pt>
                <c:pt idx="66">
                  <c:v>0.19744635067280886</c:v>
                </c:pt>
                <c:pt idx="67">
                  <c:v>0.21972291581857983</c:v>
                </c:pt>
                <c:pt idx="68">
                  <c:v>0.24210906771350038</c:v>
                </c:pt>
                <c:pt idx="69">
                  <c:v>0.26461722703292589</c:v>
                </c:pt>
                <c:pt idx="70">
                  <c:v>0.28726026694159185</c:v>
                </c:pt>
                <c:pt idx="71">
                  <c:v>0.31005157130554784</c:v>
                </c:pt>
                <c:pt idx="72">
                  <c:v>0.33300509819730167</c:v>
                </c:pt>
                <c:pt idx="73">
                  <c:v>0.35613544953856724</c:v>
                </c:pt>
                <c:pt idx="74">
                  <c:v>0.37945794785597503</c:v>
                </c:pt>
                <c:pt idx="75">
                  <c:v>0.40298872128356461</c:v>
                </c:pt>
                <c:pt idx="76">
                  <c:v>0.42674479813694438</c:v>
                </c:pt>
                <c:pt idx="77">
                  <c:v>0.45074421261535913</c:v>
                </c:pt>
                <c:pt idx="78">
                  <c:v>0.47500612346948762</c:v>
                </c:pt>
                <c:pt idx="79">
                  <c:v>0.49955094781682258</c:v>
                </c:pt>
                <c:pt idx="80">
                  <c:v>0.52440051270804044</c:v>
                </c:pt>
                <c:pt idx="81">
                  <c:v>0.54957822756786379</c:v>
                </c:pt>
                <c:pt idx="82">
                  <c:v>0.57510928127843775</c:v>
                </c:pt>
                <c:pt idx="83">
                  <c:v>0.60102086847700564</c:v>
                </c:pt>
                <c:pt idx="84">
                  <c:v>0.62734245064752481</c:v>
                </c:pt>
                <c:pt idx="85">
                  <c:v>0.65410605885892514</c:v>
                </c:pt>
                <c:pt idx="86">
                  <c:v>0.68134664662180611</c:v>
                </c:pt>
                <c:pt idx="87">
                  <c:v>0.7091025034090237</c:v>
                </c:pt>
                <c:pt idx="88">
                  <c:v>0.73741574206609162</c:v>
                </c:pt>
                <c:pt idx="89">
                  <c:v>0.76633287682716167</c:v>
                </c:pt>
                <c:pt idx="90">
                  <c:v>0.79590551324403636</c:v>
                </c:pt>
                <c:pt idx="91">
                  <c:v>0.8261911774319648</c:v>
                </c:pt>
                <c:pt idx="92">
                  <c:v>0.85725432022117865</c:v>
                </c:pt>
                <c:pt idx="93">
                  <c:v>0.88916754291699995</c:v>
                </c:pt>
                <c:pt idx="94">
                  <c:v>0.92201310665558822</c:v>
                </c:pt>
                <c:pt idx="95">
                  <c:v>0.95588480864401626</c:v>
                </c:pt>
                <c:pt idx="96">
                  <c:v>0.99089033871030896</c:v>
                </c:pt>
                <c:pt idx="97">
                  <c:v>1.0271542729149752</c:v>
                </c:pt>
                <c:pt idx="98">
                  <c:v>1.0648219243888501</c:v>
                </c:pt>
                <c:pt idx="99">
                  <c:v>1.1040643662127521</c:v>
                </c:pt>
                <c:pt idx="100">
                  <c:v>1.1450850855563321</c:v>
                </c:pt>
                <c:pt idx="101">
                  <c:v>1.1881289540339981</c:v>
                </c:pt>
                <c:pt idx="102">
                  <c:v>1.2334945619686906</c:v>
                </c:pt>
                <c:pt idx="103">
                  <c:v>1.2815515655446004</c:v>
                </c:pt>
                <c:pt idx="104">
                  <c:v>1.3327657287523946</c:v>
                </c:pt>
                <c:pt idx="105">
                  <c:v>1.3877361911044332</c:v>
                </c:pt>
                <c:pt idx="106">
                  <c:v>1.4472529659444873</c:v>
                </c:pt>
                <c:pt idx="107">
                  <c:v>1.5123895860676804</c:v>
                </c:pt>
                <c:pt idx="108">
                  <c:v>1.5846605561450562</c:v>
                </c:pt>
                <c:pt idx="109">
                  <c:v>1.6663075490659311</c:v>
                </c:pt>
                <c:pt idx="110">
                  <c:v>1.7608672771355798</c:v>
                </c:pt>
                <c:pt idx="111">
                  <c:v>1.8744417383388301</c:v>
                </c:pt>
                <c:pt idx="112">
                  <c:v>2.0190862005831427</c:v>
                </c:pt>
                <c:pt idx="113">
                  <c:v>2.2249148262139804</c:v>
                </c:pt>
                <c:pt idx="114">
                  <c:v>2.6237933694069819</c:v>
                </c:pt>
              </c:numCache>
            </c:numRef>
          </c:xVal>
          <c:yVal>
            <c:numRef>
              <c:f>'Q-Q Plot Data'!$AD$3:$AD$117</c:f>
              <c:numCache>
                <c:formatCode>General</c:formatCode>
                <c:ptCount val="115"/>
                <c:pt idx="0">
                  <c:v>3.5486</c:v>
                </c:pt>
                <c:pt idx="1">
                  <c:v>3.7844000000000002</c:v>
                </c:pt>
                <c:pt idx="2">
                  <c:v>3.7963</c:v>
                </c:pt>
                <c:pt idx="3">
                  <c:v>4.0401999999999996</c:v>
                </c:pt>
                <c:pt idx="4">
                  <c:v>4.0798000000000014</c:v>
                </c:pt>
                <c:pt idx="5">
                  <c:v>4.3643999999999945</c:v>
                </c:pt>
                <c:pt idx="6">
                  <c:v>4.3974999999999955</c:v>
                </c:pt>
                <c:pt idx="7">
                  <c:v>4.4539999999999997</c:v>
                </c:pt>
                <c:pt idx="8">
                  <c:v>4.6116999999999999</c:v>
                </c:pt>
                <c:pt idx="9">
                  <c:v>4.6874999999999956</c:v>
                </c:pt>
                <c:pt idx="10">
                  <c:v>4.8003</c:v>
                </c:pt>
                <c:pt idx="11">
                  <c:v>4.8180999999999985</c:v>
                </c:pt>
                <c:pt idx="12">
                  <c:v>4.9349999999999996</c:v>
                </c:pt>
                <c:pt idx="13">
                  <c:v>4.9364000000000114</c:v>
                </c:pt>
                <c:pt idx="14">
                  <c:v>5.0358999999999998</c:v>
                </c:pt>
                <c:pt idx="15">
                  <c:v>5.1459999999999955</c:v>
                </c:pt>
                <c:pt idx="16">
                  <c:v>5.3244999999999845</c:v>
                </c:pt>
                <c:pt idx="17">
                  <c:v>5.3244999999999845</c:v>
                </c:pt>
                <c:pt idx="18">
                  <c:v>5.3672999999999975</c:v>
                </c:pt>
                <c:pt idx="19">
                  <c:v>5.4247999999999985</c:v>
                </c:pt>
                <c:pt idx="20">
                  <c:v>5.4450000000000003</c:v>
                </c:pt>
                <c:pt idx="21">
                  <c:v>5.4795000000000034</c:v>
                </c:pt>
                <c:pt idx="22">
                  <c:v>5.4887000000000024</c:v>
                </c:pt>
                <c:pt idx="23">
                  <c:v>5.5042999999999997</c:v>
                </c:pt>
                <c:pt idx="24">
                  <c:v>5.5213999999999999</c:v>
                </c:pt>
                <c:pt idx="25">
                  <c:v>5.5519999999999996</c:v>
                </c:pt>
                <c:pt idx="26">
                  <c:v>5.6364000000000001</c:v>
                </c:pt>
                <c:pt idx="27">
                  <c:v>5.6682999999999995</c:v>
                </c:pt>
                <c:pt idx="28">
                  <c:v>5.6827999999999985</c:v>
                </c:pt>
                <c:pt idx="29">
                  <c:v>5.8608999999999956</c:v>
                </c:pt>
                <c:pt idx="30">
                  <c:v>5.9073000000000002</c:v>
                </c:pt>
                <c:pt idx="31">
                  <c:v>5.9409999999999998</c:v>
                </c:pt>
                <c:pt idx="32">
                  <c:v>6.0183</c:v>
                </c:pt>
                <c:pt idx="33">
                  <c:v>6.0254999999999965</c:v>
                </c:pt>
                <c:pt idx="34">
                  <c:v>6.0739999999999998</c:v>
                </c:pt>
                <c:pt idx="35">
                  <c:v>6.1802999999999999</c:v>
                </c:pt>
                <c:pt idx="36">
                  <c:v>6.1907999999999985</c:v>
                </c:pt>
                <c:pt idx="37">
                  <c:v>6.1962999999999999</c:v>
                </c:pt>
                <c:pt idx="38">
                  <c:v>6.4226000000000001</c:v>
                </c:pt>
                <c:pt idx="39">
                  <c:v>6.6215999999999955</c:v>
                </c:pt>
                <c:pt idx="40">
                  <c:v>6.6326999999999998</c:v>
                </c:pt>
                <c:pt idx="41">
                  <c:v>6.6778999999999975</c:v>
                </c:pt>
                <c:pt idx="42">
                  <c:v>6.8567999999999998</c:v>
                </c:pt>
                <c:pt idx="43">
                  <c:v>6.8971999999999865</c:v>
                </c:pt>
                <c:pt idx="44">
                  <c:v>6.9148999999999985</c:v>
                </c:pt>
                <c:pt idx="45">
                  <c:v>6.9440999999999997</c:v>
                </c:pt>
                <c:pt idx="46">
                  <c:v>6.9706000000000534</c:v>
                </c:pt>
                <c:pt idx="47">
                  <c:v>7.0234999999999985</c:v>
                </c:pt>
                <c:pt idx="48">
                  <c:v>7.0785999999999998</c:v>
                </c:pt>
                <c:pt idx="49">
                  <c:v>7.0828999999999995</c:v>
                </c:pt>
                <c:pt idx="50">
                  <c:v>7.0987</c:v>
                </c:pt>
                <c:pt idx="51">
                  <c:v>7.0994000000000002</c:v>
                </c:pt>
                <c:pt idx="52">
                  <c:v>7.1442999999999985</c:v>
                </c:pt>
                <c:pt idx="53">
                  <c:v>7.1743999999999986</c:v>
                </c:pt>
                <c:pt idx="54">
                  <c:v>7.1996000000000002</c:v>
                </c:pt>
                <c:pt idx="55">
                  <c:v>7.2761000000000013</c:v>
                </c:pt>
                <c:pt idx="56">
                  <c:v>7.3036000000000003</c:v>
                </c:pt>
                <c:pt idx="57">
                  <c:v>7.4233000000000002</c:v>
                </c:pt>
                <c:pt idx="58">
                  <c:v>7.5380000000000003</c:v>
                </c:pt>
                <c:pt idx="59">
                  <c:v>7.5978999999999965</c:v>
                </c:pt>
                <c:pt idx="60">
                  <c:v>7.6314000000000002</c:v>
                </c:pt>
                <c:pt idx="61">
                  <c:v>7.6470999999999965</c:v>
                </c:pt>
                <c:pt idx="62">
                  <c:v>7.7003000000000004</c:v>
                </c:pt>
                <c:pt idx="63">
                  <c:v>7.7625999999999955</c:v>
                </c:pt>
                <c:pt idx="64">
                  <c:v>7.8433000000000002</c:v>
                </c:pt>
                <c:pt idx="65">
                  <c:v>7.8522999999999996</c:v>
                </c:pt>
                <c:pt idx="66">
                  <c:v>7.8906000000000001</c:v>
                </c:pt>
                <c:pt idx="67">
                  <c:v>7.9468000000000014</c:v>
                </c:pt>
                <c:pt idx="68">
                  <c:v>8.0676000000000005</c:v>
                </c:pt>
                <c:pt idx="69">
                  <c:v>8.1247000000000025</c:v>
                </c:pt>
                <c:pt idx="70">
                  <c:v>8.3490000000000002</c:v>
                </c:pt>
                <c:pt idx="71">
                  <c:v>8.3661000000000048</c:v>
                </c:pt>
                <c:pt idx="72">
                  <c:v>8.3718000000000004</c:v>
                </c:pt>
                <c:pt idx="73">
                  <c:v>8.4703000000000035</c:v>
                </c:pt>
                <c:pt idx="74">
                  <c:v>8.4714000000000027</c:v>
                </c:pt>
                <c:pt idx="75">
                  <c:v>8.7137000000000011</c:v>
                </c:pt>
                <c:pt idx="76">
                  <c:v>8.8368000000000002</c:v>
                </c:pt>
                <c:pt idx="77">
                  <c:v>8.8370000000000015</c:v>
                </c:pt>
                <c:pt idx="78">
                  <c:v>8.8370000000000015</c:v>
                </c:pt>
                <c:pt idx="79">
                  <c:v>8.8975000000000026</c:v>
                </c:pt>
                <c:pt idx="80">
                  <c:v>8.9233000000000011</c:v>
                </c:pt>
                <c:pt idx="81">
                  <c:v>8.9718</c:v>
                </c:pt>
                <c:pt idx="82">
                  <c:v>9.0172999999999988</c:v>
                </c:pt>
                <c:pt idx="83">
                  <c:v>9.123899999999999</c:v>
                </c:pt>
                <c:pt idx="84">
                  <c:v>9.123899999999999</c:v>
                </c:pt>
                <c:pt idx="85">
                  <c:v>9.1411999999999995</c:v>
                </c:pt>
                <c:pt idx="86">
                  <c:v>9.1501000000000001</c:v>
                </c:pt>
                <c:pt idx="87">
                  <c:v>9.2208999999999985</c:v>
                </c:pt>
                <c:pt idx="88">
                  <c:v>9.3266000000000027</c:v>
                </c:pt>
                <c:pt idx="89">
                  <c:v>9.3771000000000004</c:v>
                </c:pt>
                <c:pt idx="90">
                  <c:v>9.4225000000000048</c:v>
                </c:pt>
                <c:pt idx="91">
                  <c:v>9.5208000000000013</c:v>
                </c:pt>
                <c:pt idx="92">
                  <c:v>9.5665000000000067</c:v>
                </c:pt>
                <c:pt idx="93">
                  <c:v>9.6462999999999983</c:v>
                </c:pt>
                <c:pt idx="94">
                  <c:v>9.7614000000000001</c:v>
                </c:pt>
                <c:pt idx="95">
                  <c:v>10.0223</c:v>
                </c:pt>
                <c:pt idx="96">
                  <c:v>10.075600000000026</c:v>
                </c:pt>
                <c:pt idx="97">
                  <c:v>10.128299999999999</c:v>
                </c:pt>
                <c:pt idx="98">
                  <c:v>10.328299999999999</c:v>
                </c:pt>
                <c:pt idx="99">
                  <c:v>10.483400000000024</c:v>
                </c:pt>
                <c:pt idx="100">
                  <c:v>10.698099999999998</c:v>
                </c:pt>
                <c:pt idx="101">
                  <c:v>10.7829</c:v>
                </c:pt>
                <c:pt idx="102">
                  <c:v>10.929500000000004</c:v>
                </c:pt>
                <c:pt idx="103">
                  <c:v>10.955700000000126</c:v>
                </c:pt>
                <c:pt idx="104">
                  <c:v>11.101800000000001</c:v>
                </c:pt>
                <c:pt idx="105">
                  <c:v>11.169400000000024</c:v>
                </c:pt>
                <c:pt idx="106">
                  <c:v>11.4031</c:v>
                </c:pt>
                <c:pt idx="107">
                  <c:v>11.485000000000024</c:v>
                </c:pt>
                <c:pt idx="108">
                  <c:v>11.5197</c:v>
                </c:pt>
                <c:pt idx="109">
                  <c:v>11.577500000000002</c:v>
                </c:pt>
                <c:pt idx="110">
                  <c:v>12.2324</c:v>
                </c:pt>
                <c:pt idx="111">
                  <c:v>12.953800000000006</c:v>
                </c:pt>
                <c:pt idx="112">
                  <c:v>13.0839</c:v>
                </c:pt>
                <c:pt idx="113">
                  <c:v>15.9291</c:v>
                </c:pt>
                <c:pt idx="114">
                  <c:v>17.586299999999689</c:v>
                </c:pt>
              </c:numCache>
            </c:numRef>
          </c:yVal>
        </c:ser>
        <c:axId val="104596992"/>
        <c:axId val="104598912"/>
      </c:scatterChart>
      <c:valAx>
        <c:axId val="104596992"/>
        <c:scaling>
          <c:orientation val="minMax"/>
        </c:scaling>
        <c:axPos val="b"/>
        <c:title>
          <c:tx>
            <c:rich>
              <a:bodyPr/>
              <a:lstStyle/>
              <a:p>
                <a:pPr>
                  <a:defRPr>
                    <a:latin typeface="+mj-lt"/>
                  </a:defRPr>
                </a:pPr>
                <a:r>
                  <a:rPr lang="en-US">
                    <a:latin typeface="+mj-lt"/>
                  </a:rPr>
                  <a:t>Theoretical Quantile</a:t>
                </a:r>
              </a:p>
            </c:rich>
          </c:tx>
        </c:title>
        <c:numFmt formatCode="General" sourceLinked="1"/>
        <c:majorTickMark val="none"/>
        <c:tickLblPos val="nextTo"/>
        <c:crossAx val="104598912"/>
        <c:crosses val="autoZero"/>
        <c:crossBetween val="midCat"/>
      </c:valAx>
      <c:valAx>
        <c:axId val="104598912"/>
        <c:scaling>
          <c:orientation val="minMax"/>
        </c:scaling>
        <c:axPos val="l"/>
        <c:title>
          <c:tx>
            <c:rich>
              <a:bodyPr/>
              <a:lstStyle/>
              <a:p>
                <a:pPr>
                  <a:defRPr>
                    <a:latin typeface="+mj-lt"/>
                  </a:defRPr>
                </a:pPr>
                <a:r>
                  <a:rPr lang="en-US">
                    <a:latin typeface="+mj-lt"/>
                  </a:rPr>
                  <a:t>Sample Quantile</a:t>
                </a:r>
              </a:p>
            </c:rich>
          </c:tx>
        </c:title>
        <c:numFmt formatCode="General" sourceLinked="1"/>
        <c:majorTickMark val="none"/>
        <c:tickLblPos val="low"/>
        <c:crossAx val="104596992"/>
        <c:crossesAt val="-3"/>
        <c:crossBetween val="midCat"/>
      </c:valAx>
    </c:plotArea>
    <c:plotVisOnly val="1"/>
  </c:chart>
  <c:txPr>
    <a:bodyPr/>
    <a:lstStyle/>
    <a:p>
      <a:pPr>
        <a:defRPr baseline="0">
          <a:latin typeface="Cambria" pitchFamily="18" charset="0"/>
        </a:defRPr>
      </a:pPr>
      <a:endParaRPr lang="en-US"/>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sz="1400">
                <a:latin typeface="+mj-lt"/>
              </a:defRPr>
            </a:pPr>
            <a:r>
              <a:rPr lang="en-US" sz="1400">
                <a:latin typeface="+mj-lt"/>
              </a:rPr>
              <a:t>Residual Water Content, </a:t>
            </a:r>
            <a:r>
              <a:rPr lang="el-GR" sz="1400">
                <a:latin typeface="+mj-lt"/>
              </a:rPr>
              <a:t>ϴ</a:t>
            </a:r>
            <a:r>
              <a:rPr lang="en-US" sz="1400" baseline="-25000">
                <a:latin typeface="+mj-lt"/>
              </a:rPr>
              <a:t>r</a:t>
            </a:r>
            <a:r>
              <a:rPr lang="en-US" sz="1400">
                <a:latin typeface="+mj-lt"/>
              </a:rPr>
              <a:t> (cm</a:t>
            </a:r>
            <a:r>
              <a:rPr lang="en-US" sz="1400" baseline="30000">
                <a:latin typeface="+mj-lt"/>
              </a:rPr>
              <a:t>3</a:t>
            </a:r>
            <a:r>
              <a:rPr lang="en-US" sz="1400">
                <a:latin typeface="+mj-lt"/>
              </a:rPr>
              <a:t>/cm</a:t>
            </a:r>
            <a:r>
              <a:rPr lang="en-US" sz="1400" baseline="30000">
                <a:latin typeface="+mj-lt"/>
              </a:rPr>
              <a:t>3</a:t>
            </a:r>
            <a:r>
              <a:rPr lang="en-US" sz="1400">
                <a:latin typeface="+mj-lt"/>
              </a:rPr>
              <a:t>)</a:t>
            </a:r>
          </a:p>
        </c:rich>
      </c:tx>
      <c:layout>
        <c:manualLayout>
          <c:xMode val="edge"/>
          <c:yMode val="edge"/>
          <c:x val="0.22776423738107957"/>
          <c:y val="3.5532044562541151E-2"/>
        </c:manualLayout>
      </c:layout>
    </c:title>
    <c:plotArea>
      <c:layout>
        <c:manualLayout>
          <c:layoutTarget val="inner"/>
          <c:xMode val="edge"/>
          <c:yMode val="edge"/>
          <c:x val="0.13939573983272749"/>
          <c:y val="0.16024219744809434"/>
          <c:w val="0.82336969542093241"/>
          <c:h val="0.6082655509645456"/>
        </c:manualLayout>
      </c:layout>
      <c:scatterChart>
        <c:scatterStyle val="lineMarker"/>
        <c:ser>
          <c:idx val="0"/>
          <c:order val="0"/>
          <c:spPr>
            <a:ln w="28575">
              <a:noFill/>
            </a:ln>
          </c:spPr>
          <c:trendline>
            <c:trendlineType val="linear"/>
            <c:dispRSqr val="1"/>
            <c:dispEq val="1"/>
            <c:trendlineLbl>
              <c:layout>
                <c:manualLayout>
                  <c:x val="3.429408037991194E-2"/>
                  <c:y val="0.29784740449110525"/>
                </c:manualLayout>
              </c:layout>
              <c:numFmt formatCode="General" sourceLinked="0"/>
              <c:txPr>
                <a:bodyPr/>
                <a:lstStyle/>
                <a:p>
                  <a:pPr>
                    <a:defRPr baseline="0">
                      <a:latin typeface="Cambria" pitchFamily="18" charset="0"/>
                    </a:defRPr>
                  </a:pPr>
                  <a:endParaRPr lang="en-US"/>
                </a:p>
              </c:txPr>
            </c:trendlineLbl>
          </c:trendline>
          <c:xVal>
            <c:numRef>
              <c:f>'Q-Q Plot Data'!$Q$3:$Q$117</c:f>
              <c:numCache>
                <c:formatCode>General</c:formatCode>
                <c:ptCount val="115"/>
                <c:pt idx="0">
                  <c:v>-2.6237933694069819</c:v>
                </c:pt>
                <c:pt idx="1">
                  <c:v>-2.2249148262139813</c:v>
                </c:pt>
                <c:pt idx="2">
                  <c:v>-2.0190862005831427</c:v>
                </c:pt>
                <c:pt idx="3">
                  <c:v>-1.8744417383388301</c:v>
                </c:pt>
                <c:pt idx="4">
                  <c:v>-1.7608672771355798</c:v>
                </c:pt>
                <c:pt idx="5">
                  <c:v>-1.6663075490659311</c:v>
                </c:pt>
                <c:pt idx="6">
                  <c:v>-1.5846605561450571</c:v>
                </c:pt>
                <c:pt idx="7">
                  <c:v>-1.5123895860676804</c:v>
                </c:pt>
                <c:pt idx="8">
                  <c:v>-1.4472529659444886</c:v>
                </c:pt>
                <c:pt idx="9">
                  <c:v>-1.3877361911044332</c:v>
                </c:pt>
                <c:pt idx="10">
                  <c:v>-1.3327657287523951</c:v>
                </c:pt>
                <c:pt idx="11">
                  <c:v>-1.2815515655446004</c:v>
                </c:pt>
                <c:pt idx="12">
                  <c:v>-1.2334945619686919</c:v>
                </c:pt>
                <c:pt idx="13">
                  <c:v>-1.1881289540339981</c:v>
                </c:pt>
                <c:pt idx="14">
                  <c:v>-1.1450850855563321</c:v>
                </c:pt>
                <c:pt idx="15">
                  <c:v>-1.1040643662127523</c:v>
                </c:pt>
                <c:pt idx="16">
                  <c:v>-1.0648219243888501</c:v>
                </c:pt>
                <c:pt idx="17">
                  <c:v>-1.0271542729149763</c:v>
                </c:pt>
                <c:pt idx="18">
                  <c:v>-0.99089033871030896</c:v>
                </c:pt>
                <c:pt idx="19">
                  <c:v>-0.95588480864401693</c:v>
                </c:pt>
                <c:pt idx="20">
                  <c:v>-0.92201310665558822</c:v>
                </c:pt>
                <c:pt idx="21">
                  <c:v>-0.88916754291700029</c:v>
                </c:pt>
                <c:pt idx="22">
                  <c:v>-0.85725432022117865</c:v>
                </c:pt>
                <c:pt idx="23">
                  <c:v>-0.82619117743196502</c:v>
                </c:pt>
                <c:pt idx="24">
                  <c:v>-0.7959055132440368</c:v>
                </c:pt>
                <c:pt idx="25">
                  <c:v>-0.766332876827162</c:v>
                </c:pt>
                <c:pt idx="26">
                  <c:v>-0.73741574206609262</c:v>
                </c:pt>
                <c:pt idx="27">
                  <c:v>-0.7091025034090237</c:v>
                </c:pt>
                <c:pt idx="28">
                  <c:v>-0.68134664662180633</c:v>
                </c:pt>
                <c:pt idx="29">
                  <c:v>-0.65410605885892514</c:v>
                </c:pt>
                <c:pt idx="30">
                  <c:v>-0.62734245064752525</c:v>
                </c:pt>
                <c:pt idx="31">
                  <c:v>-0.60102086847700564</c:v>
                </c:pt>
                <c:pt idx="32">
                  <c:v>-0.57510928127843863</c:v>
                </c:pt>
                <c:pt idx="33">
                  <c:v>-0.54957822756786423</c:v>
                </c:pt>
                <c:pt idx="34">
                  <c:v>-0.52440051270804089</c:v>
                </c:pt>
                <c:pt idx="35">
                  <c:v>-0.49955094781682291</c:v>
                </c:pt>
                <c:pt idx="36">
                  <c:v>-0.47500612346948773</c:v>
                </c:pt>
                <c:pt idx="37">
                  <c:v>-0.45074421261535924</c:v>
                </c:pt>
                <c:pt idx="38">
                  <c:v>-0.42674479813694438</c:v>
                </c:pt>
                <c:pt idx="39">
                  <c:v>-0.40298872128356505</c:v>
                </c:pt>
                <c:pt idx="40">
                  <c:v>-0.37945794785597503</c:v>
                </c:pt>
                <c:pt idx="41">
                  <c:v>-0.35613544953856729</c:v>
                </c:pt>
                <c:pt idx="42">
                  <c:v>-0.33300509819730195</c:v>
                </c:pt>
                <c:pt idx="43">
                  <c:v>-0.3100515713055485</c:v>
                </c:pt>
                <c:pt idx="44">
                  <c:v>-0.28726026694159212</c:v>
                </c:pt>
                <c:pt idx="45">
                  <c:v>-0.26461722703292628</c:v>
                </c:pt>
                <c:pt idx="46">
                  <c:v>-0.24210906771350066</c:v>
                </c:pt>
                <c:pt idx="47">
                  <c:v>-0.21972291581857983</c:v>
                </c:pt>
                <c:pt idx="48">
                  <c:v>-0.19744635067280908</c:v>
                </c:pt>
                <c:pt idx="49">
                  <c:v>-0.17526735043641586</c:v>
                </c:pt>
                <c:pt idx="50">
                  <c:v>-0.15317424236531821</c:v>
                </c:pt>
                <c:pt idx="51">
                  <c:v>-0.1311556564163372</c:v>
                </c:pt>
                <c:pt idx="52">
                  <c:v>-0.10920048169143172</c:v>
                </c:pt>
                <c:pt idx="53">
                  <c:v>-8.7297825266754725E-2</c:v>
                </c:pt>
                <c:pt idx="54">
                  <c:v>-6.5436972994667733E-2</c:v>
                </c:pt>
                <c:pt idx="55">
                  <c:v>-4.3607351901347333E-2</c:v>
                </c:pt>
                <c:pt idx="56">
                  <c:v>-2.1798493829908429E-2</c:v>
                </c:pt>
                <c:pt idx="57">
                  <c:v>-1.3921376352919543E-16</c:v>
                </c:pt>
                <c:pt idx="58">
                  <c:v>2.1798493829908179E-2</c:v>
                </c:pt>
                <c:pt idx="59">
                  <c:v>4.3607351901346993E-2</c:v>
                </c:pt>
                <c:pt idx="60">
                  <c:v>6.5436972994667414E-2</c:v>
                </c:pt>
                <c:pt idx="61">
                  <c:v>8.7297825266754364E-2</c:v>
                </c:pt>
                <c:pt idx="62">
                  <c:v>0.10920048169143159</c:v>
                </c:pt>
                <c:pt idx="63">
                  <c:v>0.1311556564163372</c:v>
                </c:pt>
                <c:pt idx="64">
                  <c:v>0.15317424236531779</c:v>
                </c:pt>
                <c:pt idx="65">
                  <c:v>0.17526735043641586</c:v>
                </c:pt>
                <c:pt idx="66">
                  <c:v>0.19744635067280886</c:v>
                </c:pt>
                <c:pt idx="67">
                  <c:v>0.21972291581857983</c:v>
                </c:pt>
                <c:pt idx="68">
                  <c:v>0.24210906771350038</c:v>
                </c:pt>
                <c:pt idx="69">
                  <c:v>0.26461722703292589</c:v>
                </c:pt>
                <c:pt idx="70">
                  <c:v>0.28726026694159185</c:v>
                </c:pt>
                <c:pt idx="71">
                  <c:v>0.31005157130554784</c:v>
                </c:pt>
                <c:pt idx="72">
                  <c:v>0.33300509819730167</c:v>
                </c:pt>
                <c:pt idx="73">
                  <c:v>0.35613544953856724</c:v>
                </c:pt>
                <c:pt idx="74">
                  <c:v>0.37945794785597503</c:v>
                </c:pt>
                <c:pt idx="75">
                  <c:v>0.40298872128356461</c:v>
                </c:pt>
                <c:pt idx="76">
                  <c:v>0.42674479813694438</c:v>
                </c:pt>
                <c:pt idx="77">
                  <c:v>0.45074421261535913</c:v>
                </c:pt>
                <c:pt idx="78">
                  <c:v>0.47500612346948762</c:v>
                </c:pt>
                <c:pt idx="79">
                  <c:v>0.49955094781682258</c:v>
                </c:pt>
                <c:pt idx="80">
                  <c:v>0.52440051270804044</c:v>
                </c:pt>
                <c:pt idx="81">
                  <c:v>0.54957822756786379</c:v>
                </c:pt>
                <c:pt idx="82">
                  <c:v>0.57510928127843775</c:v>
                </c:pt>
                <c:pt idx="83">
                  <c:v>0.60102086847700564</c:v>
                </c:pt>
                <c:pt idx="84">
                  <c:v>0.62734245064752481</c:v>
                </c:pt>
                <c:pt idx="85">
                  <c:v>0.65410605885892514</c:v>
                </c:pt>
                <c:pt idx="86">
                  <c:v>0.68134664662180611</c:v>
                </c:pt>
                <c:pt idx="87">
                  <c:v>0.7091025034090237</c:v>
                </c:pt>
                <c:pt idx="88">
                  <c:v>0.73741574206609162</c:v>
                </c:pt>
                <c:pt idx="89">
                  <c:v>0.76633287682716167</c:v>
                </c:pt>
                <c:pt idx="90">
                  <c:v>0.79590551324403636</c:v>
                </c:pt>
                <c:pt idx="91">
                  <c:v>0.8261911774319648</c:v>
                </c:pt>
                <c:pt idx="92">
                  <c:v>0.85725432022117865</c:v>
                </c:pt>
                <c:pt idx="93">
                  <c:v>0.88916754291699995</c:v>
                </c:pt>
                <c:pt idx="94">
                  <c:v>0.92201310665558822</c:v>
                </c:pt>
                <c:pt idx="95">
                  <c:v>0.95588480864401626</c:v>
                </c:pt>
                <c:pt idx="96">
                  <c:v>0.99089033871030896</c:v>
                </c:pt>
                <c:pt idx="97">
                  <c:v>1.0271542729149752</c:v>
                </c:pt>
                <c:pt idx="98">
                  <c:v>1.0648219243888501</c:v>
                </c:pt>
                <c:pt idx="99">
                  <c:v>1.1040643662127521</c:v>
                </c:pt>
                <c:pt idx="100">
                  <c:v>1.1450850855563321</c:v>
                </c:pt>
                <c:pt idx="101">
                  <c:v>1.1881289540339981</c:v>
                </c:pt>
                <c:pt idx="102">
                  <c:v>1.2334945619686906</c:v>
                </c:pt>
                <c:pt idx="103">
                  <c:v>1.2815515655446004</c:v>
                </c:pt>
                <c:pt idx="104">
                  <c:v>1.3327657287523946</c:v>
                </c:pt>
                <c:pt idx="105">
                  <c:v>1.3877361911044332</c:v>
                </c:pt>
                <c:pt idx="106">
                  <c:v>1.4472529659444873</c:v>
                </c:pt>
                <c:pt idx="107">
                  <c:v>1.5123895860676804</c:v>
                </c:pt>
                <c:pt idx="108">
                  <c:v>1.5846605561450562</c:v>
                </c:pt>
                <c:pt idx="109">
                  <c:v>1.6663075490659311</c:v>
                </c:pt>
                <c:pt idx="110">
                  <c:v>1.7608672771355798</c:v>
                </c:pt>
                <c:pt idx="111">
                  <c:v>1.8744417383388301</c:v>
                </c:pt>
                <c:pt idx="112">
                  <c:v>2.0190862005831427</c:v>
                </c:pt>
                <c:pt idx="113">
                  <c:v>2.2249148262139804</c:v>
                </c:pt>
                <c:pt idx="114">
                  <c:v>2.6237933694069819</c:v>
                </c:pt>
              </c:numCache>
            </c:numRef>
          </c:xVal>
          <c:yVal>
            <c:numRef>
              <c:f>'Q-Q Plot Data'!$R$3:$R$117</c:f>
              <c:numCache>
                <c:formatCode>General</c:formatCode>
                <c:ptCount val="115"/>
                <c:pt idx="0">
                  <c:v>0</c:v>
                </c:pt>
                <c:pt idx="1">
                  <c:v>0</c:v>
                </c:pt>
                <c:pt idx="2">
                  <c:v>0</c:v>
                </c:pt>
                <c:pt idx="3">
                  <c:v>9.1000000000000004E-3</c:v>
                </c:pt>
                <c:pt idx="4">
                  <c:v>9.6000000000000026E-3</c:v>
                </c:pt>
                <c:pt idx="5">
                  <c:v>1.0000000000000005E-2</c:v>
                </c:pt>
                <c:pt idx="6">
                  <c:v>1.0100000000000001E-2</c:v>
                </c:pt>
                <c:pt idx="7">
                  <c:v>1.1100000000000203E-2</c:v>
                </c:pt>
                <c:pt idx="8">
                  <c:v>1.2E-2</c:v>
                </c:pt>
                <c:pt idx="9">
                  <c:v>1.2300000000000005E-2</c:v>
                </c:pt>
                <c:pt idx="10">
                  <c:v>1.2300000000000005E-2</c:v>
                </c:pt>
                <c:pt idx="11">
                  <c:v>1.2500000000000001E-2</c:v>
                </c:pt>
                <c:pt idx="12">
                  <c:v>1.3599999999999998E-2</c:v>
                </c:pt>
                <c:pt idx="13">
                  <c:v>1.3899999999999999E-2</c:v>
                </c:pt>
                <c:pt idx="14">
                  <c:v>1.4400000000000001E-2</c:v>
                </c:pt>
                <c:pt idx="15">
                  <c:v>1.5599999999999998E-2</c:v>
                </c:pt>
                <c:pt idx="16">
                  <c:v>1.6000000000000021E-2</c:v>
                </c:pt>
                <c:pt idx="17">
                  <c:v>1.7600000000000001E-2</c:v>
                </c:pt>
                <c:pt idx="18">
                  <c:v>1.7800000000000003E-2</c:v>
                </c:pt>
                <c:pt idx="19">
                  <c:v>1.7899999999999999E-2</c:v>
                </c:pt>
                <c:pt idx="20">
                  <c:v>1.7999999999999999E-2</c:v>
                </c:pt>
                <c:pt idx="21">
                  <c:v>1.8400000000000041E-2</c:v>
                </c:pt>
                <c:pt idx="22">
                  <c:v>1.8900000000000299E-2</c:v>
                </c:pt>
                <c:pt idx="23">
                  <c:v>1.9000000000000298E-2</c:v>
                </c:pt>
                <c:pt idx="24">
                  <c:v>1.9000000000000298E-2</c:v>
                </c:pt>
                <c:pt idx="25">
                  <c:v>1.9699999999999999E-2</c:v>
                </c:pt>
                <c:pt idx="26">
                  <c:v>2.0000000000000011E-2</c:v>
                </c:pt>
                <c:pt idx="27">
                  <c:v>2.01E-2</c:v>
                </c:pt>
                <c:pt idx="28">
                  <c:v>2.0500000000000001E-2</c:v>
                </c:pt>
                <c:pt idx="29">
                  <c:v>2.0799999999999999E-2</c:v>
                </c:pt>
                <c:pt idx="30">
                  <c:v>2.0900000000000002E-2</c:v>
                </c:pt>
                <c:pt idx="31">
                  <c:v>2.0900000000000002E-2</c:v>
                </c:pt>
                <c:pt idx="32">
                  <c:v>2.1000000000000012E-2</c:v>
                </c:pt>
                <c:pt idx="33">
                  <c:v>2.1100000000000001E-2</c:v>
                </c:pt>
                <c:pt idx="34">
                  <c:v>2.1900000000000006E-2</c:v>
                </c:pt>
                <c:pt idx="35">
                  <c:v>2.1900000000000006E-2</c:v>
                </c:pt>
                <c:pt idx="36">
                  <c:v>2.1999999999999999E-2</c:v>
                </c:pt>
                <c:pt idx="37">
                  <c:v>2.1999999999999999E-2</c:v>
                </c:pt>
                <c:pt idx="38">
                  <c:v>2.2400000000000052E-2</c:v>
                </c:pt>
                <c:pt idx="39">
                  <c:v>2.2600000000000012E-2</c:v>
                </c:pt>
                <c:pt idx="40">
                  <c:v>2.2700000000000001E-2</c:v>
                </c:pt>
                <c:pt idx="41">
                  <c:v>2.3400000000000001E-2</c:v>
                </c:pt>
                <c:pt idx="42">
                  <c:v>2.35E-2</c:v>
                </c:pt>
                <c:pt idx="43">
                  <c:v>2.3599999999999993E-2</c:v>
                </c:pt>
                <c:pt idx="44">
                  <c:v>2.3800000000000002E-2</c:v>
                </c:pt>
                <c:pt idx="45">
                  <c:v>2.4E-2</c:v>
                </c:pt>
                <c:pt idx="46">
                  <c:v>2.4199999999999989E-2</c:v>
                </c:pt>
                <c:pt idx="47">
                  <c:v>2.4199999999999989E-2</c:v>
                </c:pt>
                <c:pt idx="48">
                  <c:v>2.4299999999999999E-2</c:v>
                </c:pt>
                <c:pt idx="49">
                  <c:v>2.47E-2</c:v>
                </c:pt>
                <c:pt idx="50">
                  <c:v>2.4799999999999999E-2</c:v>
                </c:pt>
                <c:pt idx="51">
                  <c:v>2.4799999999999999E-2</c:v>
                </c:pt>
                <c:pt idx="52">
                  <c:v>2.5100000000000001E-2</c:v>
                </c:pt>
                <c:pt idx="53">
                  <c:v>2.5200000000000011E-2</c:v>
                </c:pt>
                <c:pt idx="54">
                  <c:v>2.53E-2</c:v>
                </c:pt>
                <c:pt idx="55">
                  <c:v>2.5399999999999999E-2</c:v>
                </c:pt>
                <c:pt idx="56">
                  <c:v>2.5399999999999999E-2</c:v>
                </c:pt>
                <c:pt idx="57">
                  <c:v>2.5500000000000002E-2</c:v>
                </c:pt>
                <c:pt idx="58">
                  <c:v>2.5800000000000052E-2</c:v>
                </c:pt>
                <c:pt idx="59">
                  <c:v>2.6100000000000002E-2</c:v>
                </c:pt>
                <c:pt idx="60">
                  <c:v>2.63E-2</c:v>
                </c:pt>
                <c:pt idx="61">
                  <c:v>2.6700000000000002E-2</c:v>
                </c:pt>
                <c:pt idx="62">
                  <c:v>2.6800000000000056E-2</c:v>
                </c:pt>
                <c:pt idx="63">
                  <c:v>2.6800000000000056E-2</c:v>
                </c:pt>
                <c:pt idx="64">
                  <c:v>2.6800000000000056E-2</c:v>
                </c:pt>
                <c:pt idx="65">
                  <c:v>2.6900000000000011E-2</c:v>
                </c:pt>
                <c:pt idx="66">
                  <c:v>2.7000000000000256E-2</c:v>
                </c:pt>
                <c:pt idx="67">
                  <c:v>2.7100000000000006E-2</c:v>
                </c:pt>
                <c:pt idx="68">
                  <c:v>2.7300000000000001E-2</c:v>
                </c:pt>
                <c:pt idx="69">
                  <c:v>2.7700000000000002E-2</c:v>
                </c:pt>
                <c:pt idx="70">
                  <c:v>2.81E-2</c:v>
                </c:pt>
                <c:pt idx="71">
                  <c:v>2.8400000000000002E-2</c:v>
                </c:pt>
                <c:pt idx="72">
                  <c:v>2.8899999999999999E-2</c:v>
                </c:pt>
                <c:pt idx="73">
                  <c:v>2.8899999999999999E-2</c:v>
                </c:pt>
                <c:pt idx="74">
                  <c:v>2.9000000000000001E-2</c:v>
                </c:pt>
                <c:pt idx="75">
                  <c:v>2.9100000000000001E-2</c:v>
                </c:pt>
                <c:pt idx="76">
                  <c:v>2.93E-2</c:v>
                </c:pt>
                <c:pt idx="77">
                  <c:v>2.9899999999999999E-2</c:v>
                </c:pt>
                <c:pt idx="78">
                  <c:v>3.0700000000000002E-2</c:v>
                </c:pt>
                <c:pt idx="79">
                  <c:v>3.0700000000000002E-2</c:v>
                </c:pt>
                <c:pt idx="80">
                  <c:v>3.0800000000000011E-2</c:v>
                </c:pt>
                <c:pt idx="81">
                  <c:v>3.1100000000000006E-2</c:v>
                </c:pt>
                <c:pt idx="82">
                  <c:v>3.1300000000000001E-2</c:v>
                </c:pt>
                <c:pt idx="83">
                  <c:v>3.1399999999999997E-2</c:v>
                </c:pt>
                <c:pt idx="84">
                  <c:v>3.15E-2</c:v>
                </c:pt>
                <c:pt idx="85">
                  <c:v>3.1700000000000006E-2</c:v>
                </c:pt>
                <c:pt idx="86">
                  <c:v>3.210000000000001E-2</c:v>
                </c:pt>
                <c:pt idx="87">
                  <c:v>3.32E-2</c:v>
                </c:pt>
                <c:pt idx="88">
                  <c:v>3.3399999999999999E-2</c:v>
                </c:pt>
                <c:pt idx="89">
                  <c:v>3.3399999999999999E-2</c:v>
                </c:pt>
                <c:pt idx="90">
                  <c:v>3.4200000000000001E-2</c:v>
                </c:pt>
                <c:pt idx="91">
                  <c:v>3.4599999999999999E-2</c:v>
                </c:pt>
                <c:pt idx="92">
                  <c:v>3.49E-2</c:v>
                </c:pt>
                <c:pt idx="93">
                  <c:v>3.5099999999999999E-2</c:v>
                </c:pt>
                <c:pt idx="94">
                  <c:v>3.5600000000000041E-2</c:v>
                </c:pt>
                <c:pt idx="95">
                  <c:v>3.61E-2</c:v>
                </c:pt>
                <c:pt idx="96">
                  <c:v>3.6300000000000006E-2</c:v>
                </c:pt>
                <c:pt idx="97">
                  <c:v>3.6999999999999998E-2</c:v>
                </c:pt>
                <c:pt idx="98">
                  <c:v>3.7500000000000006E-2</c:v>
                </c:pt>
                <c:pt idx="99">
                  <c:v>3.7700000000000011E-2</c:v>
                </c:pt>
                <c:pt idx="100">
                  <c:v>3.95E-2</c:v>
                </c:pt>
                <c:pt idx="101">
                  <c:v>4.1099999999999998E-2</c:v>
                </c:pt>
                <c:pt idx="102">
                  <c:v>4.1800000000000004E-2</c:v>
                </c:pt>
                <c:pt idx="103">
                  <c:v>4.2000000000000023E-2</c:v>
                </c:pt>
                <c:pt idx="104">
                  <c:v>4.2900000000000021E-2</c:v>
                </c:pt>
                <c:pt idx="105">
                  <c:v>4.3199999999999995E-2</c:v>
                </c:pt>
                <c:pt idx="106">
                  <c:v>4.3199999999999995E-2</c:v>
                </c:pt>
                <c:pt idx="107">
                  <c:v>4.4299999999999999E-2</c:v>
                </c:pt>
                <c:pt idx="108">
                  <c:v>4.4800000000000034E-2</c:v>
                </c:pt>
                <c:pt idx="109">
                  <c:v>4.6199999999999998E-2</c:v>
                </c:pt>
                <c:pt idx="110">
                  <c:v>4.6300000000000001E-2</c:v>
                </c:pt>
                <c:pt idx="111">
                  <c:v>4.6899999999999997E-2</c:v>
                </c:pt>
                <c:pt idx="112">
                  <c:v>4.9900000000000014E-2</c:v>
                </c:pt>
                <c:pt idx="113">
                  <c:v>0.05</c:v>
                </c:pt>
                <c:pt idx="114">
                  <c:v>6.1300000000000014E-2</c:v>
                </c:pt>
              </c:numCache>
            </c:numRef>
          </c:yVal>
        </c:ser>
        <c:axId val="124481536"/>
        <c:axId val="124483456"/>
      </c:scatterChart>
      <c:valAx>
        <c:axId val="124481536"/>
        <c:scaling>
          <c:orientation val="minMax"/>
        </c:scaling>
        <c:axPos val="b"/>
        <c:title>
          <c:tx>
            <c:rich>
              <a:bodyPr/>
              <a:lstStyle/>
              <a:p>
                <a:pPr>
                  <a:defRPr>
                    <a:latin typeface="+mj-lt"/>
                  </a:defRPr>
                </a:pPr>
                <a:r>
                  <a:rPr lang="en-US">
                    <a:latin typeface="+mj-lt"/>
                  </a:rPr>
                  <a:t>Theoretical Quantile</a:t>
                </a:r>
              </a:p>
            </c:rich>
          </c:tx>
          <c:layout>
            <c:manualLayout>
              <c:xMode val="edge"/>
              <c:yMode val="edge"/>
              <c:x val="0.416417562409166"/>
              <c:y val="0.90462479318798061"/>
            </c:manualLayout>
          </c:layout>
        </c:title>
        <c:numFmt formatCode="General" sourceLinked="1"/>
        <c:majorTickMark val="none"/>
        <c:tickLblPos val="nextTo"/>
        <c:txPr>
          <a:bodyPr/>
          <a:lstStyle/>
          <a:p>
            <a:pPr>
              <a:defRPr baseline="0">
                <a:latin typeface="Cambria" pitchFamily="18" charset="0"/>
              </a:defRPr>
            </a:pPr>
            <a:endParaRPr lang="en-US"/>
          </a:p>
        </c:txPr>
        <c:crossAx val="124483456"/>
        <c:crosses val="autoZero"/>
        <c:crossBetween val="midCat"/>
      </c:valAx>
      <c:valAx>
        <c:axId val="124483456"/>
        <c:scaling>
          <c:orientation val="minMax"/>
          <c:min val="0"/>
        </c:scaling>
        <c:axPos val="l"/>
        <c:title>
          <c:tx>
            <c:rich>
              <a:bodyPr/>
              <a:lstStyle/>
              <a:p>
                <a:pPr>
                  <a:defRPr>
                    <a:latin typeface="+mj-lt"/>
                  </a:defRPr>
                </a:pPr>
                <a:r>
                  <a:rPr lang="en-US">
                    <a:latin typeface="+mj-lt"/>
                  </a:rPr>
                  <a:t>Sample Quantile</a:t>
                </a:r>
              </a:p>
            </c:rich>
          </c:tx>
          <c:layout>
            <c:manualLayout>
              <c:xMode val="edge"/>
              <c:yMode val="edge"/>
              <c:x val="1.0818120351588923E-2"/>
              <c:y val="0.28960023561411258"/>
            </c:manualLayout>
          </c:layout>
        </c:title>
        <c:numFmt formatCode="General" sourceLinked="1"/>
        <c:majorTickMark val="none"/>
        <c:tickLblPos val="low"/>
        <c:txPr>
          <a:bodyPr/>
          <a:lstStyle/>
          <a:p>
            <a:pPr>
              <a:defRPr baseline="0">
                <a:latin typeface="Cambria" pitchFamily="18" charset="0"/>
              </a:defRPr>
            </a:pPr>
            <a:endParaRPr lang="en-US"/>
          </a:p>
        </c:txPr>
        <c:crossAx val="124481536"/>
        <c:crossesAt val="-3"/>
        <c:crossBetween val="midCat"/>
      </c:valAx>
    </c:plotArea>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sz="1400" baseline="0">
                <a:latin typeface="Cambria" pitchFamily="18" charset="0"/>
              </a:rPr>
              <a:t>Inverse Saturated Water Content, 1/</a:t>
            </a:r>
            <a:r>
              <a:rPr lang="el-GR" sz="1400" baseline="0">
                <a:latin typeface="Cambria" pitchFamily="18" charset="0"/>
              </a:rPr>
              <a:t>ϴ</a:t>
            </a:r>
            <a:r>
              <a:rPr lang="en-US" sz="1400" baseline="-25000">
                <a:latin typeface="Cambria" pitchFamily="18" charset="0"/>
              </a:rPr>
              <a:t>s</a:t>
            </a:r>
            <a:r>
              <a:rPr lang="en-US" sz="1400" baseline="0">
                <a:latin typeface="Cambria" pitchFamily="18" charset="0"/>
              </a:rPr>
              <a:t> (cm</a:t>
            </a:r>
            <a:r>
              <a:rPr lang="en-US" sz="1400" baseline="30000">
                <a:latin typeface="Cambria" pitchFamily="18" charset="0"/>
              </a:rPr>
              <a:t>3</a:t>
            </a:r>
            <a:r>
              <a:rPr lang="en-US" sz="1400" baseline="0">
                <a:latin typeface="Cambria" pitchFamily="18" charset="0"/>
              </a:rPr>
              <a:t>/cm</a:t>
            </a:r>
            <a:r>
              <a:rPr lang="en-US" sz="1400" baseline="30000">
                <a:latin typeface="Cambria" pitchFamily="18" charset="0"/>
              </a:rPr>
              <a:t>3</a:t>
            </a:r>
            <a:r>
              <a:rPr lang="en-US" sz="1400" baseline="0">
                <a:latin typeface="Cambria" pitchFamily="18" charset="0"/>
              </a:rPr>
              <a:t>)</a:t>
            </a:r>
          </a:p>
        </c:rich>
      </c:tx>
      <c:layout>
        <c:manualLayout>
          <c:xMode val="edge"/>
          <c:yMode val="edge"/>
          <c:x val="0.20754200620208094"/>
          <c:y val="2.7777757878501886E-2"/>
        </c:manualLayout>
      </c:layout>
    </c:title>
    <c:plotArea>
      <c:layout/>
      <c:scatterChart>
        <c:scatterStyle val="lineMarker"/>
        <c:ser>
          <c:idx val="0"/>
          <c:order val="0"/>
          <c:spPr>
            <a:ln w="28575">
              <a:noFill/>
            </a:ln>
          </c:spPr>
          <c:trendline>
            <c:trendlineType val="linear"/>
            <c:dispRSqr val="1"/>
            <c:dispEq val="1"/>
            <c:trendlineLbl>
              <c:layout>
                <c:manualLayout>
                  <c:x val="3.9141945940638904E-2"/>
                  <c:y val="0.27278907844852729"/>
                </c:manualLayout>
              </c:layout>
              <c:numFmt formatCode="General" sourceLinked="0"/>
              <c:txPr>
                <a:bodyPr/>
                <a:lstStyle/>
                <a:p>
                  <a:pPr>
                    <a:defRPr baseline="0">
                      <a:latin typeface="Cambria" pitchFamily="18" charset="0"/>
                    </a:defRPr>
                  </a:pPr>
                  <a:endParaRPr lang="en-US"/>
                </a:p>
              </c:txPr>
            </c:trendlineLbl>
          </c:trendline>
          <c:xVal>
            <c:numRef>
              <c:f>Sheet1!$J$2:$J$116</c:f>
              <c:numCache>
                <c:formatCode>General</c:formatCode>
                <c:ptCount val="115"/>
                <c:pt idx="0">
                  <c:v>-2.6237933694069571</c:v>
                </c:pt>
                <c:pt idx="1">
                  <c:v>-2.2249148262139626</c:v>
                </c:pt>
                <c:pt idx="2">
                  <c:v>-2.0190862005831427</c:v>
                </c:pt>
                <c:pt idx="3">
                  <c:v>-1.8744417383388301</c:v>
                </c:pt>
                <c:pt idx="4">
                  <c:v>-1.7608672771355798</c:v>
                </c:pt>
                <c:pt idx="5">
                  <c:v>-1.6663075490659209</c:v>
                </c:pt>
                <c:pt idx="6">
                  <c:v>-1.5846605561450571</c:v>
                </c:pt>
                <c:pt idx="7">
                  <c:v>-1.5123895860676804</c:v>
                </c:pt>
                <c:pt idx="8">
                  <c:v>-1.4472529659444886</c:v>
                </c:pt>
                <c:pt idx="9">
                  <c:v>-1.3877361911044424</c:v>
                </c:pt>
                <c:pt idx="10">
                  <c:v>-1.3327657287523951</c:v>
                </c:pt>
                <c:pt idx="11">
                  <c:v>-1.2815515655446004</c:v>
                </c:pt>
                <c:pt idx="12">
                  <c:v>-1.2334945619686919</c:v>
                </c:pt>
                <c:pt idx="13">
                  <c:v>-1.1881289540339981</c:v>
                </c:pt>
                <c:pt idx="14">
                  <c:v>-1.1450850855563288</c:v>
                </c:pt>
                <c:pt idx="15">
                  <c:v>-1.1040643662127523</c:v>
                </c:pt>
                <c:pt idx="16">
                  <c:v>-1.0648219243888501</c:v>
                </c:pt>
                <c:pt idx="17">
                  <c:v>-1.0271542729149867</c:v>
                </c:pt>
                <c:pt idx="18">
                  <c:v>-0.99089033871030896</c:v>
                </c:pt>
                <c:pt idx="19">
                  <c:v>-0.95588480864401182</c:v>
                </c:pt>
                <c:pt idx="20">
                  <c:v>-0.92201310665558378</c:v>
                </c:pt>
                <c:pt idx="21">
                  <c:v>-0.88916754291700539</c:v>
                </c:pt>
                <c:pt idx="22">
                  <c:v>-0.85725432022117865</c:v>
                </c:pt>
                <c:pt idx="23">
                  <c:v>-0.82619117743196502</c:v>
                </c:pt>
                <c:pt idx="24">
                  <c:v>-0.79590551324403158</c:v>
                </c:pt>
                <c:pt idx="25">
                  <c:v>-0.766332876827162</c:v>
                </c:pt>
                <c:pt idx="26">
                  <c:v>-0.73741574206609262</c:v>
                </c:pt>
                <c:pt idx="27">
                  <c:v>-0.7091025034090237</c:v>
                </c:pt>
                <c:pt idx="28">
                  <c:v>-0.68134664662180233</c:v>
                </c:pt>
                <c:pt idx="29">
                  <c:v>-0.65410605885892514</c:v>
                </c:pt>
                <c:pt idx="30">
                  <c:v>-0.62734245064752014</c:v>
                </c:pt>
                <c:pt idx="31">
                  <c:v>-0.60102086847700564</c:v>
                </c:pt>
                <c:pt idx="32">
                  <c:v>-0.57510928127843863</c:v>
                </c:pt>
                <c:pt idx="33">
                  <c:v>-0.54957822756786423</c:v>
                </c:pt>
                <c:pt idx="34">
                  <c:v>-0.52440051270804089</c:v>
                </c:pt>
                <c:pt idx="35">
                  <c:v>-0.49955094781682036</c:v>
                </c:pt>
                <c:pt idx="36">
                  <c:v>-0.47500612346948551</c:v>
                </c:pt>
                <c:pt idx="37">
                  <c:v>-0.45074421261535924</c:v>
                </c:pt>
                <c:pt idx="38">
                  <c:v>-0.42674479813694438</c:v>
                </c:pt>
                <c:pt idx="39">
                  <c:v>-0.40298872128356106</c:v>
                </c:pt>
                <c:pt idx="40">
                  <c:v>-0.37945794785597203</c:v>
                </c:pt>
                <c:pt idx="41">
                  <c:v>-0.35613544953856729</c:v>
                </c:pt>
                <c:pt idx="42">
                  <c:v>-0.33300509819729968</c:v>
                </c:pt>
                <c:pt idx="43">
                  <c:v>-0.31005157130554423</c:v>
                </c:pt>
                <c:pt idx="44">
                  <c:v>-0.28726026694159212</c:v>
                </c:pt>
                <c:pt idx="45">
                  <c:v>-0.26461722703292628</c:v>
                </c:pt>
                <c:pt idx="46">
                  <c:v>-0.24210906771350066</c:v>
                </c:pt>
                <c:pt idx="47">
                  <c:v>-0.21972291581857983</c:v>
                </c:pt>
                <c:pt idx="48">
                  <c:v>-0.1974463506728073</c:v>
                </c:pt>
                <c:pt idx="49">
                  <c:v>-0.17526735043641375</c:v>
                </c:pt>
                <c:pt idx="50">
                  <c:v>-0.15317424236531821</c:v>
                </c:pt>
                <c:pt idx="51">
                  <c:v>-0.1311556564163372</c:v>
                </c:pt>
                <c:pt idx="52">
                  <c:v>-0.10920048169143172</c:v>
                </c:pt>
                <c:pt idx="53">
                  <c:v>-8.7297825266754725E-2</c:v>
                </c:pt>
                <c:pt idx="54">
                  <c:v>-6.5436972994667733E-2</c:v>
                </c:pt>
                <c:pt idx="55">
                  <c:v>-4.3607351901347333E-2</c:v>
                </c:pt>
                <c:pt idx="56">
                  <c:v>-2.1798493829908429E-2</c:v>
                </c:pt>
                <c:pt idx="57">
                  <c:v>-1.3921376352919025E-16</c:v>
                </c:pt>
                <c:pt idx="58">
                  <c:v>2.1798493829908179E-2</c:v>
                </c:pt>
                <c:pt idx="59">
                  <c:v>4.3607351901346993E-2</c:v>
                </c:pt>
                <c:pt idx="60">
                  <c:v>6.5436972994667414E-2</c:v>
                </c:pt>
                <c:pt idx="61">
                  <c:v>8.7297825266754364E-2</c:v>
                </c:pt>
                <c:pt idx="62">
                  <c:v>0.10920048169143159</c:v>
                </c:pt>
                <c:pt idx="63">
                  <c:v>0.1311556564163372</c:v>
                </c:pt>
                <c:pt idx="64">
                  <c:v>0.15317424236531779</c:v>
                </c:pt>
                <c:pt idx="65">
                  <c:v>0.17526735043641375</c:v>
                </c:pt>
                <c:pt idx="66">
                  <c:v>0.19744635067280703</c:v>
                </c:pt>
                <c:pt idx="67">
                  <c:v>0.21972291581857983</c:v>
                </c:pt>
                <c:pt idx="68">
                  <c:v>0.24210906771350038</c:v>
                </c:pt>
                <c:pt idx="69">
                  <c:v>0.26461722703292589</c:v>
                </c:pt>
                <c:pt idx="70">
                  <c:v>0.28726026694159185</c:v>
                </c:pt>
                <c:pt idx="71">
                  <c:v>0.31005157130554351</c:v>
                </c:pt>
                <c:pt idx="72">
                  <c:v>0.33300509819729945</c:v>
                </c:pt>
                <c:pt idx="73">
                  <c:v>0.35613544953856724</c:v>
                </c:pt>
                <c:pt idx="74">
                  <c:v>0.37945794785597203</c:v>
                </c:pt>
                <c:pt idx="75">
                  <c:v>0.40298872128356061</c:v>
                </c:pt>
                <c:pt idx="76">
                  <c:v>0.42674479813694438</c:v>
                </c:pt>
                <c:pt idx="77">
                  <c:v>0.45074421261535913</c:v>
                </c:pt>
                <c:pt idx="78">
                  <c:v>0.4750061234694854</c:v>
                </c:pt>
                <c:pt idx="79">
                  <c:v>0.49955094781682002</c:v>
                </c:pt>
                <c:pt idx="80">
                  <c:v>0.52440051270804044</c:v>
                </c:pt>
                <c:pt idx="81">
                  <c:v>0.54957822756786379</c:v>
                </c:pt>
                <c:pt idx="82">
                  <c:v>0.57510928127843775</c:v>
                </c:pt>
                <c:pt idx="83">
                  <c:v>0.60102086847700564</c:v>
                </c:pt>
                <c:pt idx="84">
                  <c:v>0.6273424506475197</c:v>
                </c:pt>
                <c:pt idx="85">
                  <c:v>0.65410605885892514</c:v>
                </c:pt>
                <c:pt idx="86">
                  <c:v>0.68134664662180211</c:v>
                </c:pt>
                <c:pt idx="87">
                  <c:v>0.7091025034090237</c:v>
                </c:pt>
                <c:pt idx="88">
                  <c:v>0.73741574206609162</c:v>
                </c:pt>
                <c:pt idx="89">
                  <c:v>0.76633287682716167</c:v>
                </c:pt>
                <c:pt idx="90">
                  <c:v>0.79590551324403125</c:v>
                </c:pt>
                <c:pt idx="91">
                  <c:v>0.8261911774319648</c:v>
                </c:pt>
                <c:pt idx="92">
                  <c:v>0.85725432022117865</c:v>
                </c:pt>
                <c:pt idx="93">
                  <c:v>0.88916754291700506</c:v>
                </c:pt>
                <c:pt idx="94">
                  <c:v>0.92201310665558378</c:v>
                </c:pt>
                <c:pt idx="95">
                  <c:v>0.95588480864401115</c:v>
                </c:pt>
                <c:pt idx="96">
                  <c:v>0.99089033871030896</c:v>
                </c:pt>
                <c:pt idx="97">
                  <c:v>1.0271542729149854</c:v>
                </c:pt>
                <c:pt idx="98">
                  <c:v>1.0648219243888501</c:v>
                </c:pt>
                <c:pt idx="99">
                  <c:v>1.1040643662127521</c:v>
                </c:pt>
                <c:pt idx="100">
                  <c:v>1.1450850855563284</c:v>
                </c:pt>
                <c:pt idx="101">
                  <c:v>1.1881289540339981</c:v>
                </c:pt>
                <c:pt idx="102">
                  <c:v>1.2334945619686906</c:v>
                </c:pt>
                <c:pt idx="103">
                  <c:v>1.2815515655446004</c:v>
                </c:pt>
                <c:pt idx="104">
                  <c:v>1.3327657287523946</c:v>
                </c:pt>
                <c:pt idx="105">
                  <c:v>1.3877361911044424</c:v>
                </c:pt>
                <c:pt idx="106">
                  <c:v>1.4472529659444873</c:v>
                </c:pt>
                <c:pt idx="107">
                  <c:v>1.5123895860676804</c:v>
                </c:pt>
                <c:pt idx="108">
                  <c:v>1.5846605561450562</c:v>
                </c:pt>
                <c:pt idx="109">
                  <c:v>1.6663075490659209</c:v>
                </c:pt>
                <c:pt idx="110">
                  <c:v>1.7608672771355798</c:v>
                </c:pt>
                <c:pt idx="111">
                  <c:v>1.8744417383388301</c:v>
                </c:pt>
                <c:pt idx="112">
                  <c:v>2.0190862005831427</c:v>
                </c:pt>
                <c:pt idx="113">
                  <c:v>2.2249148262139617</c:v>
                </c:pt>
                <c:pt idx="114">
                  <c:v>2.6237933694069571</c:v>
                </c:pt>
              </c:numCache>
            </c:numRef>
          </c:xVal>
          <c:yVal>
            <c:numRef>
              <c:f>Sheet1!$K$2:$K$116</c:f>
              <c:numCache>
                <c:formatCode>General</c:formatCode>
                <c:ptCount val="115"/>
                <c:pt idx="0">
                  <c:v>1.816860465</c:v>
                </c:pt>
                <c:pt idx="1">
                  <c:v>1.9550342129999847</c:v>
                </c:pt>
                <c:pt idx="2">
                  <c:v>1.978239367</c:v>
                </c:pt>
                <c:pt idx="3">
                  <c:v>2.0550760379999997</c:v>
                </c:pt>
                <c:pt idx="4">
                  <c:v>2.0712510359999987</c:v>
                </c:pt>
                <c:pt idx="5">
                  <c:v>2.0929259099999977</c:v>
                </c:pt>
                <c:pt idx="6">
                  <c:v>2.192021043</c:v>
                </c:pt>
                <c:pt idx="7">
                  <c:v>2.2629554199999977</c:v>
                </c:pt>
                <c:pt idx="8">
                  <c:v>2.2831050230000001</c:v>
                </c:pt>
                <c:pt idx="9">
                  <c:v>2.2883295190000092</c:v>
                </c:pt>
                <c:pt idx="10">
                  <c:v>2.3121387279999999</c:v>
                </c:pt>
                <c:pt idx="11">
                  <c:v>2.3250406879999987</c:v>
                </c:pt>
                <c:pt idx="12">
                  <c:v>2.3529411759999967</c:v>
                </c:pt>
                <c:pt idx="13">
                  <c:v>2.3568230029999993</c:v>
                </c:pt>
                <c:pt idx="14">
                  <c:v>2.3573785949999997</c:v>
                </c:pt>
                <c:pt idx="15">
                  <c:v>2.4084778420000212</c:v>
                </c:pt>
                <c:pt idx="16">
                  <c:v>2.4236548720000002</c:v>
                </c:pt>
                <c:pt idx="17">
                  <c:v>2.4242424239999689</c:v>
                </c:pt>
                <c:pt idx="18">
                  <c:v>2.4366471729999977</c:v>
                </c:pt>
                <c:pt idx="19">
                  <c:v>2.4372410429999998</c:v>
                </c:pt>
                <c:pt idx="20">
                  <c:v>2.4431957000000235</c:v>
                </c:pt>
                <c:pt idx="21">
                  <c:v>2.4813895780000212</c:v>
                </c:pt>
                <c:pt idx="22">
                  <c:v>2.488800398</c:v>
                </c:pt>
                <c:pt idx="23">
                  <c:v>2.4987506249999987</c:v>
                </c:pt>
                <c:pt idx="24">
                  <c:v>2.4987506249999987</c:v>
                </c:pt>
                <c:pt idx="25">
                  <c:v>2.5012506249999977</c:v>
                </c:pt>
                <c:pt idx="26">
                  <c:v>2.5169896799999987</c:v>
                </c:pt>
                <c:pt idx="27">
                  <c:v>2.5278058649999999</c:v>
                </c:pt>
                <c:pt idx="28">
                  <c:v>2.5400050799999998</c:v>
                </c:pt>
                <c:pt idx="29">
                  <c:v>2.5503698039999998</c:v>
                </c:pt>
                <c:pt idx="30">
                  <c:v>2.5568908209999988</c:v>
                </c:pt>
                <c:pt idx="31">
                  <c:v>2.5733401959999997</c:v>
                </c:pt>
                <c:pt idx="32">
                  <c:v>2.5846471959999997</c:v>
                </c:pt>
                <c:pt idx="33">
                  <c:v>2.5886616620000011</c:v>
                </c:pt>
                <c:pt idx="34">
                  <c:v>2.5987525989999996</c:v>
                </c:pt>
                <c:pt idx="35">
                  <c:v>2.5994281259999967</c:v>
                </c:pt>
                <c:pt idx="36">
                  <c:v>2.6028110359999999</c:v>
                </c:pt>
                <c:pt idx="37">
                  <c:v>2.60960334</c:v>
                </c:pt>
                <c:pt idx="38">
                  <c:v>2.6184865149999998</c:v>
                </c:pt>
                <c:pt idx="39">
                  <c:v>2.6260504199999977</c:v>
                </c:pt>
                <c:pt idx="40">
                  <c:v>2.6371308020000295</c:v>
                </c:pt>
                <c:pt idx="41">
                  <c:v>2.6462026989999998</c:v>
                </c:pt>
                <c:pt idx="42">
                  <c:v>2.6574541590000003</c:v>
                </c:pt>
                <c:pt idx="43">
                  <c:v>2.6616981629999996</c:v>
                </c:pt>
                <c:pt idx="44">
                  <c:v>2.6695141480000335</c:v>
                </c:pt>
                <c:pt idx="45">
                  <c:v>2.6759432699999999</c:v>
                </c:pt>
                <c:pt idx="46">
                  <c:v>2.6903416730000003</c:v>
                </c:pt>
                <c:pt idx="47">
                  <c:v>2.6946914580000012</c:v>
                </c:pt>
                <c:pt idx="48">
                  <c:v>2.70197244</c:v>
                </c:pt>
                <c:pt idx="49">
                  <c:v>2.709292875</c:v>
                </c:pt>
                <c:pt idx="50">
                  <c:v>2.7166530829999993</c:v>
                </c:pt>
                <c:pt idx="51">
                  <c:v>2.7196083759999987</c:v>
                </c:pt>
                <c:pt idx="52">
                  <c:v>2.7196083759999987</c:v>
                </c:pt>
                <c:pt idx="53">
                  <c:v>2.721829069</c:v>
                </c:pt>
                <c:pt idx="54">
                  <c:v>2.7307482249999997</c:v>
                </c:pt>
                <c:pt idx="55">
                  <c:v>2.7449903930000001</c:v>
                </c:pt>
                <c:pt idx="56">
                  <c:v>2.748763057000029</c:v>
                </c:pt>
                <c:pt idx="57">
                  <c:v>2.7510316370000001</c:v>
                </c:pt>
                <c:pt idx="58">
                  <c:v>2.7578599009999998</c:v>
                </c:pt>
                <c:pt idx="59">
                  <c:v>2.7624309389999997</c:v>
                </c:pt>
                <c:pt idx="60">
                  <c:v>2.7654867260000002</c:v>
                </c:pt>
                <c:pt idx="61">
                  <c:v>2.7700831020000001</c:v>
                </c:pt>
                <c:pt idx="62">
                  <c:v>2.7770063870000001</c:v>
                </c:pt>
                <c:pt idx="63">
                  <c:v>2.7800945230000011</c:v>
                </c:pt>
                <c:pt idx="64">
                  <c:v>2.7972027970000002</c:v>
                </c:pt>
                <c:pt idx="65">
                  <c:v>2.7972027970000002</c:v>
                </c:pt>
                <c:pt idx="66">
                  <c:v>2.799552072</c:v>
                </c:pt>
                <c:pt idx="67">
                  <c:v>2.8042624789999993</c:v>
                </c:pt>
                <c:pt idx="68">
                  <c:v>2.8097780279999998</c:v>
                </c:pt>
                <c:pt idx="69">
                  <c:v>2.8113578859999997</c:v>
                </c:pt>
                <c:pt idx="70">
                  <c:v>2.8264556249999639</c:v>
                </c:pt>
                <c:pt idx="71">
                  <c:v>2.8320589069999662</c:v>
                </c:pt>
                <c:pt idx="72">
                  <c:v>2.8401022440000001</c:v>
                </c:pt>
                <c:pt idx="73">
                  <c:v>2.8417163969999999</c:v>
                </c:pt>
                <c:pt idx="74">
                  <c:v>2.8457598179999999</c:v>
                </c:pt>
                <c:pt idx="75">
                  <c:v>2.8490028489999997</c:v>
                </c:pt>
                <c:pt idx="76">
                  <c:v>2.8506271379999997</c:v>
                </c:pt>
                <c:pt idx="77">
                  <c:v>2.8530670470000001</c:v>
                </c:pt>
                <c:pt idx="78">
                  <c:v>2.8546959749999967</c:v>
                </c:pt>
                <c:pt idx="79">
                  <c:v>2.8555111359999987</c:v>
                </c:pt>
                <c:pt idx="80">
                  <c:v>2.8587764439999988</c:v>
                </c:pt>
                <c:pt idx="81">
                  <c:v>2.8653295130000003</c:v>
                </c:pt>
                <c:pt idx="82">
                  <c:v>2.86615076</c:v>
                </c:pt>
                <c:pt idx="83">
                  <c:v>2.8694404589999993</c:v>
                </c:pt>
                <c:pt idx="84">
                  <c:v>2.8719126939999748</c:v>
                </c:pt>
                <c:pt idx="85">
                  <c:v>2.8885037550000012</c:v>
                </c:pt>
                <c:pt idx="86">
                  <c:v>2.8893383420000012</c:v>
                </c:pt>
                <c:pt idx="87">
                  <c:v>2.9036004649999998</c:v>
                </c:pt>
                <c:pt idx="88">
                  <c:v>2.9078220410000002</c:v>
                </c:pt>
                <c:pt idx="89">
                  <c:v>2.9129041649999987</c:v>
                </c:pt>
                <c:pt idx="90">
                  <c:v>2.9137529139999967</c:v>
                </c:pt>
                <c:pt idx="91">
                  <c:v>2.9282576869999999</c:v>
                </c:pt>
                <c:pt idx="92">
                  <c:v>2.9316915859999999</c:v>
                </c:pt>
                <c:pt idx="93">
                  <c:v>2.9342722999999977</c:v>
                </c:pt>
                <c:pt idx="94">
                  <c:v>2.9647198339999998</c:v>
                </c:pt>
                <c:pt idx="95">
                  <c:v>2.9931158339999997</c:v>
                </c:pt>
                <c:pt idx="96">
                  <c:v>2.9958058719999987</c:v>
                </c:pt>
                <c:pt idx="97">
                  <c:v>2.9967036259999977</c:v>
                </c:pt>
                <c:pt idx="98">
                  <c:v>3.0012004799999987</c:v>
                </c:pt>
                <c:pt idx="99">
                  <c:v>3.0275507110000226</c:v>
                </c:pt>
                <c:pt idx="100">
                  <c:v>3.0321406909999977</c:v>
                </c:pt>
                <c:pt idx="101">
                  <c:v>3.033980583</c:v>
                </c:pt>
                <c:pt idx="102">
                  <c:v>3.0367446099999977</c:v>
                </c:pt>
                <c:pt idx="103">
                  <c:v>3.0609121520000002</c:v>
                </c:pt>
                <c:pt idx="104">
                  <c:v>3.0609121520000002</c:v>
                </c:pt>
                <c:pt idx="105">
                  <c:v>3.0609121520000002</c:v>
                </c:pt>
                <c:pt idx="106">
                  <c:v>3.0665440049999999</c:v>
                </c:pt>
                <c:pt idx="107">
                  <c:v>3.076923077</c:v>
                </c:pt>
                <c:pt idx="108">
                  <c:v>3.1075201990000001</c:v>
                </c:pt>
                <c:pt idx="109">
                  <c:v>3.1123560539999997</c:v>
                </c:pt>
                <c:pt idx="110">
                  <c:v>3.1725888319999997</c:v>
                </c:pt>
                <c:pt idx="111">
                  <c:v>3.1836994590000001</c:v>
                </c:pt>
                <c:pt idx="112">
                  <c:v>3.2164683179999987</c:v>
                </c:pt>
                <c:pt idx="113">
                  <c:v>3.2341526520000001</c:v>
                </c:pt>
                <c:pt idx="114">
                  <c:v>3.3046926639999987</c:v>
                </c:pt>
              </c:numCache>
            </c:numRef>
          </c:yVal>
        </c:ser>
        <c:axId val="125446400"/>
        <c:axId val="125452672"/>
      </c:scatterChart>
      <c:valAx>
        <c:axId val="125446400"/>
        <c:scaling>
          <c:orientation val="minMax"/>
        </c:scaling>
        <c:axPos val="b"/>
        <c:title>
          <c:tx>
            <c:rich>
              <a:bodyPr/>
              <a:lstStyle/>
              <a:p>
                <a:pPr>
                  <a:defRPr baseline="0">
                    <a:latin typeface="Cambria" pitchFamily="18" charset="0"/>
                  </a:defRPr>
                </a:pPr>
                <a:r>
                  <a:rPr lang="en-US" baseline="0">
                    <a:latin typeface="Cambria" pitchFamily="18" charset="0"/>
                  </a:rPr>
                  <a:t>Theoretical Quantile</a:t>
                </a:r>
              </a:p>
            </c:rich>
          </c:tx>
        </c:title>
        <c:numFmt formatCode="General" sourceLinked="1"/>
        <c:majorTickMark val="none"/>
        <c:tickLblPos val="nextTo"/>
        <c:txPr>
          <a:bodyPr/>
          <a:lstStyle/>
          <a:p>
            <a:pPr>
              <a:defRPr baseline="0">
                <a:latin typeface="Cambria" pitchFamily="18" charset="0"/>
              </a:defRPr>
            </a:pPr>
            <a:endParaRPr lang="en-US"/>
          </a:p>
        </c:txPr>
        <c:crossAx val="125452672"/>
        <c:crosses val="autoZero"/>
        <c:crossBetween val="midCat"/>
      </c:valAx>
      <c:valAx>
        <c:axId val="125452672"/>
        <c:scaling>
          <c:orientation val="minMax"/>
          <c:min val="1.8"/>
        </c:scaling>
        <c:axPos val="l"/>
        <c:title>
          <c:tx>
            <c:rich>
              <a:bodyPr/>
              <a:lstStyle/>
              <a:p>
                <a:pPr>
                  <a:defRPr sz="1200" baseline="0">
                    <a:latin typeface="Cambria" pitchFamily="18" charset="0"/>
                  </a:defRPr>
                </a:pPr>
                <a:r>
                  <a:rPr lang="en-US" sz="1000" baseline="0">
                    <a:latin typeface="Cambria" pitchFamily="18" charset="0"/>
                  </a:rPr>
                  <a:t>Sample</a:t>
                </a:r>
                <a:r>
                  <a:rPr lang="en-US" sz="1200" baseline="0">
                    <a:latin typeface="Cambria" pitchFamily="18" charset="0"/>
                  </a:rPr>
                  <a:t> Quantile</a:t>
                </a:r>
              </a:p>
            </c:rich>
          </c:tx>
        </c:title>
        <c:numFmt formatCode="General" sourceLinked="1"/>
        <c:majorTickMark val="none"/>
        <c:tickLblPos val="low"/>
        <c:txPr>
          <a:bodyPr/>
          <a:lstStyle/>
          <a:p>
            <a:pPr>
              <a:defRPr baseline="0">
                <a:latin typeface="Cambria" pitchFamily="18" charset="0"/>
              </a:defRPr>
            </a:pPr>
            <a:endParaRPr lang="en-US"/>
          </a:p>
        </c:txPr>
        <c:crossAx val="125446400"/>
        <c:crossesAt val="-3"/>
        <c:crossBetween val="midCat"/>
      </c:valAx>
    </c:plotArea>
    <c:plotVisOnly val="1"/>
  </c:chart>
  <c:externalData r:id="rId1"/>
</c:chartSpace>
</file>

<file path=word/drawings/drawing1.xml><?xml version="1.0" encoding="utf-8"?>
<c:userShapes xmlns:c="http://schemas.openxmlformats.org/drawingml/2006/chart">
  <cdr:relSizeAnchor xmlns:cdr="http://schemas.openxmlformats.org/drawingml/2006/chartDrawing">
    <cdr:from>
      <cdr:x>0.75</cdr:x>
      <cdr:y>0.16319</cdr:y>
    </cdr:from>
    <cdr:to>
      <cdr:x>0.95208</cdr:x>
      <cdr:y>0.27083</cdr:y>
    </cdr:to>
    <cdr:sp macro="" textlink="">
      <cdr:nvSpPr>
        <cdr:cNvPr id="2" name="TextBox 1"/>
        <cdr:cNvSpPr txBox="1"/>
      </cdr:nvSpPr>
      <cdr:spPr>
        <a:xfrm xmlns:a="http://schemas.openxmlformats.org/drawingml/2006/main">
          <a:off x="3429015" y="447675"/>
          <a:ext cx="923910" cy="295278"/>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n-US" sz="1100">
              <a:latin typeface="+mj-lt"/>
            </a:rPr>
            <a:t>R</a:t>
          </a:r>
          <a:r>
            <a:rPr lang="en-US" sz="1100" baseline="30000">
              <a:latin typeface="+mj-lt"/>
            </a:rPr>
            <a:t>2</a:t>
          </a:r>
          <a:r>
            <a:rPr lang="en-US" sz="1100">
              <a:latin typeface="+mj-lt"/>
            </a:rPr>
            <a:t> = 0.197</a:t>
          </a:r>
        </a:p>
        <a:p xmlns:a="http://schemas.openxmlformats.org/drawingml/2006/main">
          <a:r>
            <a:rPr lang="en-US" sz="1100">
              <a:latin typeface="+mj-lt"/>
            </a:rPr>
            <a:t>r= -0.44 ***</a:t>
          </a:r>
        </a:p>
      </cdr:txBody>
    </cdr:sp>
  </cdr:relSizeAnchor>
</c:userShapes>
</file>

<file path=word/drawings/drawing2.xml><?xml version="1.0" encoding="utf-8"?>
<c:userShapes xmlns:c="http://schemas.openxmlformats.org/drawingml/2006/chart">
  <cdr:relSizeAnchor xmlns:cdr="http://schemas.openxmlformats.org/drawingml/2006/chartDrawing">
    <cdr:from>
      <cdr:x>0.75834</cdr:x>
      <cdr:y>0.56945</cdr:y>
    </cdr:from>
    <cdr:to>
      <cdr:x>0.96042</cdr:x>
      <cdr:y>0.67709</cdr:y>
    </cdr:to>
    <cdr:sp macro="" textlink="">
      <cdr:nvSpPr>
        <cdr:cNvPr id="2" name="TextBox 1"/>
        <cdr:cNvSpPr txBox="1"/>
      </cdr:nvSpPr>
      <cdr:spPr>
        <a:xfrm xmlns:a="http://schemas.openxmlformats.org/drawingml/2006/main">
          <a:off x="3467130" y="1562103"/>
          <a:ext cx="923910" cy="295278"/>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n-US" sz="1100">
              <a:latin typeface="+mj-lt"/>
            </a:rPr>
            <a:t>R</a:t>
          </a:r>
          <a:r>
            <a:rPr lang="en-US" sz="1100" baseline="30000">
              <a:latin typeface="+mj-lt"/>
            </a:rPr>
            <a:t>2</a:t>
          </a:r>
          <a:r>
            <a:rPr lang="en-US" sz="1100">
              <a:latin typeface="+mj-lt"/>
            </a:rPr>
            <a:t> = 0.255</a:t>
          </a:r>
        </a:p>
        <a:p xmlns:a="http://schemas.openxmlformats.org/drawingml/2006/main">
          <a:r>
            <a:rPr lang="en-US" sz="1100">
              <a:latin typeface="+mj-lt"/>
            </a:rPr>
            <a:t>r=</a:t>
          </a:r>
          <a:r>
            <a:rPr lang="en-US" sz="1100" baseline="0">
              <a:latin typeface="+mj-lt"/>
            </a:rPr>
            <a:t> </a:t>
          </a:r>
          <a:r>
            <a:rPr lang="en-US" sz="1100">
              <a:latin typeface="+mj-lt"/>
            </a:rPr>
            <a:t>0.51 ***</a:t>
          </a:r>
        </a:p>
      </cdr:txBody>
    </cdr:sp>
  </cdr:relSizeAnchor>
</c:userShapes>
</file>

<file path=word/drawings/drawing3.xml><?xml version="1.0" encoding="utf-8"?>
<c:userShapes xmlns:c="http://schemas.openxmlformats.org/drawingml/2006/chart">
  <cdr:relSizeAnchor xmlns:cdr="http://schemas.openxmlformats.org/drawingml/2006/chartDrawing">
    <cdr:from>
      <cdr:x>0.75209</cdr:x>
      <cdr:y>0.55903</cdr:y>
    </cdr:from>
    <cdr:to>
      <cdr:x>0.95417</cdr:x>
      <cdr:y>0.66667</cdr:y>
    </cdr:to>
    <cdr:sp macro="" textlink="">
      <cdr:nvSpPr>
        <cdr:cNvPr id="2" name="TextBox 1"/>
        <cdr:cNvSpPr txBox="1"/>
      </cdr:nvSpPr>
      <cdr:spPr>
        <a:xfrm xmlns:a="http://schemas.openxmlformats.org/drawingml/2006/main">
          <a:off x="3438555" y="1533528"/>
          <a:ext cx="923910" cy="295278"/>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n-US" sz="1100">
              <a:latin typeface="+mj-lt"/>
            </a:rPr>
            <a:t>R</a:t>
          </a:r>
          <a:r>
            <a:rPr lang="en-US" sz="1100" baseline="30000">
              <a:latin typeface="+mj-lt"/>
            </a:rPr>
            <a:t>2</a:t>
          </a:r>
          <a:r>
            <a:rPr lang="en-US" sz="1100">
              <a:latin typeface="+mj-lt"/>
            </a:rPr>
            <a:t> = 0.236</a:t>
          </a:r>
        </a:p>
        <a:p xmlns:a="http://schemas.openxmlformats.org/drawingml/2006/main">
          <a:r>
            <a:rPr lang="en-US" sz="1100">
              <a:latin typeface="+mj-lt"/>
            </a:rPr>
            <a:t>r=</a:t>
          </a:r>
          <a:r>
            <a:rPr lang="en-US" sz="1100" baseline="0">
              <a:latin typeface="+mj-lt"/>
            </a:rPr>
            <a:t> </a:t>
          </a:r>
          <a:r>
            <a:rPr lang="en-US" sz="1100">
              <a:latin typeface="+mj-lt"/>
            </a:rPr>
            <a:t>0.49 ***</a:t>
          </a:r>
        </a:p>
      </cdr:txBody>
    </cdr:sp>
  </cdr:relSizeAnchor>
</c:userShapes>
</file>

<file path=word/drawings/drawing4.xml><?xml version="1.0" encoding="utf-8"?>
<c:userShapes xmlns:c="http://schemas.openxmlformats.org/drawingml/2006/chart">
  <cdr:relSizeAnchor xmlns:cdr="http://schemas.openxmlformats.org/drawingml/2006/chartDrawing">
    <cdr:from>
      <cdr:x>0.74375</cdr:x>
      <cdr:y>0.13194</cdr:y>
    </cdr:from>
    <cdr:to>
      <cdr:x>0.94583</cdr:x>
      <cdr:y>0.23958</cdr:y>
    </cdr:to>
    <cdr:sp macro="" textlink="">
      <cdr:nvSpPr>
        <cdr:cNvPr id="2" name="TextBox 1"/>
        <cdr:cNvSpPr txBox="1"/>
      </cdr:nvSpPr>
      <cdr:spPr>
        <a:xfrm xmlns:a="http://schemas.openxmlformats.org/drawingml/2006/main">
          <a:off x="3400440" y="361947"/>
          <a:ext cx="923910" cy="295278"/>
        </a:xfrm>
        <a:prstGeom xmlns:a="http://schemas.openxmlformats.org/drawingml/2006/main" prst="rect">
          <a:avLst/>
        </a:prstGeom>
      </cdr:spPr>
      <cdr:txBody>
        <a:bodyPr xmlns:a="http://schemas.openxmlformats.org/drawingml/2006/main" wrap="square" rtlCol="0"/>
        <a:lstStyle xmlns:a="http://schemas.openxmlformats.org/drawingml/2006/main"/>
        <a:p xmlns:a="http://schemas.openxmlformats.org/drawingml/2006/main">
          <a:r>
            <a:rPr lang="en-US" sz="1100">
              <a:latin typeface="+mj-lt"/>
            </a:rPr>
            <a:t>R</a:t>
          </a:r>
          <a:r>
            <a:rPr lang="en-US" sz="1100" baseline="30000">
              <a:latin typeface="+mj-lt"/>
            </a:rPr>
            <a:t>2</a:t>
          </a:r>
          <a:r>
            <a:rPr lang="en-US" sz="1100">
              <a:latin typeface="+mj-lt"/>
            </a:rPr>
            <a:t> =</a:t>
          </a:r>
          <a:r>
            <a:rPr lang="en-US" sz="1100" baseline="0">
              <a:latin typeface="+mj-lt"/>
            </a:rPr>
            <a:t> 0.033</a:t>
          </a:r>
          <a:endParaRPr lang="en-US" sz="1100">
            <a:latin typeface="+mj-lt"/>
          </a:endParaRPr>
        </a:p>
        <a:p xmlns:a="http://schemas.openxmlformats.org/drawingml/2006/main">
          <a:r>
            <a:rPr lang="en-US" sz="1100">
              <a:latin typeface="+mj-lt"/>
            </a:rPr>
            <a:t>r=</a:t>
          </a:r>
          <a:r>
            <a:rPr lang="en-US" sz="1100" baseline="0">
              <a:latin typeface="+mj-lt"/>
            </a:rPr>
            <a:t> </a:t>
          </a:r>
          <a:r>
            <a:rPr lang="en-US" sz="1100">
              <a:latin typeface="+mj-lt"/>
            </a:rPr>
            <a:t>0.18</a:t>
          </a:r>
          <a:r>
            <a:rPr lang="en-US" sz="1100" baseline="0">
              <a:latin typeface="+mj-lt"/>
            </a:rPr>
            <a:t> </a:t>
          </a:r>
          <a:r>
            <a:rPr lang="en-US" sz="1100">
              <a:latin typeface="+mj-lt"/>
            </a:rPr>
            <a:t>*</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94D1568-3B5A-4D5E-B452-55F21E7D0C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106</Pages>
  <Words>47175</Words>
  <Characters>268899</Characters>
  <Application>Microsoft Office Word</Application>
  <DocSecurity>0</DocSecurity>
  <Lines>2240</Lines>
  <Paragraphs>630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315444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2015-07-24T18:46:00Z</dcterms:created>
  <dcterms:modified xsi:type="dcterms:W3CDTF">2015-07-24T18:46:00Z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zotero-version="4.0.26.4"&gt;&lt;session id="6zwA5eDt"/&gt;&lt;style id="http://www.zotero.org/styles/soil-science-society-of-america-journal" hasBibliography="1" bibliographyStyleHasBeenSet="1"/&gt;&lt;prefs&gt;&lt;pref name="fieldType" value="Field"/&gt;&lt;pr</vt:lpwstr>
  </property>
  <property fmtid="{D5CDD505-2E9C-101B-9397-08002B2CF9AE}" pid="3" name="ZOTERO_PREF_2">
    <vt:lpwstr>ef name="storeReferences" value="true"/&gt;&lt;pref name="automaticJournalAbbreviations" value="true"/&gt;&lt;pref name="noteType" value="0"/&gt;&lt;/prefs&gt;&lt;/data&gt;</vt:lpwstr>
  </property>
</Properties>
</file>