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207203" w14:textId="77777777" w:rsidR="003B6929" w:rsidRPr="005B3FD7" w:rsidRDefault="003B6929" w:rsidP="00E75E3E">
      <w:pPr>
        <w:jc w:val="center"/>
      </w:pPr>
    </w:p>
    <w:p w14:paraId="0BC2A972" w14:textId="77777777" w:rsidR="007A7EC1" w:rsidRPr="00F05C28" w:rsidRDefault="00E75E3E" w:rsidP="00B23041">
      <w:pPr>
        <w:spacing w:line="480" w:lineRule="auto"/>
        <w:jc w:val="center"/>
      </w:pPr>
      <w:r w:rsidRPr="00F05C28">
        <w:t xml:space="preserve">The Social Side of Retention: Examining the Social Integration of African American and Latinx </w:t>
      </w:r>
      <w:r w:rsidR="00057DDE" w:rsidRPr="00F05C28">
        <w:t>S</w:t>
      </w:r>
      <w:r w:rsidRPr="00F05C28">
        <w:t>tudents and their Retention to Graduation</w:t>
      </w:r>
    </w:p>
    <w:p w14:paraId="45EB3169" w14:textId="77777777" w:rsidR="00E75E3E" w:rsidRPr="00F05C28" w:rsidRDefault="00E75E3E" w:rsidP="00B23041">
      <w:pPr>
        <w:spacing w:after="20"/>
        <w:jc w:val="center"/>
      </w:pPr>
    </w:p>
    <w:p w14:paraId="6AD36F6B" w14:textId="77777777" w:rsidR="00E75E3E" w:rsidRPr="00F05C28" w:rsidRDefault="00E75E3E" w:rsidP="00B23041">
      <w:pPr>
        <w:spacing w:after="20"/>
        <w:jc w:val="center"/>
      </w:pPr>
    </w:p>
    <w:p w14:paraId="4C6659C0" w14:textId="77777777" w:rsidR="00E75E3E" w:rsidRPr="00F05C28" w:rsidRDefault="00E75E3E" w:rsidP="00B23041">
      <w:pPr>
        <w:spacing w:after="20"/>
        <w:jc w:val="center"/>
      </w:pPr>
    </w:p>
    <w:p w14:paraId="0D8DFA96" w14:textId="77777777" w:rsidR="003B6929" w:rsidRPr="00F05C28" w:rsidRDefault="003B6929" w:rsidP="00B23041">
      <w:pPr>
        <w:spacing w:after="20"/>
        <w:jc w:val="center"/>
      </w:pPr>
    </w:p>
    <w:p w14:paraId="1AD30C2F" w14:textId="77777777" w:rsidR="003B6929" w:rsidRPr="00F05C28" w:rsidRDefault="003B6929" w:rsidP="00B23041">
      <w:pPr>
        <w:spacing w:after="20"/>
        <w:jc w:val="center"/>
      </w:pPr>
    </w:p>
    <w:p w14:paraId="2D8729B0" w14:textId="77777777" w:rsidR="00F91554" w:rsidRPr="00F05C28" w:rsidRDefault="00F91554" w:rsidP="00B23041">
      <w:pPr>
        <w:spacing w:after="20"/>
        <w:jc w:val="center"/>
      </w:pPr>
    </w:p>
    <w:p w14:paraId="35570AC6" w14:textId="77777777" w:rsidR="00F91554" w:rsidRPr="00F05C28" w:rsidRDefault="00F91554" w:rsidP="00B23041">
      <w:pPr>
        <w:spacing w:after="20"/>
        <w:jc w:val="center"/>
      </w:pPr>
    </w:p>
    <w:p w14:paraId="67450C7E" w14:textId="77777777" w:rsidR="00F91554" w:rsidRPr="00F05C28" w:rsidRDefault="00F91554" w:rsidP="00B23041">
      <w:pPr>
        <w:spacing w:after="20"/>
        <w:jc w:val="center"/>
      </w:pPr>
    </w:p>
    <w:p w14:paraId="5EFD3150" w14:textId="77777777" w:rsidR="00B23041" w:rsidRPr="00F05C28" w:rsidRDefault="00B23041" w:rsidP="00B23041">
      <w:pPr>
        <w:spacing w:after="20"/>
        <w:jc w:val="center"/>
      </w:pPr>
    </w:p>
    <w:p w14:paraId="3259A759" w14:textId="77777777" w:rsidR="00B23041" w:rsidRPr="00F05C28" w:rsidRDefault="00B23041" w:rsidP="00B23041">
      <w:pPr>
        <w:spacing w:after="20"/>
        <w:jc w:val="center"/>
      </w:pPr>
    </w:p>
    <w:p w14:paraId="3475E0A4" w14:textId="77777777" w:rsidR="00B23041" w:rsidRPr="00F05C28" w:rsidRDefault="00B23041" w:rsidP="00B23041">
      <w:pPr>
        <w:spacing w:after="20"/>
        <w:jc w:val="center"/>
      </w:pPr>
    </w:p>
    <w:p w14:paraId="2937CF38" w14:textId="77777777" w:rsidR="003B6929" w:rsidRPr="00F05C28" w:rsidRDefault="00057DDE" w:rsidP="00B23041">
      <w:pPr>
        <w:spacing w:after="20"/>
        <w:jc w:val="center"/>
      </w:pPr>
      <w:r w:rsidRPr="00F05C28">
        <w:t>A Dissertation Presented for the</w:t>
      </w:r>
    </w:p>
    <w:p w14:paraId="5D155070" w14:textId="77777777" w:rsidR="00057DDE" w:rsidRPr="00F05C28" w:rsidRDefault="00057DDE" w:rsidP="00B23041">
      <w:pPr>
        <w:spacing w:after="20"/>
        <w:jc w:val="center"/>
      </w:pPr>
      <w:r w:rsidRPr="00F05C28">
        <w:t>Doctor of Philosophy</w:t>
      </w:r>
    </w:p>
    <w:p w14:paraId="15BBC244" w14:textId="77777777" w:rsidR="00057DDE" w:rsidRPr="00F05C28" w:rsidRDefault="00057DDE" w:rsidP="00B23041">
      <w:pPr>
        <w:spacing w:after="20"/>
        <w:jc w:val="center"/>
      </w:pPr>
      <w:r w:rsidRPr="00F05C28">
        <w:t>Degree</w:t>
      </w:r>
    </w:p>
    <w:p w14:paraId="5F185B8E" w14:textId="77777777" w:rsidR="00057DDE" w:rsidRPr="00F05C28" w:rsidRDefault="00057DDE" w:rsidP="00B23041">
      <w:pPr>
        <w:spacing w:after="20"/>
        <w:jc w:val="center"/>
      </w:pPr>
      <w:r w:rsidRPr="00F05C28">
        <w:t>The University of Tennessee, Knoxville</w:t>
      </w:r>
    </w:p>
    <w:p w14:paraId="447D40E9" w14:textId="77777777" w:rsidR="003B6929" w:rsidRPr="00F05C28" w:rsidRDefault="003B6929" w:rsidP="00B23041">
      <w:pPr>
        <w:spacing w:after="20"/>
        <w:jc w:val="center"/>
      </w:pPr>
    </w:p>
    <w:p w14:paraId="142FFAD2" w14:textId="77777777" w:rsidR="003B6929" w:rsidRPr="00F05C28" w:rsidRDefault="003B6929" w:rsidP="00B23041">
      <w:pPr>
        <w:spacing w:after="20"/>
        <w:jc w:val="center"/>
      </w:pPr>
    </w:p>
    <w:p w14:paraId="0FB60B68" w14:textId="77777777" w:rsidR="003B6929" w:rsidRPr="00F05C28" w:rsidRDefault="003B6929" w:rsidP="00B23041">
      <w:pPr>
        <w:spacing w:after="20"/>
        <w:jc w:val="center"/>
      </w:pPr>
    </w:p>
    <w:p w14:paraId="55E04256" w14:textId="77777777" w:rsidR="003B6929" w:rsidRPr="00F05C28" w:rsidRDefault="003B6929" w:rsidP="00B23041">
      <w:pPr>
        <w:spacing w:after="20"/>
        <w:jc w:val="center"/>
      </w:pPr>
    </w:p>
    <w:p w14:paraId="175DC7DE" w14:textId="77777777" w:rsidR="003B6929" w:rsidRPr="00F05C28" w:rsidRDefault="003B6929" w:rsidP="00B23041">
      <w:pPr>
        <w:spacing w:after="20"/>
        <w:jc w:val="center"/>
      </w:pPr>
    </w:p>
    <w:p w14:paraId="03C95556" w14:textId="77777777" w:rsidR="003B6929" w:rsidRPr="00F05C28" w:rsidRDefault="003B6929" w:rsidP="00B23041">
      <w:pPr>
        <w:spacing w:after="20"/>
        <w:jc w:val="center"/>
      </w:pPr>
    </w:p>
    <w:p w14:paraId="5DDB74DF" w14:textId="77777777" w:rsidR="003B6929" w:rsidRPr="00F05C28" w:rsidRDefault="003B6929" w:rsidP="00B23041">
      <w:pPr>
        <w:spacing w:after="20"/>
        <w:jc w:val="center"/>
      </w:pPr>
    </w:p>
    <w:p w14:paraId="471F646E" w14:textId="77777777" w:rsidR="00057DDE" w:rsidRPr="00F05C28" w:rsidRDefault="00057DDE" w:rsidP="00B23041">
      <w:pPr>
        <w:spacing w:after="20"/>
        <w:jc w:val="center"/>
      </w:pPr>
    </w:p>
    <w:p w14:paraId="1A5CAC80" w14:textId="77777777" w:rsidR="00B23041" w:rsidRPr="00F05C28" w:rsidRDefault="00B23041" w:rsidP="00B23041">
      <w:pPr>
        <w:spacing w:after="20"/>
        <w:jc w:val="center"/>
      </w:pPr>
    </w:p>
    <w:p w14:paraId="70526A7C" w14:textId="77777777" w:rsidR="00B23041" w:rsidRPr="00F05C28" w:rsidRDefault="00B23041" w:rsidP="00B23041">
      <w:pPr>
        <w:spacing w:after="20"/>
        <w:jc w:val="center"/>
      </w:pPr>
    </w:p>
    <w:p w14:paraId="24CC1BE6" w14:textId="77777777" w:rsidR="00B23041" w:rsidRPr="00F05C28" w:rsidRDefault="00B23041" w:rsidP="00B23041">
      <w:pPr>
        <w:spacing w:after="20"/>
        <w:jc w:val="center"/>
      </w:pPr>
    </w:p>
    <w:p w14:paraId="4556FBFB" w14:textId="77777777" w:rsidR="00B23041" w:rsidRPr="00F05C28" w:rsidRDefault="00B23041" w:rsidP="00B23041">
      <w:pPr>
        <w:spacing w:after="20"/>
        <w:jc w:val="center"/>
      </w:pPr>
    </w:p>
    <w:p w14:paraId="350D9337" w14:textId="77777777" w:rsidR="00B23041" w:rsidRPr="00F05C28" w:rsidRDefault="00B23041" w:rsidP="00B23041">
      <w:pPr>
        <w:spacing w:after="20"/>
        <w:jc w:val="center"/>
      </w:pPr>
    </w:p>
    <w:p w14:paraId="64D5864F" w14:textId="77777777" w:rsidR="00B23041" w:rsidRPr="00F05C28" w:rsidRDefault="00B23041" w:rsidP="00B23041">
      <w:pPr>
        <w:spacing w:after="20"/>
        <w:jc w:val="center"/>
      </w:pPr>
    </w:p>
    <w:p w14:paraId="6E8E8307" w14:textId="77777777" w:rsidR="00B23041" w:rsidRPr="00F05C28" w:rsidRDefault="00B23041" w:rsidP="00B23041">
      <w:pPr>
        <w:spacing w:after="20"/>
        <w:jc w:val="center"/>
      </w:pPr>
    </w:p>
    <w:p w14:paraId="6C4586D2" w14:textId="77777777" w:rsidR="00E75E3E" w:rsidRPr="00F05C28" w:rsidRDefault="00E75E3E" w:rsidP="00B23041">
      <w:pPr>
        <w:spacing w:after="20"/>
        <w:jc w:val="center"/>
      </w:pPr>
      <w:r w:rsidRPr="00F05C28">
        <w:t xml:space="preserve">Ashley </w:t>
      </w:r>
      <w:r w:rsidR="00057DDE" w:rsidRPr="00F05C28">
        <w:t xml:space="preserve">Taylor </w:t>
      </w:r>
      <w:r w:rsidRPr="00F05C28">
        <w:t>Redix</w:t>
      </w:r>
    </w:p>
    <w:p w14:paraId="42521A0E" w14:textId="1C64B31C" w:rsidR="00E75E3E" w:rsidRPr="00F05C28" w:rsidRDefault="00350932" w:rsidP="00B23041">
      <w:pPr>
        <w:spacing w:after="20"/>
        <w:jc w:val="center"/>
      </w:pPr>
      <w:r>
        <w:t xml:space="preserve">November </w:t>
      </w:r>
      <w:r w:rsidR="00E75E3E" w:rsidRPr="00F05C28">
        <w:t>20</w:t>
      </w:r>
      <w:r w:rsidR="00EE3A45" w:rsidRPr="00F05C28">
        <w:t>20</w:t>
      </w:r>
    </w:p>
    <w:p w14:paraId="62BE56FD" w14:textId="77777777" w:rsidR="00F91554" w:rsidRPr="00F05C28" w:rsidRDefault="00F91554">
      <w:pPr>
        <w:spacing w:after="160" w:line="259" w:lineRule="auto"/>
      </w:pPr>
    </w:p>
    <w:p w14:paraId="3B1C01D3" w14:textId="77777777" w:rsidR="00F91554" w:rsidRPr="00F05C28" w:rsidRDefault="00F91554">
      <w:pPr>
        <w:spacing w:after="160" w:line="259" w:lineRule="auto"/>
      </w:pPr>
    </w:p>
    <w:p w14:paraId="3C7ED44B" w14:textId="77777777" w:rsidR="00F91554" w:rsidRPr="00F05C28" w:rsidRDefault="00F91554">
      <w:pPr>
        <w:spacing w:after="160" w:line="259" w:lineRule="auto"/>
      </w:pPr>
    </w:p>
    <w:p w14:paraId="68A31683" w14:textId="77777777" w:rsidR="00F91554" w:rsidRPr="00F05C28" w:rsidRDefault="00F91554">
      <w:pPr>
        <w:spacing w:after="160" w:line="259" w:lineRule="auto"/>
      </w:pPr>
    </w:p>
    <w:p w14:paraId="53A3948D" w14:textId="77777777" w:rsidR="00F91554" w:rsidRPr="00F05C28" w:rsidRDefault="00F91554" w:rsidP="00F91554">
      <w:pPr>
        <w:spacing w:after="160" w:line="259" w:lineRule="auto"/>
        <w:jc w:val="center"/>
      </w:pPr>
    </w:p>
    <w:p w14:paraId="4ACD9EB1" w14:textId="77777777" w:rsidR="00574B5E" w:rsidRDefault="00574B5E" w:rsidP="00F91554">
      <w:pPr>
        <w:spacing w:after="160" w:line="259" w:lineRule="auto"/>
        <w:jc w:val="center"/>
        <w:sectPr w:rsidR="00574B5E" w:rsidSect="00574B5E">
          <w:headerReference w:type="even" r:id="rId8"/>
          <w:headerReference w:type="default" r:id="rId9"/>
          <w:footerReference w:type="even" r:id="rId10"/>
          <w:headerReference w:type="first" r:id="rId11"/>
          <w:pgSz w:w="12240" w:h="15840"/>
          <w:pgMar w:top="1440" w:right="1440" w:bottom="1440" w:left="1440" w:header="720" w:footer="720" w:gutter="0"/>
          <w:pgNumType w:fmt="lowerRoman"/>
          <w:cols w:space="720"/>
          <w:titlePg/>
          <w:docGrid w:linePitch="360"/>
        </w:sectPr>
      </w:pPr>
    </w:p>
    <w:p w14:paraId="4586D3D1" w14:textId="5E4CFE88" w:rsidR="00F91554" w:rsidRPr="00F05C28" w:rsidRDefault="00F91554" w:rsidP="00F91554">
      <w:pPr>
        <w:spacing w:after="160" w:line="259" w:lineRule="auto"/>
        <w:jc w:val="center"/>
      </w:pPr>
    </w:p>
    <w:p w14:paraId="6078D6A9" w14:textId="77777777" w:rsidR="00F91554" w:rsidRPr="00F05C28" w:rsidRDefault="00F91554" w:rsidP="00F91554">
      <w:pPr>
        <w:spacing w:before="100" w:beforeAutospacing="1" w:after="100" w:afterAutospacing="1"/>
        <w:jc w:val="center"/>
        <w:rPr>
          <w:rFonts w:ascii="TimesNewRomanPSMT" w:hAnsi="TimesNewRomanPSMT"/>
        </w:rPr>
      </w:pPr>
      <w:r w:rsidRPr="00F05C28">
        <w:rPr>
          <w:rFonts w:ascii="TimesNewRomanPSMT" w:hAnsi="TimesNewRomanPSMT"/>
        </w:rPr>
        <w:t>Copyright © 2020 by Ashley Redix</w:t>
      </w:r>
    </w:p>
    <w:p w14:paraId="16CFF427" w14:textId="77777777" w:rsidR="00F91554" w:rsidRPr="00F05C28" w:rsidRDefault="00F91554" w:rsidP="00F91554">
      <w:pPr>
        <w:spacing w:before="100" w:beforeAutospacing="1" w:after="100" w:afterAutospacing="1"/>
        <w:jc w:val="center"/>
      </w:pPr>
      <w:r w:rsidRPr="00F05C28">
        <w:rPr>
          <w:rFonts w:ascii="TimesNewRomanPSMT" w:hAnsi="TimesNewRomanPSMT"/>
        </w:rPr>
        <w:t>All rights reserved.</w:t>
      </w:r>
    </w:p>
    <w:p w14:paraId="42D63F14" w14:textId="77777777" w:rsidR="00F91554" w:rsidRPr="00F05C28" w:rsidRDefault="00F91554" w:rsidP="00F91554">
      <w:pPr>
        <w:spacing w:after="160" w:line="259" w:lineRule="auto"/>
        <w:jc w:val="center"/>
      </w:pPr>
    </w:p>
    <w:p w14:paraId="303EC3F9" w14:textId="77777777" w:rsidR="00F91554" w:rsidRPr="00F05C28" w:rsidRDefault="00F91554" w:rsidP="00F91554">
      <w:pPr>
        <w:spacing w:after="160" w:line="259" w:lineRule="auto"/>
        <w:jc w:val="center"/>
      </w:pPr>
    </w:p>
    <w:p w14:paraId="72F0FBE6" w14:textId="77777777" w:rsidR="00F91554" w:rsidRPr="00F05C28" w:rsidRDefault="00F91554" w:rsidP="00F91554">
      <w:pPr>
        <w:spacing w:after="160" w:line="259" w:lineRule="auto"/>
        <w:jc w:val="center"/>
      </w:pPr>
    </w:p>
    <w:p w14:paraId="21FC9B98" w14:textId="77777777" w:rsidR="00F91554" w:rsidRPr="00F05C28" w:rsidRDefault="00F91554" w:rsidP="00F91554">
      <w:pPr>
        <w:spacing w:after="160" w:line="259" w:lineRule="auto"/>
        <w:jc w:val="center"/>
      </w:pPr>
    </w:p>
    <w:p w14:paraId="72E9E591" w14:textId="77777777" w:rsidR="00F91554" w:rsidRPr="00F05C28" w:rsidRDefault="00F91554" w:rsidP="00F91554">
      <w:pPr>
        <w:spacing w:after="160" w:line="259" w:lineRule="auto"/>
        <w:jc w:val="center"/>
      </w:pPr>
    </w:p>
    <w:p w14:paraId="1218D33B" w14:textId="77777777" w:rsidR="00F91554" w:rsidRPr="00F05C28" w:rsidRDefault="00F91554" w:rsidP="00F91554">
      <w:pPr>
        <w:spacing w:after="160" w:line="259" w:lineRule="auto"/>
        <w:jc w:val="center"/>
      </w:pPr>
    </w:p>
    <w:p w14:paraId="5D6C331B" w14:textId="77777777" w:rsidR="00F91554" w:rsidRPr="00F05C28" w:rsidRDefault="00F91554" w:rsidP="00F91554">
      <w:pPr>
        <w:spacing w:after="160" w:line="259" w:lineRule="auto"/>
        <w:jc w:val="center"/>
      </w:pPr>
    </w:p>
    <w:p w14:paraId="1AF18740" w14:textId="77777777" w:rsidR="00F91554" w:rsidRPr="00F05C28" w:rsidRDefault="00F91554" w:rsidP="00F91554">
      <w:pPr>
        <w:spacing w:after="160" w:line="259" w:lineRule="auto"/>
        <w:jc w:val="center"/>
      </w:pPr>
    </w:p>
    <w:p w14:paraId="3EDE6011" w14:textId="77777777" w:rsidR="00F91554" w:rsidRPr="00F05C28" w:rsidRDefault="00F91554" w:rsidP="00F91554">
      <w:pPr>
        <w:spacing w:after="160" w:line="259" w:lineRule="auto"/>
        <w:jc w:val="center"/>
      </w:pPr>
    </w:p>
    <w:p w14:paraId="74184064" w14:textId="77777777" w:rsidR="00F91554" w:rsidRPr="00F05C28" w:rsidRDefault="00F91554" w:rsidP="00F91554">
      <w:pPr>
        <w:spacing w:after="160" w:line="259" w:lineRule="auto"/>
        <w:jc w:val="center"/>
      </w:pPr>
    </w:p>
    <w:p w14:paraId="616B42D3" w14:textId="77777777" w:rsidR="00F91554" w:rsidRPr="00F05C28" w:rsidRDefault="00F91554" w:rsidP="00F91554">
      <w:pPr>
        <w:spacing w:after="160" w:line="259" w:lineRule="auto"/>
        <w:jc w:val="center"/>
      </w:pPr>
    </w:p>
    <w:p w14:paraId="6AEF744A" w14:textId="77777777" w:rsidR="00F91554" w:rsidRPr="00F05C28" w:rsidRDefault="00F91554" w:rsidP="00F91554">
      <w:pPr>
        <w:spacing w:after="160" w:line="259" w:lineRule="auto"/>
        <w:jc w:val="center"/>
      </w:pPr>
    </w:p>
    <w:p w14:paraId="7F4D1A57" w14:textId="77777777" w:rsidR="00F91554" w:rsidRPr="00F05C28" w:rsidRDefault="00F91554" w:rsidP="00F91554">
      <w:pPr>
        <w:spacing w:after="160" w:line="259" w:lineRule="auto"/>
        <w:jc w:val="center"/>
      </w:pPr>
    </w:p>
    <w:p w14:paraId="4BF86554" w14:textId="77777777" w:rsidR="00F91554" w:rsidRPr="00F05C28" w:rsidRDefault="00F91554" w:rsidP="00F91554">
      <w:pPr>
        <w:spacing w:after="160" w:line="259" w:lineRule="auto"/>
        <w:jc w:val="center"/>
      </w:pPr>
    </w:p>
    <w:p w14:paraId="13542CBF" w14:textId="77777777" w:rsidR="00F91554" w:rsidRPr="00F05C28" w:rsidRDefault="00F91554" w:rsidP="00F91554">
      <w:pPr>
        <w:spacing w:after="160" w:line="259" w:lineRule="auto"/>
        <w:jc w:val="center"/>
      </w:pPr>
    </w:p>
    <w:p w14:paraId="1F455E13" w14:textId="77777777" w:rsidR="00F91554" w:rsidRPr="00F05C28" w:rsidRDefault="00F91554" w:rsidP="00F91554">
      <w:pPr>
        <w:spacing w:after="160" w:line="259" w:lineRule="auto"/>
        <w:jc w:val="center"/>
      </w:pPr>
    </w:p>
    <w:p w14:paraId="4336CBB4" w14:textId="77777777" w:rsidR="00F91554" w:rsidRPr="00F05C28" w:rsidRDefault="00F91554" w:rsidP="00F91554">
      <w:pPr>
        <w:spacing w:after="160" w:line="259" w:lineRule="auto"/>
        <w:jc w:val="center"/>
      </w:pPr>
    </w:p>
    <w:p w14:paraId="28319933" w14:textId="77777777" w:rsidR="00F91554" w:rsidRPr="00F05C28" w:rsidRDefault="00F91554" w:rsidP="00F91554">
      <w:pPr>
        <w:spacing w:after="160" w:line="259" w:lineRule="auto"/>
        <w:jc w:val="center"/>
      </w:pPr>
    </w:p>
    <w:p w14:paraId="11CF0715" w14:textId="77777777" w:rsidR="00F91554" w:rsidRPr="00F05C28" w:rsidRDefault="00F91554" w:rsidP="00F91554">
      <w:pPr>
        <w:spacing w:after="160" w:line="259" w:lineRule="auto"/>
        <w:jc w:val="center"/>
      </w:pPr>
    </w:p>
    <w:p w14:paraId="4E4F6407" w14:textId="77777777" w:rsidR="00F91554" w:rsidRPr="00F05C28" w:rsidRDefault="00F91554" w:rsidP="00F91554">
      <w:pPr>
        <w:spacing w:after="160" w:line="259" w:lineRule="auto"/>
        <w:jc w:val="center"/>
      </w:pPr>
    </w:p>
    <w:p w14:paraId="56BD519C" w14:textId="77777777" w:rsidR="00F91554" w:rsidRPr="00F05C28" w:rsidRDefault="00F91554" w:rsidP="00F91554">
      <w:pPr>
        <w:spacing w:after="160" w:line="259" w:lineRule="auto"/>
        <w:jc w:val="center"/>
      </w:pPr>
    </w:p>
    <w:p w14:paraId="37F0AB2F" w14:textId="77777777" w:rsidR="00F91554" w:rsidRPr="00F05C28" w:rsidRDefault="00F91554" w:rsidP="00F91554">
      <w:pPr>
        <w:spacing w:after="160" w:line="259" w:lineRule="auto"/>
        <w:jc w:val="center"/>
      </w:pPr>
    </w:p>
    <w:p w14:paraId="26E3F7ED" w14:textId="77777777" w:rsidR="00F91554" w:rsidRPr="00F05C28" w:rsidRDefault="00F91554">
      <w:pPr>
        <w:spacing w:after="160" w:line="259" w:lineRule="auto"/>
      </w:pPr>
      <w:r w:rsidRPr="00F05C28">
        <w:br w:type="page"/>
      </w:r>
    </w:p>
    <w:p w14:paraId="12AB0E60" w14:textId="77777777" w:rsidR="00F91554" w:rsidRPr="00F05C28" w:rsidRDefault="00F91554" w:rsidP="00F91554">
      <w:pPr>
        <w:spacing w:after="160" w:line="259" w:lineRule="auto"/>
        <w:jc w:val="center"/>
      </w:pPr>
      <w:r w:rsidRPr="00F05C28">
        <w:lastRenderedPageBreak/>
        <w:t>DEDICATION</w:t>
      </w:r>
    </w:p>
    <w:p w14:paraId="47533318" w14:textId="77777777" w:rsidR="00A70C40" w:rsidRPr="00F05C28" w:rsidRDefault="00A70C40" w:rsidP="00F91554">
      <w:pPr>
        <w:spacing w:after="160" w:line="259" w:lineRule="auto"/>
        <w:jc w:val="center"/>
      </w:pPr>
      <w:r w:rsidRPr="00F05C28">
        <w:t>To my wonderful Parents and family</w:t>
      </w:r>
    </w:p>
    <w:p w14:paraId="5DDBFEBA" w14:textId="77777777" w:rsidR="00A70C40" w:rsidRPr="00F05C28" w:rsidRDefault="00A70C40" w:rsidP="00F152A6">
      <w:pPr>
        <w:spacing w:after="160" w:line="259" w:lineRule="auto"/>
        <w:jc w:val="center"/>
      </w:pPr>
      <w:r w:rsidRPr="00F05C28">
        <w:t xml:space="preserve">Donald and Rhonda Redix </w:t>
      </w:r>
    </w:p>
    <w:p w14:paraId="5BC80BB2" w14:textId="77777777" w:rsidR="00A70C40" w:rsidRPr="00F05C28" w:rsidRDefault="00A70C40" w:rsidP="00F91554">
      <w:pPr>
        <w:spacing w:after="160" w:line="259" w:lineRule="auto"/>
        <w:jc w:val="center"/>
      </w:pPr>
      <w:r w:rsidRPr="00F05C28">
        <w:t>The Late George and Winifred Jackson</w:t>
      </w:r>
    </w:p>
    <w:p w14:paraId="24759B9C" w14:textId="77777777" w:rsidR="00A70C40" w:rsidRPr="00F05C28" w:rsidRDefault="00A70C40" w:rsidP="00F91554">
      <w:pPr>
        <w:spacing w:after="160" w:line="259" w:lineRule="auto"/>
        <w:jc w:val="center"/>
      </w:pPr>
    </w:p>
    <w:p w14:paraId="4EDF7162" w14:textId="77777777" w:rsidR="00F91554" w:rsidRPr="00F05C28" w:rsidRDefault="00F91554" w:rsidP="00F91554">
      <w:pPr>
        <w:spacing w:after="160" w:line="259" w:lineRule="auto"/>
        <w:jc w:val="center"/>
      </w:pPr>
    </w:p>
    <w:p w14:paraId="6D0DA1E7" w14:textId="77777777" w:rsidR="00F91554" w:rsidRPr="00F05C28" w:rsidRDefault="00F91554" w:rsidP="00F91554">
      <w:pPr>
        <w:spacing w:after="160" w:line="259" w:lineRule="auto"/>
        <w:jc w:val="center"/>
      </w:pPr>
    </w:p>
    <w:p w14:paraId="3F090AF0" w14:textId="77777777" w:rsidR="00F91554" w:rsidRPr="00F05C28" w:rsidRDefault="00F91554" w:rsidP="00F91554">
      <w:pPr>
        <w:spacing w:after="160" w:line="259" w:lineRule="auto"/>
        <w:jc w:val="center"/>
      </w:pPr>
    </w:p>
    <w:p w14:paraId="58F561F1" w14:textId="77777777" w:rsidR="00F91554" w:rsidRPr="00F05C28" w:rsidRDefault="00F91554" w:rsidP="00F91554">
      <w:pPr>
        <w:spacing w:after="160" w:line="259" w:lineRule="auto"/>
        <w:jc w:val="center"/>
      </w:pPr>
    </w:p>
    <w:p w14:paraId="58BB42B3" w14:textId="77777777" w:rsidR="00F91554" w:rsidRPr="00F05C28" w:rsidRDefault="00F91554" w:rsidP="00F91554">
      <w:pPr>
        <w:spacing w:after="160" w:line="259" w:lineRule="auto"/>
        <w:jc w:val="center"/>
      </w:pPr>
    </w:p>
    <w:p w14:paraId="22FAB94D" w14:textId="77777777" w:rsidR="00F91554" w:rsidRPr="00F05C28" w:rsidRDefault="00F91554" w:rsidP="00F91554">
      <w:pPr>
        <w:spacing w:after="160" w:line="259" w:lineRule="auto"/>
        <w:jc w:val="center"/>
      </w:pPr>
    </w:p>
    <w:p w14:paraId="07A38483" w14:textId="77777777" w:rsidR="00F91554" w:rsidRPr="00F05C28" w:rsidRDefault="00F91554" w:rsidP="00F91554">
      <w:pPr>
        <w:spacing w:after="160" w:line="259" w:lineRule="auto"/>
        <w:jc w:val="center"/>
      </w:pPr>
    </w:p>
    <w:p w14:paraId="271F3849" w14:textId="77777777" w:rsidR="00F91554" w:rsidRPr="00F05C28" w:rsidRDefault="00F91554" w:rsidP="00F91554">
      <w:pPr>
        <w:spacing w:after="160" w:line="259" w:lineRule="auto"/>
        <w:jc w:val="center"/>
      </w:pPr>
    </w:p>
    <w:p w14:paraId="73BEFFD0" w14:textId="77777777" w:rsidR="00F91554" w:rsidRPr="00F05C28" w:rsidRDefault="00F91554" w:rsidP="00F91554">
      <w:pPr>
        <w:spacing w:after="160" w:line="259" w:lineRule="auto"/>
        <w:jc w:val="center"/>
      </w:pPr>
    </w:p>
    <w:p w14:paraId="0168D0B8" w14:textId="77777777" w:rsidR="00F91554" w:rsidRPr="00F05C28" w:rsidRDefault="00F91554" w:rsidP="00F91554">
      <w:pPr>
        <w:spacing w:after="160" w:line="259" w:lineRule="auto"/>
        <w:jc w:val="center"/>
      </w:pPr>
    </w:p>
    <w:p w14:paraId="2D1BC397" w14:textId="77777777" w:rsidR="00F91554" w:rsidRPr="00F05C28" w:rsidRDefault="00F91554" w:rsidP="00F91554">
      <w:pPr>
        <w:spacing w:after="160" w:line="259" w:lineRule="auto"/>
        <w:jc w:val="center"/>
      </w:pPr>
    </w:p>
    <w:p w14:paraId="1D2B39CC" w14:textId="77777777" w:rsidR="00F91554" w:rsidRPr="00F05C28" w:rsidRDefault="00F91554" w:rsidP="00F91554">
      <w:pPr>
        <w:spacing w:after="160" w:line="259" w:lineRule="auto"/>
        <w:jc w:val="center"/>
      </w:pPr>
    </w:p>
    <w:p w14:paraId="1E550018" w14:textId="77777777" w:rsidR="00F91554" w:rsidRPr="00F05C28" w:rsidRDefault="00F91554" w:rsidP="00F91554">
      <w:pPr>
        <w:spacing w:after="160" w:line="259" w:lineRule="auto"/>
        <w:jc w:val="center"/>
      </w:pPr>
    </w:p>
    <w:p w14:paraId="3DF164A9" w14:textId="77777777" w:rsidR="00F91554" w:rsidRPr="00F05C28" w:rsidRDefault="00F91554" w:rsidP="00F91554">
      <w:pPr>
        <w:spacing w:after="160" w:line="259" w:lineRule="auto"/>
        <w:jc w:val="center"/>
      </w:pPr>
    </w:p>
    <w:p w14:paraId="70AF719C" w14:textId="77777777" w:rsidR="00F91554" w:rsidRPr="00F05C28" w:rsidRDefault="00F91554" w:rsidP="00F91554">
      <w:pPr>
        <w:spacing w:after="160" w:line="259" w:lineRule="auto"/>
        <w:jc w:val="center"/>
      </w:pPr>
    </w:p>
    <w:p w14:paraId="15A65779" w14:textId="77777777" w:rsidR="00F91554" w:rsidRPr="00F05C28" w:rsidRDefault="00F91554" w:rsidP="00F91554">
      <w:pPr>
        <w:spacing w:after="160" w:line="259" w:lineRule="auto"/>
        <w:jc w:val="center"/>
      </w:pPr>
    </w:p>
    <w:p w14:paraId="297682B8" w14:textId="77777777" w:rsidR="00F91554" w:rsidRPr="00F05C28" w:rsidRDefault="00F91554" w:rsidP="00F91554">
      <w:pPr>
        <w:spacing w:after="160" w:line="259" w:lineRule="auto"/>
        <w:jc w:val="center"/>
      </w:pPr>
    </w:p>
    <w:p w14:paraId="42818471" w14:textId="77777777" w:rsidR="00F91554" w:rsidRPr="00F05C28" w:rsidRDefault="00F91554" w:rsidP="00F91554">
      <w:pPr>
        <w:spacing w:after="160" w:line="259" w:lineRule="auto"/>
        <w:jc w:val="center"/>
      </w:pPr>
    </w:p>
    <w:p w14:paraId="7DC2B458" w14:textId="77777777" w:rsidR="00F91554" w:rsidRPr="00F05C28" w:rsidRDefault="00F91554" w:rsidP="00F91554">
      <w:pPr>
        <w:spacing w:after="160" w:line="259" w:lineRule="auto"/>
        <w:jc w:val="center"/>
      </w:pPr>
    </w:p>
    <w:p w14:paraId="318D973F" w14:textId="77777777" w:rsidR="00F91554" w:rsidRPr="00F05C28" w:rsidRDefault="00F91554">
      <w:pPr>
        <w:spacing w:after="160" w:line="259" w:lineRule="auto"/>
      </w:pPr>
      <w:r w:rsidRPr="00F05C28">
        <w:br w:type="page"/>
      </w:r>
    </w:p>
    <w:p w14:paraId="1FF0085B" w14:textId="77777777" w:rsidR="00F91554" w:rsidRPr="00F05C28" w:rsidRDefault="00F91554" w:rsidP="00F91554">
      <w:pPr>
        <w:spacing w:after="160" w:line="259" w:lineRule="auto"/>
        <w:jc w:val="center"/>
      </w:pPr>
      <w:r w:rsidRPr="00F05C28">
        <w:lastRenderedPageBreak/>
        <w:t>ACKNOWLEGEMENTS</w:t>
      </w:r>
    </w:p>
    <w:p w14:paraId="567D54F0" w14:textId="77777777" w:rsidR="00A70C40" w:rsidRPr="00F05C28" w:rsidRDefault="00A70C40" w:rsidP="00A70C40">
      <w:pPr>
        <w:spacing w:before="100" w:beforeAutospacing="1" w:after="100" w:afterAutospacing="1"/>
      </w:pPr>
      <w:r w:rsidRPr="00F05C28">
        <w:rPr>
          <w:rFonts w:ascii="TimesNewRomanPSMT" w:hAnsi="TimesNewRomanPSMT"/>
        </w:rPr>
        <w:t xml:space="preserve">I would like to </w:t>
      </w:r>
      <w:r w:rsidR="00F152A6" w:rsidRPr="00F05C28">
        <w:rPr>
          <w:rFonts w:ascii="TimesNewRomanPSMT" w:hAnsi="TimesNewRomanPSMT"/>
        </w:rPr>
        <w:t xml:space="preserve">express my deepest gratitude to Dr. Norma Mertz for challenging me, pushing me, and guiding me to completing my doctoral journey. I am also </w:t>
      </w:r>
      <w:r w:rsidR="00121B77" w:rsidRPr="00F05C28">
        <w:rPr>
          <w:rFonts w:ascii="TimesNewRomanPSMT" w:hAnsi="TimesNewRomanPSMT"/>
        </w:rPr>
        <w:t xml:space="preserve">extremely </w:t>
      </w:r>
      <w:r w:rsidR="00F152A6" w:rsidRPr="00F05C28">
        <w:rPr>
          <w:rFonts w:ascii="TimesNewRomanPSMT" w:hAnsi="TimesNewRomanPSMT"/>
        </w:rPr>
        <w:t xml:space="preserve">grateful to my amazing committee members: Dr. Pamela Angelle, Dr. Terry </w:t>
      </w:r>
      <w:proofErr w:type="spellStart"/>
      <w:r w:rsidR="00F152A6" w:rsidRPr="00F05C28">
        <w:rPr>
          <w:rFonts w:ascii="TimesNewRomanPSMT" w:hAnsi="TimesNewRomanPSMT"/>
        </w:rPr>
        <w:t>Ishitani</w:t>
      </w:r>
      <w:proofErr w:type="spellEnd"/>
      <w:r w:rsidR="00F152A6" w:rsidRPr="00F05C28">
        <w:rPr>
          <w:rFonts w:ascii="TimesNewRomanPSMT" w:hAnsi="TimesNewRomanPSMT"/>
        </w:rPr>
        <w:t xml:space="preserve">, and Dr. David Houston. </w:t>
      </w:r>
      <w:r w:rsidRPr="00F05C28">
        <w:rPr>
          <w:rFonts w:ascii="TimesNewRomanPSMT" w:hAnsi="TimesNewRomanPSMT"/>
        </w:rPr>
        <w:t xml:space="preserve"> </w:t>
      </w:r>
    </w:p>
    <w:p w14:paraId="213058C6" w14:textId="77777777" w:rsidR="006A3EF8" w:rsidRPr="00F05C28" w:rsidRDefault="00F152A6" w:rsidP="006A3EF8">
      <w:pPr>
        <w:pStyle w:val="NormalWeb"/>
      </w:pPr>
      <w:r w:rsidRPr="00F05C28">
        <w:rPr>
          <w:rFonts w:ascii="TimesNewRomanPSMT" w:hAnsi="TimesNewRomanPSMT"/>
        </w:rPr>
        <w:t xml:space="preserve">Special </w:t>
      </w:r>
      <w:r w:rsidR="00A70C40" w:rsidRPr="00F05C28">
        <w:rPr>
          <w:rFonts w:ascii="TimesNewRomanPSMT" w:hAnsi="TimesNewRomanPSMT"/>
        </w:rPr>
        <w:t>thank</w:t>
      </w:r>
      <w:r w:rsidRPr="00F05C28">
        <w:rPr>
          <w:rFonts w:ascii="TimesNewRomanPSMT" w:hAnsi="TimesNewRomanPSMT"/>
        </w:rPr>
        <w:t>s</w:t>
      </w:r>
      <w:r w:rsidR="00A70C40" w:rsidRPr="00F05C28">
        <w:rPr>
          <w:rFonts w:ascii="TimesNewRomanPSMT" w:hAnsi="TimesNewRomanPSMT"/>
        </w:rPr>
        <w:t xml:space="preserve"> you to my family, friends, mentors, and colleagues. </w:t>
      </w:r>
      <w:r w:rsidR="00121B77" w:rsidRPr="00F05C28">
        <w:rPr>
          <w:rFonts w:ascii="TimesNewRomanPSMT" w:hAnsi="TimesNewRomanPSMT"/>
        </w:rPr>
        <w:t>You all have expressed your love and support by</w:t>
      </w:r>
      <w:r w:rsidRPr="00F05C28">
        <w:rPr>
          <w:rFonts w:ascii="TimesNewRomanPSMT" w:hAnsi="TimesNewRomanPSMT"/>
        </w:rPr>
        <w:t xml:space="preserve"> helping me edit, encouraging me to push through the challenges, holding me accountable, and continuing to pray for and with me </w:t>
      </w:r>
      <w:r w:rsidR="00121B77" w:rsidRPr="00F05C28">
        <w:rPr>
          <w:rFonts w:ascii="TimesNewRomanPSMT" w:hAnsi="TimesNewRomanPSMT"/>
        </w:rPr>
        <w:t>throughout</w:t>
      </w:r>
      <w:r w:rsidRPr="00F05C28">
        <w:rPr>
          <w:rFonts w:ascii="TimesNewRomanPSMT" w:hAnsi="TimesNewRomanPSMT"/>
        </w:rPr>
        <w:t xml:space="preserve"> this journey. THANK YOU ALL!! To </w:t>
      </w:r>
      <w:r w:rsidR="00121B77" w:rsidRPr="00F05C28">
        <w:rPr>
          <w:rFonts w:ascii="TimesNewRomanPSMT" w:hAnsi="TimesNewRomanPSMT"/>
        </w:rPr>
        <w:t xml:space="preserve">those who I might have inspired, may you continue to dream big, do the work, and create Good trouble. </w:t>
      </w:r>
    </w:p>
    <w:p w14:paraId="56CA78BF" w14:textId="77777777" w:rsidR="00F91554" w:rsidRPr="00F05C28" w:rsidRDefault="00F91554" w:rsidP="00F91554">
      <w:pPr>
        <w:spacing w:after="160" w:line="259" w:lineRule="auto"/>
        <w:jc w:val="center"/>
      </w:pPr>
    </w:p>
    <w:p w14:paraId="308728E8" w14:textId="77777777" w:rsidR="00F91554" w:rsidRPr="00F05C28" w:rsidRDefault="00F91554" w:rsidP="00F91554">
      <w:pPr>
        <w:spacing w:after="160" w:line="259" w:lineRule="auto"/>
        <w:jc w:val="center"/>
      </w:pPr>
    </w:p>
    <w:p w14:paraId="4C3906E0" w14:textId="77777777" w:rsidR="00F91554" w:rsidRPr="00F05C28" w:rsidRDefault="00F91554" w:rsidP="00F91554">
      <w:pPr>
        <w:spacing w:after="160" w:line="259" w:lineRule="auto"/>
        <w:jc w:val="center"/>
      </w:pPr>
    </w:p>
    <w:p w14:paraId="42C99ADD" w14:textId="77777777" w:rsidR="00F91554" w:rsidRPr="00F05C28" w:rsidRDefault="00F91554" w:rsidP="00F91554">
      <w:pPr>
        <w:spacing w:after="160" w:line="259" w:lineRule="auto"/>
        <w:jc w:val="center"/>
      </w:pPr>
    </w:p>
    <w:p w14:paraId="4B46E1CF" w14:textId="77777777" w:rsidR="00F91554" w:rsidRPr="00F05C28" w:rsidRDefault="00F91554" w:rsidP="00F91554">
      <w:pPr>
        <w:spacing w:after="160" w:line="259" w:lineRule="auto"/>
        <w:jc w:val="center"/>
      </w:pPr>
    </w:p>
    <w:p w14:paraId="79518DA6" w14:textId="77777777" w:rsidR="00F91554" w:rsidRPr="00F05C28" w:rsidRDefault="00F91554" w:rsidP="00F91554">
      <w:pPr>
        <w:spacing w:after="160" w:line="259" w:lineRule="auto"/>
        <w:jc w:val="center"/>
      </w:pPr>
    </w:p>
    <w:p w14:paraId="48B41623" w14:textId="77777777" w:rsidR="00F91554" w:rsidRPr="00F05C28" w:rsidRDefault="00F91554" w:rsidP="00F91554">
      <w:pPr>
        <w:spacing w:after="160" w:line="259" w:lineRule="auto"/>
        <w:jc w:val="center"/>
      </w:pPr>
    </w:p>
    <w:p w14:paraId="3FC207DE" w14:textId="77777777" w:rsidR="00F91554" w:rsidRPr="00F05C28" w:rsidRDefault="00F91554" w:rsidP="00F91554">
      <w:pPr>
        <w:spacing w:after="160" w:line="259" w:lineRule="auto"/>
        <w:jc w:val="center"/>
      </w:pPr>
    </w:p>
    <w:p w14:paraId="11B4B09C" w14:textId="77777777" w:rsidR="00F91554" w:rsidRPr="00F05C28" w:rsidRDefault="00F91554" w:rsidP="00F91554">
      <w:pPr>
        <w:spacing w:after="160" w:line="259" w:lineRule="auto"/>
        <w:jc w:val="center"/>
      </w:pPr>
    </w:p>
    <w:p w14:paraId="5BE805CB" w14:textId="77777777" w:rsidR="00F91554" w:rsidRPr="00F05C28" w:rsidRDefault="00F91554" w:rsidP="00F91554">
      <w:pPr>
        <w:spacing w:after="160" w:line="259" w:lineRule="auto"/>
        <w:jc w:val="center"/>
      </w:pPr>
    </w:p>
    <w:p w14:paraId="6F3334A1" w14:textId="77777777" w:rsidR="00F91554" w:rsidRPr="00F05C28" w:rsidRDefault="00F91554" w:rsidP="00F91554">
      <w:pPr>
        <w:spacing w:after="160" w:line="259" w:lineRule="auto"/>
        <w:jc w:val="center"/>
      </w:pPr>
    </w:p>
    <w:p w14:paraId="1A76F64F" w14:textId="77777777" w:rsidR="00F91554" w:rsidRPr="00F05C28" w:rsidRDefault="00F91554" w:rsidP="00F91554">
      <w:pPr>
        <w:spacing w:after="160" w:line="259" w:lineRule="auto"/>
        <w:jc w:val="center"/>
      </w:pPr>
    </w:p>
    <w:p w14:paraId="60D3E4E0" w14:textId="77777777" w:rsidR="00F91554" w:rsidRPr="00F05C28" w:rsidRDefault="00F91554" w:rsidP="00F91554">
      <w:pPr>
        <w:spacing w:after="160" w:line="259" w:lineRule="auto"/>
        <w:jc w:val="center"/>
      </w:pPr>
    </w:p>
    <w:p w14:paraId="3C005DB6" w14:textId="77777777" w:rsidR="00F91554" w:rsidRPr="00F05C28" w:rsidRDefault="00F91554" w:rsidP="00F91554">
      <w:pPr>
        <w:spacing w:after="160" w:line="259" w:lineRule="auto"/>
        <w:jc w:val="center"/>
      </w:pPr>
    </w:p>
    <w:p w14:paraId="7517DE04" w14:textId="77777777" w:rsidR="00F91554" w:rsidRPr="00F05C28" w:rsidRDefault="00F91554" w:rsidP="00F91554">
      <w:pPr>
        <w:spacing w:after="160" w:line="259" w:lineRule="auto"/>
        <w:jc w:val="center"/>
      </w:pPr>
    </w:p>
    <w:p w14:paraId="2FAD238F" w14:textId="77777777" w:rsidR="00F91554" w:rsidRPr="00F05C28" w:rsidRDefault="00F91554" w:rsidP="00F91554">
      <w:pPr>
        <w:spacing w:after="160" w:line="259" w:lineRule="auto"/>
        <w:jc w:val="center"/>
      </w:pPr>
    </w:p>
    <w:p w14:paraId="2039F234" w14:textId="77777777" w:rsidR="00F91554" w:rsidRPr="00F05C28" w:rsidRDefault="00F91554" w:rsidP="00F91554">
      <w:pPr>
        <w:spacing w:after="160" w:line="259" w:lineRule="auto"/>
        <w:jc w:val="center"/>
      </w:pPr>
    </w:p>
    <w:p w14:paraId="6A0D72C7" w14:textId="77777777" w:rsidR="00F91554" w:rsidRPr="00F05C28" w:rsidRDefault="00F91554" w:rsidP="00F91554">
      <w:pPr>
        <w:spacing w:after="160" w:line="259" w:lineRule="auto"/>
        <w:jc w:val="center"/>
      </w:pPr>
    </w:p>
    <w:p w14:paraId="20F93DD9" w14:textId="77777777" w:rsidR="00F91554" w:rsidRPr="00F05C28" w:rsidRDefault="00F91554" w:rsidP="00F91554">
      <w:pPr>
        <w:spacing w:after="160" w:line="259" w:lineRule="auto"/>
        <w:jc w:val="center"/>
      </w:pPr>
    </w:p>
    <w:p w14:paraId="14C6637C" w14:textId="77777777" w:rsidR="00F91554" w:rsidRPr="00F05C28" w:rsidRDefault="00F91554">
      <w:pPr>
        <w:spacing w:after="160" w:line="259" w:lineRule="auto"/>
      </w:pPr>
      <w:r w:rsidRPr="00F05C28">
        <w:br w:type="page"/>
      </w:r>
    </w:p>
    <w:p w14:paraId="224CC5DF" w14:textId="77777777" w:rsidR="00F05C28" w:rsidRPr="00F05C28" w:rsidRDefault="00F05C28" w:rsidP="00F05C28">
      <w:pPr>
        <w:spacing w:after="160" w:line="259" w:lineRule="auto"/>
        <w:jc w:val="center"/>
        <w:rPr>
          <w:b/>
          <w:bCs/>
        </w:rPr>
      </w:pPr>
      <w:r w:rsidRPr="00F05C28">
        <w:rPr>
          <w:b/>
          <w:bCs/>
        </w:rPr>
        <w:lastRenderedPageBreak/>
        <w:t>ABSTRACT</w:t>
      </w:r>
    </w:p>
    <w:p w14:paraId="764FAEE3" w14:textId="77777777" w:rsidR="00F05C28" w:rsidRPr="00F05C28" w:rsidRDefault="00F05C28" w:rsidP="00F05C28">
      <w:pPr>
        <w:spacing w:line="480" w:lineRule="auto"/>
        <w:ind w:firstLine="720"/>
      </w:pPr>
      <w:r w:rsidRPr="00F05C28">
        <w:t xml:space="preserve">While the rate student enrollment in U.S. institutions of higher education is steadily increasing, retention and graduation rates do not reflect these increases, in turn leading to an ever-present gap in educational attainment (Bailey &amp; </w:t>
      </w:r>
      <w:proofErr w:type="spellStart"/>
      <w:r w:rsidRPr="00F05C28">
        <w:t>Dynarski</w:t>
      </w:r>
      <w:proofErr w:type="spellEnd"/>
      <w:r w:rsidRPr="00F05C28">
        <w:t xml:space="preserve">, 2011; Fischer, 2007; </w:t>
      </w:r>
      <w:proofErr w:type="spellStart"/>
      <w:r w:rsidRPr="00F05C28">
        <w:t>Kuh</w:t>
      </w:r>
      <w:proofErr w:type="spellEnd"/>
      <w:r w:rsidRPr="00F05C28">
        <w:t xml:space="preserve">, </w:t>
      </w:r>
      <w:proofErr w:type="spellStart"/>
      <w:r w:rsidRPr="00F05C28">
        <w:t>Cruce</w:t>
      </w:r>
      <w:proofErr w:type="spellEnd"/>
      <w:r w:rsidRPr="00F05C28">
        <w:t xml:space="preserve">, </w:t>
      </w:r>
      <w:proofErr w:type="spellStart"/>
      <w:r w:rsidRPr="00F05C28">
        <w:t>Shoup</w:t>
      </w:r>
      <w:proofErr w:type="spellEnd"/>
      <w:r w:rsidRPr="00F05C28">
        <w:t xml:space="preserve">, Kinzie, &amp; </w:t>
      </w:r>
      <w:proofErr w:type="spellStart"/>
      <w:r w:rsidRPr="00F05C28">
        <w:t>Gonyea</w:t>
      </w:r>
      <w:proofErr w:type="spellEnd"/>
      <w:r w:rsidRPr="00F05C28">
        <w:t xml:space="preserve">, 2008; Morley, 2003; </w:t>
      </w:r>
      <w:proofErr w:type="spellStart"/>
      <w:r w:rsidRPr="00F05C28">
        <w:t>Museus</w:t>
      </w:r>
      <w:proofErr w:type="spellEnd"/>
      <w:r w:rsidRPr="00F05C28">
        <w:t xml:space="preserve"> &amp; Quaye, 2009; Zarate &amp; </w:t>
      </w:r>
      <w:proofErr w:type="spellStart"/>
      <w:r w:rsidRPr="00F05C28">
        <w:t>Burciaga</w:t>
      </w:r>
      <w:proofErr w:type="spellEnd"/>
      <w:r w:rsidRPr="00F05C28">
        <w:t xml:space="preserve">, 2010; Zhan &amp; </w:t>
      </w:r>
      <w:proofErr w:type="spellStart"/>
      <w:r w:rsidRPr="00F05C28">
        <w:t>Sherraden</w:t>
      </w:r>
      <w:proofErr w:type="spellEnd"/>
      <w:r w:rsidRPr="00F05C28">
        <w:t xml:space="preserve">, 2011).  The gaps in educational achievement are disproportionately larger for the African American and Latinx student populations compared to their Caucasian and Asian peers (Bailey &amp; </w:t>
      </w:r>
      <w:proofErr w:type="spellStart"/>
      <w:r w:rsidRPr="00F05C28">
        <w:t>Dynarski</w:t>
      </w:r>
      <w:proofErr w:type="spellEnd"/>
      <w:r w:rsidRPr="00F05C28">
        <w:t xml:space="preserve">, 2011; Fischer, 2007; Morley, 2003; </w:t>
      </w:r>
      <w:proofErr w:type="spellStart"/>
      <w:r w:rsidRPr="00F05C28">
        <w:t>Museus</w:t>
      </w:r>
      <w:proofErr w:type="spellEnd"/>
      <w:r w:rsidRPr="00F05C28">
        <w:t xml:space="preserve"> &amp; Quaye, 2009; Zarate &amp; </w:t>
      </w:r>
      <w:proofErr w:type="spellStart"/>
      <w:r w:rsidRPr="00F05C28">
        <w:t>Burciaga</w:t>
      </w:r>
      <w:proofErr w:type="spellEnd"/>
      <w:r w:rsidRPr="00F05C28">
        <w:t xml:space="preserve">, 2010; Zhan &amp; </w:t>
      </w:r>
      <w:proofErr w:type="spellStart"/>
      <w:r w:rsidRPr="00F05C28">
        <w:t>Sherraden</w:t>
      </w:r>
      <w:proofErr w:type="spellEnd"/>
      <w:r w:rsidRPr="00F05C28">
        <w:t xml:space="preserve">, 2011).  Tinto’s Theory of Student Departure (1975, 1993) is foundational in retention research, widely used, and has proven to lead to increased academic success and retention.  The student integration construct posits that students’ integration into the academic and social structure within institutions of higher education shape their retention (Tinto, 1975, 1993). While academic integration and social integration work collectively in this construct, they also work independently to promote student success as well.  The purpose of this study is to explore the relationships between student background characteristics and social integration, and the ability to predict student retention to graduation based on student social integration. This study utilized the 2011 National Survey of Student Engagement (NSSE) to assess the impact of social integration and answering the following research questions: 1) Is there a significant difference in the scaled measurement of social integration of first-year and senior level students; 2) Is there a significant difference in the scaled measurement of social integration for African American and Latinx graduates and dropouts; 3) Does social integration predict graduation among African American and Latinx students?  The results of this study highlight the importance of social integration and its relations to retention and graduation. </w:t>
      </w:r>
      <w:r w:rsidRPr="00F05C28">
        <w:br w:type="page"/>
      </w:r>
    </w:p>
    <w:p w14:paraId="69F5211D" w14:textId="77777777" w:rsidR="00F05C28" w:rsidRPr="00F05C28" w:rsidRDefault="00F05C28" w:rsidP="00F05C28">
      <w:pPr>
        <w:jc w:val="center"/>
        <w:rPr>
          <w:b/>
          <w:bCs/>
        </w:rPr>
      </w:pPr>
      <w:r w:rsidRPr="00F05C28">
        <w:rPr>
          <w:b/>
          <w:bCs/>
        </w:rPr>
        <w:lastRenderedPageBreak/>
        <w:t>TABLE OF CONTENTS</w:t>
      </w:r>
    </w:p>
    <w:p w14:paraId="7C04500A" w14:textId="77777777" w:rsidR="00F05C28" w:rsidRPr="00F05C28" w:rsidRDefault="00F05C28" w:rsidP="00F05C28">
      <w:pPr>
        <w:jc w:val="center"/>
      </w:pPr>
    </w:p>
    <w:p w14:paraId="4C7F8F29" w14:textId="77777777" w:rsidR="00F05C28" w:rsidRPr="00F05C28" w:rsidRDefault="00F05C28" w:rsidP="00F05C28">
      <w:pPr>
        <w:tabs>
          <w:tab w:val="right" w:leader="dot" w:pos="9360"/>
        </w:tabs>
        <w:spacing w:line="480" w:lineRule="auto"/>
      </w:pPr>
      <w:r w:rsidRPr="00F05C28">
        <w:t xml:space="preserve">CHAPTER ONE Introduction to the Study </w:t>
      </w:r>
      <w:r w:rsidRPr="00F05C28">
        <w:tab/>
        <w:t>1</w:t>
      </w:r>
    </w:p>
    <w:p w14:paraId="54A3F7BA" w14:textId="77777777" w:rsidR="00F05C28" w:rsidRPr="00F05C28" w:rsidRDefault="00F05C28" w:rsidP="00F05C28">
      <w:pPr>
        <w:tabs>
          <w:tab w:val="right" w:leader="dot" w:pos="9360"/>
        </w:tabs>
        <w:spacing w:line="480" w:lineRule="auto"/>
        <w:ind w:firstLine="720"/>
      </w:pPr>
      <w:r w:rsidRPr="00F05C28">
        <w:t xml:space="preserve">Statement of the Problem </w:t>
      </w:r>
      <w:r w:rsidRPr="00F05C28">
        <w:tab/>
        <w:t>6</w:t>
      </w:r>
    </w:p>
    <w:p w14:paraId="316380A0" w14:textId="77777777" w:rsidR="00F05C28" w:rsidRPr="00F05C28" w:rsidRDefault="00F05C28" w:rsidP="00F05C28">
      <w:pPr>
        <w:tabs>
          <w:tab w:val="right" w:leader="dot" w:pos="9360"/>
        </w:tabs>
        <w:spacing w:line="480" w:lineRule="auto"/>
        <w:ind w:firstLine="720"/>
      </w:pPr>
      <w:r w:rsidRPr="00F05C28">
        <w:t xml:space="preserve">Purpose of the Study </w:t>
      </w:r>
      <w:r w:rsidRPr="00F05C28">
        <w:tab/>
        <w:t>7</w:t>
      </w:r>
    </w:p>
    <w:p w14:paraId="514A3CBC" w14:textId="77777777" w:rsidR="00F05C28" w:rsidRPr="00F05C28" w:rsidRDefault="00F05C28" w:rsidP="00F05C28">
      <w:pPr>
        <w:tabs>
          <w:tab w:val="right" w:leader="dot" w:pos="9360"/>
        </w:tabs>
        <w:spacing w:line="480" w:lineRule="auto"/>
        <w:ind w:firstLine="720"/>
      </w:pPr>
      <w:r w:rsidRPr="00F05C28">
        <w:t xml:space="preserve">Research Questions </w:t>
      </w:r>
      <w:r w:rsidRPr="00F05C28">
        <w:tab/>
        <w:t>7</w:t>
      </w:r>
    </w:p>
    <w:p w14:paraId="2808E47F" w14:textId="77777777" w:rsidR="00F05C28" w:rsidRPr="00F05C28" w:rsidRDefault="00F05C28" w:rsidP="00F05C28">
      <w:pPr>
        <w:tabs>
          <w:tab w:val="right" w:leader="dot" w:pos="9360"/>
        </w:tabs>
        <w:spacing w:line="480" w:lineRule="auto"/>
        <w:ind w:firstLine="720"/>
      </w:pPr>
      <w:r w:rsidRPr="00F05C28">
        <w:t xml:space="preserve">Significance of the Study </w:t>
      </w:r>
      <w:r w:rsidRPr="00F05C28">
        <w:tab/>
        <w:t>7</w:t>
      </w:r>
    </w:p>
    <w:p w14:paraId="78329AB3" w14:textId="77777777" w:rsidR="00F05C28" w:rsidRPr="00F05C28" w:rsidRDefault="00F05C28" w:rsidP="00F05C28">
      <w:pPr>
        <w:tabs>
          <w:tab w:val="right" w:leader="dot" w:pos="9360"/>
        </w:tabs>
        <w:spacing w:line="480" w:lineRule="auto"/>
        <w:ind w:firstLine="720"/>
      </w:pPr>
      <w:r w:rsidRPr="00F05C28">
        <w:t xml:space="preserve">Limitations of the Study </w:t>
      </w:r>
      <w:r w:rsidRPr="00F05C28">
        <w:tab/>
        <w:t>8</w:t>
      </w:r>
    </w:p>
    <w:p w14:paraId="4865B891" w14:textId="77777777" w:rsidR="00F05C28" w:rsidRPr="00F05C28" w:rsidRDefault="00F05C28" w:rsidP="00F05C28">
      <w:pPr>
        <w:tabs>
          <w:tab w:val="right" w:leader="dot" w:pos="9360"/>
        </w:tabs>
        <w:spacing w:line="480" w:lineRule="auto"/>
        <w:ind w:firstLine="720"/>
      </w:pPr>
      <w:r w:rsidRPr="00F05C28">
        <w:t xml:space="preserve">Definitions of Key Terms </w:t>
      </w:r>
      <w:r w:rsidRPr="00F05C28">
        <w:tab/>
        <w:t>9</w:t>
      </w:r>
    </w:p>
    <w:p w14:paraId="0166701E" w14:textId="77777777" w:rsidR="00F05C28" w:rsidRPr="00F05C28" w:rsidRDefault="00F05C28" w:rsidP="00F05C28">
      <w:pPr>
        <w:tabs>
          <w:tab w:val="right" w:leader="dot" w:pos="9360"/>
        </w:tabs>
        <w:spacing w:line="480" w:lineRule="auto"/>
        <w:ind w:firstLine="720"/>
      </w:pPr>
      <w:r w:rsidRPr="00F05C28">
        <w:t xml:space="preserve">Organization of the Study </w:t>
      </w:r>
      <w:r w:rsidRPr="00F05C28">
        <w:tab/>
        <w:t>9</w:t>
      </w:r>
    </w:p>
    <w:p w14:paraId="51E7CF6B" w14:textId="77777777" w:rsidR="00F05C28" w:rsidRPr="00F05C28" w:rsidRDefault="00F05C28" w:rsidP="00F05C28">
      <w:pPr>
        <w:tabs>
          <w:tab w:val="right" w:leader="dot" w:pos="9360"/>
        </w:tabs>
        <w:spacing w:line="480" w:lineRule="auto"/>
      </w:pPr>
      <w:r w:rsidRPr="00F05C28">
        <w:t xml:space="preserve">CHAPTER TWO Review of the Literature </w:t>
      </w:r>
      <w:r w:rsidRPr="00F05C28">
        <w:tab/>
        <w:t>10</w:t>
      </w:r>
    </w:p>
    <w:p w14:paraId="450D0F44" w14:textId="77777777" w:rsidR="00F05C28" w:rsidRPr="00F05C28" w:rsidRDefault="00F05C28" w:rsidP="00F05C28">
      <w:pPr>
        <w:tabs>
          <w:tab w:val="right" w:leader="dot" w:pos="9360"/>
        </w:tabs>
        <w:spacing w:line="480" w:lineRule="auto"/>
        <w:ind w:firstLine="720"/>
      </w:pPr>
      <w:r w:rsidRPr="00F05C28">
        <w:t xml:space="preserve">Retention </w:t>
      </w:r>
      <w:r w:rsidRPr="00F05C28">
        <w:tab/>
        <w:t>10</w:t>
      </w:r>
    </w:p>
    <w:p w14:paraId="210F8F61" w14:textId="77777777" w:rsidR="00F05C28" w:rsidRPr="00F05C28" w:rsidRDefault="00F05C28" w:rsidP="00F05C28">
      <w:pPr>
        <w:tabs>
          <w:tab w:val="right" w:leader="dot" w:pos="9360"/>
        </w:tabs>
        <w:spacing w:line="480" w:lineRule="auto"/>
        <w:ind w:firstLine="720"/>
      </w:pPr>
      <w:r w:rsidRPr="00F05C28">
        <w:t xml:space="preserve">Student Integration </w:t>
      </w:r>
      <w:r w:rsidRPr="00F05C28">
        <w:tab/>
        <w:t>14</w:t>
      </w:r>
    </w:p>
    <w:p w14:paraId="6CFC3063" w14:textId="77777777" w:rsidR="00F05C28" w:rsidRPr="00F05C28" w:rsidRDefault="00F05C28" w:rsidP="00F05C28">
      <w:pPr>
        <w:tabs>
          <w:tab w:val="right" w:leader="dot" w:pos="9360"/>
        </w:tabs>
        <w:spacing w:line="480" w:lineRule="auto"/>
        <w:ind w:firstLine="720"/>
      </w:pPr>
      <w:r w:rsidRPr="00F05C28">
        <w:t xml:space="preserve">Social Integration </w:t>
      </w:r>
      <w:r w:rsidRPr="00F05C28">
        <w:tab/>
        <w:t>20</w:t>
      </w:r>
    </w:p>
    <w:p w14:paraId="21D92FFE" w14:textId="77777777" w:rsidR="00F05C28" w:rsidRPr="00F05C28" w:rsidRDefault="00F05C28" w:rsidP="00F05C28">
      <w:pPr>
        <w:tabs>
          <w:tab w:val="right" w:leader="dot" w:pos="9360"/>
        </w:tabs>
        <w:spacing w:line="480" w:lineRule="auto"/>
      </w:pPr>
      <w:r w:rsidRPr="00F05C28">
        <w:t xml:space="preserve">CHAPTER THREE Method and Procedures </w:t>
      </w:r>
      <w:r w:rsidRPr="00F05C28">
        <w:tab/>
        <w:t>28</w:t>
      </w:r>
    </w:p>
    <w:p w14:paraId="2412D7A6" w14:textId="77777777" w:rsidR="00F05C28" w:rsidRPr="00F05C28" w:rsidRDefault="00F05C28" w:rsidP="00F05C28">
      <w:pPr>
        <w:tabs>
          <w:tab w:val="right" w:leader="dot" w:pos="9360"/>
        </w:tabs>
        <w:spacing w:line="480" w:lineRule="auto"/>
        <w:ind w:firstLine="720"/>
      </w:pPr>
      <w:r w:rsidRPr="00F05C28">
        <w:t xml:space="preserve">Research Design </w:t>
      </w:r>
      <w:r w:rsidRPr="00F05C28">
        <w:tab/>
        <w:t>28</w:t>
      </w:r>
    </w:p>
    <w:p w14:paraId="01E7D3E0" w14:textId="77777777" w:rsidR="00F05C28" w:rsidRPr="00F05C28" w:rsidRDefault="00F05C28" w:rsidP="00F05C28">
      <w:pPr>
        <w:tabs>
          <w:tab w:val="right" w:leader="dot" w:pos="9360"/>
        </w:tabs>
        <w:spacing w:line="480" w:lineRule="auto"/>
        <w:ind w:firstLine="720"/>
      </w:pPr>
      <w:r w:rsidRPr="00F05C28">
        <w:t xml:space="preserve">Site and Population </w:t>
      </w:r>
      <w:r w:rsidRPr="00F05C28">
        <w:tab/>
        <w:t>29</w:t>
      </w:r>
    </w:p>
    <w:p w14:paraId="35B7E050" w14:textId="77777777" w:rsidR="00F05C28" w:rsidRPr="00F05C28" w:rsidRDefault="00F05C28" w:rsidP="00F05C28">
      <w:pPr>
        <w:tabs>
          <w:tab w:val="right" w:leader="dot" w:pos="9360"/>
        </w:tabs>
        <w:spacing w:line="480" w:lineRule="auto"/>
        <w:ind w:firstLine="720"/>
      </w:pPr>
      <w:r w:rsidRPr="00F05C28">
        <w:t xml:space="preserve">Data Sources </w:t>
      </w:r>
      <w:r w:rsidRPr="00F05C28">
        <w:tab/>
        <w:t>30</w:t>
      </w:r>
    </w:p>
    <w:p w14:paraId="6A252FC9" w14:textId="77777777" w:rsidR="00F05C28" w:rsidRPr="00F05C28" w:rsidRDefault="00F05C28" w:rsidP="00F05C28">
      <w:pPr>
        <w:tabs>
          <w:tab w:val="right" w:leader="dot" w:pos="9360"/>
        </w:tabs>
        <w:spacing w:line="480" w:lineRule="auto"/>
        <w:ind w:firstLine="720"/>
      </w:pPr>
      <w:r w:rsidRPr="00F05C28">
        <w:t xml:space="preserve">Procedures </w:t>
      </w:r>
      <w:r w:rsidRPr="00F05C28">
        <w:tab/>
        <w:t>33</w:t>
      </w:r>
    </w:p>
    <w:p w14:paraId="2FA710E1" w14:textId="77777777" w:rsidR="00F05C28" w:rsidRPr="00F05C28" w:rsidRDefault="00F05C28" w:rsidP="00F05C28">
      <w:pPr>
        <w:tabs>
          <w:tab w:val="right" w:leader="dot" w:pos="9360"/>
        </w:tabs>
        <w:spacing w:line="480" w:lineRule="auto"/>
        <w:ind w:firstLine="720"/>
      </w:pPr>
      <w:r w:rsidRPr="00F05C28">
        <w:t xml:space="preserve">Data Analysis </w:t>
      </w:r>
      <w:r w:rsidRPr="00F05C28">
        <w:tab/>
        <w:t>34</w:t>
      </w:r>
    </w:p>
    <w:p w14:paraId="373F5FEE" w14:textId="77777777" w:rsidR="00F05C28" w:rsidRPr="00F05C28" w:rsidRDefault="00F05C28" w:rsidP="00F05C28">
      <w:pPr>
        <w:tabs>
          <w:tab w:val="right" w:leader="dot" w:pos="9360"/>
        </w:tabs>
        <w:spacing w:line="480" w:lineRule="auto"/>
        <w:ind w:firstLine="720"/>
      </w:pPr>
      <w:r w:rsidRPr="00F05C28">
        <w:t xml:space="preserve">Delimitations and Limitations </w:t>
      </w:r>
      <w:r w:rsidRPr="00F05C28">
        <w:tab/>
        <w:t>37</w:t>
      </w:r>
    </w:p>
    <w:p w14:paraId="154FFF49" w14:textId="77777777" w:rsidR="00F05C28" w:rsidRPr="00F05C28" w:rsidRDefault="00F05C28" w:rsidP="00F05C28">
      <w:pPr>
        <w:tabs>
          <w:tab w:val="right" w:leader="dot" w:pos="9360"/>
        </w:tabs>
        <w:spacing w:line="480" w:lineRule="auto"/>
        <w:ind w:firstLine="720"/>
      </w:pPr>
      <w:r w:rsidRPr="00F05C28">
        <w:t xml:space="preserve">Summary </w:t>
      </w:r>
      <w:r w:rsidRPr="00F05C28">
        <w:tab/>
        <w:t>38</w:t>
      </w:r>
    </w:p>
    <w:p w14:paraId="3901547C" w14:textId="77777777" w:rsidR="00F05C28" w:rsidRPr="00F05C28" w:rsidRDefault="00F05C28" w:rsidP="00F05C28">
      <w:pPr>
        <w:tabs>
          <w:tab w:val="right" w:leader="dot" w:pos="9360"/>
        </w:tabs>
        <w:spacing w:line="480" w:lineRule="auto"/>
      </w:pPr>
      <w:r w:rsidRPr="00F05C28">
        <w:t xml:space="preserve">CHAPTER FOUR Findings </w:t>
      </w:r>
      <w:r w:rsidRPr="00F05C28">
        <w:tab/>
        <w:t>39</w:t>
      </w:r>
    </w:p>
    <w:p w14:paraId="0312DF09" w14:textId="77777777" w:rsidR="00F05C28" w:rsidRPr="00F05C28" w:rsidRDefault="00F05C28" w:rsidP="00F05C28">
      <w:pPr>
        <w:tabs>
          <w:tab w:val="right" w:leader="dot" w:pos="9360"/>
        </w:tabs>
        <w:spacing w:line="480" w:lineRule="auto"/>
        <w:ind w:firstLine="720"/>
      </w:pPr>
      <w:r w:rsidRPr="00F05C28">
        <w:t xml:space="preserve">Demographic Information </w:t>
      </w:r>
      <w:r w:rsidRPr="00F05C28">
        <w:tab/>
        <w:t>39</w:t>
      </w:r>
    </w:p>
    <w:p w14:paraId="06030269" w14:textId="77777777" w:rsidR="00F05C28" w:rsidRPr="00F05C28" w:rsidRDefault="00F05C28" w:rsidP="00F05C28">
      <w:pPr>
        <w:tabs>
          <w:tab w:val="right" w:leader="dot" w:pos="9360"/>
        </w:tabs>
        <w:spacing w:line="480" w:lineRule="auto"/>
        <w:ind w:firstLine="720"/>
      </w:pPr>
      <w:r w:rsidRPr="00F05C28">
        <w:lastRenderedPageBreak/>
        <w:t xml:space="preserve">Findings of the Study </w:t>
      </w:r>
      <w:r w:rsidRPr="00F05C28">
        <w:tab/>
        <w:t>41</w:t>
      </w:r>
    </w:p>
    <w:p w14:paraId="3C803B15" w14:textId="77777777" w:rsidR="00F05C28" w:rsidRPr="00F05C28" w:rsidRDefault="00F05C28" w:rsidP="00F05C28">
      <w:pPr>
        <w:tabs>
          <w:tab w:val="right" w:leader="dot" w:pos="9360"/>
        </w:tabs>
        <w:spacing w:line="480" w:lineRule="auto"/>
        <w:ind w:left="720" w:firstLine="720"/>
      </w:pPr>
      <w:r w:rsidRPr="00F05C28">
        <w:t xml:space="preserve">Research Question 1 </w:t>
      </w:r>
      <w:r w:rsidRPr="00F05C28">
        <w:tab/>
        <w:t>41</w:t>
      </w:r>
    </w:p>
    <w:p w14:paraId="1E67634C" w14:textId="77777777" w:rsidR="00F05C28" w:rsidRPr="00F05C28" w:rsidRDefault="00F05C28" w:rsidP="00F05C28">
      <w:pPr>
        <w:tabs>
          <w:tab w:val="right" w:leader="dot" w:pos="9360"/>
        </w:tabs>
        <w:spacing w:line="480" w:lineRule="auto"/>
        <w:ind w:left="720" w:firstLine="720"/>
      </w:pPr>
      <w:r w:rsidRPr="00F05C28">
        <w:t xml:space="preserve">Research Question 2 </w:t>
      </w:r>
      <w:r w:rsidRPr="00F05C28">
        <w:tab/>
        <w:t>42</w:t>
      </w:r>
    </w:p>
    <w:p w14:paraId="7F591A85" w14:textId="3E5DC46D" w:rsidR="00F05C28" w:rsidRPr="00F05C28" w:rsidRDefault="00F05C28" w:rsidP="00F05C28">
      <w:pPr>
        <w:tabs>
          <w:tab w:val="right" w:leader="dot" w:pos="9360"/>
        </w:tabs>
        <w:spacing w:line="480" w:lineRule="auto"/>
        <w:ind w:left="720" w:firstLine="720"/>
      </w:pPr>
      <w:r w:rsidRPr="00F05C28">
        <w:t xml:space="preserve">Research Question 3 </w:t>
      </w:r>
      <w:r w:rsidRPr="00F05C28">
        <w:tab/>
        <w:t>45</w:t>
      </w:r>
    </w:p>
    <w:p w14:paraId="185B5E33" w14:textId="77777777" w:rsidR="00F05C28" w:rsidRPr="00F05C28" w:rsidRDefault="00F05C28" w:rsidP="00F05C28">
      <w:pPr>
        <w:tabs>
          <w:tab w:val="right" w:leader="dot" w:pos="9360"/>
        </w:tabs>
        <w:spacing w:line="480" w:lineRule="auto"/>
        <w:ind w:firstLine="720"/>
      </w:pPr>
      <w:r w:rsidRPr="00F05C28">
        <w:t xml:space="preserve">Summary </w:t>
      </w:r>
      <w:r w:rsidRPr="00F05C28">
        <w:tab/>
        <w:t>48</w:t>
      </w:r>
    </w:p>
    <w:p w14:paraId="04398400" w14:textId="77777777" w:rsidR="00F05C28" w:rsidRPr="00F05C28" w:rsidRDefault="00F05C28" w:rsidP="00F05C28">
      <w:pPr>
        <w:tabs>
          <w:tab w:val="right" w:leader="dot" w:pos="9360"/>
        </w:tabs>
        <w:spacing w:line="480" w:lineRule="auto"/>
      </w:pPr>
      <w:r w:rsidRPr="00F05C28">
        <w:t xml:space="preserve">CHAPTER FIVE Discussion and Conclusion </w:t>
      </w:r>
      <w:r w:rsidRPr="00F05C28">
        <w:tab/>
        <w:t>50</w:t>
      </w:r>
    </w:p>
    <w:p w14:paraId="2D89B3B1" w14:textId="77777777" w:rsidR="00F05C28" w:rsidRPr="00F05C28" w:rsidRDefault="00F05C28" w:rsidP="00F05C28">
      <w:pPr>
        <w:tabs>
          <w:tab w:val="right" w:leader="dot" w:pos="9360"/>
        </w:tabs>
        <w:spacing w:line="480" w:lineRule="auto"/>
        <w:ind w:firstLine="720"/>
      </w:pPr>
      <w:r w:rsidRPr="00F05C28">
        <w:t xml:space="preserve">Summary of the Study </w:t>
      </w:r>
      <w:r w:rsidRPr="00F05C28">
        <w:tab/>
        <w:t>50</w:t>
      </w:r>
    </w:p>
    <w:p w14:paraId="16BF4FEA" w14:textId="77777777" w:rsidR="00F05C28" w:rsidRPr="00F05C28" w:rsidRDefault="00F05C28" w:rsidP="00F05C28">
      <w:pPr>
        <w:tabs>
          <w:tab w:val="right" w:leader="dot" w:pos="9360"/>
        </w:tabs>
        <w:spacing w:line="480" w:lineRule="auto"/>
        <w:ind w:firstLine="720"/>
      </w:pPr>
      <w:r w:rsidRPr="00F05C28">
        <w:t xml:space="preserve">Summary of the Findings </w:t>
      </w:r>
      <w:r w:rsidRPr="00F05C28">
        <w:tab/>
        <w:t>52</w:t>
      </w:r>
    </w:p>
    <w:p w14:paraId="446989D7" w14:textId="77777777" w:rsidR="00F05C28" w:rsidRPr="00F05C28" w:rsidRDefault="00F05C28" w:rsidP="00F05C28">
      <w:pPr>
        <w:tabs>
          <w:tab w:val="right" w:leader="dot" w:pos="9360"/>
        </w:tabs>
        <w:spacing w:line="480" w:lineRule="auto"/>
        <w:ind w:firstLine="720"/>
      </w:pPr>
      <w:r w:rsidRPr="00F05C28">
        <w:t xml:space="preserve">Discussion of the Findings </w:t>
      </w:r>
      <w:r w:rsidRPr="00F05C28">
        <w:tab/>
        <w:t>53</w:t>
      </w:r>
    </w:p>
    <w:p w14:paraId="1FD9E209" w14:textId="77777777" w:rsidR="00F05C28" w:rsidRPr="00F05C28" w:rsidRDefault="00F05C28" w:rsidP="00F05C28">
      <w:pPr>
        <w:tabs>
          <w:tab w:val="right" w:leader="dot" w:pos="9360"/>
        </w:tabs>
        <w:spacing w:line="480" w:lineRule="auto"/>
        <w:ind w:left="720" w:firstLine="720"/>
      </w:pPr>
      <w:r w:rsidRPr="00F05C28">
        <w:t xml:space="preserve">Research Question 1 </w:t>
      </w:r>
      <w:r w:rsidRPr="00F05C28">
        <w:tab/>
        <w:t>53</w:t>
      </w:r>
    </w:p>
    <w:p w14:paraId="04C14073" w14:textId="77777777" w:rsidR="00F05C28" w:rsidRPr="00F05C28" w:rsidRDefault="00F05C28" w:rsidP="00F05C28">
      <w:pPr>
        <w:tabs>
          <w:tab w:val="right" w:leader="dot" w:pos="9360"/>
        </w:tabs>
        <w:spacing w:line="480" w:lineRule="auto"/>
        <w:ind w:left="720" w:firstLine="720"/>
      </w:pPr>
      <w:r w:rsidRPr="00F05C28">
        <w:t xml:space="preserve">Research Question 2 </w:t>
      </w:r>
      <w:r w:rsidRPr="00F05C28">
        <w:tab/>
        <w:t>54</w:t>
      </w:r>
    </w:p>
    <w:p w14:paraId="04D232B4" w14:textId="77777777" w:rsidR="00F05C28" w:rsidRPr="00F05C28" w:rsidRDefault="00F05C28" w:rsidP="00F05C28">
      <w:pPr>
        <w:tabs>
          <w:tab w:val="right" w:leader="dot" w:pos="9360"/>
        </w:tabs>
        <w:spacing w:line="480" w:lineRule="auto"/>
        <w:ind w:left="720" w:firstLine="720"/>
      </w:pPr>
      <w:r w:rsidRPr="00F05C28">
        <w:t xml:space="preserve">Research Question 3 </w:t>
      </w:r>
      <w:r w:rsidRPr="00F05C28">
        <w:tab/>
        <w:t>55</w:t>
      </w:r>
    </w:p>
    <w:p w14:paraId="0EEFDC57" w14:textId="77777777" w:rsidR="00F05C28" w:rsidRPr="00F05C28" w:rsidRDefault="00F05C28" w:rsidP="00F05C28">
      <w:pPr>
        <w:tabs>
          <w:tab w:val="right" w:leader="dot" w:pos="9360"/>
        </w:tabs>
        <w:spacing w:line="480" w:lineRule="auto"/>
        <w:ind w:firstLine="720"/>
      </w:pPr>
      <w:r w:rsidRPr="00F05C28">
        <w:t xml:space="preserve">Implications </w:t>
      </w:r>
      <w:r w:rsidRPr="00F05C28">
        <w:tab/>
        <w:t>58</w:t>
      </w:r>
    </w:p>
    <w:p w14:paraId="22E4AAE2" w14:textId="77777777" w:rsidR="00F05C28" w:rsidRPr="00F05C28" w:rsidRDefault="00F05C28" w:rsidP="00F05C28">
      <w:pPr>
        <w:tabs>
          <w:tab w:val="right" w:leader="dot" w:pos="9360"/>
        </w:tabs>
        <w:spacing w:line="480" w:lineRule="auto"/>
        <w:ind w:firstLine="720"/>
      </w:pPr>
      <w:r w:rsidRPr="00F05C28">
        <w:t xml:space="preserve">Recommendations for Future Research </w:t>
      </w:r>
      <w:r w:rsidRPr="00F05C28">
        <w:tab/>
        <w:t>59</w:t>
      </w:r>
    </w:p>
    <w:p w14:paraId="397C5933" w14:textId="77777777" w:rsidR="00F05C28" w:rsidRPr="00F05C28" w:rsidRDefault="00F05C28" w:rsidP="00F05C28">
      <w:pPr>
        <w:tabs>
          <w:tab w:val="right" w:leader="dot" w:pos="9360"/>
        </w:tabs>
        <w:spacing w:line="480" w:lineRule="auto"/>
        <w:ind w:firstLine="720"/>
      </w:pPr>
      <w:r w:rsidRPr="00F05C28">
        <w:t xml:space="preserve">Conclusion </w:t>
      </w:r>
      <w:r w:rsidRPr="00F05C28">
        <w:tab/>
        <w:t>60</w:t>
      </w:r>
    </w:p>
    <w:p w14:paraId="7276BCBC" w14:textId="77777777" w:rsidR="00F05C28" w:rsidRPr="00F05C28" w:rsidRDefault="00F05C28" w:rsidP="00F05C28">
      <w:pPr>
        <w:tabs>
          <w:tab w:val="right" w:leader="dot" w:pos="9360"/>
        </w:tabs>
        <w:spacing w:line="480" w:lineRule="auto"/>
      </w:pPr>
      <w:r w:rsidRPr="00F05C28">
        <w:t xml:space="preserve">REFERENCES </w:t>
      </w:r>
      <w:r w:rsidRPr="00F05C28">
        <w:tab/>
        <w:t>61</w:t>
      </w:r>
    </w:p>
    <w:p w14:paraId="503375E0" w14:textId="0F22F44D" w:rsidR="00F05C28" w:rsidRPr="00F05C28" w:rsidRDefault="00F05C28" w:rsidP="00F05C28">
      <w:pPr>
        <w:tabs>
          <w:tab w:val="right" w:leader="dot" w:pos="9360"/>
        </w:tabs>
        <w:spacing w:line="480" w:lineRule="auto"/>
      </w:pPr>
      <w:r w:rsidRPr="00F05C28">
        <w:t xml:space="preserve">APPENDICES </w:t>
      </w:r>
      <w:r w:rsidRPr="00F05C28">
        <w:tab/>
        <w:t>8</w:t>
      </w:r>
      <w:r w:rsidR="00D27782">
        <w:t>6</w:t>
      </w:r>
    </w:p>
    <w:p w14:paraId="613DFCB2" w14:textId="4BC5E576" w:rsidR="00F05C28" w:rsidRPr="00F05C28" w:rsidRDefault="00F05C28" w:rsidP="00F05C28">
      <w:pPr>
        <w:tabs>
          <w:tab w:val="right" w:leader="dot" w:pos="9360"/>
        </w:tabs>
        <w:spacing w:line="480" w:lineRule="auto"/>
      </w:pPr>
      <w:r w:rsidRPr="00F05C28">
        <w:t xml:space="preserve">Appendix A </w:t>
      </w:r>
      <w:r w:rsidRPr="00F05C28">
        <w:tab/>
        <w:t>8</w:t>
      </w:r>
      <w:r w:rsidR="00D27782">
        <w:t>7</w:t>
      </w:r>
    </w:p>
    <w:p w14:paraId="22142F34" w14:textId="1DF43E1F" w:rsidR="00F05C28" w:rsidRDefault="00F05C28" w:rsidP="00F05C28">
      <w:pPr>
        <w:tabs>
          <w:tab w:val="right" w:leader="dot" w:pos="9360"/>
        </w:tabs>
        <w:spacing w:line="480" w:lineRule="auto"/>
      </w:pPr>
      <w:r w:rsidRPr="00F05C28">
        <w:t xml:space="preserve">Appendix B </w:t>
      </w:r>
      <w:r w:rsidRPr="00F05C28">
        <w:tab/>
        <w:t>8</w:t>
      </w:r>
      <w:r w:rsidR="00D27782">
        <w:t>8</w:t>
      </w:r>
    </w:p>
    <w:p w14:paraId="3DFFF6B7" w14:textId="6881E069" w:rsidR="00D27782" w:rsidRPr="00F05C28" w:rsidRDefault="00D27782" w:rsidP="00F05C28">
      <w:pPr>
        <w:tabs>
          <w:tab w:val="right" w:leader="dot" w:pos="9360"/>
        </w:tabs>
        <w:spacing w:line="480" w:lineRule="auto"/>
      </w:pPr>
      <w:r>
        <w:t xml:space="preserve">VITA </w:t>
      </w:r>
      <w:r>
        <w:tab/>
        <w:t>89</w:t>
      </w:r>
    </w:p>
    <w:p w14:paraId="7B639F00" w14:textId="77777777" w:rsidR="00F05C28" w:rsidRPr="00F05C28" w:rsidRDefault="00F05C28" w:rsidP="00F05C28">
      <w:pPr>
        <w:rPr>
          <w:b/>
        </w:rPr>
      </w:pPr>
    </w:p>
    <w:p w14:paraId="37D7BD49" w14:textId="77777777" w:rsidR="00F05C28" w:rsidRPr="00F05C28" w:rsidRDefault="00F05C28" w:rsidP="00F05C28">
      <w:pPr>
        <w:spacing w:line="480" w:lineRule="auto"/>
        <w:jc w:val="center"/>
        <w:outlineLvl w:val="0"/>
        <w:rPr>
          <w:b/>
        </w:rPr>
      </w:pPr>
    </w:p>
    <w:p w14:paraId="6A855DC7" w14:textId="77777777" w:rsidR="00F05C28" w:rsidRPr="00F05C28" w:rsidRDefault="00F05C28" w:rsidP="00F05C28">
      <w:pPr>
        <w:spacing w:line="480" w:lineRule="auto"/>
        <w:jc w:val="center"/>
        <w:outlineLvl w:val="0"/>
        <w:rPr>
          <w:b/>
        </w:rPr>
      </w:pPr>
    </w:p>
    <w:p w14:paraId="196B8758" w14:textId="77777777" w:rsidR="00F05C28" w:rsidRPr="00F05C28" w:rsidRDefault="00F05C28" w:rsidP="00F05C28">
      <w:pPr>
        <w:spacing w:after="160" w:line="259" w:lineRule="auto"/>
        <w:rPr>
          <w:b/>
        </w:rPr>
      </w:pPr>
      <w:r w:rsidRPr="00F05C28">
        <w:rPr>
          <w:b/>
        </w:rPr>
        <w:br w:type="page"/>
      </w:r>
    </w:p>
    <w:p w14:paraId="4D33EB99" w14:textId="77777777" w:rsidR="00F05C28" w:rsidRPr="00F05C28" w:rsidRDefault="00F05C28" w:rsidP="00F05C28">
      <w:pPr>
        <w:spacing w:after="160" w:line="259" w:lineRule="auto"/>
        <w:jc w:val="center"/>
        <w:rPr>
          <w:b/>
          <w:bCs/>
        </w:rPr>
      </w:pPr>
      <w:r w:rsidRPr="00F05C28">
        <w:rPr>
          <w:b/>
          <w:bCs/>
        </w:rPr>
        <w:lastRenderedPageBreak/>
        <w:t>LIST OF TABLES</w:t>
      </w:r>
    </w:p>
    <w:p w14:paraId="5BE22200" w14:textId="77777777" w:rsidR="00F05C28" w:rsidRPr="00F05C28" w:rsidRDefault="00F05C28" w:rsidP="00F05C28">
      <w:pPr>
        <w:jc w:val="center"/>
        <w:rPr>
          <w:b/>
          <w:bCs/>
        </w:rPr>
      </w:pPr>
    </w:p>
    <w:p w14:paraId="0D3F368A" w14:textId="77777777" w:rsidR="00F05C28" w:rsidRPr="00F05C28" w:rsidRDefault="00F05C28" w:rsidP="00F05C28">
      <w:pPr>
        <w:tabs>
          <w:tab w:val="right" w:leader="dot" w:pos="9360"/>
        </w:tabs>
        <w:spacing w:line="480" w:lineRule="auto"/>
      </w:pPr>
      <w:r w:rsidRPr="00F05C28">
        <w:t>Table 3.1 Race and Ethnicity Percentage of 2011 NSSE Respondents and Peer Population</w:t>
      </w:r>
      <w:r w:rsidRPr="00F05C28">
        <w:tab/>
        <w:t xml:space="preserve"> 30</w:t>
      </w:r>
    </w:p>
    <w:p w14:paraId="4D1C0C1F" w14:textId="77777777" w:rsidR="00F05C28" w:rsidRPr="00F05C28" w:rsidRDefault="00F05C28" w:rsidP="00F05C28">
      <w:pPr>
        <w:tabs>
          <w:tab w:val="right" w:leader="dot" w:pos="9360"/>
        </w:tabs>
        <w:spacing w:line="480" w:lineRule="auto"/>
      </w:pPr>
      <w:r w:rsidRPr="00F05C28">
        <w:t xml:space="preserve">Table 3.2 Data Analysis Schema </w:t>
      </w:r>
      <w:r w:rsidRPr="00F05C28">
        <w:tab/>
        <w:t xml:space="preserve">34 </w:t>
      </w:r>
    </w:p>
    <w:p w14:paraId="4809DFBF" w14:textId="77777777" w:rsidR="00F05C28" w:rsidRPr="00F05C28" w:rsidRDefault="00F05C28" w:rsidP="00F05C28">
      <w:pPr>
        <w:tabs>
          <w:tab w:val="right" w:leader="dot" w:pos="9360"/>
        </w:tabs>
        <w:spacing w:line="480" w:lineRule="auto"/>
      </w:pPr>
      <w:r w:rsidRPr="00F05C28">
        <w:t xml:space="preserve">Table 4.1 Participant Demographic Information and Student Characteristics </w:t>
      </w:r>
      <w:r w:rsidRPr="00F05C28">
        <w:tab/>
        <w:t>40</w:t>
      </w:r>
    </w:p>
    <w:p w14:paraId="3DD97E19" w14:textId="77777777" w:rsidR="00F05C28" w:rsidRPr="00F05C28" w:rsidRDefault="00F05C28" w:rsidP="00F05C28">
      <w:pPr>
        <w:tabs>
          <w:tab w:val="right" w:leader="dot" w:pos="9360"/>
        </w:tabs>
        <w:spacing w:line="480" w:lineRule="auto"/>
      </w:pPr>
      <w:r w:rsidRPr="00F05C28">
        <w:t xml:space="preserve">Table 4.2 Descriptive Statistics for Graduation Status by Race/Ethnicity </w:t>
      </w:r>
      <w:r w:rsidRPr="00F05C28">
        <w:tab/>
        <w:t>43</w:t>
      </w:r>
    </w:p>
    <w:p w14:paraId="5BC76B82" w14:textId="77777777" w:rsidR="00F05C28" w:rsidRPr="00F05C28" w:rsidRDefault="00F05C28" w:rsidP="00F05C28">
      <w:pPr>
        <w:tabs>
          <w:tab w:val="right" w:leader="dot" w:pos="9360"/>
        </w:tabs>
        <w:spacing w:line="480" w:lineRule="auto"/>
      </w:pPr>
      <w:r w:rsidRPr="00F05C28">
        <w:t xml:space="preserve">Table 4.3 ANOVA Summary Table for Graduation Status and Race/Ethnicity </w:t>
      </w:r>
      <w:r w:rsidRPr="00F05C28">
        <w:tab/>
        <w:t>44</w:t>
      </w:r>
    </w:p>
    <w:p w14:paraId="0C743FAF" w14:textId="77777777" w:rsidR="00F05C28" w:rsidRPr="00F05C28" w:rsidRDefault="00F05C28" w:rsidP="00F05C28">
      <w:pPr>
        <w:tabs>
          <w:tab w:val="right" w:leader="dot" w:pos="9360"/>
        </w:tabs>
        <w:spacing w:line="480" w:lineRule="auto"/>
      </w:pPr>
      <w:r w:rsidRPr="00F05C28">
        <w:t>Table 4.4 Collinearity Testing using Variance Inflation Factors</w:t>
      </w:r>
      <w:r w:rsidRPr="00F05C28">
        <w:tab/>
        <w:t xml:space="preserve"> 46</w:t>
      </w:r>
    </w:p>
    <w:p w14:paraId="55811A17" w14:textId="77777777" w:rsidR="00A325F5" w:rsidRDefault="00F05C28" w:rsidP="00A325F5">
      <w:pPr>
        <w:tabs>
          <w:tab w:val="right" w:leader="dot" w:pos="9360"/>
        </w:tabs>
        <w:spacing w:line="480" w:lineRule="auto"/>
      </w:pPr>
      <w:r w:rsidRPr="00F05C28">
        <w:t>Table 4.5 Logistic Regression Coefficients and Odds Ratio</w:t>
      </w:r>
      <w:r w:rsidRPr="00F05C28">
        <w:tab/>
        <w:t xml:space="preserve"> 48</w:t>
      </w:r>
      <w:bookmarkStart w:id="0" w:name="_Toc43791634"/>
    </w:p>
    <w:p w14:paraId="36301ACF" w14:textId="77777777" w:rsidR="00A325F5" w:rsidRDefault="00A325F5" w:rsidP="00A325F5">
      <w:pPr>
        <w:tabs>
          <w:tab w:val="right" w:leader="dot" w:pos="9360"/>
        </w:tabs>
        <w:spacing w:line="480" w:lineRule="auto"/>
        <w:jc w:val="center"/>
        <w:rPr>
          <w:b/>
        </w:rPr>
        <w:sectPr w:rsidR="00A325F5" w:rsidSect="00A325F5">
          <w:footerReference w:type="default" r:id="rId12"/>
          <w:pgSz w:w="12240" w:h="15840"/>
          <w:pgMar w:top="1440" w:right="1440" w:bottom="1440" w:left="1440" w:header="720" w:footer="720" w:gutter="0"/>
          <w:pgNumType w:fmt="lowerRoman" w:start="2"/>
          <w:cols w:space="720"/>
          <w:docGrid w:linePitch="360"/>
        </w:sectPr>
      </w:pPr>
    </w:p>
    <w:p w14:paraId="1257175D" w14:textId="54D2CDDB" w:rsidR="00F05C28" w:rsidRPr="00F05C28" w:rsidRDefault="00F05C28" w:rsidP="00A325F5">
      <w:pPr>
        <w:tabs>
          <w:tab w:val="right" w:leader="dot" w:pos="9360"/>
        </w:tabs>
        <w:spacing w:line="480" w:lineRule="auto"/>
        <w:jc w:val="center"/>
        <w:rPr>
          <w:b/>
        </w:rPr>
      </w:pPr>
      <w:r w:rsidRPr="00F05C28">
        <w:rPr>
          <w:b/>
        </w:rPr>
        <w:lastRenderedPageBreak/>
        <w:t>CHAPTER 1</w:t>
      </w:r>
      <w:bookmarkEnd w:id="0"/>
    </w:p>
    <w:p w14:paraId="32280DC6" w14:textId="77777777" w:rsidR="00F05C28" w:rsidRPr="00F05C28" w:rsidRDefault="00F05C28" w:rsidP="00F05C28">
      <w:pPr>
        <w:spacing w:line="480" w:lineRule="auto"/>
        <w:jc w:val="center"/>
        <w:rPr>
          <w:b/>
        </w:rPr>
      </w:pPr>
      <w:bookmarkStart w:id="1" w:name="_gjdgxs" w:colFirst="0" w:colLast="0"/>
      <w:bookmarkEnd w:id="1"/>
      <w:r w:rsidRPr="00F05C28">
        <w:rPr>
          <w:b/>
        </w:rPr>
        <w:t>Introduction to the Study</w:t>
      </w:r>
    </w:p>
    <w:p w14:paraId="45A5273E" w14:textId="77777777" w:rsidR="00F05C28" w:rsidRPr="00F05C28" w:rsidRDefault="00F05C28" w:rsidP="00F05C28">
      <w:pPr>
        <w:spacing w:line="480" w:lineRule="auto"/>
        <w:jc w:val="center"/>
      </w:pPr>
      <w:r w:rsidRPr="00F05C28">
        <w:t xml:space="preserve">“By the end of this decade, two in three job openings will require some higher education.” </w:t>
      </w:r>
    </w:p>
    <w:p w14:paraId="6BDF45D8" w14:textId="77777777" w:rsidR="00F05C28" w:rsidRPr="00F05C28" w:rsidRDefault="00F05C28" w:rsidP="00F05C28">
      <w:pPr>
        <w:spacing w:line="480" w:lineRule="auto"/>
        <w:ind w:left="1080"/>
        <w:jc w:val="center"/>
      </w:pPr>
      <w:r w:rsidRPr="00F05C28">
        <w:t>– Barack Obama</w:t>
      </w:r>
    </w:p>
    <w:p w14:paraId="6F8764E1" w14:textId="77777777" w:rsidR="00F05C28" w:rsidRPr="00F05C28" w:rsidRDefault="00F05C28" w:rsidP="00F05C28">
      <w:pPr>
        <w:spacing w:line="480" w:lineRule="auto"/>
        <w:ind w:firstLine="720"/>
      </w:pPr>
      <w:r w:rsidRPr="00F05C28">
        <w:t xml:space="preserve">Obtaining a high school diploma no longer ensures high school </w:t>
      </w:r>
      <w:proofErr w:type="gramStart"/>
      <w:r w:rsidRPr="00F05C28">
        <w:t>graduates</w:t>
      </w:r>
      <w:proofErr w:type="gramEnd"/>
      <w:r w:rsidRPr="00F05C28">
        <w:t xml:space="preserve"> employment, nor does it guarantee economic self-sufficiency or success (Baum, Ma, &amp; </w:t>
      </w:r>
      <w:proofErr w:type="spellStart"/>
      <w:r w:rsidRPr="00F05C28">
        <w:t>Payea</w:t>
      </w:r>
      <w:proofErr w:type="spellEnd"/>
      <w:r w:rsidRPr="00F05C28">
        <w:t xml:space="preserve">, 2013; Holland &amp; Farmer-Hinton, 2009).  Completion of a college </w:t>
      </w:r>
      <w:proofErr w:type="gramStart"/>
      <w:r w:rsidRPr="00F05C28">
        <w:t>education</w:t>
      </w:r>
      <w:proofErr w:type="gramEnd"/>
      <w:r w:rsidRPr="00F05C28">
        <w:t xml:space="preserve"> however, will increase the likelihood of securing employment or achieving self-sufficiency and success (Baum et al., 2013). The benefits of completing college include more employment opportunities, higher wages, and more opportunities for both social and economic mobility (Baum &amp; </w:t>
      </w:r>
      <w:proofErr w:type="spellStart"/>
      <w:r w:rsidRPr="00F05C28">
        <w:t>Payea</w:t>
      </w:r>
      <w:proofErr w:type="spellEnd"/>
      <w:r w:rsidRPr="00F05C28">
        <w:t xml:space="preserve">, 2004; Baum et al., 2013; Brand &amp; </w:t>
      </w:r>
      <w:proofErr w:type="spellStart"/>
      <w:r w:rsidRPr="00F05C28">
        <w:t>Xie</w:t>
      </w:r>
      <w:proofErr w:type="spellEnd"/>
      <w:r w:rsidRPr="00F05C28">
        <w:t xml:space="preserve">, 2010; Brock, 2010; Carnevale, Rose &amp; Cheah, 2011; Daly &amp; </w:t>
      </w:r>
      <w:proofErr w:type="spellStart"/>
      <w:r w:rsidRPr="00F05C28">
        <w:t>Begali</w:t>
      </w:r>
      <w:proofErr w:type="spellEnd"/>
      <w:r w:rsidRPr="00F05C28">
        <w:t xml:space="preserve">, 2014; DeAngelo, Franke, Hurtado, Pryor, &amp; Tran, 2011; Harlow, 2013; </w:t>
      </w:r>
      <w:proofErr w:type="spellStart"/>
      <w:r w:rsidRPr="00F05C28">
        <w:t>Haveman</w:t>
      </w:r>
      <w:proofErr w:type="spellEnd"/>
      <w:r w:rsidRPr="00F05C28">
        <w:t xml:space="preserve"> &amp; </w:t>
      </w:r>
      <w:proofErr w:type="spellStart"/>
      <w:r w:rsidRPr="00F05C28">
        <w:t>Smeeding</w:t>
      </w:r>
      <w:proofErr w:type="spellEnd"/>
      <w:r w:rsidRPr="00F05C28">
        <w:t xml:space="preserve">, 2006; Hill, Hoffman, &amp; Rex, 2005; </w:t>
      </w:r>
      <w:proofErr w:type="spellStart"/>
      <w:r w:rsidRPr="00F05C28">
        <w:t>Hout</w:t>
      </w:r>
      <w:proofErr w:type="spellEnd"/>
      <w:r w:rsidRPr="00F05C28">
        <w:t xml:space="preserve">, 2012; Riddell &amp; Song, 2011).  As the demand for college educated workers increases and standard job requirements heighten, the importance of students pursuing a college education will continue to increase (Baum &amp; </w:t>
      </w:r>
      <w:proofErr w:type="spellStart"/>
      <w:r w:rsidRPr="00F05C28">
        <w:t>Payea</w:t>
      </w:r>
      <w:proofErr w:type="spellEnd"/>
      <w:r w:rsidRPr="00F05C28">
        <w:t xml:space="preserve">, 2004; Carnevale et al., 2011; Carnevale, Smith, &amp; </w:t>
      </w:r>
      <w:proofErr w:type="spellStart"/>
      <w:r w:rsidRPr="00F05C28">
        <w:t>Strohl</w:t>
      </w:r>
      <w:proofErr w:type="spellEnd"/>
      <w:r w:rsidRPr="00F05C28">
        <w:t xml:space="preserve">, 2010; </w:t>
      </w:r>
      <w:proofErr w:type="spellStart"/>
      <w:r w:rsidRPr="00F05C28">
        <w:t>Perna</w:t>
      </w:r>
      <w:proofErr w:type="spellEnd"/>
      <w:r w:rsidRPr="00F05C28">
        <w:t xml:space="preserve">, 2005). </w:t>
      </w:r>
    </w:p>
    <w:p w14:paraId="3835FDDB" w14:textId="77777777" w:rsidR="00F05C28" w:rsidRPr="00F05C28" w:rsidRDefault="00F05C28" w:rsidP="00F05C28">
      <w:pPr>
        <w:spacing w:line="480" w:lineRule="auto"/>
        <w:ind w:firstLine="720"/>
      </w:pPr>
      <w:r w:rsidRPr="00F05C28">
        <w:t>Compared to past decades, college student enrollment has drastically increased (</w:t>
      </w:r>
      <w:proofErr w:type="spellStart"/>
      <w:r w:rsidRPr="00F05C28">
        <w:t>Aud</w:t>
      </w:r>
      <w:proofErr w:type="spellEnd"/>
      <w:r w:rsidRPr="00F05C28">
        <w:t xml:space="preserve">, Fox, &amp; </w:t>
      </w:r>
      <w:proofErr w:type="spellStart"/>
      <w:r w:rsidRPr="00F05C28">
        <w:t>KewelRamani</w:t>
      </w:r>
      <w:proofErr w:type="spellEnd"/>
      <w:r w:rsidRPr="00F05C28">
        <w:t xml:space="preserve">, 2010; </w:t>
      </w:r>
      <w:proofErr w:type="spellStart"/>
      <w:r w:rsidRPr="00F05C28">
        <w:t>Gurin</w:t>
      </w:r>
      <w:proofErr w:type="spellEnd"/>
      <w:r w:rsidRPr="00F05C28">
        <w:t xml:space="preserve">, Dey, Hurtado, &amp; </w:t>
      </w:r>
      <w:proofErr w:type="spellStart"/>
      <w:r w:rsidRPr="00F05C28">
        <w:t>Gurin</w:t>
      </w:r>
      <w:proofErr w:type="spellEnd"/>
      <w:r w:rsidRPr="00F05C28">
        <w:t>, 2002; Harper, Patton, &amp; Wooden, 2009; McFarland et al., 2017).  Enrollment in U.S. institutions of higher education grew from 9.4 million students in 1976 to approximately 17 million students in 2015 (</w:t>
      </w:r>
      <w:proofErr w:type="spellStart"/>
      <w:r w:rsidRPr="00F05C28">
        <w:t>Aud</w:t>
      </w:r>
      <w:proofErr w:type="spellEnd"/>
      <w:r w:rsidRPr="00F05C28">
        <w:t xml:space="preserve">, Fox, &amp; </w:t>
      </w:r>
      <w:proofErr w:type="spellStart"/>
      <w:r w:rsidRPr="00F05C28">
        <w:t>KewelRamani</w:t>
      </w:r>
      <w:proofErr w:type="spellEnd"/>
      <w:r w:rsidRPr="00F05C28">
        <w:t>, 2010; McFarland et al., 2017).  As the student population in higher education has increased, so has the diversity of the college population (</w:t>
      </w:r>
      <w:proofErr w:type="spellStart"/>
      <w:r w:rsidRPr="00F05C28">
        <w:t>Gurin</w:t>
      </w:r>
      <w:proofErr w:type="spellEnd"/>
      <w:r w:rsidRPr="00F05C28">
        <w:t xml:space="preserve">, Dey, Hurtado, &amp; </w:t>
      </w:r>
      <w:proofErr w:type="spellStart"/>
      <w:r w:rsidRPr="00F05C28">
        <w:t>Gurin</w:t>
      </w:r>
      <w:proofErr w:type="spellEnd"/>
      <w:r w:rsidRPr="00F05C28">
        <w:t xml:space="preserve">, 2002; Harper, Patton, &amp; Wooden, 2009).  In 1976, the national college student population consisted of </w:t>
      </w:r>
      <w:r w:rsidRPr="00F05C28">
        <w:lastRenderedPageBreak/>
        <w:t xml:space="preserve">approximately 9 million (84.3%) Caucasian students, 1 million (9.6%) African American students, 383,800 (3.6%) Latinx students, 197,900 (1.8%) Asian/Pacific Islander students and 76,100 (0.7%) American Indian/Alaskan Native students (Snyder, de Brey, &amp; </w:t>
      </w:r>
      <w:proofErr w:type="spellStart"/>
      <w:r w:rsidRPr="00F05C28">
        <w:t>Dillow</w:t>
      </w:r>
      <w:proofErr w:type="spellEnd"/>
      <w:r w:rsidRPr="00F05C28">
        <w:t xml:space="preserve">, 2016).  In 2015, the undergraduate collegiate population consisted of 9.3 million (55%) Caucasian students, 2.3 million (14%) African American students, 3 million (18%) Latinx students, 1.1 million (6.5%) Asian American students, and 132,000 (0.8%) American Indian/Alaskan Native students (McFarland et al., 2017). </w:t>
      </w:r>
    </w:p>
    <w:p w14:paraId="0A58869D" w14:textId="77777777" w:rsidR="00F05C28" w:rsidRPr="00F05C28" w:rsidRDefault="00F05C28" w:rsidP="00F05C28">
      <w:pPr>
        <w:spacing w:line="480" w:lineRule="auto"/>
        <w:ind w:firstLine="720"/>
      </w:pPr>
      <w:r w:rsidRPr="00F05C28">
        <w:t xml:space="preserve">While college student diversity and enrollment have increased, students are not graduating at rates comparable to the increased enrollment, particularly for those from historically underrepresented student populations (Brock, 2010; Bound, </w:t>
      </w:r>
      <w:proofErr w:type="spellStart"/>
      <w:r w:rsidRPr="00F05C28">
        <w:t>Lovenheim</w:t>
      </w:r>
      <w:proofErr w:type="spellEnd"/>
      <w:r w:rsidRPr="00F05C28">
        <w:t>, &amp; Turner, 2010; Reason, 2009).  In 2015</w:t>
      </w:r>
      <w:r w:rsidRPr="00F05C28" w:rsidDel="00FC28FB">
        <w:t>,</w:t>
      </w:r>
      <w:r w:rsidRPr="00F05C28">
        <w:t xml:space="preserve"> the six-year graduation rate for first-time, full-time students was 59%</w:t>
      </w:r>
      <w:r w:rsidRPr="00F05C28" w:rsidDel="00FC28FB">
        <w:t xml:space="preserve"> (</w:t>
      </w:r>
      <w:r w:rsidRPr="00F05C28">
        <w:t>McFarland et al.</w:t>
      </w:r>
      <w:r w:rsidRPr="00F05C28" w:rsidDel="00FC28FB">
        <w:t xml:space="preserve">, 2017).  Currently, </w:t>
      </w:r>
      <w:r w:rsidRPr="00F05C28">
        <w:t>approximately 60% of college students persist to graduation (</w:t>
      </w:r>
      <w:proofErr w:type="spellStart"/>
      <w:r w:rsidRPr="00F05C28">
        <w:t>Kena</w:t>
      </w:r>
      <w:proofErr w:type="spellEnd"/>
      <w:r w:rsidRPr="00F05C28">
        <w:t xml:space="preserve"> et al., 2016).  According to Shapiro et al. (2017), college completion rates for the 2011 cohort were 66.1% for Caucasian students, 69% for Asian American students, 39.5% for African American students, and 48.6% for Latinx students.  Thus, Caucasian and Asian American students are more likely to complete college than their African American and Latinx peers (Brand &amp; </w:t>
      </w:r>
      <w:proofErr w:type="spellStart"/>
      <w:r w:rsidRPr="00F05C28">
        <w:t>Xie</w:t>
      </w:r>
      <w:proofErr w:type="spellEnd"/>
      <w:r w:rsidRPr="00F05C28">
        <w:t xml:space="preserve">, 2010; DeAngelo, Franke, Hurtado, Pryor, &amp; Tran, 2011; Fry, 2011; </w:t>
      </w:r>
      <w:proofErr w:type="spellStart"/>
      <w:r w:rsidRPr="00F05C28">
        <w:t>Ginder</w:t>
      </w:r>
      <w:proofErr w:type="spellEnd"/>
      <w:r w:rsidRPr="00F05C28">
        <w:t xml:space="preserve">, Kelly-Reid, &amp; Mann, 2016; </w:t>
      </w:r>
      <w:proofErr w:type="spellStart"/>
      <w:r w:rsidRPr="00F05C28">
        <w:t>Aud</w:t>
      </w:r>
      <w:proofErr w:type="spellEnd"/>
      <w:r w:rsidRPr="00F05C28">
        <w:t xml:space="preserve"> et al., 2011; Shapiro et al., 2017; Zarate &amp; </w:t>
      </w:r>
      <w:proofErr w:type="spellStart"/>
      <w:r w:rsidRPr="00F05C28">
        <w:t>Burciaga</w:t>
      </w:r>
      <w:proofErr w:type="spellEnd"/>
      <w:r w:rsidRPr="00F05C28">
        <w:t xml:space="preserve">, 2010). </w:t>
      </w:r>
    </w:p>
    <w:p w14:paraId="0130F687" w14:textId="77777777" w:rsidR="00F05C28" w:rsidRPr="00F05C28" w:rsidRDefault="00F05C28" w:rsidP="00F05C28">
      <w:pPr>
        <w:spacing w:line="480" w:lineRule="auto"/>
        <w:ind w:firstLine="720"/>
      </w:pPr>
      <w:r w:rsidRPr="00F05C28">
        <w:t xml:space="preserve">Institutions of higher education are deeply concerned about the persistent disparities between student enrollment and retention to graduation rates, both within the general student population and among underrepresented student populations (Bailey &amp; </w:t>
      </w:r>
      <w:proofErr w:type="spellStart"/>
      <w:r w:rsidRPr="00F05C28">
        <w:t>Dynarski</w:t>
      </w:r>
      <w:proofErr w:type="spellEnd"/>
      <w:r w:rsidRPr="00F05C28">
        <w:t xml:space="preserve">, 2011; Fischer, 2007; </w:t>
      </w:r>
      <w:proofErr w:type="spellStart"/>
      <w:r w:rsidRPr="00F05C28">
        <w:t>Kuh</w:t>
      </w:r>
      <w:proofErr w:type="spellEnd"/>
      <w:r w:rsidRPr="00F05C28">
        <w:t xml:space="preserve">, </w:t>
      </w:r>
      <w:proofErr w:type="spellStart"/>
      <w:r w:rsidRPr="00F05C28">
        <w:t>Cruce</w:t>
      </w:r>
      <w:proofErr w:type="spellEnd"/>
      <w:r w:rsidRPr="00F05C28">
        <w:t xml:space="preserve">, </w:t>
      </w:r>
      <w:proofErr w:type="spellStart"/>
      <w:r w:rsidRPr="00F05C28">
        <w:t>Shoup</w:t>
      </w:r>
      <w:proofErr w:type="spellEnd"/>
      <w:r w:rsidRPr="00F05C28">
        <w:t xml:space="preserve">, Kinzie, &amp; </w:t>
      </w:r>
      <w:proofErr w:type="spellStart"/>
      <w:r w:rsidRPr="00F05C28">
        <w:t>Gonyea</w:t>
      </w:r>
      <w:proofErr w:type="spellEnd"/>
      <w:r w:rsidRPr="00F05C28">
        <w:t xml:space="preserve">, 2008).  In consequence, they have sought to use a variety of research-based strategies to increase student persistence to graduation.  Among the </w:t>
      </w:r>
      <w:r w:rsidRPr="00F05C28">
        <w:lastRenderedPageBreak/>
        <w:t>theoretical constructs guiding such strategies is that of student integration.  In the development of the student integration construct, Tinto (1975, 1993) posited that students’ integration into the academic and social structures within institutions of higher education shaped their retention.  Students’ interactions with the academic and social environments positively influenced their commitment to the institution which in turn led to a commitment to persist to graduation (Cabrera, Nora, &amp; Castaneda, 1993; Libby, 2006; Tinto, 1975, 1993).  A number of well-regarded studies have supported the finding that student integration influences academic success and the likelihood of persistence to graduation (</w:t>
      </w:r>
      <w:proofErr w:type="spellStart"/>
      <w:r w:rsidRPr="00F05C28">
        <w:t>Astin</w:t>
      </w:r>
      <w:proofErr w:type="spellEnd"/>
      <w:r w:rsidRPr="00F05C28">
        <w:t xml:space="preserve">, 1993; Braxton, </w:t>
      </w:r>
      <w:proofErr w:type="spellStart"/>
      <w:r w:rsidRPr="00F05C28">
        <w:t>Hirschy</w:t>
      </w:r>
      <w:proofErr w:type="spellEnd"/>
      <w:r w:rsidRPr="00F05C28">
        <w:t xml:space="preserve"> &amp; McClendon, 2004; Braxton, Sullivan &amp; Johnson, 1997; </w:t>
      </w:r>
      <w:proofErr w:type="spellStart"/>
      <w:r w:rsidRPr="00F05C28">
        <w:t>Deil</w:t>
      </w:r>
      <w:proofErr w:type="spellEnd"/>
      <w:r w:rsidRPr="00F05C28">
        <w:t xml:space="preserve">-Amen, 2011; </w:t>
      </w:r>
      <w:proofErr w:type="spellStart"/>
      <w:r w:rsidRPr="00F05C28">
        <w:t>Kuh</w:t>
      </w:r>
      <w:proofErr w:type="spellEnd"/>
      <w:r w:rsidRPr="00F05C28">
        <w:t xml:space="preserve">, 2001; </w:t>
      </w:r>
      <w:proofErr w:type="spellStart"/>
      <w:r w:rsidRPr="00F05C28">
        <w:t>Kuh</w:t>
      </w:r>
      <w:proofErr w:type="spellEnd"/>
      <w:r w:rsidRPr="00F05C28">
        <w:t xml:space="preserve"> &amp; Love, 2000; Pascarella &amp; </w:t>
      </w:r>
      <w:proofErr w:type="spellStart"/>
      <w:r w:rsidRPr="00F05C28">
        <w:t>Terenzini</w:t>
      </w:r>
      <w:proofErr w:type="spellEnd"/>
      <w:r w:rsidRPr="00F05C28">
        <w:t xml:space="preserve">, 1980, 1983, 1991, 2005; Reid, 2013; Stage, 1989; </w:t>
      </w:r>
      <w:proofErr w:type="spellStart"/>
      <w:r w:rsidRPr="00F05C28">
        <w:t>Swail</w:t>
      </w:r>
      <w:proofErr w:type="spellEnd"/>
      <w:r w:rsidRPr="00F05C28">
        <w:t xml:space="preserve">, 2004; Tinto, 1975, 1993, 2006). </w:t>
      </w:r>
    </w:p>
    <w:p w14:paraId="4E6E4314" w14:textId="77777777" w:rsidR="00F05C28" w:rsidRPr="00F05C28" w:rsidRDefault="00F05C28" w:rsidP="00F05C28">
      <w:pPr>
        <w:spacing w:line="480" w:lineRule="auto"/>
        <w:ind w:firstLine="720"/>
      </w:pPr>
      <w:r w:rsidRPr="00F05C28">
        <w:t xml:space="preserve">Academic integration is defined as the benefit associated with the educational experiences that support academic and cognitive development, enhance academic motivation, and measure academic preparedness (Clark, Middleton, Nguyen, &amp; Zwick, 2014; Flowers, 2006; Pascarella &amp; </w:t>
      </w:r>
      <w:proofErr w:type="spellStart"/>
      <w:r w:rsidRPr="00F05C28">
        <w:t>Terenzini</w:t>
      </w:r>
      <w:proofErr w:type="spellEnd"/>
      <w:r w:rsidRPr="00F05C28">
        <w:t>, 1980; Tinto, 1975, 1993).  Examples of academic integration include classroom involvement, student-faculty interaction, and various other activities with faculty, academic staff, and peers that promote student intellectual development (</w:t>
      </w:r>
      <w:proofErr w:type="spellStart"/>
      <w:r w:rsidRPr="00F05C28">
        <w:t>Ishitani</w:t>
      </w:r>
      <w:proofErr w:type="spellEnd"/>
      <w:r w:rsidRPr="00F05C28">
        <w:t xml:space="preserve"> &amp; </w:t>
      </w:r>
      <w:proofErr w:type="spellStart"/>
      <w:r w:rsidRPr="00F05C28">
        <w:t>DesJardins</w:t>
      </w:r>
      <w:proofErr w:type="spellEnd"/>
      <w:r w:rsidRPr="00F05C28">
        <w:t xml:space="preserve">, 2002; Nora, 1993; Tinto, 1975, 1993).  Academic integration has consistently been found to be positively related to college student persistence (Baker, </w:t>
      </w:r>
      <w:proofErr w:type="spellStart"/>
      <w:r w:rsidRPr="00F05C28">
        <w:t>Caison</w:t>
      </w:r>
      <w:proofErr w:type="spellEnd"/>
      <w:r w:rsidRPr="00F05C28">
        <w:t xml:space="preserve">, &amp; Meade, 2007; Barnhart, 2011; Clark, Middleton, Nguyen, &amp; Zwick, 2014; </w:t>
      </w:r>
      <w:proofErr w:type="spellStart"/>
      <w:r w:rsidRPr="00F05C28">
        <w:t>Mckenzie</w:t>
      </w:r>
      <w:proofErr w:type="spellEnd"/>
      <w:r w:rsidRPr="00F05C28">
        <w:t xml:space="preserve"> &amp; Schweitzer, 2001; Prospero &amp; Vohra-Gupta, 2007; </w:t>
      </w:r>
      <w:proofErr w:type="spellStart"/>
      <w:r w:rsidRPr="00F05C28">
        <w:rPr>
          <w:color w:val="222222"/>
        </w:rPr>
        <w:t>Rienties</w:t>
      </w:r>
      <w:proofErr w:type="spellEnd"/>
      <w:r w:rsidRPr="00F05C28">
        <w:rPr>
          <w:color w:val="222222"/>
        </w:rPr>
        <w:t xml:space="preserve">, </w:t>
      </w:r>
      <w:proofErr w:type="spellStart"/>
      <w:r w:rsidRPr="00F05C28">
        <w:rPr>
          <w:color w:val="222222"/>
        </w:rPr>
        <w:t>Beausaert</w:t>
      </w:r>
      <w:proofErr w:type="spellEnd"/>
      <w:r w:rsidRPr="00F05C28">
        <w:rPr>
          <w:color w:val="222222"/>
        </w:rPr>
        <w:t xml:space="preserve">, </w:t>
      </w:r>
      <w:proofErr w:type="spellStart"/>
      <w:r w:rsidRPr="00F05C28">
        <w:rPr>
          <w:color w:val="222222"/>
        </w:rPr>
        <w:t>Grohnert</w:t>
      </w:r>
      <w:proofErr w:type="spellEnd"/>
      <w:r w:rsidRPr="00F05C28">
        <w:rPr>
          <w:color w:val="222222"/>
        </w:rPr>
        <w:t xml:space="preserve">, </w:t>
      </w:r>
      <w:proofErr w:type="spellStart"/>
      <w:r w:rsidRPr="00F05C28">
        <w:rPr>
          <w:color w:val="222222"/>
        </w:rPr>
        <w:t>Niemantsverdriet</w:t>
      </w:r>
      <w:proofErr w:type="spellEnd"/>
      <w:r w:rsidRPr="00F05C28">
        <w:rPr>
          <w:color w:val="222222"/>
        </w:rPr>
        <w:t xml:space="preserve">, &amp; </w:t>
      </w:r>
      <w:proofErr w:type="spellStart"/>
      <w:r w:rsidRPr="00F05C28">
        <w:rPr>
          <w:color w:val="222222"/>
        </w:rPr>
        <w:t>Kommers</w:t>
      </w:r>
      <w:proofErr w:type="spellEnd"/>
      <w:r w:rsidRPr="00F05C28">
        <w:rPr>
          <w:color w:val="222222"/>
        </w:rPr>
        <w:t>, 2012</w:t>
      </w:r>
      <w:r w:rsidRPr="00F05C28">
        <w:t xml:space="preserve">).  According to the literature, academic integration leads to a larger academic investment from students as well as increased persistence and retention rates (Clark, Middleton, Nguyen, &amp; Zwick, 2014; </w:t>
      </w:r>
      <w:proofErr w:type="spellStart"/>
      <w:r w:rsidRPr="00F05C28">
        <w:lastRenderedPageBreak/>
        <w:t>Rienties</w:t>
      </w:r>
      <w:proofErr w:type="spellEnd"/>
      <w:r w:rsidRPr="00F05C28">
        <w:t xml:space="preserve"> et al., 2012; Tinto, 2010).  As retention research continues, the focus on academic integration continues to overshadow by far the research on social integration.</w:t>
      </w:r>
    </w:p>
    <w:p w14:paraId="77102C48" w14:textId="77777777" w:rsidR="00F05C28" w:rsidRPr="00F05C28" w:rsidRDefault="00F05C28" w:rsidP="00F05C28">
      <w:pPr>
        <w:spacing w:line="480" w:lineRule="auto"/>
        <w:ind w:firstLine="720"/>
      </w:pPr>
      <w:r w:rsidRPr="00F05C28">
        <w:t xml:space="preserve">Tinto (1975) defined social integration as the interaction between a person and the social system of an institution, and Nora (1993) and Pascarella and </w:t>
      </w:r>
      <w:proofErr w:type="spellStart"/>
      <w:r w:rsidRPr="00F05C28">
        <w:t>Terenzini</w:t>
      </w:r>
      <w:proofErr w:type="spellEnd"/>
      <w:r w:rsidRPr="00F05C28">
        <w:t xml:space="preserve"> (1979) further explained it as the development of a strong affiliation with the college social environment both within and outside the classroom through involvement in extracurricular activities as well as formal and informal social interactions with faculty, academic staff, and peers.  Research suggests that social integration influence students’ level of institutional commitment and satisfaction with the institution along with their experience and sense of belonging, increasing the likelihood of their persistence to graduation (Braxton et al., 2004; Kraemer, 1997; Strayhorn, 2010, 2012; </w:t>
      </w:r>
      <w:proofErr w:type="spellStart"/>
      <w:r w:rsidRPr="00F05C28">
        <w:rPr>
          <w:color w:val="222222"/>
        </w:rPr>
        <w:t>Rienties</w:t>
      </w:r>
      <w:proofErr w:type="spellEnd"/>
      <w:r w:rsidRPr="00F05C28">
        <w:rPr>
          <w:color w:val="222222"/>
        </w:rPr>
        <w:t xml:space="preserve"> et al., 2012</w:t>
      </w:r>
      <w:r w:rsidRPr="00F05C28">
        <w:t xml:space="preserve">; </w:t>
      </w:r>
      <w:proofErr w:type="spellStart"/>
      <w:r w:rsidRPr="00F05C28">
        <w:t>Severiens</w:t>
      </w:r>
      <w:proofErr w:type="spellEnd"/>
      <w:r w:rsidRPr="00F05C28">
        <w:t xml:space="preserve"> &amp; Wolff, 2008; Tinto, 1975, 2006; Wilcox, Winn, &amp; </w:t>
      </w:r>
      <w:proofErr w:type="spellStart"/>
      <w:r w:rsidRPr="00F05C28">
        <w:t>Fyvie-Gauld</w:t>
      </w:r>
      <w:proofErr w:type="spellEnd"/>
      <w:r w:rsidRPr="00F05C28">
        <w:t>, 2005).  Research also suggests that students who are not socially integrated into their institutions are less likely to persist to graduation (</w:t>
      </w:r>
      <w:proofErr w:type="spellStart"/>
      <w:r w:rsidRPr="00F05C28">
        <w:rPr>
          <w:color w:val="222222"/>
        </w:rPr>
        <w:t>Rienties</w:t>
      </w:r>
      <w:proofErr w:type="spellEnd"/>
      <w:r w:rsidRPr="00F05C28">
        <w:rPr>
          <w:color w:val="222222"/>
        </w:rPr>
        <w:t xml:space="preserve"> et al., 2012</w:t>
      </w:r>
      <w:r w:rsidRPr="00F05C28">
        <w:t xml:space="preserve">; </w:t>
      </w:r>
      <w:proofErr w:type="spellStart"/>
      <w:r w:rsidRPr="00F05C28">
        <w:t>Severiens</w:t>
      </w:r>
      <w:proofErr w:type="spellEnd"/>
      <w:r w:rsidRPr="00F05C28">
        <w:t xml:space="preserve"> &amp; Wolff, 2008; Wilcox, Winn, &amp; </w:t>
      </w:r>
      <w:proofErr w:type="spellStart"/>
      <w:r w:rsidRPr="00F05C28">
        <w:t>Fyvie-Gauld</w:t>
      </w:r>
      <w:proofErr w:type="spellEnd"/>
      <w:r w:rsidRPr="00F05C28">
        <w:t xml:space="preserve">, 2005).  </w:t>
      </w:r>
    </w:p>
    <w:p w14:paraId="427FBF8A" w14:textId="77777777" w:rsidR="00F05C28" w:rsidRPr="00F05C28" w:rsidRDefault="00F05C28" w:rsidP="00F05C28">
      <w:pPr>
        <w:spacing w:line="480" w:lineRule="auto"/>
        <w:ind w:firstLine="720"/>
        <w:rPr>
          <w:rStyle w:val="CommentReference"/>
          <w:sz w:val="24"/>
          <w:szCs w:val="24"/>
        </w:rPr>
      </w:pPr>
      <w:r w:rsidRPr="00F05C28">
        <w:t>A majority of the existing student integration studies have examined academic and social integration as intertwined variables, finding that integration in both areas complemented each other and led to increased student persistence and retention (</w:t>
      </w:r>
      <w:proofErr w:type="spellStart"/>
      <w:r w:rsidRPr="00F05C28">
        <w:t>Astin</w:t>
      </w:r>
      <w:proofErr w:type="spellEnd"/>
      <w:r w:rsidRPr="00F05C28">
        <w:t xml:space="preserve">, 1993; Borglum &amp; </w:t>
      </w:r>
      <w:proofErr w:type="spellStart"/>
      <w:r w:rsidRPr="00F05C28">
        <w:t>Kubala</w:t>
      </w:r>
      <w:proofErr w:type="spellEnd"/>
      <w:r w:rsidRPr="00F05C28">
        <w:t xml:space="preserve">, 2000; Braxton, </w:t>
      </w:r>
      <w:proofErr w:type="spellStart"/>
      <w:r w:rsidRPr="00F05C28">
        <w:t>Hirschy</w:t>
      </w:r>
      <w:proofErr w:type="spellEnd"/>
      <w:r w:rsidRPr="00F05C28">
        <w:t xml:space="preserve"> &amp; McClendon, 2004; Braxton, Sullivan &amp; Johnson, 1997; </w:t>
      </w:r>
      <w:proofErr w:type="spellStart"/>
      <w:r w:rsidRPr="00F05C28">
        <w:t>Deil</w:t>
      </w:r>
      <w:proofErr w:type="spellEnd"/>
      <w:r w:rsidRPr="00F05C28">
        <w:t xml:space="preserve">-Amen, 2011; </w:t>
      </w:r>
      <w:proofErr w:type="spellStart"/>
      <w:r w:rsidRPr="00F05C28">
        <w:t>Kuh</w:t>
      </w:r>
      <w:proofErr w:type="spellEnd"/>
      <w:r w:rsidRPr="00F05C28">
        <w:t xml:space="preserve">, 2001; </w:t>
      </w:r>
      <w:proofErr w:type="spellStart"/>
      <w:r w:rsidRPr="00F05C28">
        <w:t>Kuh</w:t>
      </w:r>
      <w:proofErr w:type="spellEnd"/>
      <w:r w:rsidRPr="00F05C28">
        <w:t xml:space="preserve"> &amp; Love, 2000; Pascarella &amp; </w:t>
      </w:r>
      <w:proofErr w:type="spellStart"/>
      <w:r w:rsidRPr="00F05C28">
        <w:t>Terezini</w:t>
      </w:r>
      <w:proofErr w:type="spellEnd"/>
      <w:r w:rsidRPr="00F05C28">
        <w:t xml:space="preserve">, 1980, 1983, 1991, 2005; Reid, 2013; Stage, 1989; </w:t>
      </w:r>
      <w:proofErr w:type="spellStart"/>
      <w:r w:rsidRPr="00F05C28">
        <w:t>Swail</w:t>
      </w:r>
      <w:proofErr w:type="spellEnd"/>
      <w:r w:rsidRPr="00F05C28">
        <w:t xml:space="preserve">, 2004; Tinto, 1975, 1993, 2006).  However, some researchers have examined one of the two components independently, typically academic integration in relation to student retention and persistence, and found a positive relationship between academic integration and student retention and persistence (Baker, </w:t>
      </w:r>
      <w:proofErr w:type="spellStart"/>
      <w:r w:rsidRPr="00F05C28">
        <w:t>Caison</w:t>
      </w:r>
      <w:proofErr w:type="spellEnd"/>
      <w:r w:rsidRPr="00F05C28">
        <w:t xml:space="preserve">, &amp; Meade, 2007; Barnhart, 2011; Clark, </w:t>
      </w:r>
      <w:r w:rsidRPr="00F05C28">
        <w:lastRenderedPageBreak/>
        <w:t xml:space="preserve">Middleton, Nguyen, &amp; Zwick, 2014; </w:t>
      </w:r>
      <w:proofErr w:type="spellStart"/>
      <w:r w:rsidRPr="00F05C28">
        <w:t>Mckenzie</w:t>
      </w:r>
      <w:proofErr w:type="spellEnd"/>
      <w:r w:rsidRPr="00F05C28">
        <w:t xml:space="preserve"> &amp; Schweitzer, 2001; Prospero &amp; Vohra-Gupta, 2007; </w:t>
      </w:r>
      <w:proofErr w:type="spellStart"/>
      <w:r w:rsidRPr="00F05C28">
        <w:rPr>
          <w:color w:val="222222"/>
        </w:rPr>
        <w:t>Rienties</w:t>
      </w:r>
      <w:proofErr w:type="spellEnd"/>
      <w:r w:rsidRPr="00F05C28">
        <w:rPr>
          <w:color w:val="222222"/>
        </w:rPr>
        <w:t xml:space="preserve"> et al., 2012)</w:t>
      </w:r>
      <w:r w:rsidRPr="00F05C28">
        <w:t xml:space="preserve">.  In contrast, the research investigating the relationship between social integration and student retention and persistence is inconsistent in its findings.  In fact, many educational researchers have experienced difficulty in identifying the importance and significance of social integration in relation to student persistence and retention (Bean &amp; </w:t>
      </w:r>
      <w:proofErr w:type="spellStart"/>
      <w:r w:rsidRPr="00F05C28">
        <w:t>Metzner</w:t>
      </w:r>
      <w:proofErr w:type="spellEnd"/>
      <w:r w:rsidRPr="00F05C28">
        <w:t xml:space="preserve">, 1985; </w:t>
      </w:r>
      <w:proofErr w:type="spellStart"/>
      <w:r w:rsidRPr="00F05C28">
        <w:t>Deil</w:t>
      </w:r>
      <w:proofErr w:type="spellEnd"/>
      <w:r w:rsidRPr="00F05C28">
        <w:t xml:space="preserve">-Amen, 2011; Goldstein, Sauer, &amp; O’Donnell, 2012; Mannan, 2007; </w:t>
      </w:r>
      <w:proofErr w:type="spellStart"/>
      <w:r w:rsidRPr="00F05C28">
        <w:t>Rienties</w:t>
      </w:r>
      <w:proofErr w:type="spellEnd"/>
      <w:r w:rsidRPr="00F05C28">
        <w:t xml:space="preserve"> et al., 2012; </w:t>
      </w:r>
      <w:proofErr w:type="spellStart"/>
      <w:r w:rsidRPr="00F05C28">
        <w:t>Zepke</w:t>
      </w:r>
      <w:proofErr w:type="spellEnd"/>
      <w:r w:rsidRPr="00F05C28">
        <w:t xml:space="preserve"> &amp; Leach, 2010). </w:t>
      </w:r>
    </w:p>
    <w:p w14:paraId="39E3F4DD" w14:textId="77777777" w:rsidR="00F05C28" w:rsidRPr="00F05C28" w:rsidRDefault="00F05C28" w:rsidP="00F05C28">
      <w:pPr>
        <w:spacing w:line="480" w:lineRule="auto"/>
        <w:ind w:firstLine="720"/>
      </w:pPr>
      <w:r w:rsidRPr="00F05C28">
        <w:t xml:space="preserve">The components of the student integration construct include both academic integration and social integration, which operate individually and collectively.  However, the existing research suggests that academic integration and social integration shape student retention and persistence in different ways for different student populations (Braxton, </w:t>
      </w:r>
      <w:proofErr w:type="spellStart"/>
      <w:r w:rsidRPr="00F05C28">
        <w:t>Hirschy</w:t>
      </w:r>
      <w:proofErr w:type="spellEnd"/>
      <w:r w:rsidRPr="00F05C28">
        <w:t xml:space="preserve"> &amp; McClendon, 2004; Tinto, 1998).  Some researchers have suggested that the effect of social integration on student persistence might vary based on student characteristics such as race/ethnicity, socioeconomic status, and family education background (Davidson &amp; Wilson, 2013; </w:t>
      </w:r>
      <w:proofErr w:type="spellStart"/>
      <w:r w:rsidRPr="00F05C28">
        <w:t>Guiffrida</w:t>
      </w:r>
      <w:proofErr w:type="spellEnd"/>
      <w:r w:rsidRPr="00F05C28">
        <w:t xml:space="preserve">, 2006; Karp, Hughes, &amp; O’Gara, 2010; Kraemer, 1997; Nishimoto &amp; Hagedorn, 2003; Pascarella &amp; </w:t>
      </w:r>
      <w:proofErr w:type="spellStart"/>
      <w:r w:rsidRPr="00F05C28">
        <w:t>Terenzini</w:t>
      </w:r>
      <w:proofErr w:type="spellEnd"/>
      <w:r w:rsidRPr="00F05C28">
        <w:t xml:space="preserve">, 1998; </w:t>
      </w:r>
      <w:proofErr w:type="spellStart"/>
      <w:r w:rsidRPr="00F05C28">
        <w:t>Rienties</w:t>
      </w:r>
      <w:proofErr w:type="spellEnd"/>
      <w:r w:rsidRPr="00F05C28">
        <w:t xml:space="preserve"> et al, 2012; Tierney, 1992, 1999; Wolf-Wendel, Ward, &amp; </w:t>
      </w:r>
      <w:proofErr w:type="spellStart"/>
      <w:r w:rsidRPr="00F05C28">
        <w:t>Kinizie</w:t>
      </w:r>
      <w:proofErr w:type="spellEnd"/>
      <w:r w:rsidRPr="00F05C28">
        <w:t xml:space="preserve">, 2009).  It is relevant to note that many studies of social integration, and for that matter academic integration, have tended to aggregate student populations.  While this aggregation of different student populations is not perceived to have limited the findings about the influence of academic integration, it has been proposed that it may well make a difference in the findings about the influence of social integration, perhaps explaining why the findings to date have been inconsistent (Braxton et al., 2004; </w:t>
      </w:r>
      <w:proofErr w:type="spellStart"/>
      <w:r w:rsidRPr="00F05C28">
        <w:t>Guiffrida</w:t>
      </w:r>
      <w:proofErr w:type="spellEnd"/>
      <w:r w:rsidRPr="00F05C28">
        <w:t xml:space="preserve">, 2006; Tierney, 1999; Tinto, 1975).  </w:t>
      </w:r>
    </w:p>
    <w:p w14:paraId="7935930E" w14:textId="77777777" w:rsidR="00F05C28" w:rsidRPr="00F05C28" w:rsidRDefault="00F05C28" w:rsidP="00F05C28">
      <w:pPr>
        <w:spacing w:line="480" w:lineRule="auto"/>
        <w:ind w:firstLine="720"/>
      </w:pPr>
      <w:r w:rsidRPr="00F05C28">
        <w:lastRenderedPageBreak/>
        <w:t xml:space="preserve">Researchers that have explored the social integration of non-traditional students have argued the need to continue research on underrepresented student populations in the application of the student integration construct (Karp, Hughes, &amp; O’Gara, 2010; Kraemer, 1997; Pascarella &amp; </w:t>
      </w:r>
      <w:proofErr w:type="spellStart"/>
      <w:r w:rsidRPr="00F05C28">
        <w:t>Terenzini</w:t>
      </w:r>
      <w:proofErr w:type="spellEnd"/>
      <w:r w:rsidRPr="00F05C28">
        <w:t xml:space="preserve">, 1998; Tierney, 1999).  Within the current literature, research implications encourage educators to continue the analysis of the social integration process for African American and Latinx students in particular (Braxton et al., 2004; Jackson, 2014; Jacobs &amp; Archie, 2008, Kraemer, 1997).  Further, studies call for the expansion of research on how social integration is achieved  while controlling for background characteristics such as race, gender, and socioeconomic status, in terms of how these characteristics shape educational commitment, institutional commitment, academic integration, and most importantly, social integration (Braxton et al., 2004; Jackson, 2014; Karp, Hughes, &amp; O’Gara, 2010; Kraemer, 1997; </w:t>
      </w:r>
      <w:proofErr w:type="spellStart"/>
      <w:r w:rsidRPr="00F05C28">
        <w:t>Rienties</w:t>
      </w:r>
      <w:proofErr w:type="spellEnd"/>
      <w:r w:rsidRPr="00F05C28">
        <w:t xml:space="preserve"> et al, 2012; Tierney, 1992; Tinto, 1975; Wolf-Wendel et al., 2009). </w:t>
      </w:r>
    </w:p>
    <w:p w14:paraId="175778F3" w14:textId="77777777" w:rsidR="00F05C28" w:rsidRPr="00F05C28" w:rsidRDefault="00F05C28" w:rsidP="00F05C28">
      <w:pPr>
        <w:spacing w:line="480" w:lineRule="auto"/>
        <w:ind w:firstLine="720"/>
      </w:pPr>
      <w:r w:rsidRPr="00F05C28">
        <w:t xml:space="preserve"> There is a limited amount of educational research focused on social integration, but an even smaller amount of literature that analyzes the social integration of underrepresented students.  As a result, there is a gap in the literature exploring the relationship between social integration and African American and Latinx student populations, as well as the significance of social integration independent of academic integration. </w:t>
      </w:r>
    </w:p>
    <w:p w14:paraId="11C7B54F" w14:textId="77777777" w:rsidR="00F05C28" w:rsidRPr="00F05C28" w:rsidRDefault="00F05C28" w:rsidP="00F05C28">
      <w:pPr>
        <w:spacing w:line="480" w:lineRule="auto"/>
        <w:jc w:val="center"/>
        <w:outlineLvl w:val="0"/>
        <w:rPr>
          <w:b/>
        </w:rPr>
      </w:pPr>
      <w:bookmarkStart w:id="2" w:name="_Toc43791635"/>
      <w:r w:rsidRPr="00F05C28">
        <w:rPr>
          <w:b/>
        </w:rPr>
        <w:t>Statement of the Problem</w:t>
      </w:r>
      <w:bookmarkEnd w:id="2"/>
    </w:p>
    <w:p w14:paraId="35833F90" w14:textId="77777777" w:rsidR="00F05C28" w:rsidRPr="00F05C28" w:rsidRDefault="00F05C28" w:rsidP="00F05C28">
      <w:pPr>
        <w:spacing w:line="480" w:lineRule="auto"/>
        <w:ind w:firstLine="720"/>
      </w:pPr>
      <w:r w:rsidRPr="00F05C28">
        <w:t xml:space="preserve">Although the importance of graduating from college is increasing, the graduation rates for African American and Latinx college students continue to be lower than their peers.  While many in the field have used student integration constructs to inform their research-based strategies, inconsistent findings about social integration have left the field with a lack of confidence about the relationship between social integration and particular populations.  While </w:t>
      </w:r>
      <w:r w:rsidRPr="00F05C28">
        <w:lastRenderedPageBreak/>
        <w:t xml:space="preserve">several different factors come into play with the persistence and retention of African American and Latinx students, little is known specifically about the social integration of these students.  Additional research on social integration and African American and Latinx students might allow for considering new and more effective strategies for better serving these underrepresented student groups (Karp, Hughes, &amp; O’Gara, 2010; Kraemer, 1997; </w:t>
      </w:r>
      <w:proofErr w:type="spellStart"/>
      <w:r w:rsidRPr="00F05C28">
        <w:t>Rienties</w:t>
      </w:r>
      <w:proofErr w:type="spellEnd"/>
      <w:r w:rsidRPr="00F05C28">
        <w:t xml:space="preserve"> et al, 2012; Tierney, 1992; Wolf-Wendel et al., 2009). </w:t>
      </w:r>
    </w:p>
    <w:p w14:paraId="072A4312" w14:textId="77777777" w:rsidR="00F05C28" w:rsidRPr="00F05C28" w:rsidRDefault="00F05C28" w:rsidP="00F05C28">
      <w:pPr>
        <w:spacing w:line="480" w:lineRule="auto"/>
        <w:outlineLvl w:val="0"/>
        <w:rPr>
          <w:b/>
        </w:rPr>
      </w:pPr>
      <w:bookmarkStart w:id="3" w:name="_Toc43791636"/>
      <w:r w:rsidRPr="00F05C28">
        <w:rPr>
          <w:b/>
        </w:rPr>
        <w:t>Purpose of the Study</w:t>
      </w:r>
      <w:bookmarkEnd w:id="3"/>
    </w:p>
    <w:p w14:paraId="7B5BAF26" w14:textId="77777777" w:rsidR="00F05C28" w:rsidRPr="00F05C28" w:rsidRDefault="00F05C28" w:rsidP="00F05C28">
      <w:pPr>
        <w:spacing w:line="480" w:lineRule="auto"/>
        <w:ind w:firstLine="720"/>
        <w:outlineLvl w:val="0"/>
        <w:rPr>
          <w:b/>
        </w:rPr>
      </w:pPr>
      <w:bookmarkStart w:id="4" w:name="_Toc43791637"/>
      <w:r w:rsidRPr="00F05C28">
        <w:t>The purpose of this study is to explore the relationships between student background characteristics and social integration, and the ability to predict student retention to graduation based on student social integration.</w:t>
      </w:r>
      <w:bookmarkEnd w:id="4"/>
    </w:p>
    <w:p w14:paraId="075B4C0E" w14:textId="77777777" w:rsidR="00F05C28" w:rsidRPr="00F05C28" w:rsidRDefault="00F05C28" w:rsidP="00F05C28">
      <w:pPr>
        <w:spacing w:line="480" w:lineRule="auto"/>
        <w:outlineLvl w:val="0"/>
        <w:rPr>
          <w:b/>
        </w:rPr>
      </w:pPr>
      <w:bookmarkStart w:id="5" w:name="_Toc43791638"/>
      <w:r w:rsidRPr="00F05C28">
        <w:rPr>
          <w:b/>
        </w:rPr>
        <w:t>Research Questions</w:t>
      </w:r>
      <w:bookmarkEnd w:id="5"/>
    </w:p>
    <w:p w14:paraId="54816351" w14:textId="77777777" w:rsidR="00F05C28" w:rsidRPr="00F05C28" w:rsidRDefault="00F05C28" w:rsidP="00F05C28">
      <w:pPr>
        <w:spacing w:line="480" w:lineRule="auto"/>
      </w:pPr>
      <w:r w:rsidRPr="00F05C28">
        <w:t>The study will be guided by the following research questions:</w:t>
      </w:r>
    </w:p>
    <w:p w14:paraId="02CBF70B" w14:textId="77777777" w:rsidR="00F05C28" w:rsidRPr="00F05C28" w:rsidRDefault="00F05C28" w:rsidP="00F05C28">
      <w:pPr>
        <w:numPr>
          <w:ilvl w:val="0"/>
          <w:numId w:val="2"/>
        </w:numPr>
        <w:pBdr>
          <w:top w:val="nil"/>
          <w:left w:val="nil"/>
          <w:bottom w:val="nil"/>
          <w:right w:val="nil"/>
          <w:between w:val="nil"/>
        </w:pBdr>
        <w:spacing w:line="480" w:lineRule="auto"/>
        <w:ind w:left="990" w:hanging="270"/>
        <w:contextualSpacing/>
      </w:pPr>
      <w:r w:rsidRPr="00F05C28">
        <w:t xml:space="preserve">Is there a significant difference in the scaled measurement of social integration of </w:t>
      </w:r>
      <w:proofErr w:type="gramStart"/>
      <w:r w:rsidRPr="00F05C28">
        <w:t>first-year</w:t>
      </w:r>
      <w:proofErr w:type="gramEnd"/>
      <w:r w:rsidRPr="00F05C28">
        <w:t xml:space="preserve"> and senior level students?</w:t>
      </w:r>
    </w:p>
    <w:p w14:paraId="65D10197" w14:textId="77777777" w:rsidR="00F05C28" w:rsidRPr="00F05C28" w:rsidRDefault="00F05C28" w:rsidP="00F05C28">
      <w:pPr>
        <w:numPr>
          <w:ilvl w:val="0"/>
          <w:numId w:val="2"/>
        </w:numPr>
        <w:pBdr>
          <w:top w:val="nil"/>
          <w:left w:val="nil"/>
          <w:bottom w:val="nil"/>
          <w:right w:val="nil"/>
          <w:between w:val="nil"/>
        </w:pBdr>
        <w:spacing w:line="480" w:lineRule="auto"/>
        <w:ind w:left="990" w:hanging="270"/>
        <w:contextualSpacing/>
      </w:pPr>
      <w:r w:rsidRPr="00F05C28">
        <w:t>Is there a significant difference in the scaled measurement of social integration for African American and Latinx graduates and dropouts?</w:t>
      </w:r>
    </w:p>
    <w:p w14:paraId="1E36D839" w14:textId="77777777" w:rsidR="00F05C28" w:rsidRPr="00F05C28" w:rsidRDefault="00F05C28" w:rsidP="00F05C28">
      <w:pPr>
        <w:numPr>
          <w:ilvl w:val="0"/>
          <w:numId w:val="2"/>
        </w:numPr>
        <w:pBdr>
          <w:top w:val="nil"/>
          <w:left w:val="nil"/>
          <w:bottom w:val="nil"/>
          <w:right w:val="nil"/>
          <w:between w:val="nil"/>
        </w:pBdr>
        <w:spacing w:line="480" w:lineRule="auto"/>
        <w:ind w:left="990" w:hanging="270"/>
        <w:contextualSpacing/>
      </w:pPr>
      <w:r w:rsidRPr="00F05C28">
        <w:t>Does social integration predict graduation among African American and Latinx students?</w:t>
      </w:r>
    </w:p>
    <w:p w14:paraId="3911CF6F" w14:textId="77777777" w:rsidR="00F05C28" w:rsidRPr="00F05C28" w:rsidRDefault="00F05C28" w:rsidP="00F05C28">
      <w:pPr>
        <w:spacing w:line="480" w:lineRule="auto"/>
        <w:outlineLvl w:val="0"/>
        <w:rPr>
          <w:b/>
        </w:rPr>
      </w:pPr>
      <w:bookmarkStart w:id="6" w:name="_Toc43791639"/>
      <w:r w:rsidRPr="00F05C28">
        <w:rPr>
          <w:b/>
        </w:rPr>
        <w:t>Significance of the Study</w:t>
      </w:r>
      <w:bookmarkEnd w:id="6"/>
    </w:p>
    <w:p w14:paraId="7B4FAF29" w14:textId="77777777" w:rsidR="00F05C28" w:rsidRPr="00F05C28" w:rsidRDefault="00F05C28" w:rsidP="00F05C28">
      <w:pPr>
        <w:pStyle w:val="ListBullet"/>
        <w:numPr>
          <w:ilvl w:val="0"/>
          <w:numId w:val="0"/>
        </w:numPr>
        <w:spacing w:after="0" w:line="480" w:lineRule="auto"/>
        <w:ind w:firstLine="720"/>
        <w:rPr>
          <w:rFonts w:ascii="Times New Roman" w:hAnsi="Times New Roman" w:cs="Times New Roman"/>
          <w:sz w:val="24"/>
          <w:szCs w:val="24"/>
        </w:rPr>
      </w:pPr>
      <w:r w:rsidRPr="00F05C28">
        <w:rPr>
          <w:rFonts w:ascii="Times New Roman" w:hAnsi="Times New Roman" w:cs="Times New Roman"/>
          <w:sz w:val="24"/>
          <w:szCs w:val="24"/>
        </w:rPr>
        <w:t xml:space="preserve">Our understanding of the impact of social integration on African American and Latinx student populations is limited.  The current study has significance for both research and practice.  This study broadens the knowledge base within educational research on social integration and persistence within higher education by identifying the relationship between social integration and </w:t>
      </w:r>
      <w:r w:rsidRPr="00F05C28">
        <w:rPr>
          <w:rFonts w:ascii="Times New Roman" w:hAnsi="Times New Roman" w:cs="Times New Roman"/>
          <w:sz w:val="24"/>
          <w:szCs w:val="24"/>
        </w:rPr>
        <w:lastRenderedPageBreak/>
        <w:t>graduation, as well as the strength of this relationship based on race and ethnicity.  This study will also</w:t>
      </w:r>
      <w:r w:rsidRPr="00F05C28">
        <w:rPr>
          <w:rFonts w:ascii="Times New Roman" w:eastAsiaTheme="minorHAnsi" w:hAnsi="Times New Roman" w:cs="Times New Roman"/>
          <w:color w:val="auto"/>
          <w:sz w:val="24"/>
          <w:szCs w:val="24"/>
        </w:rPr>
        <w:t xml:space="preserve"> </w:t>
      </w:r>
      <w:r w:rsidRPr="00F05C28">
        <w:rPr>
          <w:rFonts w:ascii="Times New Roman" w:hAnsi="Times New Roman" w:cs="Times New Roman"/>
          <w:sz w:val="24"/>
          <w:szCs w:val="24"/>
        </w:rPr>
        <w:t xml:space="preserve">confirm or refute the belief advanced in the literature that social integration may affect specific populations differently than the student population in general.  The results of this study will hopefully provide clues to whether social integration may help or limit students. </w:t>
      </w:r>
    </w:p>
    <w:p w14:paraId="3AFFAFEE" w14:textId="77777777" w:rsidR="00F05C28" w:rsidRPr="00F05C28" w:rsidRDefault="00F05C28" w:rsidP="00F05C28">
      <w:pPr>
        <w:pStyle w:val="ListBullet"/>
        <w:numPr>
          <w:ilvl w:val="0"/>
          <w:numId w:val="0"/>
        </w:numPr>
        <w:spacing w:after="0" w:line="480" w:lineRule="auto"/>
        <w:ind w:firstLine="720"/>
        <w:rPr>
          <w:rFonts w:ascii="Times New Roman" w:hAnsi="Times New Roman" w:cs="Times New Roman"/>
          <w:sz w:val="24"/>
          <w:szCs w:val="24"/>
        </w:rPr>
      </w:pPr>
      <w:r w:rsidRPr="00F05C28">
        <w:rPr>
          <w:rFonts w:ascii="Times New Roman" w:hAnsi="Times New Roman" w:cs="Times New Roman"/>
          <w:sz w:val="24"/>
          <w:szCs w:val="24"/>
        </w:rPr>
        <w:t xml:space="preserve">Results of the study may help practitioners determine if common strategies that are currently being used with these populations are more or less likely to be </w:t>
      </w:r>
      <w:proofErr w:type="gramStart"/>
      <w:r w:rsidRPr="00F05C28">
        <w:rPr>
          <w:rFonts w:ascii="Times New Roman" w:hAnsi="Times New Roman" w:cs="Times New Roman"/>
          <w:sz w:val="24"/>
          <w:szCs w:val="24"/>
        </w:rPr>
        <w:t>effective, or</w:t>
      </w:r>
      <w:proofErr w:type="gramEnd"/>
      <w:r w:rsidRPr="00F05C28">
        <w:rPr>
          <w:rFonts w:ascii="Times New Roman" w:hAnsi="Times New Roman" w:cs="Times New Roman"/>
          <w:sz w:val="24"/>
          <w:szCs w:val="24"/>
        </w:rPr>
        <w:t xml:space="preserve"> need to be replaced with new or different strategies.  The findings of the study could serve as the basis for interventions that could increase the retention and persistence rates for these populations.  This study will also provide findings to inform both innovative and traditional practices that might better serve the African American and Latinx student populations on campuses across the country. </w:t>
      </w:r>
    </w:p>
    <w:p w14:paraId="7E0D16FF" w14:textId="77777777" w:rsidR="00F05C28" w:rsidRPr="00F05C28" w:rsidRDefault="00F05C28" w:rsidP="00F05C28">
      <w:pPr>
        <w:spacing w:line="480" w:lineRule="auto"/>
        <w:jc w:val="center"/>
        <w:outlineLvl w:val="0"/>
        <w:rPr>
          <w:b/>
        </w:rPr>
      </w:pPr>
      <w:bookmarkStart w:id="7" w:name="_Toc43791640"/>
      <w:r w:rsidRPr="00F05C28">
        <w:rPr>
          <w:b/>
        </w:rPr>
        <w:t>Definitions of Key Terms</w:t>
      </w:r>
      <w:bookmarkEnd w:id="7"/>
    </w:p>
    <w:p w14:paraId="57383729" w14:textId="77777777" w:rsidR="00F05C28" w:rsidRPr="00F05C28" w:rsidRDefault="00F05C28" w:rsidP="00F05C28">
      <w:pPr>
        <w:spacing w:line="480" w:lineRule="auto"/>
      </w:pPr>
      <w:r w:rsidRPr="00F05C28">
        <w:rPr>
          <w:b/>
        </w:rPr>
        <w:t>Predominantly White Institution (PWI)</w:t>
      </w:r>
      <w:r w:rsidRPr="00F05C28">
        <w:t xml:space="preserve"> is defined as any institutions of higher learning in which the Caucasian student population accounts for 50% or greater of the enrolled student population (Brown &amp; Dancy, 2010).  </w:t>
      </w:r>
    </w:p>
    <w:p w14:paraId="22A909EC" w14:textId="77777777" w:rsidR="00F05C28" w:rsidRPr="00F05C28" w:rsidRDefault="00F05C28" w:rsidP="00F05C28">
      <w:pPr>
        <w:spacing w:line="480" w:lineRule="auto"/>
      </w:pPr>
      <w:r w:rsidRPr="00F05C28">
        <w:rPr>
          <w:b/>
        </w:rPr>
        <w:t>African American</w:t>
      </w:r>
      <w:r w:rsidRPr="00F05C28">
        <w:t xml:space="preserve">: Individuals who self-identify as Black or African American.  </w:t>
      </w:r>
    </w:p>
    <w:p w14:paraId="49EE5709" w14:textId="77777777" w:rsidR="00F05C28" w:rsidRPr="00F05C28" w:rsidRDefault="00F05C28" w:rsidP="00F05C28">
      <w:pPr>
        <w:spacing w:line="480" w:lineRule="auto"/>
      </w:pPr>
      <w:r w:rsidRPr="00F05C28">
        <w:rPr>
          <w:b/>
        </w:rPr>
        <w:t>Latinx</w:t>
      </w:r>
      <w:r w:rsidRPr="00F05C28">
        <w:t xml:space="preserve">: Individuals who self-identify as Hispanic or Latino. </w:t>
      </w:r>
    </w:p>
    <w:p w14:paraId="578DC5DE" w14:textId="77777777" w:rsidR="00F05C28" w:rsidRPr="00F05C28" w:rsidRDefault="00F05C28" w:rsidP="00F05C28">
      <w:pPr>
        <w:spacing w:line="480" w:lineRule="auto"/>
      </w:pPr>
      <w:r w:rsidRPr="00F05C28">
        <w:rPr>
          <w:b/>
        </w:rPr>
        <w:t xml:space="preserve">Retention to </w:t>
      </w:r>
      <w:proofErr w:type="gramStart"/>
      <w:r w:rsidRPr="00F05C28">
        <w:rPr>
          <w:b/>
        </w:rPr>
        <w:t>Graduation:</w:t>
      </w:r>
      <w:proofErr w:type="gramEnd"/>
      <w:r w:rsidRPr="00F05C28">
        <w:rPr>
          <w:b/>
        </w:rPr>
        <w:t xml:space="preserve"> </w:t>
      </w:r>
      <w:r w:rsidRPr="00F05C28">
        <w:t>is defined as the active enrollment of a student in college and remains enrolled until degree completion.</w:t>
      </w:r>
    </w:p>
    <w:p w14:paraId="74ECA811" w14:textId="77777777" w:rsidR="00F05C28" w:rsidRPr="00F05C28" w:rsidRDefault="00F05C28" w:rsidP="00F05C28">
      <w:pPr>
        <w:spacing w:line="480" w:lineRule="auto"/>
        <w:rPr>
          <w:b/>
        </w:rPr>
      </w:pPr>
      <w:r w:rsidRPr="00F05C28">
        <w:rPr>
          <w:b/>
        </w:rPr>
        <w:t xml:space="preserve">Graduate: </w:t>
      </w:r>
      <w:r w:rsidRPr="00F05C28">
        <w:t>a former student who has completed a prescribed course of study in a college or university</w:t>
      </w:r>
      <w:r w:rsidRPr="00F05C28">
        <w:rPr>
          <w:b/>
        </w:rPr>
        <w:t xml:space="preserve"> </w:t>
      </w:r>
      <w:r w:rsidRPr="00F05C28">
        <w:t>(Hagedorn, 2005, pp. 6).</w:t>
      </w:r>
    </w:p>
    <w:p w14:paraId="35F88CE3" w14:textId="77777777" w:rsidR="00F05C28" w:rsidRPr="00F05C28" w:rsidRDefault="00F05C28" w:rsidP="00F05C28">
      <w:pPr>
        <w:spacing w:line="480" w:lineRule="auto"/>
        <w:rPr>
          <w:b/>
        </w:rPr>
      </w:pPr>
      <w:r w:rsidRPr="00F05C28">
        <w:rPr>
          <w:b/>
        </w:rPr>
        <w:t xml:space="preserve">Dropout: </w:t>
      </w:r>
      <w:r w:rsidRPr="00F05C28">
        <w:t>is defined as individuals who leave college prior to graduation or program completion (Hagedorn, 2005).</w:t>
      </w:r>
    </w:p>
    <w:p w14:paraId="1B41ABEC" w14:textId="77777777" w:rsidR="00F05C28" w:rsidRPr="00F05C28" w:rsidRDefault="00F05C28" w:rsidP="00F05C28">
      <w:pPr>
        <w:spacing w:line="480" w:lineRule="auto"/>
      </w:pPr>
      <w:r w:rsidRPr="00F05C28">
        <w:rPr>
          <w:b/>
        </w:rPr>
        <w:lastRenderedPageBreak/>
        <w:t xml:space="preserve">Retention: </w:t>
      </w:r>
      <w:r w:rsidRPr="00F05C28">
        <w:t>is defined as the institution's ability to retain students from one year to the next (</w:t>
      </w:r>
      <w:proofErr w:type="spellStart"/>
      <w:r w:rsidRPr="00F05C28">
        <w:t>Astin</w:t>
      </w:r>
      <w:proofErr w:type="spellEnd"/>
      <w:r w:rsidRPr="00F05C28">
        <w:t xml:space="preserve">, 1975). </w:t>
      </w:r>
    </w:p>
    <w:p w14:paraId="416D2CD7" w14:textId="77777777" w:rsidR="00F05C28" w:rsidRPr="00F05C28" w:rsidRDefault="00F05C28" w:rsidP="00F05C28">
      <w:pPr>
        <w:spacing w:line="480" w:lineRule="auto"/>
        <w:jc w:val="center"/>
        <w:outlineLvl w:val="0"/>
        <w:rPr>
          <w:b/>
        </w:rPr>
      </w:pPr>
      <w:bookmarkStart w:id="8" w:name="_Toc43791641"/>
      <w:r w:rsidRPr="00F05C28">
        <w:rPr>
          <w:b/>
        </w:rPr>
        <w:t>Organization of the Study</w:t>
      </w:r>
      <w:bookmarkEnd w:id="8"/>
    </w:p>
    <w:p w14:paraId="145DFF1D" w14:textId="77777777" w:rsidR="00F05C28" w:rsidRPr="00F05C28" w:rsidRDefault="00F05C28" w:rsidP="00F05C28">
      <w:pPr>
        <w:spacing w:line="480" w:lineRule="auto"/>
        <w:ind w:firstLine="720"/>
        <w:rPr>
          <w:b/>
        </w:rPr>
      </w:pPr>
      <w:r w:rsidRPr="00F05C28">
        <w:t xml:space="preserve">This study is organized into five chapters.  The first chapter contains an argument for the need for the study, the purpose of the study, and speaks to the significance of the study.  It also details the limitations of the study and provides definitions relative to the study.  The second chapter provides a critical review of the existing research on integration and retention in terms of race and ethnicity, the retention of African American and Latinx students, and social integration.  The third chapter describes the methodology and procedures to be used in the conduct of the study. </w:t>
      </w:r>
    </w:p>
    <w:p w14:paraId="7510A831" w14:textId="77777777" w:rsidR="00F05C28" w:rsidRPr="00F05C28" w:rsidRDefault="00F05C28" w:rsidP="00F05C28">
      <w:r w:rsidRPr="00F05C28">
        <w:br w:type="page"/>
      </w:r>
    </w:p>
    <w:p w14:paraId="1B114388" w14:textId="77777777" w:rsidR="00F05C28" w:rsidRPr="00F05C28" w:rsidRDefault="00F05C28" w:rsidP="00F05C28">
      <w:pPr>
        <w:tabs>
          <w:tab w:val="center" w:pos="4680"/>
          <w:tab w:val="left" w:pos="7025"/>
        </w:tabs>
        <w:spacing w:line="480" w:lineRule="auto"/>
        <w:outlineLvl w:val="0"/>
        <w:rPr>
          <w:b/>
        </w:rPr>
      </w:pPr>
      <w:r w:rsidRPr="00F05C28">
        <w:rPr>
          <w:b/>
        </w:rPr>
        <w:lastRenderedPageBreak/>
        <w:tab/>
      </w:r>
      <w:bookmarkStart w:id="9" w:name="_Toc43791642"/>
      <w:r w:rsidRPr="00F05C28">
        <w:rPr>
          <w:b/>
        </w:rPr>
        <w:t>CHAPTER 2</w:t>
      </w:r>
      <w:bookmarkEnd w:id="9"/>
      <w:r w:rsidRPr="00F05C28">
        <w:rPr>
          <w:b/>
        </w:rPr>
        <w:tab/>
      </w:r>
    </w:p>
    <w:p w14:paraId="00588942" w14:textId="77777777" w:rsidR="00F05C28" w:rsidRPr="00F05C28" w:rsidRDefault="00F05C28" w:rsidP="00F05C28">
      <w:pPr>
        <w:spacing w:line="480" w:lineRule="auto"/>
        <w:jc w:val="center"/>
        <w:rPr>
          <w:b/>
        </w:rPr>
      </w:pPr>
      <w:r w:rsidRPr="00F05C28">
        <w:rPr>
          <w:b/>
        </w:rPr>
        <w:t>Review of the Literature</w:t>
      </w:r>
    </w:p>
    <w:p w14:paraId="5F965C13" w14:textId="77777777" w:rsidR="00F05C28" w:rsidRPr="00F05C28" w:rsidRDefault="00F05C28" w:rsidP="00F05C28">
      <w:pPr>
        <w:spacing w:line="480" w:lineRule="auto"/>
        <w:ind w:firstLine="720"/>
      </w:pPr>
      <w:r w:rsidRPr="00F05C28">
        <w:t xml:space="preserve">This chapter provides a critical review of the literature and research regarding the social integration and retention of African American and Latinx students.  The first section is a review of what we know about student retention and graduation in general, disaggregated by race/ethnicity.  The second section provides a critical examination of the existing research and literature on the Theory of Student Departure (Student Integration Theory), including an overview of both academic and social integration.  The third and final section provides a summary of the existing research about social integration, including the social integration of African American and Latinx student populations. </w:t>
      </w:r>
    </w:p>
    <w:p w14:paraId="26574076" w14:textId="77777777" w:rsidR="00F05C28" w:rsidRPr="00F05C28" w:rsidRDefault="00F05C28" w:rsidP="00F05C28">
      <w:pPr>
        <w:spacing w:line="480" w:lineRule="auto"/>
        <w:jc w:val="center"/>
        <w:outlineLvl w:val="0"/>
        <w:rPr>
          <w:b/>
        </w:rPr>
      </w:pPr>
      <w:bookmarkStart w:id="10" w:name="_Toc43791643"/>
      <w:r w:rsidRPr="00F05C28">
        <w:rPr>
          <w:b/>
        </w:rPr>
        <w:t>Retention</w:t>
      </w:r>
      <w:bookmarkEnd w:id="10"/>
    </w:p>
    <w:p w14:paraId="7C50C4E2" w14:textId="77777777" w:rsidR="00F05C28" w:rsidRPr="00F05C28" w:rsidRDefault="00F05C28" w:rsidP="00F05C28">
      <w:pPr>
        <w:shd w:val="clear" w:color="auto" w:fill="FFFFFF"/>
        <w:spacing w:line="480" w:lineRule="auto"/>
        <w:ind w:firstLine="720"/>
        <w:rPr>
          <w:rFonts w:eastAsia="Calibri"/>
        </w:rPr>
      </w:pPr>
      <w:r w:rsidRPr="00F05C28">
        <w:rPr>
          <w:rFonts w:eastAsia="Calibri"/>
        </w:rPr>
        <w:t xml:space="preserve">Although college enrollment has risen, the widening of the educational attainment gap by race/ethnicity has prevailed as a persistent issue in American Higher Education.  In 2016, 46% of high school graduates immediately enrolled in college (McFarland et al., 2017).  Disaggregated by race and ethnicity, the immediate college enrollment rate was 91.9% for Asian students, 69.7% for Caucasian students, 72% for Latinx students, and 57.3% for African American students (McFarland et al., 2018).  While 46% of the 2016 high school graduates immediately enrolled in a four-year college or university in Fall 2016, only 73.9% of the Fall 2016 freshmen were retained through Fall 2017 (McFarland et al., 2018; National Student Clearinghouse Research Center, 2018).  Broken down by race, 85.3% of Asian students, 78.6% of Caucasian students, 70.7% of Latinx students, and 67% of African American students were retained through the 2016-2017 academic year and returned Fall 2017 (National Student Clearinghouse Research Center, 2018).  After students are retained their first year of college an even lower percentage </w:t>
      </w:r>
      <w:r w:rsidRPr="00F05C28">
        <w:rPr>
          <w:rFonts w:eastAsia="Calibri"/>
        </w:rPr>
        <w:lastRenderedPageBreak/>
        <w:t xml:space="preserve">were retained till graduation.  The total 4-year graduation rate for the 2010 college cohort was 40.6%, while the 5-year graduation rate was 55.8%, and the 6-year graduation rate was 59.8% (Snyder, de Brey, &amp; </w:t>
      </w:r>
      <w:proofErr w:type="spellStart"/>
      <w:r w:rsidRPr="00F05C28">
        <w:rPr>
          <w:rFonts w:eastAsia="Calibri"/>
        </w:rPr>
        <w:t>Dillow</w:t>
      </w:r>
      <w:proofErr w:type="spellEnd"/>
      <w:r w:rsidRPr="00F05C28">
        <w:rPr>
          <w:rFonts w:eastAsia="Calibri"/>
        </w:rPr>
        <w:t xml:space="preserve">, 2019).  The four-year graduation rate disaggregated by race/ethnicity was reported with Caucasian students at 45.2%, Asian students at 50%, African American students at 21.4%, and Latinx students at a 31.7% graduation rate (McFarland et al., 2017).  The five-year graduation rate for Asian students was 68%, Caucasian students 60.3%, African American students 35%, and Latinx students 48.8% (McFarland et al., 2017).  The six-year graduation rate was 73.6% for Asian students, 63.9% for Caucasian students, 39.7% for African American students, and 54.4% for Latinx students (McFarland et al., 2017).  Both freshmen to sophomore year retention rates as well as college graduation rates for African American and Latinx students were consistently lower than their Asian and Caucasian peers.  These statistics serve as evidence that improving the retention and graduation of all student populations has not been accomplished, and the educational attainment disparities between Asian American, Caucasian, African American and Latinx students in higher education continue to be pervasive (Baker &amp; </w:t>
      </w:r>
      <w:proofErr w:type="spellStart"/>
      <w:r w:rsidRPr="00F05C28">
        <w:rPr>
          <w:rFonts w:eastAsia="Calibri"/>
        </w:rPr>
        <w:t>Robnett</w:t>
      </w:r>
      <w:proofErr w:type="spellEnd"/>
      <w:r w:rsidRPr="00F05C28">
        <w:rPr>
          <w:rFonts w:eastAsia="Calibri"/>
        </w:rPr>
        <w:t xml:space="preserve">, 2012; Brock, 2010; Camara, 2003; Fischer, 2007; </w:t>
      </w:r>
      <w:proofErr w:type="spellStart"/>
      <w:r w:rsidRPr="00F05C28">
        <w:rPr>
          <w:rFonts w:eastAsia="Calibri"/>
        </w:rPr>
        <w:t>Lotkowski</w:t>
      </w:r>
      <w:proofErr w:type="spellEnd"/>
      <w:r w:rsidRPr="00F05C28">
        <w:rPr>
          <w:rFonts w:eastAsia="Calibri"/>
        </w:rPr>
        <w:t xml:space="preserve">, Robbins, &amp; </w:t>
      </w:r>
      <w:proofErr w:type="spellStart"/>
      <w:r w:rsidRPr="00F05C28">
        <w:rPr>
          <w:rFonts w:eastAsia="Calibri"/>
        </w:rPr>
        <w:t>Noeth</w:t>
      </w:r>
      <w:proofErr w:type="spellEnd"/>
      <w:r w:rsidRPr="00F05C28">
        <w:rPr>
          <w:rFonts w:eastAsia="Calibri"/>
        </w:rPr>
        <w:t xml:space="preserve">, 2004; Morley, 2003; Zarate &amp; </w:t>
      </w:r>
      <w:proofErr w:type="spellStart"/>
      <w:r w:rsidRPr="00F05C28">
        <w:rPr>
          <w:rFonts w:eastAsia="Calibri"/>
        </w:rPr>
        <w:t>Burciaga</w:t>
      </w:r>
      <w:proofErr w:type="spellEnd"/>
      <w:r w:rsidRPr="00F05C28">
        <w:rPr>
          <w:rFonts w:eastAsia="Calibri"/>
        </w:rPr>
        <w:t xml:space="preserve">, 2010; Zhan &amp; </w:t>
      </w:r>
      <w:proofErr w:type="spellStart"/>
      <w:r w:rsidRPr="00F05C28">
        <w:rPr>
          <w:rFonts w:eastAsia="Calibri"/>
        </w:rPr>
        <w:t>Sherraden</w:t>
      </w:r>
      <w:proofErr w:type="spellEnd"/>
      <w:r w:rsidRPr="00F05C28">
        <w:rPr>
          <w:rFonts w:eastAsia="Calibri"/>
        </w:rPr>
        <w:t xml:space="preserve">, 2011). </w:t>
      </w:r>
    </w:p>
    <w:p w14:paraId="419E0006" w14:textId="77777777" w:rsidR="00F05C28" w:rsidRPr="00F05C28" w:rsidRDefault="00F05C28" w:rsidP="00F05C28">
      <w:pPr>
        <w:shd w:val="clear" w:color="auto" w:fill="FFFFFF"/>
        <w:spacing w:line="480" w:lineRule="auto"/>
        <w:ind w:firstLine="720"/>
        <w:rPr>
          <w:rFonts w:eastAsia="Calibri"/>
        </w:rPr>
      </w:pPr>
      <w:r w:rsidRPr="00F05C28">
        <w:rPr>
          <w:rFonts w:eastAsia="Calibri"/>
        </w:rPr>
        <w:t xml:space="preserve">During the last 40 years concerns about the retention and graduation of African American and Latinx students increased as the educational attainment gap grew (Fischer, 2007; Morley, 2003; </w:t>
      </w:r>
      <w:proofErr w:type="spellStart"/>
      <w:r w:rsidRPr="00F05C28">
        <w:rPr>
          <w:rFonts w:eastAsia="Calibri"/>
        </w:rPr>
        <w:t>Museus</w:t>
      </w:r>
      <w:proofErr w:type="spellEnd"/>
      <w:r w:rsidRPr="00F05C28">
        <w:rPr>
          <w:rFonts w:eastAsia="Calibri"/>
        </w:rPr>
        <w:t xml:space="preserve"> &amp; Quaye, 2009; Zarate &amp; </w:t>
      </w:r>
      <w:proofErr w:type="spellStart"/>
      <w:r w:rsidRPr="00F05C28">
        <w:rPr>
          <w:rFonts w:eastAsia="Calibri"/>
        </w:rPr>
        <w:t>Burciaga</w:t>
      </w:r>
      <w:proofErr w:type="spellEnd"/>
      <w:r w:rsidRPr="00F05C28">
        <w:rPr>
          <w:rFonts w:eastAsia="Calibri"/>
        </w:rPr>
        <w:t xml:space="preserve">, 2010; Zhan &amp; </w:t>
      </w:r>
      <w:proofErr w:type="spellStart"/>
      <w:r w:rsidRPr="00F05C28">
        <w:rPr>
          <w:rFonts w:eastAsia="Calibri"/>
        </w:rPr>
        <w:t>Sherraden</w:t>
      </w:r>
      <w:proofErr w:type="spellEnd"/>
      <w:r w:rsidRPr="00F05C28">
        <w:rPr>
          <w:rFonts w:eastAsia="Calibri"/>
        </w:rPr>
        <w:t xml:space="preserve">, 2011).  Although African American students account for 12% and Latinx students account for 18% of the student population at four-year public institutions, only 45.9% of African American students and 54.9% Latinx students at four-year public institutions graduate within six years (McFarland et al., 2018; National Student Clearinghouse Research Center, 2018).  Educational retention research and </w:t>
      </w:r>
      <w:r w:rsidRPr="00F05C28">
        <w:rPr>
          <w:rFonts w:eastAsia="Calibri"/>
        </w:rPr>
        <w:lastRenderedPageBreak/>
        <w:t xml:space="preserve">literature suggests several factors contribute to these ever-present disparities.  Some of these factors include inadequate familial support, limited financial resources, inadequate knowledge of financial assistance, low self-esteem, inadequate academic preparation, feelings of isolation within the campus community, and low social expectations for attending and graduating (Allen, 1992; Baber, 2012; Bonner &amp; Bailey, 2006; Cabrera, Nora, </w:t>
      </w:r>
      <w:proofErr w:type="spellStart"/>
      <w:r w:rsidRPr="00F05C28">
        <w:rPr>
          <w:rFonts w:eastAsia="Calibri"/>
        </w:rPr>
        <w:t>Terenzini</w:t>
      </w:r>
      <w:proofErr w:type="spellEnd"/>
      <w:r w:rsidRPr="00F05C28">
        <w:rPr>
          <w:rFonts w:eastAsia="Calibri"/>
        </w:rPr>
        <w:t xml:space="preserve">, Pascarella &amp; Hagedorn, 1999; Fischer, 2007; </w:t>
      </w:r>
      <w:proofErr w:type="spellStart"/>
      <w:r w:rsidRPr="00F05C28">
        <w:rPr>
          <w:rFonts w:eastAsia="Calibri"/>
        </w:rPr>
        <w:t>Guiffrida</w:t>
      </w:r>
      <w:proofErr w:type="spellEnd"/>
      <w:r w:rsidRPr="00F05C28">
        <w:rPr>
          <w:rFonts w:eastAsia="Calibri"/>
        </w:rPr>
        <w:t xml:space="preserve">, 2005; </w:t>
      </w:r>
      <w:proofErr w:type="spellStart"/>
      <w:r w:rsidRPr="00F05C28">
        <w:rPr>
          <w:rFonts w:eastAsia="Calibri"/>
        </w:rPr>
        <w:t>Guiffrida</w:t>
      </w:r>
      <w:proofErr w:type="spellEnd"/>
      <w:r w:rsidRPr="00F05C28">
        <w:rPr>
          <w:rFonts w:eastAsia="Calibri"/>
        </w:rPr>
        <w:t xml:space="preserve"> &amp; </w:t>
      </w:r>
      <w:proofErr w:type="spellStart"/>
      <w:r w:rsidRPr="00F05C28">
        <w:rPr>
          <w:rFonts w:eastAsia="Calibri"/>
        </w:rPr>
        <w:t>Douthit</w:t>
      </w:r>
      <w:proofErr w:type="spellEnd"/>
      <w:r w:rsidRPr="00F05C28">
        <w:rPr>
          <w:rFonts w:eastAsia="Calibri"/>
        </w:rPr>
        <w:t xml:space="preserve">, 2010; Holmes, Ebbers, Robinson, &amp; Mugenda, 2000; </w:t>
      </w:r>
      <w:proofErr w:type="spellStart"/>
      <w:r w:rsidRPr="00F05C28">
        <w:rPr>
          <w:rFonts w:eastAsia="Calibri"/>
        </w:rPr>
        <w:t>Hunn</w:t>
      </w:r>
      <w:proofErr w:type="spellEnd"/>
      <w:r w:rsidRPr="00F05C28">
        <w:rPr>
          <w:rFonts w:eastAsia="Calibri"/>
        </w:rPr>
        <w:t xml:space="preserve">, 2014; Leonard, Pearcy, Shehab, &amp; Walden, 2013; </w:t>
      </w:r>
      <w:proofErr w:type="spellStart"/>
      <w:r w:rsidRPr="00F05C28">
        <w:rPr>
          <w:rFonts w:eastAsia="Calibri"/>
        </w:rPr>
        <w:t>Lotkwoski</w:t>
      </w:r>
      <w:proofErr w:type="spellEnd"/>
      <w:r w:rsidRPr="00F05C28">
        <w:rPr>
          <w:rFonts w:eastAsia="Calibri"/>
        </w:rPr>
        <w:t xml:space="preserve"> et al., 2004; Thomas, Wolters, Horn, &amp; Kennedy, 2014).  Culturally specific factors have also been identified as contributing to the disparity in attainment.  </w:t>
      </w:r>
      <w:r w:rsidRPr="00F05C28">
        <w:t>African American and Latinx students have identified experiences with discrimination, feelings of isolation, and a lack of opportunities for integration as obstacles to their retention (</w:t>
      </w:r>
      <w:r w:rsidRPr="00F05C28">
        <w:rPr>
          <w:rFonts w:eastAsia="Calibri"/>
        </w:rPr>
        <w:t xml:space="preserve">Allen, 1992; Baber, 2012; Bonner &amp; Bailey, 2006; Cabrera et al., 1999; Fischer, 2007; </w:t>
      </w:r>
      <w:proofErr w:type="spellStart"/>
      <w:r w:rsidRPr="00F05C28">
        <w:rPr>
          <w:rFonts w:eastAsia="Calibri"/>
        </w:rPr>
        <w:t>Guiffrida</w:t>
      </w:r>
      <w:proofErr w:type="spellEnd"/>
      <w:r w:rsidRPr="00F05C28">
        <w:rPr>
          <w:rFonts w:eastAsia="Calibri"/>
        </w:rPr>
        <w:t xml:space="preserve"> &amp; </w:t>
      </w:r>
      <w:proofErr w:type="spellStart"/>
      <w:r w:rsidRPr="00F05C28">
        <w:rPr>
          <w:rFonts w:eastAsia="Calibri"/>
        </w:rPr>
        <w:t>Douthit</w:t>
      </w:r>
      <w:proofErr w:type="spellEnd"/>
      <w:r w:rsidRPr="00F05C28">
        <w:rPr>
          <w:rFonts w:eastAsia="Calibri"/>
        </w:rPr>
        <w:t xml:space="preserve">, 2010; </w:t>
      </w:r>
      <w:proofErr w:type="spellStart"/>
      <w:r w:rsidRPr="00F05C28">
        <w:rPr>
          <w:rFonts w:eastAsia="Calibri"/>
        </w:rPr>
        <w:t>Guiffrida</w:t>
      </w:r>
      <w:proofErr w:type="spellEnd"/>
      <w:r w:rsidRPr="00F05C28">
        <w:rPr>
          <w:rFonts w:eastAsia="Calibri"/>
        </w:rPr>
        <w:t xml:space="preserve">, 2005; </w:t>
      </w:r>
      <w:proofErr w:type="spellStart"/>
      <w:r w:rsidRPr="00F05C28">
        <w:rPr>
          <w:rFonts w:eastAsia="Calibri"/>
        </w:rPr>
        <w:t>Holmers</w:t>
      </w:r>
      <w:proofErr w:type="spellEnd"/>
      <w:r w:rsidRPr="00F05C28">
        <w:rPr>
          <w:rFonts w:eastAsia="Calibri"/>
        </w:rPr>
        <w:t xml:space="preserve"> et al., 2000; </w:t>
      </w:r>
      <w:proofErr w:type="spellStart"/>
      <w:r w:rsidRPr="00F05C28">
        <w:rPr>
          <w:rFonts w:eastAsia="Calibri"/>
        </w:rPr>
        <w:t>Hunn</w:t>
      </w:r>
      <w:proofErr w:type="spellEnd"/>
      <w:r w:rsidRPr="00F05C28">
        <w:rPr>
          <w:rFonts w:eastAsia="Calibri"/>
        </w:rPr>
        <w:t xml:space="preserve">, 2014; Leonard, et al., 2013; </w:t>
      </w:r>
      <w:proofErr w:type="spellStart"/>
      <w:r w:rsidRPr="00F05C28">
        <w:rPr>
          <w:rFonts w:eastAsia="Calibri"/>
        </w:rPr>
        <w:t>Lotkwoski</w:t>
      </w:r>
      <w:proofErr w:type="spellEnd"/>
      <w:r w:rsidRPr="00F05C28">
        <w:rPr>
          <w:rFonts w:eastAsia="Calibri"/>
        </w:rPr>
        <w:t xml:space="preserve"> et al., 2004; Thomas et al., 2014).  While many of the issues African American and Latinx student populations face are similar, there are some factors that shape student retention that differ. </w:t>
      </w:r>
    </w:p>
    <w:p w14:paraId="6573ABA3" w14:textId="77777777" w:rsidR="00F05C28" w:rsidRPr="00F05C28" w:rsidRDefault="00F05C28" w:rsidP="00F05C28">
      <w:pPr>
        <w:widowControl w:val="0"/>
        <w:autoSpaceDE w:val="0"/>
        <w:autoSpaceDN w:val="0"/>
        <w:adjustRightInd w:val="0"/>
        <w:spacing w:line="480" w:lineRule="auto"/>
        <w:ind w:firstLine="720"/>
      </w:pPr>
      <w:r w:rsidRPr="00F05C28">
        <w:rPr>
          <w:b/>
        </w:rPr>
        <w:t xml:space="preserve">African American Student Retention. </w:t>
      </w:r>
      <w:r w:rsidRPr="00F05C28">
        <w:t>It has been noted in the research that issues centered around academic preparation, financial resources, and integration strongly influence the performance, success, retention, and graduation of African American students (</w:t>
      </w:r>
      <w:proofErr w:type="spellStart"/>
      <w:r w:rsidRPr="00F05C28">
        <w:t>Aud</w:t>
      </w:r>
      <w:proofErr w:type="spellEnd"/>
      <w:r w:rsidRPr="00F05C28">
        <w:t xml:space="preserve"> et al., 2013; Fischer, 2007; </w:t>
      </w:r>
      <w:proofErr w:type="spellStart"/>
      <w:r w:rsidRPr="00F05C28">
        <w:t>Guiffrida</w:t>
      </w:r>
      <w:proofErr w:type="spellEnd"/>
      <w:r w:rsidRPr="00F05C28">
        <w:t xml:space="preserve">, 2003, 2005; </w:t>
      </w:r>
      <w:proofErr w:type="spellStart"/>
      <w:r w:rsidRPr="00F05C28">
        <w:t>Guiffrida</w:t>
      </w:r>
      <w:proofErr w:type="spellEnd"/>
      <w:r w:rsidRPr="00F05C28">
        <w:t xml:space="preserve"> &amp; </w:t>
      </w:r>
      <w:proofErr w:type="spellStart"/>
      <w:r w:rsidRPr="00F05C28">
        <w:t>Douthit</w:t>
      </w:r>
      <w:proofErr w:type="spellEnd"/>
      <w:r w:rsidRPr="00F05C28">
        <w:t xml:space="preserve">, 2010; Hausmann, Schofield, &amp; Woods, 2007; Herndon &amp; Hirt, 2004; </w:t>
      </w:r>
      <w:proofErr w:type="spellStart"/>
      <w:r w:rsidRPr="00F05C28">
        <w:t>Hunn</w:t>
      </w:r>
      <w:proofErr w:type="spellEnd"/>
      <w:r w:rsidRPr="00F05C28">
        <w:t xml:space="preserve">, 2014; Leonard et al., 2013; Nelson Laird, Bridges,  </w:t>
      </w:r>
      <w:proofErr w:type="spellStart"/>
      <w:r w:rsidRPr="00F05C28">
        <w:t>Morelon-Quainoo</w:t>
      </w:r>
      <w:proofErr w:type="spellEnd"/>
      <w:r w:rsidRPr="00F05C28">
        <w:t>, Williams, &amp; Holmes, 2007).  African American students were found to be less likely than their peers to take advanced STEM courses, advance placement tests, and advanced foreign language classes in high school (</w:t>
      </w:r>
      <w:proofErr w:type="spellStart"/>
      <w:r w:rsidRPr="00F05C28">
        <w:t>Aud</w:t>
      </w:r>
      <w:proofErr w:type="spellEnd"/>
      <w:r w:rsidRPr="00F05C28">
        <w:t xml:space="preserve"> et al., 2013).  African American students </w:t>
      </w:r>
      <w:r w:rsidRPr="00F05C28">
        <w:lastRenderedPageBreak/>
        <w:t>who pursued a postsecondary education were often not as prepared academically as their Caucasian peers, adding to the struggle of attaining academic success in college (</w:t>
      </w:r>
      <w:proofErr w:type="spellStart"/>
      <w:r w:rsidRPr="00F05C28">
        <w:t>Guiffrida</w:t>
      </w:r>
      <w:proofErr w:type="spellEnd"/>
      <w:r w:rsidRPr="00F05C28">
        <w:t xml:space="preserve"> &amp; </w:t>
      </w:r>
      <w:proofErr w:type="spellStart"/>
      <w:r w:rsidRPr="00F05C28">
        <w:t>Douthit</w:t>
      </w:r>
      <w:proofErr w:type="spellEnd"/>
      <w:r w:rsidRPr="00F05C28">
        <w:t xml:space="preserve">, 2010; Nelson Laird, Bridges, </w:t>
      </w:r>
      <w:proofErr w:type="spellStart"/>
      <w:r w:rsidRPr="00F05C28">
        <w:t>Morelon-Quainoo</w:t>
      </w:r>
      <w:proofErr w:type="spellEnd"/>
      <w:r w:rsidRPr="00F05C28">
        <w:t xml:space="preserve">, Williams, &amp; Holmes, 2007).  One of the factors that contributes to the lack of academic preparation and access to educational resources for the African American student population is income (Bowen, </w:t>
      </w:r>
      <w:proofErr w:type="spellStart"/>
      <w:r w:rsidRPr="00F05C28">
        <w:t>Chingos</w:t>
      </w:r>
      <w:proofErr w:type="spellEnd"/>
      <w:r w:rsidRPr="00F05C28">
        <w:t xml:space="preserve">, &amp; McPherson, 2009; </w:t>
      </w:r>
      <w:proofErr w:type="spellStart"/>
      <w:r w:rsidRPr="00F05C28">
        <w:t>Calahan</w:t>
      </w:r>
      <w:proofErr w:type="spellEnd"/>
      <w:r w:rsidRPr="00F05C28">
        <w:t xml:space="preserve">, </w:t>
      </w:r>
      <w:proofErr w:type="spellStart"/>
      <w:r w:rsidRPr="00F05C28">
        <w:t>Perna</w:t>
      </w:r>
      <w:proofErr w:type="spellEnd"/>
      <w:r w:rsidRPr="00F05C28">
        <w:t xml:space="preserve">, Yamashita, Ruiz, &amp; Franklin, 2019; Duncan &amp; Murnane, 2014; Fountain, 2019).  The income gap continues to shape student retention in higher education as well (Bowen, </w:t>
      </w:r>
      <w:proofErr w:type="spellStart"/>
      <w:r w:rsidRPr="00F05C28">
        <w:t>Chingos</w:t>
      </w:r>
      <w:proofErr w:type="spellEnd"/>
      <w:r w:rsidRPr="00F05C28">
        <w:t>, &amp; McPherson, 2009).  The African American undergraduate student population had the highest percentage of students with a family income 200% below the poverty line at 70%, and the highest average cumulative loan amount borrowed of any racial/ethnic group (</w:t>
      </w:r>
      <w:proofErr w:type="spellStart"/>
      <w:r w:rsidRPr="00F05C28">
        <w:t>Calahan</w:t>
      </w:r>
      <w:proofErr w:type="spellEnd"/>
      <w:r w:rsidRPr="00F05C28">
        <w:t xml:space="preserve">, </w:t>
      </w:r>
      <w:proofErr w:type="spellStart"/>
      <w:r w:rsidRPr="00F05C28">
        <w:t>Perna</w:t>
      </w:r>
      <w:proofErr w:type="spellEnd"/>
      <w:r w:rsidRPr="00F05C28">
        <w:t xml:space="preserve">, Yamashita, Ruiz, &amp; Franklin, 2019; Fountain, 2019). </w:t>
      </w:r>
    </w:p>
    <w:p w14:paraId="218C74AB" w14:textId="77777777" w:rsidR="00F05C28" w:rsidRPr="00F05C28" w:rsidRDefault="00F05C28" w:rsidP="00F05C28">
      <w:pPr>
        <w:widowControl w:val="0"/>
        <w:autoSpaceDE w:val="0"/>
        <w:autoSpaceDN w:val="0"/>
        <w:adjustRightInd w:val="0"/>
        <w:spacing w:line="480" w:lineRule="auto"/>
        <w:ind w:firstLine="720"/>
      </w:pPr>
      <w:r w:rsidRPr="00F05C28">
        <w:rPr>
          <w:b/>
        </w:rPr>
        <w:t>Latinx Student Retention.</w:t>
      </w:r>
      <w:r w:rsidRPr="00F05C28">
        <w:t xml:space="preserve"> While there are a multitude of factors that hinder the retention of Latinx students, family relationships and financial background were two consistent factors found in the literature that hinder the retention of Latinx students.  Latinx students were more likely than their African American peers to have off campus familial responsibilities.  The challenge of managing familial relationships and obligations along with managing a full academic schedule and financial stressors has been found to cause many Latinx students to struggle and persist at lower levels than their peers (Arana, Castaneda-Sound, Blanchard &amp; Aguilar, 2011; Hernandez, 2000; Nelson Laird et al., 2004).  The influence of family negatively impacts the educational experience and levels of persistence for Latinx students, establishing a separation from home is essential to increase the likelihood of success for Latinx students (</w:t>
      </w:r>
      <w:proofErr w:type="spellStart"/>
      <w:r w:rsidRPr="00F05C28">
        <w:t>Arbona</w:t>
      </w:r>
      <w:proofErr w:type="spellEnd"/>
      <w:r w:rsidRPr="00F05C28">
        <w:t xml:space="preserve"> &amp; Nora, 2007; Hernandez, 2000; Nelson Laird et al., 2004; Tinto, 1975, 1993).  Financially, Latinx students are at a large disadvantage in terms of being able to afford college </w:t>
      </w:r>
      <w:r w:rsidRPr="00F05C28">
        <w:lastRenderedPageBreak/>
        <w:t xml:space="preserve">(Hernandez &amp; Lopez, 2004).  Latinx students are less likely to be born into a family with an income higher than $80,000, less likely to be born in the U.S., and thus limited in the amount of financial assistance they are eligible to receive compared to their peers (Baker &amp; </w:t>
      </w:r>
      <w:proofErr w:type="spellStart"/>
      <w:r w:rsidRPr="00F05C28">
        <w:t>Robnett</w:t>
      </w:r>
      <w:proofErr w:type="spellEnd"/>
      <w:r w:rsidRPr="00F05C28">
        <w:t xml:space="preserve">, 2012; Leonard et al., 2013; Mahaffy &amp; Pantoja, 2012; Nunez &amp; </w:t>
      </w:r>
      <w:proofErr w:type="spellStart"/>
      <w:r w:rsidRPr="00F05C28">
        <w:t>Dobgbin</w:t>
      </w:r>
      <w:proofErr w:type="spellEnd"/>
      <w:r w:rsidRPr="00F05C28">
        <w:t xml:space="preserve">, 2012; </w:t>
      </w:r>
      <w:proofErr w:type="spellStart"/>
      <w:r w:rsidRPr="00F05C28">
        <w:t>Oseguera</w:t>
      </w:r>
      <w:proofErr w:type="spellEnd"/>
      <w:r w:rsidRPr="00F05C28">
        <w:t xml:space="preserve">, </w:t>
      </w:r>
      <w:proofErr w:type="spellStart"/>
      <w:r w:rsidRPr="00F05C28">
        <w:t>Desone</w:t>
      </w:r>
      <w:proofErr w:type="spellEnd"/>
      <w:r w:rsidRPr="00F05C28">
        <w:t xml:space="preserve"> &amp; Hurtado, 2009).  </w:t>
      </w:r>
    </w:p>
    <w:p w14:paraId="24647F8B" w14:textId="77777777" w:rsidR="00F05C28" w:rsidRPr="00F05C28" w:rsidRDefault="00F05C28" w:rsidP="00F05C28">
      <w:pPr>
        <w:shd w:val="clear" w:color="auto" w:fill="FFFFFF"/>
        <w:spacing w:line="480" w:lineRule="auto"/>
        <w:jc w:val="center"/>
        <w:outlineLvl w:val="0"/>
        <w:rPr>
          <w:rFonts w:eastAsia="Calibri"/>
          <w:b/>
        </w:rPr>
      </w:pPr>
      <w:bookmarkStart w:id="11" w:name="_Toc43791644"/>
      <w:r w:rsidRPr="00F05C28">
        <w:rPr>
          <w:rFonts w:eastAsia="Calibri"/>
          <w:b/>
        </w:rPr>
        <w:t>Student Integration</w:t>
      </w:r>
      <w:bookmarkEnd w:id="11"/>
    </w:p>
    <w:p w14:paraId="3E7DAC8C" w14:textId="77777777" w:rsidR="00F05C28" w:rsidRPr="00F05C28" w:rsidRDefault="00F05C28" w:rsidP="00F05C28">
      <w:pPr>
        <w:spacing w:line="480" w:lineRule="auto"/>
        <w:ind w:firstLine="720"/>
      </w:pPr>
      <w:r w:rsidRPr="00F05C28">
        <w:rPr>
          <w:rFonts w:eastAsia="Calibri"/>
        </w:rPr>
        <w:t xml:space="preserve">As greater interest and concern developed in relation to issues of student retention, various explanations emerged attempting to explain and rationalize the phenomenon.  Among these is Tinto’s (1975, 1993) foundational retention framework, Theory of Student Departure.  Tinto (1975, 1993) posited that student persistence is directly related to student integration into the academic and social systems of the institution.  Tinto’s Theory of Student Departure is grounded in Van </w:t>
      </w:r>
      <w:proofErr w:type="spellStart"/>
      <w:r w:rsidRPr="00F05C28">
        <w:rPr>
          <w:rFonts w:eastAsia="Calibri"/>
        </w:rPr>
        <w:t>Gennep's</w:t>
      </w:r>
      <w:proofErr w:type="spellEnd"/>
      <w:r w:rsidRPr="00F05C28">
        <w:rPr>
          <w:rFonts w:eastAsia="Calibri"/>
        </w:rPr>
        <w:t xml:space="preserve"> (1960) Rites of Passage and </w:t>
      </w:r>
      <w:proofErr w:type="spellStart"/>
      <w:r w:rsidRPr="00F05C28">
        <w:rPr>
          <w:rFonts w:eastAsia="Calibri"/>
        </w:rPr>
        <w:t>Durkeim’s</w:t>
      </w:r>
      <w:proofErr w:type="spellEnd"/>
      <w:r w:rsidRPr="00F05C28">
        <w:rPr>
          <w:rFonts w:eastAsia="Calibri"/>
        </w:rPr>
        <w:t xml:space="preserve"> (1961) study of suicide.  Van </w:t>
      </w:r>
      <w:proofErr w:type="spellStart"/>
      <w:r w:rsidRPr="00F05C28">
        <w:rPr>
          <w:rFonts w:eastAsia="Calibri"/>
        </w:rPr>
        <w:t>Gennep</w:t>
      </w:r>
      <w:proofErr w:type="spellEnd"/>
      <w:r w:rsidRPr="00F05C28">
        <w:rPr>
          <w:rFonts w:eastAsia="Calibri"/>
        </w:rPr>
        <w:t xml:space="preserve"> (1960) introduced the rites of passage as stages of separation, transition, and incorporation.  </w:t>
      </w:r>
      <w:r w:rsidRPr="00F05C28">
        <w:t xml:space="preserve">Tinto (1975, 1993) applied </w:t>
      </w:r>
      <w:proofErr w:type="spellStart"/>
      <w:r w:rsidRPr="00F05C28">
        <w:t>Gennep’s</w:t>
      </w:r>
      <w:proofErr w:type="spellEnd"/>
      <w:r w:rsidRPr="00F05C28">
        <w:t xml:space="preserve"> (1960) stages to the college student experience.  </w:t>
      </w:r>
      <w:r w:rsidRPr="00F05C28">
        <w:rPr>
          <w:rFonts w:eastAsia="Calibri"/>
        </w:rPr>
        <w:t xml:space="preserve">The separation stage involved the disassociation of individuals from one’s </w:t>
      </w:r>
      <w:r w:rsidRPr="00F05C28">
        <w:t>family, high school, and community</w:t>
      </w:r>
      <w:r w:rsidRPr="00F05C28">
        <w:rPr>
          <w:rFonts w:eastAsia="Calibri"/>
        </w:rPr>
        <w:t>.  The transition stage occurred when the student begins to interact in new ways with their new peer group and others associated with their new campus environment.  The incorporation stage involved the development of new patterns of interaction</w:t>
      </w:r>
      <w:r w:rsidRPr="00F05C28">
        <w:t xml:space="preserve"> through personal contact with peers</w:t>
      </w:r>
      <w:r w:rsidRPr="00F05C28">
        <w:rPr>
          <w:rFonts w:eastAsia="Calibri"/>
        </w:rPr>
        <w:t xml:space="preserve"> and establishing of membership within peer groups as a participating member.  </w:t>
      </w:r>
      <w:r w:rsidRPr="00F05C28">
        <w:t xml:space="preserve">Tinto acknowledged that the manner in which students experience the stages vary considerably.  </w:t>
      </w:r>
    </w:p>
    <w:p w14:paraId="76514169" w14:textId="77777777" w:rsidR="00F05C28" w:rsidRPr="00F05C28" w:rsidRDefault="00F05C28" w:rsidP="00F05C28">
      <w:pPr>
        <w:spacing w:line="480" w:lineRule="auto"/>
        <w:ind w:firstLine="720"/>
        <w:rPr>
          <w:rFonts w:eastAsia="Calibri"/>
        </w:rPr>
      </w:pPr>
      <w:r w:rsidRPr="00F05C28">
        <w:rPr>
          <w:rFonts w:eastAsia="Calibri"/>
        </w:rPr>
        <w:t xml:space="preserve">Tinto (1975, 1993) also adopted </w:t>
      </w:r>
      <w:proofErr w:type="spellStart"/>
      <w:r w:rsidRPr="00F05C28">
        <w:rPr>
          <w:rFonts w:eastAsia="Calibri"/>
        </w:rPr>
        <w:t>Durkeim’s</w:t>
      </w:r>
      <w:proofErr w:type="spellEnd"/>
      <w:r w:rsidRPr="00F05C28">
        <w:rPr>
          <w:rFonts w:eastAsia="Calibri"/>
        </w:rPr>
        <w:t xml:space="preserve"> (1961) notion of ecological suicide, which posited that suicide was more likely to occur in individuals who are not integrated into the fabric </w:t>
      </w:r>
      <w:r w:rsidRPr="00F05C28">
        <w:rPr>
          <w:rFonts w:eastAsia="Calibri"/>
        </w:rPr>
        <w:lastRenderedPageBreak/>
        <w:t xml:space="preserve">of society.  In a similar fashion, Tinto’s Theory of Student Departure hypothesized that a lack of integration into institutions of higher education (both the academic and social systems) was related to college retention and graduation. </w:t>
      </w:r>
    </w:p>
    <w:p w14:paraId="26474F15" w14:textId="77777777" w:rsidR="00F05C28" w:rsidRPr="00F05C28" w:rsidRDefault="00F05C28" w:rsidP="00F05C28">
      <w:pPr>
        <w:spacing w:line="480" w:lineRule="auto"/>
        <w:ind w:firstLine="720"/>
        <w:rPr>
          <w:rFonts w:eastAsia="Calibri"/>
        </w:rPr>
      </w:pPr>
      <w:r w:rsidRPr="00F05C28">
        <w:rPr>
          <w:rFonts w:eastAsia="Calibri"/>
        </w:rPr>
        <w:t>Tinto (1975, 1993) defined academic integration as meeting the standard of the academic system (often evaluated through grade performance) and intellectual development (students’ identification and analysis of the norms of the academic system).  Academic integration is achieved through academic performance and interactions with faculty and staff in the classroom whose purpose is educating the students.  Integrating into the academic system can also be achieved informally through connections with faculty and staff outside the classroom, introduction to different types of academic topics, innovative applications of materials, and collaborative learning opportunities.  Tinto posited that academic integration positively influences students’ commitment to learning and college completion.  Classroom involvement and student-faculty contact in particular has been found to have a significant effect on student retention.  Meaningful classroom involvement and contact with faculty within and outside the classroom has been found to lead to a larger academic investment from students and increased rates of retention (</w:t>
      </w:r>
      <w:proofErr w:type="spellStart"/>
      <w:r w:rsidRPr="00F05C28">
        <w:rPr>
          <w:rFonts w:eastAsia="Calibri"/>
        </w:rPr>
        <w:t>Kuh</w:t>
      </w:r>
      <w:proofErr w:type="spellEnd"/>
      <w:r w:rsidRPr="00F05C28">
        <w:rPr>
          <w:rFonts w:eastAsia="Calibri"/>
        </w:rPr>
        <w:t xml:space="preserve">, </w:t>
      </w:r>
      <w:proofErr w:type="spellStart"/>
      <w:r w:rsidRPr="00F05C28">
        <w:rPr>
          <w:rFonts w:eastAsia="Calibri"/>
        </w:rPr>
        <w:t>Cruce</w:t>
      </w:r>
      <w:proofErr w:type="spellEnd"/>
      <w:r w:rsidRPr="00F05C28">
        <w:rPr>
          <w:rFonts w:eastAsia="Calibri"/>
        </w:rPr>
        <w:t xml:space="preserve">, </w:t>
      </w:r>
      <w:proofErr w:type="spellStart"/>
      <w:r w:rsidRPr="00F05C28">
        <w:rPr>
          <w:rFonts w:eastAsia="Calibri"/>
        </w:rPr>
        <w:t>Shoup</w:t>
      </w:r>
      <w:proofErr w:type="spellEnd"/>
      <w:r w:rsidRPr="00F05C28">
        <w:rPr>
          <w:rFonts w:eastAsia="Calibri"/>
        </w:rPr>
        <w:t xml:space="preserve">, Kinzie, &amp; </w:t>
      </w:r>
      <w:proofErr w:type="spellStart"/>
      <w:r w:rsidRPr="00F05C28">
        <w:rPr>
          <w:rFonts w:eastAsia="Calibri"/>
        </w:rPr>
        <w:t>Gonyea</w:t>
      </w:r>
      <w:proofErr w:type="spellEnd"/>
      <w:r w:rsidRPr="00F05C28">
        <w:rPr>
          <w:rFonts w:eastAsia="Calibri"/>
        </w:rPr>
        <w:t>, 2008; Tinto, 2010).  A larger academic investment usually translates to increased amounts of time dedicated to studying, which aids in students’ ability to succeed in the classroom.  Student-to-faculty interaction increases the overall educational success of students (Tinto, 2010).</w:t>
      </w:r>
    </w:p>
    <w:p w14:paraId="18B1AEE0" w14:textId="77777777" w:rsidR="00F05C28" w:rsidRPr="00F05C28" w:rsidRDefault="00F05C28" w:rsidP="00F05C28">
      <w:pPr>
        <w:spacing w:line="480" w:lineRule="auto"/>
        <w:ind w:firstLine="720"/>
        <w:rPr>
          <w:rFonts w:eastAsia="Calibri"/>
        </w:rPr>
      </w:pPr>
      <w:r w:rsidRPr="00F05C28">
        <w:rPr>
          <w:rFonts w:eastAsia="Calibri"/>
        </w:rPr>
        <w:t>Tinto (1975, 1993) defined social integration as assimilation into the social system which occurs primarily through student involvement and participation in peer student organizations, campus extracurricular activities, and interactions with faculty, staff, and administrators.  Socially, students who are isolated and lonely are more likely to drop out of college (</w:t>
      </w:r>
      <w:proofErr w:type="spellStart"/>
      <w:r w:rsidRPr="00F05C28">
        <w:rPr>
          <w:rFonts w:eastAsia="Calibri"/>
        </w:rPr>
        <w:t>Astin</w:t>
      </w:r>
      <w:proofErr w:type="spellEnd"/>
      <w:r w:rsidRPr="00F05C28">
        <w:rPr>
          <w:rFonts w:eastAsia="Calibri"/>
        </w:rPr>
        <w:t xml:space="preserve">, 1975, </w:t>
      </w:r>
      <w:r w:rsidRPr="00F05C28">
        <w:rPr>
          <w:rFonts w:eastAsia="Calibri"/>
        </w:rPr>
        <w:lastRenderedPageBreak/>
        <w:t>1999; Tinto, 1993, 2010).  Higher levels of social integration, no less academic integration, are hypothesized to result in greater levels of commitment to the institution and increased retention and graduation rates (</w:t>
      </w:r>
      <w:proofErr w:type="spellStart"/>
      <w:r w:rsidRPr="00F05C28">
        <w:rPr>
          <w:rFonts w:eastAsia="Calibri"/>
        </w:rPr>
        <w:t>Astin</w:t>
      </w:r>
      <w:proofErr w:type="spellEnd"/>
      <w:r w:rsidRPr="00F05C28">
        <w:rPr>
          <w:rFonts w:eastAsia="Calibri"/>
        </w:rPr>
        <w:t xml:space="preserve">, 1999; </w:t>
      </w:r>
      <w:r w:rsidRPr="00F05C28">
        <w:t xml:space="preserve">Braxton, </w:t>
      </w:r>
      <w:proofErr w:type="spellStart"/>
      <w:r w:rsidRPr="00F05C28">
        <w:t>Hirschy</w:t>
      </w:r>
      <w:proofErr w:type="spellEnd"/>
      <w:r w:rsidRPr="00F05C28">
        <w:t>, &amp; McClendon, 2004</w:t>
      </w:r>
      <w:r w:rsidRPr="00F05C28">
        <w:rPr>
          <w:rFonts w:eastAsia="Calibri"/>
        </w:rPr>
        <w:t xml:space="preserve">; </w:t>
      </w:r>
      <w:proofErr w:type="spellStart"/>
      <w:r w:rsidRPr="00F05C28">
        <w:rPr>
          <w:rFonts w:eastAsia="Calibri"/>
        </w:rPr>
        <w:t>Deil</w:t>
      </w:r>
      <w:proofErr w:type="spellEnd"/>
      <w:r w:rsidRPr="00F05C28">
        <w:rPr>
          <w:rFonts w:eastAsia="Calibri"/>
        </w:rPr>
        <w:t xml:space="preserve">-Amen, 2011; Mallette &amp; Cabrera, 1991; Nora, 1987; Pascarella, 1985; Pascarella &amp; </w:t>
      </w:r>
      <w:proofErr w:type="spellStart"/>
      <w:r w:rsidRPr="00F05C28">
        <w:rPr>
          <w:rFonts w:eastAsia="Calibri"/>
        </w:rPr>
        <w:t>Terenzini</w:t>
      </w:r>
      <w:proofErr w:type="spellEnd"/>
      <w:r w:rsidRPr="00F05C28">
        <w:rPr>
          <w:rFonts w:eastAsia="Calibri"/>
        </w:rPr>
        <w:t xml:space="preserve">, 1980, 1991, 2005; Rendon, 1994; Tinto, 1975, 1993, 2006). </w:t>
      </w:r>
      <w:r w:rsidRPr="00F05C28">
        <w:rPr>
          <w:rFonts w:eastAsia="Calibri"/>
        </w:rPr>
        <w:tab/>
      </w:r>
    </w:p>
    <w:p w14:paraId="738E7D78" w14:textId="77777777" w:rsidR="00F05C28" w:rsidRPr="00F05C28" w:rsidRDefault="00F05C28" w:rsidP="00F05C28">
      <w:pPr>
        <w:spacing w:line="480" w:lineRule="auto"/>
        <w:ind w:firstLine="720"/>
        <w:rPr>
          <w:rFonts w:eastAsia="Calibri"/>
        </w:rPr>
      </w:pPr>
      <w:r w:rsidRPr="00F05C28">
        <w:rPr>
          <w:rFonts w:eastAsia="Calibri"/>
        </w:rPr>
        <w:t>There are many different ways both academic and social integration are perceived to influence retention and graduation (Tinto, 2006).  Although academic and social interactions are defined differently, they also influence each other (i.e. peer to peer interaction and academically oriented clubs and student groups) (</w:t>
      </w:r>
      <w:proofErr w:type="spellStart"/>
      <w:r w:rsidRPr="00F05C28">
        <w:rPr>
          <w:rFonts w:eastAsia="Calibri"/>
        </w:rPr>
        <w:t>Astin</w:t>
      </w:r>
      <w:proofErr w:type="spellEnd"/>
      <w:r w:rsidRPr="00F05C28">
        <w:rPr>
          <w:rFonts w:eastAsia="Calibri"/>
        </w:rPr>
        <w:t xml:space="preserve">, 1993; Fischer, 2007; Goldstein, Sauer &amp; O'Donnell, 2012; Herndon &amp; Hirt, 2004; Pascarella &amp; </w:t>
      </w:r>
      <w:proofErr w:type="spellStart"/>
      <w:r w:rsidRPr="00F05C28">
        <w:rPr>
          <w:rFonts w:eastAsia="Calibri"/>
        </w:rPr>
        <w:t>Terenzini</w:t>
      </w:r>
      <w:proofErr w:type="spellEnd"/>
      <w:r w:rsidRPr="00F05C28">
        <w:rPr>
          <w:rFonts w:eastAsia="Calibri"/>
        </w:rPr>
        <w:t>, 1991; Tinto, 1975, 1993, 2006).  At the same time, Tinto posited that a strong commitment to completing college, even with minimal levels of academic and social integration, would lead to higher levels of student persistence.  As the students’ level of commitment to the goal of college completion declined, the more likely the students were to voluntarily withdrawn from college (</w:t>
      </w:r>
      <w:proofErr w:type="spellStart"/>
      <w:r w:rsidRPr="00F05C28">
        <w:rPr>
          <w:rFonts w:eastAsia="Calibri"/>
        </w:rPr>
        <w:t>Astin</w:t>
      </w:r>
      <w:proofErr w:type="spellEnd"/>
      <w:r w:rsidRPr="00F05C28">
        <w:rPr>
          <w:rFonts w:eastAsia="Calibri"/>
        </w:rPr>
        <w:t xml:space="preserve">, 1999; Cabrera, Castaneda, Nora, &amp; </w:t>
      </w:r>
      <w:proofErr w:type="spellStart"/>
      <w:r w:rsidRPr="00F05C28">
        <w:rPr>
          <w:rFonts w:eastAsia="Calibri"/>
        </w:rPr>
        <w:t>Hengstler</w:t>
      </w:r>
      <w:proofErr w:type="spellEnd"/>
      <w:r w:rsidRPr="00F05C28">
        <w:rPr>
          <w:rFonts w:eastAsia="Calibri"/>
        </w:rPr>
        <w:t xml:space="preserve">, 1992; Cabrera, Nora, &amp; Castaneda, 1993; </w:t>
      </w:r>
      <w:proofErr w:type="spellStart"/>
      <w:r w:rsidRPr="00F05C28">
        <w:rPr>
          <w:rFonts w:eastAsia="Calibri"/>
        </w:rPr>
        <w:t>Deil</w:t>
      </w:r>
      <w:proofErr w:type="spellEnd"/>
      <w:r w:rsidRPr="00F05C28">
        <w:rPr>
          <w:rFonts w:eastAsia="Calibri"/>
        </w:rPr>
        <w:t xml:space="preserve">-Amen, 2011; Morris, 2002; Pascarella, 1985; Pascarella &amp; </w:t>
      </w:r>
      <w:proofErr w:type="spellStart"/>
      <w:r w:rsidRPr="00F05C28">
        <w:rPr>
          <w:rFonts w:eastAsia="Calibri"/>
        </w:rPr>
        <w:t>Terezini</w:t>
      </w:r>
      <w:proofErr w:type="spellEnd"/>
      <w:r w:rsidRPr="00F05C28">
        <w:rPr>
          <w:rFonts w:eastAsia="Calibri"/>
        </w:rPr>
        <w:t xml:space="preserve">, 1983; </w:t>
      </w:r>
      <w:proofErr w:type="spellStart"/>
      <w:r w:rsidRPr="00F05C28">
        <w:rPr>
          <w:rFonts w:eastAsia="Calibri"/>
        </w:rPr>
        <w:t>Terenzini</w:t>
      </w:r>
      <w:proofErr w:type="spellEnd"/>
      <w:r w:rsidRPr="00F05C28">
        <w:rPr>
          <w:rFonts w:eastAsia="Calibri"/>
        </w:rPr>
        <w:t xml:space="preserve">, Pascarella, </w:t>
      </w:r>
      <w:proofErr w:type="spellStart"/>
      <w:r w:rsidRPr="00F05C28">
        <w:rPr>
          <w:rFonts w:eastAsia="Calibri"/>
        </w:rPr>
        <w:t>Theophillides</w:t>
      </w:r>
      <w:proofErr w:type="spellEnd"/>
      <w:r w:rsidRPr="00F05C28">
        <w:rPr>
          <w:rFonts w:eastAsia="Calibri"/>
        </w:rPr>
        <w:t xml:space="preserve">, &amp; </w:t>
      </w:r>
      <w:proofErr w:type="spellStart"/>
      <w:r w:rsidRPr="00F05C28">
        <w:rPr>
          <w:rFonts w:eastAsia="Calibri"/>
        </w:rPr>
        <w:t>Lorang</w:t>
      </w:r>
      <w:proofErr w:type="spellEnd"/>
      <w:r w:rsidRPr="00F05C28">
        <w:rPr>
          <w:rFonts w:eastAsia="Calibri"/>
        </w:rPr>
        <w:t xml:space="preserve">, 1985; Tinto 1975, 1993).  </w:t>
      </w:r>
    </w:p>
    <w:p w14:paraId="3C706A57" w14:textId="77777777" w:rsidR="00F05C28" w:rsidRPr="00F05C28" w:rsidRDefault="00F05C28" w:rsidP="00F05C28">
      <w:pPr>
        <w:spacing w:line="480" w:lineRule="auto"/>
        <w:ind w:firstLine="720"/>
        <w:rPr>
          <w:rFonts w:eastAsia="Calibri"/>
        </w:rPr>
      </w:pPr>
      <w:r w:rsidRPr="00F05C28">
        <w:rPr>
          <w:rFonts w:eastAsia="Calibri"/>
        </w:rPr>
        <w:t xml:space="preserve">Libby (2006) studied first-year academic and social integration in relation to retention.  This study specifically explored the academic and social integration of first-year students at both four-year and two-year public higher education institutions, and the relation to one-year and six-year retention rates.  This study incorporated the 9,100 first-time student sample from the 1996-2001 Beginning Postsecondary Students Longitudinal Study (BPS:1996/2001) sponsored by the National Center for Education Statistics.  Libby (2006) found that academic and social </w:t>
      </w:r>
      <w:r w:rsidRPr="00F05C28">
        <w:rPr>
          <w:rFonts w:eastAsia="Calibri"/>
        </w:rPr>
        <w:lastRenderedPageBreak/>
        <w:t xml:space="preserve">integration was higher for students at four-year institutions compared to students at two-year institutions.  Academic and social integration also impacted both one-year and six-year retention rates.  Higher levels of both academic and social integration were found in students who were retained after both the </w:t>
      </w:r>
      <w:proofErr w:type="gramStart"/>
      <w:r w:rsidRPr="00F05C28">
        <w:rPr>
          <w:rFonts w:eastAsia="Calibri"/>
        </w:rPr>
        <w:t>one and six year</w:t>
      </w:r>
      <w:proofErr w:type="gramEnd"/>
      <w:r w:rsidRPr="00F05C28">
        <w:rPr>
          <w:rFonts w:eastAsia="Calibri"/>
        </w:rPr>
        <w:t xml:space="preserve"> time periods.</w:t>
      </w:r>
    </w:p>
    <w:p w14:paraId="3FAC6E49" w14:textId="77777777" w:rsidR="00F05C28" w:rsidRPr="00F05C28" w:rsidRDefault="00F05C28" w:rsidP="00F05C28">
      <w:pPr>
        <w:spacing w:line="480" w:lineRule="auto"/>
        <w:ind w:firstLine="720"/>
        <w:rPr>
          <w:rFonts w:eastAsia="Calibri"/>
        </w:rPr>
      </w:pPr>
      <w:r w:rsidRPr="00F05C28">
        <w:rPr>
          <w:rFonts w:eastAsia="Calibri"/>
        </w:rPr>
        <w:t xml:space="preserve">Goldstein, Sauer and O'Donnell (2012) looked into students’ willingness to engage and how that shaped integration into both the academic and social systems of an institution.  This study surveyed 65 second-year business majors enrolled in an introductory accounting class.  They found students’ willingness to engage and seek help positively shaped academic and social integration.  This study’s results support Tinto’s theory that academic and social integration to have a positive effect on intent to persist.  Faculty increase the level of academic integration and improving student retention.  Students seeking help from their peers had a positive effect on both academic and social integration, which in turn has a positive effect on retention and persistence.  </w:t>
      </w:r>
    </w:p>
    <w:p w14:paraId="550FC8D3" w14:textId="77777777" w:rsidR="00F05C28" w:rsidRPr="00F05C28" w:rsidRDefault="00F05C28" w:rsidP="00F05C28">
      <w:pPr>
        <w:spacing w:line="480" w:lineRule="auto"/>
        <w:ind w:firstLine="720"/>
        <w:rPr>
          <w:rFonts w:eastAsia="Calibri"/>
        </w:rPr>
      </w:pPr>
      <w:r w:rsidRPr="00F05C28">
        <w:rPr>
          <w:rFonts w:eastAsia="Calibri"/>
        </w:rPr>
        <w:t xml:space="preserve">Shinde (2010) selected a southeastern public university to analyze the relationship between engagement and retention of college freshmen and differences in gender.  The study sample consisted of 308 freshmen students (45% male and 55% female) who completed the 2006 National Survey of Student Engagement (NSSE).  The results of this study identified Social Engagement and Overall Satisfaction as significant predictors of freshmen retention.  Social engagement was more significant in predicting first-year student retention than overall satisfaction.  In this study, social engagement had a significant effect on grades and retention.  Students involved in co-curricular activities were more likely to be retained into their second year.  Retention predictors varied based on students’ gender.  Social engagement was most significant in predicting retention for male students.  Social engagement, overall satisfaction, and faculty accessibility were significant retention predictors for female students. </w:t>
      </w:r>
    </w:p>
    <w:p w14:paraId="59982C7B" w14:textId="77777777" w:rsidR="00F05C28" w:rsidRPr="00F05C28" w:rsidRDefault="00F05C28" w:rsidP="00F05C28">
      <w:pPr>
        <w:shd w:val="clear" w:color="auto" w:fill="FFFFFF"/>
        <w:spacing w:line="480" w:lineRule="auto"/>
        <w:ind w:firstLine="720"/>
      </w:pPr>
      <w:r w:rsidRPr="00F05C28">
        <w:lastRenderedPageBreak/>
        <w:t xml:space="preserve">Cox (2013) explored various indicators that predicted student success for non-traditional transfer students, in accordance with Tinto’s theory (1975, 1993).  This quantitative study analyzed the relationships between student demographics, student engagement, and student retention.  The sample for this study was 317 non-traditional transfer students who participated in the 2010 National Survey of Student Engagement (NSSE) at a small liberal arts university in the southeastern region of the United States.  This study found that Caucasian students were more likely to be retained than their peers of any other race/ethnicity.  Male students were more likely to be retained than their female peers.  Specific behaviors like asking questions in class also increased the odds of student retention.  Students that were academically and socially integrated were more likely to be successful and thus positively shaped retention and graduation rates. </w:t>
      </w:r>
    </w:p>
    <w:p w14:paraId="3DEF3EC1" w14:textId="77777777" w:rsidR="00F05C28" w:rsidRPr="00F05C28" w:rsidRDefault="00F05C28" w:rsidP="00F05C28">
      <w:pPr>
        <w:shd w:val="clear" w:color="auto" w:fill="FFFFFF"/>
        <w:spacing w:line="480" w:lineRule="auto"/>
        <w:ind w:firstLine="720"/>
      </w:pPr>
      <w:r w:rsidRPr="00F05C28">
        <w:t>Stage (1989) evaluated the effects of academic and social integration on goal and institutional commitment.  This study utilized a survey design (administered in Fall 1984 and Spring 1985) to examine 313 students’ academic and social integration along with freshmen year attrition at a major public university in the southwest region of the United States.  Stage (1989) overall finding revealed that both academic and social integration varied based on gender and race/ethnicity.  Male students who were academically integrated were also more likely to be socially integrated.  Higher levels of social integration increased the likelihood of academic integration and success for female students.  Overall underrepresented student populations had lower academic integration scores, while underrepresented male students were more likely to be socially integrated.</w:t>
      </w:r>
    </w:p>
    <w:p w14:paraId="1E474450" w14:textId="77777777" w:rsidR="00F05C28" w:rsidRPr="00F05C28" w:rsidRDefault="00F05C28" w:rsidP="00F05C28">
      <w:pPr>
        <w:shd w:val="clear" w:color="auto" w:fill="FFFFFF"/>
        <w:spacing w:line="480" w:lineRule="auto"/>
        <w:ind w:firstLine="720"/>
      </w:pPr>
      <w:r w:rsidRPr="00F05C28">
        <w:t xml:space="preserve">These studies like many others supported Tinto’s Theory of Student Departure, while pointing out specific differences in the academic and social integration of students based on their </w:t>
      </w:r>
      <w:r w:rsidRPr="00F05C28">
        <w:lastRenderedPageBreak/>
        <w:t xml:space="preserve">gender, race/ethnicity, and campus involvement.  While academic integration and social integration have a positive relationship with retention the levels of integration achieved varied based on gender and race/ethnicity. </w:t>
      </w:r>
    </w:p>
    <w:p w14:paraId="2F146E81" w14:textId="77777777" w:rsidR="00F05C28" w:rsidRPr="00F05C28" w:rsidRDefault="00F05C28" w:rsidP="00F05C28">
      <w:pPr>
        <w:shd w:val="clear" w:color="auto" w:fill="FFFFFF"/>
        <w:spacing w:line="480" w:lineRule="auto"/>
        <w:ind w:firstLine="720"/>
      </w:pPr>
      <w:r w:rsidRPr="00F05C28">
        <w:t xml:space="preserve">Critics of Tinto’s (1975) Theory of Student Departure argue that the traditional definition of integration called for students to remove themselves from social connections of the past and focus on establishing new connections on campus.  Many researchers argue that this philosophy is not inclusive of the customs and values of many underrepresented student populations (Davidson &amp; Wilson, 2013; Glen, 2017; </w:t>
      </w:r>
      <w:proofErr w:type="spellStart"/>
      <w:r w:rsidRPr="00F05C28">
        <w:t>Guiffrida</w:t>
      </w:r>
      <w:proofErr w:type="spellEnd"/>
      <w:r w:rsidRPr="00F05C28">
        <w:t xml:space="preserve">, 2005, 2006; </w:t>
      </w:r>
      <w:proofErr w:type="spellStart"/>
      <w:r w:rsidRPr="00F05C28">
        <w:t>Kuh</w:t>
      </w:r>
      <w:proofErr w:type="spellEnd"/>
      <w:r w:rsidRPr="00F05C28">
        <w:t xml:space="preserve"> &amp; Love, 2000; Moore &amp; </w:t>
      </w:r>
      <w:proofErr w:type="spellStart"/>
      <w:r w:rsidRPr="00F05C28">
        <w:t>Upcraft</w:t>
      </w:r>
      <w:proofErr w:type="spellEnd"/>
      <w:r w:rsidRPr="00F05C28">
        <w:t xml:space="preserve">, 1990; Rendon, </w:t>
      </w:r>
      <w:proofErr w:type="spellStart"/>
      <w:r w:rsidRPr="00F05C28">
        <w:t>Jalomo</w:t>
      </w:r>
      <w:proofErr w:type="spellEnd"/>
      <w:r w:rsidRPr="00F05C28">
        <w:t xml:space="preserve">, &amp; Nora, 2000; </w:t>
      </w:r>
      <w:proofErr w:type="spellStart"/>
      <w:r w:rsidRPr="00F05C28">
        <w:t>Swail</w:t>
      </w:r>
      <w:proofErr w:type="spellEnd"/>
      <w:r w:rsidRPr="00F05C28">
        <w:t xml:space="preserve">, Redd, &amp; </w:t>
      </w:r>
      <w:proofErr w:type="spellStart"/>
      <w:r w:rsidRPr="00F05C28">
        <w:t>Perna</w:t>
      </w:r>
      <w:proofErr w:type="spellEnd"/>
      <w:r w:rsidRPr="00F05C28">
        <w:t xml:space="preserve">, 2003; Tierney, 1999).  Tierney (1999) argued the importance of having the ability to affirm who you are, and the backgrounds you come from for underrepresented student populations.  </w:t>
      </w:r>
      <w:proofErr w:type="spellStart"/>
      <w:r w:rsidRPr="00F05C28">
        <w:t>Guiffrida</w:t>
      </w:r>
      <w:proofErr w:type="spellEnd"/>
      <w:r w:rsidRPr="00F05C28">
        <w:t xml:space="preserve"> (2006) rejects the notion of separation from culturally supportive communities and networks for underrepresented student populations.  In the rejection of cultural separation, researchers challenged the exclusionary definition of integration, which was synonymous with the process of assimilation (Glen, 2017; </w:t>
      </w:r>
      <w:proofErr w:type="spellStart"/>
      <w:r w:rsidRPr="00F05C28">
        <w:t>Guiffrida</w:t>
      </w:r>
      <w:proofErr w:type="spellEnd"/>
      <w:r w:rsidRPr="00F05C28">
        <w:t xml:space="preserve">, 2006).  </w:t>
      </w:r>
      <w:proofErr w:type="spellStart"/>
      <w:r w:rsidRPr="00F05C28">
        <w:t>Guiffrida</w:t>
      </w:r>
      <w:proofErr w:type="spellEnd"/>
      <w:r w:rsidRPr="00F05C28">
        <w:t xml:space="preserve"> (2006) argued that the term connection recognizes the students’ sense of kinship without suggesting assimilation to a new place, while breaking away from former communities of support.  Embracing the foundations of Tinto’s (1975, 1993) Theory of Student Departure while incorporating students’ cultural identity will lead to larger investments in the education of underrepresented student populations and an increased amount of educational success (</w:t>
      </w:r>
      <w:proofErr w:type="spellStart"/>
      <w:r w:rsidRPr="00F05C28">
        <w:t>Guiffrida</w:t>
      </w:r>
      <w:proofErr w:type="spellEnd"/>
      <w:r w:rsidRPr="00F05C28">
        <w:t xml:space="preserve">, 2006; Tierney, 1999). </w:t>
      </w:r>
    </w:p>
    <w:p w14:paraId="3DE0229B" w14:textId="77777777" w:rsidR="00F05C28" w:rsidRPr="00F05C28" w:rsidRDefault="00F05C28" w:rsidP="00F05C28">
      <w:pPr>
        <w:spacing w:line="480" w:lineRule="auto"/>
        <w:jc w:val="center"/>
        <w:rPr>
          <w:b/>
        </w:rPr>
      </w:pPr>
      <w:r w:rsidRPr="00F05C28">
        <w:rPr>
          <w:b/>
        </w:rPr>
        <w:t>Social Integration</w:t>
      </w:r>
    </w:p>
    <w:p w14:paraId="5A9C62AF" w14:textId="77777777" w:rsidR="00F05C28" w:rsidRPr="00F05C28" w:rsidRDefault="00F05C28" w:rsidP="00F05C28">
      <w:pPr>
        <w:spacing w:line="480" w:lineRule="auto"/>
        <w:ind w:firstLine="720"/>
      </w:pPr>
      <w:r w:rsidRPr="00F05C28">
        <w:t xml:space="preserve">Educational theorist Vincent Tinto (1975, 1993) defined social integration as the interactions between a person and the social system of an institution.  Kraemer (1997) defined </w:t>
      </w:r>
      <w:r w:rsidRPr="00F05C28">
        <w:lastRenderedPageBreak/>
        <w:t xml:space="preserve">social integration as the informal interactions between students and faculty, students and staff, and among student peers.  Braxton, </w:t>
      </w:r>
      <w:proofErr w:type="spellStart"/>
      <w:r w:rsidRPr="00F05C28">
        <w:t>Hirschy</w:t>
      </w:r>
      <w:proofErr w:type="spellEnd"/>
      <w:r w:rsidRPr="00F05C28">
        <w:t>, and McClendon (2004) supported both definitions and defined social integration as the amount of congruence between each individual student and the college or university’s social system.  Although there are many different definitions of social integration, each definition ascribes to the common theme of a relationship between an individual and an institution’s social system.  Social integration is fostered primarily through informal peer group interactions, semi-formal extracurricular activities, and interactions with faculty and administrators (Braxton et al., 2004; Tinto, 1975, 1993).  Examples of successful social integration include, but are not limited to, friendship support, faculty support, and sense of belonging within the community on campus (Braxton et al., 2004).  A review of the literature indicated that the manner in which social integration is attained varies based on many different factors, including student background characteristics, institutional size, and institutional type (Chapman &amp; Pascarella, 1983; Davidson &amp; Wilson, 2013; Tierney, 1999).</w:t>
      </w:r>
    </w:p>
    <w:p w14:paraId="3C82AD44" w14:textId="77777777" w:rsidR="00F05C28" w:rsidRPr="00F05C28" w:rsidRDefault="00F05C28" w:rsidP="00F05C28">
      <w:pPr>
        <w:spacing w:line="480" w:lineRule="auto"/>
        <w:ind w:firstLine="720"/>
      </w:pPr>
      <w:r w:rsidRPr="00F05C28">
        <w:t xml:space="preserve">There are several benefits realized when students are socially integrated.  The literature suggests that social integration influences the level of institutional commitment of students, the likelihood of retention, student satisfaction, and students’ sense of belonging (Braxton et al., 2004; Kraemer, 1997; </w:t>
      </w:r>
      <w:proofErr w:type="spellStart"/>
      <w:r w:rsidRPr="00F05C28">
        <w:t>Kuh</w:t>
      </w:r>
      <w:proofErr w:type="spellEnd"/>
      <w:r w:rsidRPr="00F05C28">
        <w:t xml:space="preserve"> et al., 2008; Strayhorn, 2010, 2012; Tinto 1975, 1993, 2006).  According to Braxton, Sullivan, and Johnson (1997) and Tinto (1975, 1993), higher levels of social integration were positively related to institutional commitment.  Further, students’ perception of social interactions and social fit are likely to determine the student’s social integration and predict the likelihood of student retention (Tinto, 1975, 1993).  It is surmised that social integration also influences student satisfaction and sense of belonging (Braxton, </w:t>
      </w:r>
      <w:proofErr w:type="spellStart"/>
      <w:r w:rsidRPr="00F05C28">
        <w:t>Hirschy</w:t>
      </w:r>
      <w:proofErr w:type="spellEnd"/>
      <w:r w:rsidRPr="00F05C28">
        <w:t xml:space="preserve">, Yorke, &amp; Longden, 2004; Hausmann, Schofield, &amp; Woods, 2007; Strayhorn, 2012).  Higher </w:t>
      </w:r>
      <w:r w:rsidRPr="00F05C28">
        <w:lastRenderedPageBreak/>
        <w:t xml:space="preserve">levels of student satisfaction with the affordability of attending college and participating in campus events, result in a higher degree of social integration for students (Braxton et al., 2004).  Low amounts of socialization and social integration can lead to low levels of student satisfaction, which increases the likelihood of college attrition (Braxton, </w:t>
      </w:r>
      <w:proofErr w:type="spellStart"/>
      <w:r w:rsidRPr="00F05C28">
        <w:t>Hirschy</w:t>
      </w:r>
      <w:proofErr w:type="spellEnd"/>
      <w:r w:rsidRPr="00F05C28">
        <w:t xml:space="preserve">, Yorke, &amp; Longden, 2004).  Sense of belonging, </w:t>
      </w:r>
      <w:proofErr w:type="gramStart"/>
      <w:r w:rsidRPr="00F05C28">
        <w:t>students’</w:t>
      </w:r>
      <w:proofErr w:type="gramEnd"/>
      <w:r w:rsidRPr="00F05C28">
        <w:t xml:space="preserve"> perceived social support on campus, feelings of connectedness to others, or feelings of personal importance to others, was reported to be positively associated with social integration, and negatively associated with academic integration (Hausmann et al., 2007; Strayhorn, 2012). </w:t>
      </w:r>
    </w:p>
    <w:p w14:paraId="7C3DCD6F" w14:textId="77777777" w:rsidR="00F05C28" w:rsidRPr="00F05C28" w:rsidRDefault="00F05C28" w:rsidP="00F05C28">
      <w:pPr>
        <w:spacing w:line="480" w:lineRule="auto"/>
        <w:ind w:firstLine="360"/>
      </w:pPr>
      <w:r w:rsidRPr="00F05C28">
        <w:t xml:space="preserve">Wilcox, Winn, &amp; </w:t>
      </w:r>
      <w:proofErr w:type="spellStart"/>
      <w:r w:rsidRPr="00F05C28">
        <w:t>Fyvie</w:t>
      </w:r>
      <w:proofErr w:type="spellEnd"/>
      <w:r w:rsidRPr="00F05C28">
        <w:t xml:space="preserve"> </w:t>
      </w:r>
      <w:proofErr w:type="spellStart"/>
      <w:r w:rsidRPr="00F05C28">
        <w:t>Gauld</w:t>
      </w:r>
      <w:proofErr w:type="spellEnd"/>
      <w:r w:rsidRPr="00F05C28">
        <w:t xml:space="preserve"> (2005) completed a qualitative study that explored the effects of social integration and social development on student retention and/or departure.  The study participants included 34 first-year students from the Applied Social Science Program at University of Brighton.  The results of this study identified social integration as the more important type of integration in a student’s first year.  In this particular study, social integration was fostered through informal interactions with staff and faculty, building a network with neighboring students from campus residential communities, and having access to living arrangements that encourage participation in opportunities for social integration. </w:t>
      </w:r>
    </w:p>
    <w:p w14:paraId="69FF2351" w14:textId="77777777" w:rsidR="00F05C28" w:rsidRPr="00F05C28" w:rsidRDefault="00F05C28" w:rsidP="00F05C28">
      <w:pPr>
        <w:spacing w:line="480" w:lineRule="auto"/>
        <w:ind w:firstLine="720"/>
      </w:pPr>
      <w:proofErr w:type="spellStart"/>
      <w:r w:rsidRPr="00F05C28">
        <w:t>Severiens</w:t>
      </w:r>
      <w:proofErr w:type="spellEnd"/>
      <w:r w:rsidRPr="00F05C28">
        <w:t xml:space="preserve"> and Schmidt (2009) completed a study on academic and social integration in the Netherlands.  The purpose of this study was to examine the relationship between a participation in </w:t>
      </w:r>
      <w:proofErr w:type="gramStart"/>
      <w:r w:rsidRPr="00F05C28">
        <w:t>problem based</w:t>
      </w:r>
      <w:proofErr w:type="gramEnd"/>
      <w:r w:rsidRPr="00F05C28">
        <w:t xml:space="preserve"> learning (PBL) and the academic and social integration, and program progress.  The researchers used a random sample of 305 first-year students from three different psychology curriculum programs at three different institutions.  The first program was a PBL where small group activities were utilized to work through the curriculum.  The second program utilization a combination of teaching methods as well as group work.  The third </w:t>
      </w:r>
      <w:r w:rsidRPr="00F05C28">
        <w:lastRenderedPageBreak/>
        <w:t xml:space="preserve">program was solely lecture based.  This study found that PBL participants had higher levels of academic and social integration.  They found a significant relationship between social integration, academic progress, and academic success.  Students who experienced formal social integration were more likely to perform better academically, also increasing their progress in the program.  While both academic and social integration were examined, the significance of social integration continued to provide evidence that social integration plays a primary role during a student’s first year. </w:t>
      </w:r>
    </w:p>
    <w:p w14:paraId="7BFACE56" w14:textId="77777777" w:rsidR="00F05C28" w:rsidRPr="00F05C28" w:rsidRDefault="00F05C28" w:rsidP="00F05C28">
      <w:pPr>
        <w:spacing w:line="480" w:lineRule="auto"/>
        <w:ind w:firstLine="720"/>
      </w:pPr>
      <w:r w:rsidRPr="00F05C28">
        <w:t xml:space="preserve">The importance of social integration is not only prevalent for first-year students.  Chambers (2009) conducted a study to examine the potential role of student engagement on student persistence.  This study included 362 students who participated in the Spring 2007 National Survey of Student Engagement (NSSE) at Mountain West Research University.  This study found that students who were highly engaged at the end of their first year were more likely to persist to at least their third year.  While temporary and long-term persistence is positively shaped by engagement, students who were socially integrated and developed a strong sense of belonging were more likely to be long-term </w:t>
      </w:r>
      <w:proofErr w:type="spellStart"/>
      <w:r w:rsidRPr="00F05C28">
        <w:t>persisters</w:t>
      </w:r>
      <w:proofErr w:type="spellEnd"/>
      <w:r w:rsidRPr="00F05C28">
        <w:t>.</w:t>
      </w:r>
    </w:p>
    <w:p w14:paraId="5FCAB95E" w14:textId="77777777" w:rsidR="00F05C28" w:rsidRPr="00F05C28" w:rsidRDefault="00F05C28" w:rsidP="00F05C28">
      <w:pPr>
        <w:spacing w:line="480" w:lineRule="auto"/>
        <w:ind w:firstLine="720"/>
        <w:rPr>
          <w:rFonts w:eastAsia="Calibri"/>
        </w:rPr>
      </w:pPr>
      <w:r w:rsidRPr="00F05C28">
        <w:t xml:space="preserve">While the literature denotes the importance of social integration, some researchers caution against excessive amounts of social integration.  Social integration is more complex than academic integration for high levels of social integration can both increase and weaken the likelihood of student persistence (Mannan, 2007; Tinto, 1975, 1993; </w:t>
      </w:r>
      <w:proofErr w:type="spellStart"/>
      <w:r w:rsidRPr="00F05C28">
        <w:t>Zepke</w:t>
      </w:r>
      <w:proofErr w:type="spellEnd"/>
      <w:r w:rsidRPr="00F05C28">
        <w:t xml:space="preserve"> &amp; Leach, 2010).  </w:t>
      </w:r>
      <w:proofErr w:type="spellStart"/>
      <w:r w:rsidRPr="00F05C28">
        <w:rPr>
          <w:rFonts w:eastAsia="Calibri"/>
        </w:rPr>
        <w:t>Rienties</w:t>
      </w:r>
      <w:proofErr w:type="spellEnd"/>
      <w:r w:rsidRPr="00F05C28">
        <w:rPr>
          <w:rFonts w:eastAsia="Calibri"/>
        </w:rPr>
        <w:t xml:space="preserve"> et al. (2012) explored the difference between the academic and social integration of the domestic Dutch student population compared to the international student population.  The study sample included 958 respondents (288 Dutch students and 670 International students) to the Student Adaption to College Questionnaire and Social Integration Questionnaire.  </w:t>
      </w:r>
      <w:proofErr w:type="spellStart"/>
      <w:r w:rsidRPr="00F05C28">
        <w:rPr>
          <w:rFonts w:eastAsia="Calibri"/>
        </w:rPr>
        <w:t>Rienties</w:t>
      </w:r>
      <w:proofErr w:type="spellEnd"/>
      <w:r w:rsidRPr="00F05C28">
        <w:rPr>
          <w:rFonts w:eastAsia="Calibri"/>
        </w:rPr>
        <w:t xml:space="preserve"> et al. </w:t>
      </w:r>
      <w:r w:rsidRPr="00F05C28">
        <w:rPr>
          <w:rFonts w:eastAsia="Calibri"/>
        </w:rPr>
        <w:lastRenderedPageBreak/>
        <w:t xml:space="preserve">(2012) found both academic and social integration were influenced by student demographics and shaped academic performance.  Academic performance was positively associated with academic integration.  Students who were heavily involved were less focused on their studies and had lower academic performance.  The results of this study contradicted Tinto’s theory and found that social integration negatively affected students’ academic performance.  Students less involved were more likely to perform higher academically.  </w:t>
      </w:r>
      <w:r w:rsidRPr="00F05C28">
        <w:t xml:space="preserve">Excessive amounts of social integration distracted the students away from their academic integration, and instead lead them to poor academic performance (Mannan, 2007; Tinto, 1975, 1993; </w:t>
      </w:r>
      <w:proofErr w:type="spellStart"/>
      <w:r w:rsidRPr="00F05C28">
        <w:t>Zepke</w:t>
      </w:r>
      <w:proofErr w:type="spellEnd"/>
      <w:r w:rsidRPr="00F05C28">
        <w:t xml:space="preserve"> &amp; Leach, 2010).  </w:t>
      </w:r>
    </w:p>
    <w:p w14:paraId="7F363C5D" w14:textId="77777777" w:rsidR="00F05C28" w:rsidRPr="00F05C28" w:rsidRDefault="00F05C28" w:rsidP="00F05C28">
      <w:pPr>
        <w:spacing w:line="480" w:lineRule="auto"/>
        <w:rPr>
          <w:b/>
        </w:rPr>
      </w:pPr>
      <w:r w:rsidRPr="00F05C28">
        <w:rPr>
          <w:b/>
        </w:rPr>
        <w:t>African American and Latinx Social Integration</w:t>
      </w:r>
    </w:p>
    <w:p w14:paraId="5EB6A73B" w14:textId="77777777" w:rsidR="00F05C28" w:rsidRPr="00F05C28" w:rsidRDefault="00F05C28" w:rsidP="00F05C28">
      <w:pPr>
        <w:spacing w:line="480" w:lineRule="auto"/>
        <w:ind w:firstLine="720"/>
      </w:pPr>
      <w:r w:rsidRPr="00F05C28">
        <w:t xml:space="preserve">As shown in a prior section, many theorists have defined what social integration means for the overall student body, but these studies failed to examine or highlight the complexities of social integration for African American and Latinx students.  The relationship between social integration on campus and persistence of African American and Latinx students has been found to be more complex than simply displaying school spirit and being involved on campus (Arana, </w:t>
      </w:r>
      <w:proofErr w:type="spellStart"/>
      <w:r w:rsidRPr="00F05C28">
        <w:t>Castañeda</w:t>
      </w:r>
      <w:proofErr w:type="spellEnd"/>
      <w:r w:rsidRPr="00F05C28">
        <w:t xml:space="preserve">-Sound, Blanchard, &amp; Aguilar, 2011; </w:t>
      </w:r>
      <w:proofErr w:type="spellStart"/>
      <w:r w:rsidRPr="00F05C28">
        <w:t>Cerna</w:t>
      </w:r>
      <w:proofErr w:type="spellEnd"/>
      <w:r w:rsidRPr="00F05C28">
        <w:t xml:space="preserve">, Pérez, &amp; </w:t>
      </w:r>
      <w:proofErr w:type="spellStart"/>
      <w:r w:rsidRPr="00F05C28">
        <w:t>Sáenz</w:t>
      </w:r>
      <w:proofErr w:type="spellEnd"/>
      <w:r w:rsidRPr="00F05C28">
        <w:t xml:space="preserve">, 2009; </w:t>
      </w:r>
      <w:proofErr w:type="spellStart"/>
      <w:r w:rsidRPr="00F05C28">
        <w:t>Guiffrida</w:t>
      </w:r>
      <w:proofErr w:type="spellEnd"/>
      <w:r w:rsidRPr="00F05C28">
        <w:t xml:space="preserve">, 2006; Hurtado &amp; Carter, 1997; </w:t>
      </w:r>
      <w:proofErr w:type="spellStart"/>
      <w:r w:rsidRPr="00F05C28">
        <w:t>McFeeters</w:t>
      </w:r>
      <w:proofErr w:type="spellEnd"/>
      <w:r w:rsidRPr="00F05C28">
        <w:t xml:space="preserve">, 2012; Tierney, 1999).  Granted the social integration process is more difficult for students of color, the social integration process is especially difficult and complex for students of color at Predominantly White Institutions (PWIs) (Gonzalez, 2002; </w:t>
      </w:r>
      <w:proofErr w:type="spellStart"/>
      <w:r w:rsidRPr="00F05C28">
        <w:t>McFeeters</w:t>
      </w:r>
      <w:proofErr w:type="spellEnd"/>
      <w:r w:rsidRPr="00F05C28">
        <w:t>, 2012; Strayhorn, 2010, 2012).  Students of color commonly encounter difficulties with social integration in college due to cultural differences (</w:t>
      </w:r>
      <w:proofErr w:type="spellStart"/>
      <w:r w:rsidRPr="00F05C28">
        <w:t>Guiffrida</w:t>
      </w:r>
      <w:proofErr w:type="spellEnd"/>
      <w:r w:rsidRPr="00F05C28">
        <w:t xml:space="preserve">, 2006; </w:t>
      </w:r>
      <w:proofErr w:type="spellStart"/>
      <w:r w:rsidRPr="00F05C28">
        <w:t>McFeeters</w:t>
      </w:r>
      <w:proofErr w:type="spellEnd"/>
      <w:r w:rsidRPr="00F05C28">
        <w:t xml:space="preserve">, 2012; Strayhorn, 2008, 2012; Tierney, 1999).  Hurtado and Carter (1997) suggested that students of color who grew up in communities that lacked ethnic diversity experienced significant stress from their newfound minority status. Some of the social factors that continue to hinder the </w:t>
      </w:r>
      <w:r w:rsidRPr="00F05C28">
        <w:lastRenderedPageBreak/>
        <w:t xml:space="preserve">success of African American and Latinx students include feelings of isolation; familial obligations; marginalization; and self-defeating stereotypes (Castellanos &amp; Jones, 2003; Jacobs &amp; Archie, 2008; Ortiz, 2004; Strayhorn, 2012).  </w:t>
      </w:r>
    </w:p>
    <w:p w14:paraId="203A6E8F" w14:textId="77777777" w:rsidR="00F05C28" w:rsidRPr="00F05C28" w:rsidRDefault="00F05C28" w:rsidP="00F05C28">
      <w:pPr>
        <w:spacing w:line="480" w:lineRule="auto"/>
        <w:ind w:firstLine="720"/>
      </w:pPr>
      <w:r w:rsidRPr="00F05C28">
        <w:t>Johnson et al. (2007) examined the factors that shaped and predicted sense of belonging among first-year undergraduates from different racial/ethnic groups.  This study looked at 2,967 first year students from the 2004 National Study of Living-Learning Programs (34 universities from 24 states).  While a strong sense of belonging is promoted through a successful social integration into college, this study found that African American, Asian, and Latinx students have less of a sense of belonging than their Caucasian peers.  This study also found living on campus in residence halls provided social support and inclusivity, which increased students sense of belonging.  Interactions with diverse peers was a driving force in the development of the sense of belonging for Latinx students, unlike any other racial/ethnic student population.</w:t>
      </w:r>
    </w:p>
    <w:p w14:paraId="7CB01B8B" w14:textId="77777777" w:rsidR="00F05C28" w:rsidRPr="00F05C28" w:rsidRDefault="00F05C28" w:rsidP="00F05C28">
      <w:pPr>
        <w:spacing w:line="480" w:lineRule="auto"/>
        <w:ind w:firstLine="720"/>
      </w:pPr>
      <w:r w:rsidRPr="00F05C28">
        <w:t xml:space="preserve">Baker (2008) examined the effects of involvement in different extracurricular activities and their impact on student academic performance for African American and Latinx students.  This study utilized data gathered from the National Longitudinal Survey of Freshmen.  The sample used for this study was comprised of 1,907 students (991 African American students and 916 Latinx students) from 27 different selective colleges and universities.  The researcher examined the relationship between active participation in opportunities for social integration and academic performance.  The study found that the effects of involvement in student organizations on academic performance varied based on the type of organization and the student population.  Political student organizations were ranked the most beneficial for students with a positive influence on academic performance for African American males and the Latinx student population.  No significant influence was found on academic performance for the African </w:t>
      </w:r>
      <w:r w:rsidRPr="00F05C28">
        <w:lastRenderedPageBreak/>
        <w:t>American female student population that participated in political student organizations.  Art-based student organizations had a positive effect on academic performance for the African American student population, and no effect for the Latinx student population.  Involvement in athletic student organizations had a negative effect on the academic performance for the Latinx student population, and no effect on for the African American student population.  Involvement in either religious student organizations or minority-based student organizations had no effect on academic performance for all groups except the Latina student population.  Minority-based student organizations had a negative effect on academic performance for the Latina student population.  Involvement in Greek-letter student organizations had a negative impact on academic performance for all student populations.  This study reveals how social integration effects academic performance and academic integration differently for the African American and Latinx communities.</w:t>
      </w:r>
    </w:p>
    <w:p w14:paraId="0B1D9B29" w14:textId="77777777" w:rsidR="00F05C28" w:rsidRPr="00F05C28" w:rsidRDefault="00F05C28" w:rsidP="00F05C28">
      <w:pPr>
        <w:spacing w:line="480" w:lineRule="auto"/>
        <w:ind w:firstLine="720"/>
      </w:pPr>
      <w:r w:rsidRPr="00F05C28">
        <w:t xml:space="preserve">Grier-Reed, </w:t>
      </w:r>
      <w:proofErr w:type="spellStart"/>
      <w:r w:rsidRPr="00F05C28">
        <w:t>Arcinue</w:t>
      </w:r>
      <w:proofErr w:type="spellEnd"/>
      <w:r w:rsidRPr="00F05C28">
        <w:t xml:space="preserve">, and Inman (2016) sought to explore if involvement in a specialized program called the African American Student Network (AFAM) increased retention compared to African American students who did not participate.  AFAM is a culturally responsive retention program designed to meet the socioemotional needs of African American students at a Predominantly White Institution (PWI) in the Midwest region of the United States.  The study compared 147 AFAM students (91 females and 56 males) and 104 non-AFAM African American students from the Fall 2005 cohort of students.  Overall the study found that AFAM student retention was significantly higher than the retention of non-AFAM students.  On average AFAM students were retained one semester longer than their peers. </w:t>
      </w:r>
    </w:p>
    <w:p w14:paraId="09D62A85" w14:textId="77777777" w:rsidR="00F05C28" w:rsidRPr="00F05C28" w:rsidRDefault="00F05C28" w:rsidP="00F05C28">
      <w:pPr>
        <w:spacing w:line="480" w:lineRule="auto"/>
        <w:ind w:firstLine="720"/>
      </w:pPr>
      <w:proofErr w:type="spellStart"/>
      <w:r w:rsidRPr="00F05C28">
        <w:t>Guiffrida</w:t>
      </w:r>
      <w:proofErr w:type="spellEnd"/>
      <w:r w:rsidRPr="00F05C28">
        <w:t xml:space="preserve"> (2003) examined the effects of participation in an African American student organization in facilitating social integration at a Predominantly White Institution (PWI).  This </w:t>
      </w:r>
      <w:r w:rsidRPr="00F05C28">
        <w:lastRenderedPageBreak/>
        <w:t>study had a total of 88 African American students from a PWI in the northeastern region of the United States.  Through focus group interviews and a round of individual interviews this study found that African American student organizations facilitated the social integration of African American students through providing opportunities to connect with faculty, give back to the African American community, and social interactions and connections with peers that identified racially similar.</w:t>
      </w:r>
    </w:p>
    <w:p w14:paraId="7829F3C0" w14:textId="77777777" w:rsidR="00F05C28" w:rsidRPr="00F05C28" w:rsidRDefault="00F05C28" w:rsidP="00F05C28">
      <w:pPr>
        <w:spacing w:line="480" w:lineRule="auto"/>
        <w:ind w:firstLine="720"/>
      </w:pPr>
      <w:r w:rsidRPr="00F05C28">
        <w:t>Nunez (2009) examined factors that shaped the sense of belonging for Latinx students in college.  The participants included 4,403 first year students enrolled in the 2000-2001 academic year, across nine different four-year public research universities.  Information about study participants was gathered using the Diverse Democratic Project Study.  Nunez’s (2009) study found that “increasing positive cross-racial interactions, taking a diversity curriculum, engagement in community service, and class participation were positively associated with an increased sense of belonging” (p. 42), but also found that these actions were attributed to what students described as a hostile climate.  Faculty investment in the student’s development (often associated with academic integration) had a strong and positive effect on sense of belonging.  Latino students who experienced a hostile campus environment were more likely to have a decreased sense of belonging.</w:t>
      </w:r>
    </w:p>
    <w:p w14:paraId="7C78F8DE" w14:textId="77777777" w:rsidR="00F05C28" w:rsidRPr="00F05C28" w:rsidRDefault="00F05C28" w:rsidP="00F05C28">
      <w:pPr>
        <w:spacing w:line="480" w:lineRule="auto"/>
        <w:ind w:firstLine="720"/>
      </w:pPr>
      <w:r w:rsidRPr="00F05C28">
        <w:t xml:space="preserve">The educational achievement gap continues to grow for African American and Latinx student populations and serves as a challenge in American higher education.  While student integration and engagement are an ever-present topic in higher education retention research, it is important to provide more research exploring the unique factors that shape and/or hinder the integration of African American and Latinx students, and studies that focus solely on social integration of students.  Although the research denotes what has been observed in terms of </w:t>
      </w:r>
      <w:r w:rsidRPr="00F05C28">
        <w:lastRenderedPageBreak/>
        <w:t>student integration, the research tends to aggregate academic and social integration.  There are far fewer studies that look at student social integration separate from academic integration, and even fewer studies that specifically explore the social integration of underrepresented student populations.  This study will broaden the knowledge base within educational research on social integration and retention within higher education, as well as the strength of this relationship based on race/ethnicity.</w:t>
      </w:r>
    </w:p>
    <w:p w14:paraId="47F0610C" w14:textId="77777777" w:rsidR="00F05C28" w:rsidRPr="00F05C28" w:rsidRDefault="00F05C28" w:rsidP="00F05C28">
      <w:pPr>
        <w:spacing w:line="480" w:lineRule="auto"/>
        <w:ind w:firstLine="720"/>
      </w:pPr>
      <w:r w:rsidRPr="00F05C28">
        <w:t xml:space="preserve">This literature review has detailed the foundations of student integration, identified supporting studies and critics of the framework, as well as highlighting studies that specifically looked at academic and social integration together.  Each study indicated the overarching importance of social integration for student persistence and retention.  Understanding social integration for the African American and Latinx student populations is essential to increasing student </w:t>
      </w:r>
      <w:proofErr w:type="gramStart"/>
      <w:r w:rsidRPr="00F05C28">
        <w:t>retention, and</w:t>
      </w:r>
      <w:proofErr w:type="gramEnd"/>
      <w:r w:rsidRPr="00F05C28">
        <w:t xml:space="preserve"> closing the educational achievement gap.  The purpose of this study is to explore the relationship between student background characteristics, social integration, and student retention. </w:t>
      </w:r>
    </w:p>
    <w:p w14:paraId="6BC7E1B3" w14:textId="77777777" w:rsidR="00F05C28" w:rsidRPr="00F05C28" w:rsidRDefault="00F05C28" w:rsidP="00F05C28"/>
    <w:p w14:paraId="6E2A6FC9" w14:textId="77777777" w:rsidR="00F05C28" w:rsidRPr="00F05C28" w:rsidRDefault="00F05C28" w:rsidP="00F05C28">
      <w:r w:rsidRPr="00F05C28">
        <w:br w:type="page"/>
      </w:r>
    </w:p>
    <w:p w14:paraId="6D0F5140" w14:textId="77777777" w:rsidR="00F05C28" w:rsidRPr="00F05C28" w:rsidRDefault="00F05C28" w:rsidP="00F05C28">
      <w:pPr>
        <w:spacing w:line="480" w:lineRule="auto"/>
        <w:jc w:val="center"/>
        <w:outlineLvl w:val="0"/>
        <w:rPr>
          <w:b/>
        </w:rPr>
      </w:pPr>
      <w:bookmarkStart w:id="12" w:name="_Toc43791645"/>
      <w:r w:rsidRPr="00F05C28">
        <w:rPr>
          <w:b/>
        </w:rPr>
        <w:lastRenderedPageBreak/>
        <w:t>CHAPTER 3</w:t>
      </w:r>
      <w:bookmarkEnd w:id="12"/>
      <w:r w:rsidRPr="00F05C28">
        <w:rPr>
          <w:b/>
        </w:rPr>
        <w:t xml:space="preserve"> </w:t>
      </w:r>
    </w:p>
    <w:p w14:paraId="7FACFF5B" w14:textId="77777777" w:rsidR="00F05C28" w:rsidRPr="00F05C28" w:rsidRDefault="00F05C28" w:rsidP="00F05C28">
      <w:pPr>
        <w:spacing w:line="480" w:lineRule="auto"/>
        <w:jc w:val="center"/>
        <w:rPr>
          <w:b/>
        </w:rPr>
      </w:pPr>
      <w:r w:rsidRPr="00F05C28">
        <w:rPr>
          <w:b/>
        </w:rPr>
        <w:t>Methods and Procedures</w:t>
      </w:r>
    </w:p>
    <w:p w14:paraId="2ACD30AF" w14:textId="77777777" w:rsidR="00F05C28" w:rsidRPr="00F05C28" w:rsidRDefault="00F05C28" w:rsidP="00F05C28">
      <w:pPr>
        <w:spacing w:line="480" w:lineRule="auto"/>
        <w:ind w:firstLine="720"/>
      </w:pPr>
      <w:r w:rsidRPr="00F05C28">
        <w:t>This study sought to explore the relationships between student background characteristics and social integration, and the ability to predict student graduation based on student social integration.  The following research questions framed the conduct of the study:</w:t>
      </w:r>
    </w:p>
    <w:p w14:paraId="1CD16F56" w14:textId="77777777" w:rsidR="00F05C28" w:rsidRPr="00F05C28" w:rsidRDefault="00F05C28" w:rsidP="00F05C28">
      <w:pPr>
        <w:numPr>
          <w:ilvl w:val="0"/>
          <w:numId w:val="7"/>
        </w:numPr>
        <w:pBdr>
          <w:top w:val="nil"/>
          <w:left w:val="nil"/>
          <w:bottom w:val="nil"/>
          <w:right w:val="nil"/>
          <w:between w:val="nil"/>
        </w:pBdr>
        <w:spacing w:line="480" w:lineRule="auto"/>
        <w:ind w:left="1080"/>
        <w:contextualSpacing/>
      </w:pPr>
      <w:r w:rsidRPr="00F05C28">
        <w:t xml:space="preserve">Is there a significant difference in the scaled measurement of social integration of </w:t>
      </w:r>
      <w:proofErr w:type="gramStart"/>
      <w:r w:rsidRPr="00F05C28">
        <w:t>first-year</w:t>
      </w:r>
      <w:proofErr w:type="gramEnd"/>
      <w:r w:rsidRPr="00F05C28">
        <w:t xml:space="preserve"> and senior level students?</w:t>
      </w:r>
    </w:p>
    <w:p w14:paraId="29A8EDD7" w14:textId="77777777" w:rsidR="00F05C28" w:rsidRPr="00F05C28" w:rsidRDefault="00F05C28" w:rsidP="00F05C28">
      <w:pPr>
        <w:numPr>
          <w:ilvl w:val="0"/>
          <w:numId w:val="7"/>
        </w:numPr>
        <w:pBdr>
          <w:top w:val="nil"/>
          <w:left w:val="nil"/>
          <w:bottom w:val="nil"/>
          <w:right w:val="nil"/>
          <w:between w:val="nil"/>
        </w:pBdr>
        <w:spacing w:line="480" w:lineRule="auto"/>
        <w:ind w:left="990" w:hanging="270"/>
        <w:contextualSpacing/>
      </w:pPr>
      <w:r w:rsidRPr="00F05C28">
        <w:t>Is there a significant difference in the scaled measurement of social integration for African American and Latinx graduates and dropouts?</w:t>
      </w:r>
    </w:p>
    <w:p w14:paraId="50B92267" w14:textId="77777777" w:rsidR="00F05C28" w:rsidRPr="00F05C28" w:rsidRDefault="00F05C28" w:rsidP="00F05C28">
      <w:pPr>
        <w:numPr>
          <w:ilvl w:val="0"/>
          <w:numId w:val="7"/>
        </w:numPr>
        <w:pBdr>
          <w:top w:val="nil"/>
          <w:left w:val="nil"/>
          <w:bottom w:val="nil"/>
          <w:right w:val="nil"/>
          <w:between w:val="nil"/>
        </w:pBdr>
        <w:spacing w:line="480" w:lineRule="auto"/>
        <w:ind w:left="990" w:hanging="270"/>
        <w:contextualSpacing/>
      </w:pPr>
      <w:r w:rsidRPr="00F05C28">
        <w:t>Does social integration predict graduation among African American and Latinx students?</w:t>
      </w:r>
    </w:p>
    <w:p w14:paraId="6969A654" w14:textId="77777777" w:rsidR="00F05C28" w:rsidRPr="00F05C28" w:rsidRDefault="00F05C28" w:rsidP="00F05C28">
      <w:pPr>
        <w:spacing w:line="480" w:lineRule="auto"/>
        <w:contextualSpacing/>
      </w:pPr>
      <w:r w:rsidRPr="00F05C28">
        <w:t>Chapter Three details the methods and procedures utilized in the conduct of this study.  The chapter includes discussions of the research design, site and population used for the study, the sources of data used, the procedures followed in collecting and analyzing the data, and the limitations and delimitations of the study.</w:t>
      </w:r>
    </w:p>
    <w:p w14:paraId="151EC759" w14:textId="77777777" w:rsidR="00F05C28" w:rsidRPr="00F05C28" w:rsidRDefault="00F05C28" w:rsidP="00F05C28">
      <w:pPr>
        <w:spacing w:line="480" w:lineRule="auto"/>
        <w:outlineLvl w:val="0"/>
        <w:rPr>
          <w:b/>
        </w:rPr>
      </w:pPr>
      <w:bookmarkStart w:id="13" w:name="_Toc43791646"/>
      <w:r w:rsidRPr="00F05C28">
        <w:rPr>
          <w:b/>
        </w:rPr>
        <w:t>Research Design</w:t>
      </w:r>
      <w:bookmarkEnd w:id="13"/>
    </w:p>
    <w:p w14:paraId="58D26B36" w14:textId="77777777" w:rsidR="00F05C28" w:rsidRPr="00F05C28" w:rsidRDefault="00F05C28" w:rsidP="00F05C28">
      <w:pPr>
        <w:spacing w:line="480" w:lineRule="auto"/>
        <w:ind w:firstLine="720"/>
      </w:pPr>
      <w:r w:rsidRPr="00F05C28">
        <w:t xml:space="preserve">The research questions were answered using a non-experimental quantitative research design that explored existing data from a national data set, the National Survey of Student Engagement (NSSE), and institutional retention data from South-Eastern State University (pseudonym).  A quantitative research design examines the relationship between variables (Creswell, 2014).  Given the purpose of the study, the research design selected was the logical choice and allowed for answering the research questions using a relatively large sample of students. </w:t>
      </w:r>
    </w:p>
    <w:p w14:paraId="1B67D435" w14:textId="77777777" w:rsidR="00F05C28" w:rsidRPr="00F05C28" w:rsidRDefault="00F05C28" w:rsidP="00F05C28">
      <w:pPr>
        <w:spacing w:line="480" w:lineRule="auto"/>
        <w:ind w:firstLine="720"/>
      </w:pPr>
    </w:p>
    <w:p w14:paraId="7944A3B5" w14:textId="77777777" w:rsidR="00F05C28" w:rsidRPr="00F05C28" w:rsidRDefault="00F05C28" w:rsidP="00F05C28">
      <w:pPr>
        <w:spacing w:line="480" w:lineRule="auto"/>
        <w:outlineLvl w:val="0"/>
        <w:rPr>
          <w:b/>
        </w:rPr>
      </w:pPr>
      <w:bookmarkStart w:id="14" w:name="_Toc43791647"/>
      <w:r w:rsidRPr="00F05C28">
        <w:rPr>
          <w:b/>
        </w:rPr>
        <w:t>Site and Population</w:t>
      </w:r>
      <w:bookmarkEnd w:id="14"/>
    </w:p>
    <w:p w14:paraId="59494845" w14:textId="77777777" w:rsidR="00F05C28" w:rsidRPr="00F05C28" w:rsidRDefault="00F05C28" w:rsidP="00F05C28">
      <w:pPr>
        <w:spacing w:line="480" w:lineRule="auto"/>
        <w:ind w:firstLine="720"/>
        <w:rPr>
          <w:b/>
        </w:rPr>
      </w:pPr>
      <w:r w:rsidRPr="00F05C28">
        <w:t>The site of the study was South-Eastern State University (pseudonym).  This university is a public, research one institution serving approximately 22,000 undergraduate students.  As a Predominantly White Institution (PWI), the demographics of the university include a small population of underrepresented students, similar to student populations at other PWIs across the country.  The South-Eastern State University undergraduate student population consists of approximately 78% Caucasian students, 6.5% African American students, 4% Latinx students, 4% Asian/Pacific Islander students, and 0.2% of American Indian students.  In 2010-2011 academic year, South-Eastern State University served 5,437 first-year students and 6,369 senior-level students. South-Eastern State University is comprised of 11 colleges and provides approximately 900 programs of study.  In 2011, South-Eastern State University 4-year graduation rates were 22.2% for American Indian students, 45.3% for Asian students, 34.3% for Black/ African American students, 36.4% for Latinx students, and 47.4% for Caucasian students.  The 6-year graduation rates in 2011 were 33.3% for American Indian students, 76.1% for Asian students, 58.5% for Black/African American students, 66.1% for Latinx students, and 72% for Caucasian students.</w:t>
      </w:r>
    </w:p>
    <w:p w14:paraId="6B666019" w14:textId="77777777" w:rsidR="00F05C28" w:rsidRPr="00F05C28" w:rsidRDefault="00F05C28" w:rsidP="00F05C28">
      <w:pPr>
        <w:spacing w:line="480" w:lineRule="auto"/>
      </w:pPr>
      <w:r w:rsidRPr="00F05C28">
        <w:rPr>
          <w:b/>
        </w:rPr>
        <w:tab/>
      </w:r>
      <w:r w:rsidRPr="00F05C28">
        <w:t xml:space="preserve">The population for this study were all the undergraduate freshmen and senior students who completed the 2011 National Survey of Student Engagement (NSSE) at South-Eastern State University.  Table 1 provides the count and percentage breakdown by gender and race/ethnicity of the student population that completed the NSSE compared to their peer population that did not complete the NSSE. </w:t>
      </w:r>
    </w:p>
    <w:p w14:paraId="51818189" w14:textId="77777777" w:rsidR="00F05C28" w:rsidRPr="00F05C28" w:rsidRDefault="00F05C28" w:rsidP="00F05C28">
      <w:pPr>
        <w:spacing w:line="480" w:lineRule="auto"/>
        <w:rPr>
          <w:b/>
        </w:rPr>
      </w:pPr>
    </w:p>
    <w:tbl>
      <w:tblPr>
        <w:tblW w:w="0" w:type="auto"/>
        <w:tblLook w:val="04A0" w:firstRow="1" w:lastRow="0" w:firstColumn="1" w:lastColumn="0" w:noHBand="0" w:noVBand="1"/>
      </w:tblPr>
      <w:tblGrid>
        <w:gridCol w:w="2582"/>
        <w:gridCol w:w="803"/>
        <w:gridCol w:w="656"/>
        <w:gridCol w:w="959"/>
        <w:gridCol w:w="784"/>
        <w:gridCol w:w="803"/>
        <w:gridCol w:w="656"/>
        <w:gridCol w:w="976"/>
        <w:gridCol w:w="767"/>
      </w:tblGrid>
      <w:tr w:rsidR="00F05C28" w:rsidRPr="00F05C28" w14:paraId="487E0B57" w14:textId="77777777" w:rsidTr="00574B5E">
        <w:trPr>
          <w:trHeight w:val="320"/>
        </w:trPr>
        <w:tc>
          <w:tcPr>
            <w:tcW w:w="0" w:type="auto"/>
            <w:gridSpan w:val="9"/>
            <w:tcBorders>
              <w:top w:val="nil"/>
              <w:left w:val="nil"/>
              <w:bottom w:val="single" w:sz="4" w:space="0" w:color="auto"/>
              <w:right w:val="nil"/>
            </w:tcBorders>
            <w:shd w:val="clear" w:color="auto" w:fill="auto"/>
            <w:noWrap/>
            <w:vAlign w:val="bottom"/>
            <w:hideMark/>
          </w:tcPr>
          <w:p w14:paraId="705358AE" w14:textId="77777777" w:rsidR="00F05C28" w:rsidRPr="00F05C28" w:rsidRDefault="00F05C28" w:rsidP="00574B5E">
            <w:r w:rsidRPr="00F05C28">
              <w:lastRenderedPageBreak/>
              <w:t>Table 3.1</w:t>
            </w:r>
          </w:p>
        </w:tc>
      </w:tr>
      <w:tr w:rsidR="00F05C28" w:rsidRPr="00F05C28" w14:paraId="770E1AF3" w14:textId="77777777" w:rsidTr="00574B5E">
        <w:trPr>
          <w:trHeight w:val="320"/>
        </w:trPr>
        <w:tc>
          <w:tcPr>
            <w:tcW w:w="0" w:type="auto"/>
            <w:gridSpan w:val="9"/>
            <w:tcBorders>
              <w:top w:val="single" w:sz="4" w:space="0" w:color="auto"/>
              <w:left w:val="nil"/>
              <w:bottom w:val="single" w:sz="4" w:space="0" w:color="auto"/>
              <w:right w:val="nil"/>
            </w:tcBorders>
            <w:shd w:val="clear" w:color="auto" w:fill="auto"/>
            <w:noWrap/>
            <w:vAlign w:val="bottom"/>
            <w:hideMark/>
          </w:tcPr>
          <w:p w14:paraId="2685D376" w14:textId="77777777" w:rsidR="00F05C28" w:rsidRPr="00F05C28" w:rsidRDefault="00F05C28" w:rsidP="00574B5E">
            <w:r w:rsidRPr="00F05C28">
              <w:t>Race and Ethnicity Percentage of 2011 NSSE Respondents and Peer Population</w:t>
            </w:r>
          </w:p>
        </w:tc>
      </w:tr>
      <w:tr w:rsidR="00F05C28" w:rsidRPr="00F05C28" w14:paraId="137B5505" w14:textId="77777777" w:rsidTr="00574B5E">
        <w:trPr>
          <w:trHeight w:val="320"/>
        </w:trPr>
        <w:tc>
          <w:tcPr>
            <w:tcW w:w="0" w:type="auto"/>
            <w:tcBorders>
              <w:top w:val="nil"/>
              <w:left w:val="nil"/>
              <w:bottom w:val="nil"/>
              <w:right w:val="nil"/>
            </w:tcBorders>
            <w:shd w:val="clear" w:color="auto" w:fill="auto"/>
            <w:noWrap/>
            <w:vAlign w:val="bottom"/>
            <w:hideMark/>
          </w:tcPr>
          <w:p w14:paraId="732CC83F" w14:textId="77777777" w:rsidR="00F05C28" w:rsidRPr="00F05C28" w:rsidRDefault="00F05C28" w:rsidP="00574B5E"/>
        </w:tc>
        <w:tc>
          <w:tcPr>
            <w:tcW w:w="0" w:type="auto"/>
            <w:gridSpan w:val="4"/>
            <w:tcBorders>
              <w:top w:val="nil"/>
              <w:left w:val="nil"/>
              <w:bottom w:val="nil"/>
              <w:right w:val="nil"/>
            </w:tcBorders>
            <w:shd w:val="clear" w:color="auto" w:fill="auto"/>
            <w:noWrap/>
            <w:vAlign w:val="bottom"/>
            <w:hideMark/>
          </w:tcPr>
          <w:p w14:paraId="180B0F5A" w14:textId="77777777" w:rsidR="00F05C28" w:rsidRPr="00F05C28" w:rsidRDefault="00F05C28" w:rsidP="00574B5E">
            <w:pPr>
              <w:jc w:val="center"/>
              <w:rPr>
                <w:u w:val="single"/>
              </w:rPr>
            </w:pPr>
            <w:r w:rsidRPr="00F05C28">
              <w:rPr>
                <w:u w:val="single"/>
              </w:rPr>
              <w:t>First Year Students</w:t>
            </w:r>
          </w:p>
        </w:tc>
        <w:tc>
          <w:tcPr>
            <w:tcW w:w="0" w:type="auto"/>
            <w:gridSpan w:val="4"/>
            <w:tcBorders>
              <w:top w:val="nil"/>
              <w:left w:val="nil"/>
              <w:bottom w:val="nil"/>
              <w:right w:val="nil"/>
            </w:tcBorders>
            <w:shd w:val="clear" w:color="auto" w:fill="auto"/>
            <w:noWrap/>
            <w:vAlign w:val="bottom"/>
            <w:hideMark/>
          </w:tcPr>
          <w:p w14:paraId="7B58A9E9" w14:textId="77777777" w:rsidR="00F05C28" w:rsidRPr="00F05C28" w:rsidRDefault="00F05C28" w:rsidP="00574B5E">
            <w:pPr>
              <w:jc w:val="center"/>
              <w:rPr>
                <w:u w:val="single"/>
              </w:rPr>
            </w:pPr>
            <w:r w:rsidRPr="00F05C28">
              <w:rPr>
                <w:u w:val="single"/>
              </w:rPr>
              <w:t>Senior Level Students</w:t>
            </w:r>
          </w:p>
        </w:tc>
      </w:tr>
      <w:tr w:rsidR="00F05C28" w:rsidRPr="00F05C28" w14:paraId="5EB14F3D" w14:textId="77777777" w:rsidTr="00574B5E">
        <w:trPr>
          <w:trHeight w:val="320"/>
        </w:trPr>
        <w:tc>
          <w:tcPr>
            <w:tcW w:w="0" w:type="auto"/>
            <w:tcBorders>
              <w:top w:val="nil"/>
              <w:left w:val="nil"/>
              <w:bottom w:val="nil"/>
              <w:right w:val="nil"/>
            </w:tcBorders>
            <w:shd w:val="clear" w:color="auto" w:fill="auto"/>
            <w:noWrap/>
            <w:vAlign w:val="bottom"/>
            <w:hideMark/>
          </w:tcPr>
          <w:p w14:paraId="7D796094" w14:textId="77777777" w:rsidR="00F05C28" w:rsidRPr="00F05C28" w:rsidRDefault="00F05C28" w:rsidP="00574B5E">
            <w:pPr>
              <w:jc w:val="center"/>
              <w:rPr>
                <w:u w:val="single"/>
              </w:rPr>
            </w:pPr>
          </w:p>
        </w:tc>
        <w:tc>
          <w:tcPr>
            <w:tcW w:w="0" w:type="auto"/>
            <w:gridSpan w:val="2"/>
            <w:tcBorders>
              <w:top w:val="nil"/>
              <w:left w:val="nil"/>
              <w:bottom w:val="nil"/>
              <w:right w:val="nil"/>
            </w:tcBorders>
            <w:shd w:val="clear" w:color="auto" w:fill="auto"/>
            <w:noWrap/>
            <w:vAlign w:val="bottom"/>
            <w:hideMark/>
          </w:tcPr>
          <w:p w14:paraId="347AFDB6" w14:textId="77777777" w:rsidR="00F05C28" w:rsidRPr="00F05C28" w:rsidRDefault="00F05C28" w:rsidP="00574B5E">
            <w:pPr>
              <w:jc w:val="center"/>
            </w:pPr>
            <w:r w:rsidRPr="00F05C28">
              <w:t>Respondents</w:t>
            </w:r>
          </w:p>
        </w:tc>
        <w:tc>
          <w:tcPr>
            <w:tcW w:w="0" w:type="auto"/>
            <w:gridSpan w:val="2"/>
            <w:tcBorders>
              <w:top w:val="nil"/>
              <w:left w:val="nil"/>
              <w:bottom w:val="nil"/>
              <w:right w:val="nil"/>
            </w:tcBorders>
            <w:shd w:val="clear" w:color="auto" w:fill="auto"/>
            <w:noWrap/>
            <w:vAlign w:val="bottom"/>
            <w:hideMark/>
          </w:tcPr>
          <w:p w14:paraId="6D63F0FA" w14:textId="77777777" w:rsidR="00F05C28" w:rsidRPr="00F05C28" w:rsidRDefault="00F05C28" w:rsidP="00574B5E">
            <w:pPr>
              <w:jc w:val="center"/>
            </w:pPr>
            <w:r w:rsidRPr="00F05C28">
              <w:t>Peer Population</w:t>
            </w:r>
          </w:p>
        </w:tc>
        <w:tc>
          <w:tcPr>
            <w:tcW w:w="0" w:type="auto"/>
            <w:gridSpan w:val="2"/>
            <w:tcBorders>
              <w:top w:val="nil"/>
              <w:left w:val="nil"/>
              <w:bottom w:val="nil"/>
              <w:right w:val="nil"/>
            </w:tcBorders>
            <w:shd w:val="clear" w:color="auto" w:fill="auto"/>
            <w:noWrap/>
            <w:vAlign w:val="bottom"/>
            <w:hideMark/>
          </w:tcPr>
          <w:p w14:paraId="2E209A10" w14:textId="77777777" w:rsidR="00F05C28" w:rsidRPr="00F05C28" w:rsidRDefault="00F05C28" w:rsidP="00574B5E">
            <w:pPr>
              <w:jc w:val="center"/>
            </w:pPr>
            <w:r w:rsidRPr="00F05C28">
              <w:t>Respondents</w:t>
            </w:r>
          </w:p>
        </w:tc>
        <w:tc>
          <w:tcPr>
            <w:tcW w:w="0" w:type="auto"/>
            <w:gridSpan w:val="2"/>
            <w:tcBorders>
              <w:top w:val="nil"/>
              <w:left w:val="nil"/>
              <w:bottom w:val="nil"/>
              <w:right w:val="nil"/>
            </w:tcBorders>
            <w:shd w:val="clear" w:color="auto" w:fill="auto"/>
            <w:noWrap/>
            <w:vAlign w:val="bottom"/>
            <w:hideMark/>
          </w:tcPr>
          <w:p w14:paraId="33C31960" w14:textId="77777777" w:rsidR="00F05C28" w:rsidRPr="00F05C28" w:rsidRDefault="00F05C28" w:rsidP="00574B5E">
            <w:pPr>
              <w:jc w:val="center"/>
            </w:pPr>
            <w:r w:rsidRPr="00F05C28">
              <w:t>Peer Population</w:t>
            </w:r>
          </w:p>
        </w:tc>
      </w:tr>
      <w:tr w:rsidR="00F05C28" w:rsidRPr="00F05C28" w14:paraId="4A591B0D" w14:textId="77777777" w:rsidTr="00574B5E">
        <w:trPr>
          <w:trHeight w:val="320"/>
        </w:trPr>
        <w:tc>
          <w:tcPr>
            <w:tcW w:w="0" w:type="auto"/>
            <w:tcBorders>
              <w:top w:val="nil"/>
              <w:left w:val="nil"/>
              <w:bottom w:val="nil"/>
              <w:right w:val="nil"/>
            </w:tcBorders>
            <w:shd w:val="clear" w:color="auto" w:fill="auto"/>
            <w:noWrap/>
            <w:vAlign w:val="bottom"/>
            <w:hideMark/>
          </w:tcPr>
          <w:p w14:paraId="5339CF6B" w14:textId="77777777" w:rsidR="00F05C28" w:rsidRPr="00F05C28" w:rsidRDefault="00F05C28" w:rsidP="00574B5E">
            <w:pPr>
              <w:jc w:val="center"/>
              <w:rPr>
                <w:b/>
                <w:bCs/>
              </w:rPr>
            </w:pPr>
            <w:r w:rsidRPr="00F05C28">
              <w:rPr>
                <w:b/>
                <w:bCs/>
              </w:rPr>
              <w:t>Gender</w:t>
            </w:r>
          </w:p>
        </w:tc>
        <w:tc>
          <w:tcPr>
            <w:tcW w:w="0" w:type="auto"/>
            <w:tcBorders>
              <w:top w:val="nil"/>
              <w:left w:val="nil"/>
              <w:bottom w:val="nil"/>
              <w:right w:val="nil"/>
            </w:tcBorders>
            <w:shd w:val="clear" w:color="auto" w:fill="auto"/>
            <w:noWrap/>
            <w:vAlign w:val="bottom"/>
            <w:hideMark/>
          </w:tcPr>
          <w:p w14:paraId="6BD72A2A" w14:textId="77777777" w:rsidR="00F05C28" w:rsidRPr="00F05C28" w:rsidRDefault="00F05C28" w:rsidP="00574B5E">
            <w:pPr>
              <w:jc w:val="center"/>
            </w:pPr>
            <w:r w:rsidRPr="00F05C28">
              <w:t>Count</w:t>
            </w:r>
          </w:p>
        </w:tc>
        <w:tc>
          <w:tcPr>
            <w:tcW w:w="0" w:type="auto"/>
            <w:tcBorders>
              <w:top w:val="nil"/>
              <w:left w:val="nil"/>
              <w:bottom w:val="nil"/>
              <w:right w:val="nil"/>
            </w:tcBorders>
            <w:shd w:val="clear" w:color="auto" w:fill="auto"/>
            <w:noWrap/>
            <w:vAlign w:val="bottom"/>
            <w:hideMark/>
          </w:tcPr>
          <w:p w14:paraId="3879757C" w14:textId="77777777" w:rsidR="00F05C28" w:rsidRPr="00F05C28" w:rsidRDefault="00F05C28" w:rsidP="00574B5E">
            <w:pPr>
              <w:jc w:val="center"/>
            </w:pPr>
            <w:r w:rsidRPr="00F05C28">
              <w:t>%</w:t>
            </w:r>
          </w:p>
        </w:tc>
        <w:tc>
          <w:tcPr>
            <w:tcW w:w="0" w:type="auto"/>
            <w:tcBorders>
              <w:top w:val="nil"/>
              <w:left w:val="nil"/>
              <w:bottom w:val="nil"/>
              <w:right w:val="nil"/>
            </w:tcBorders>
            <w:shd w:val="clear" w:color="auto" w:fill="auto"/>
            <w:noWrap/>
            <w:vAlign w:val="bottom"/>
            <w:hideMark/>
          </w:tcPr>
          <w:p w14:paraId="269CE300" w14:textId="77777777" w:rsidR="00F05C28" w:rsidRPr="00F05C28" w:rsidRDefault="00F05C28" w:rsidP="00574B5E">
            <w:pPr>
              <w:jc w:val="center"/>
            </w:pPr>
            <w:r w:rsidRPr="00F05C28">
              <w:t>Count</w:t>
            </w:r>
          </w:p>
        </w:tc>
        <w:tc>
          <w:tcPr>
            <w:tcW w:w="0" w:type="auto"/>
            <w:tcBorders>
              <w:top w:val="nil"/>
              <w:left w:val="nil"/>
              <w:bottom w:val="nil"/>
              <w:right w:val="nil"/>
            </w:tcBorders>
            <w:shd w:val="clear" w:color="auto" w:fill="auto"/>
            <w:noWrap/>
            <w:vAlign w:val="bottom"/>
            <w:hideMark/>
          </w:tcPr>
          <w:p w14:paraId="6BBD3F61" w14:textId="77777777" w:rsidR="00F05C28" w:rsidRPr="00F05C28" w:rsidRDefault="00F05C28" w:rsidP="00574B5E">
            <w:pPr>
              <w:jc w:val="center"/>
            </w:pPr>
            <w:r w:rsidRPr="00F05C28">
              <w:t>%</w:t>
            </w:r>
          </w:p>
        </w:tc>
        <w:tc>
          <w:tcPr>
            <w:tcW w:w="0" w:type="auto"/>
            <w:tcBorders>
              <w:top w:val="nil"/>
              <w:left w:val="nil"/>
              <w:bottom w:val="nil"/>
              <w:right w:val="nil"/>
            </w:tcBorders>
            <w:shd w:val="clear" w:color="auto" w:fill="auto"/>
            <w:noWrap/>
            <w:vAlign w:val="bottom"/>
            <w:hideMark/>
          </w:tcPr>
          <w:p w14:paraId="563557E9" w14:textId="77777777" w:rsidR="00F05C28" w:rsidRPr="00F05C28" w:rsidRDefault="00F05C28" w:rsidP="00574B5E">
            <w:pPr>
              <w:jc w:val="center"/>
            </w:pPr>
            <w:r w:rsidRPr="00F05C28">
              <w:t>Count</w:t>
            </w:r>
          </w:p>
        </w:tc>
        <w:tc>
          <w:tcPr>
            <w:tcW w:w="0" w:type="auto"/>
            <w:tcBorders>
              <w:top w:val="nil"/>
              <w:left w:val="nil"/>
              <w:bottom w:val="nil"/>
              <w:right w:val="nil"/>
            </w:tcBorders>
            <w:shd w:val="clear" w:color="auto" w:fill="auto"/>
            <w:noWrap/>
            <w:vAlign w:val="bottom"/>
            <w:hideMark/>
          </w:tcPr>
          <w:p w14:paraId="577A603B" w14:textId="77777777" w:rsidR="00F05C28" w:rsidRPr="00F05C28" w:rsidRDefault="00F05C28" w:rsidP="00574B5E">
            <w:pPr>
              <w:jc w:val="center"/>
            </w:pPr>
            <w:r w:rsidRPr="00F05C28">
              <w:t>%</w:t>
            </w:r>
          </w:p>
        </w:tc>
        <w:tc>
          <w:tcPr>
            <w:tcW w:w="0" w:type="auto"/>
            <w:tcBorders>
              <w:top w:val="nil"/>
              <w:left w:val="nil"/>
              <w:bottom w:val="nil"/>
              <w:right w:val="nil"/>
            </w:tcBorders>
            <w:shd w:val="clear" w:color="auto" w:fill="auto"/>
            <w:noWrap/>
            <w:vAlign w:val="bottom"/>
            <w:hideMark/>
          </w:tcPr>
          <w:p w14:paraId="0CCAA86E" w14:textId="77777777" w:rsidR="00F05C28" w:rsidRPr="00F05C28" w:rsidRDefault="00F05C28" w:rsidP="00574B5E">
            <w:pPr>
              <w:jc w:val="center"/>
            </w:pPr>
            <w:r w:rsidRPr="00F05C28">
              <w:t>Count</w:t>
            </w:r>
          </w:p>
        </w:tc>
        <w:tc>
          <w:tcPr>
            <w:tcW w:w="0" w:type="auto"/>
            <w:tcBorders>
              <w:top w:val="nil"/>
              <w:left w:val="nil"/>
              <w:bottom w:val="nil"/>
              <w:right w:val="nil"/>
            </w:tcBorders>
            <w:shd w:val="clear" w:color="auto" w:fill="auto"/>
            <w:noWrap/>
            <w:vAlign w:val="bottom"/>
            <w:hideMark/>
          </w:tcPr>
          <w:p w14:paraId="55AC3424" w14:textId="77777777" w:rsidR="00F05C28" w:rsidRPr="00F05C28" w:rsidRDefault="00F05C28" w:rsidP="00574B5E">
            <w:pPr>
              <w:jc w:val="center"/>
            </w:pPr>
            <w:r w:rsidRPr="00F05C28">
              <w:t>%</w:t>
            </w:r>
          </w:p>
        </w:tc>
      </w:tr>
      <w:tr w:rsidR="00F05C28" w:rsidRPr="00F05C28" w14:paraId="16E4ECBC" w14:textId="77777777" w:rsidTr="00574B5E">
        <w:trPr>
          <w:trHeight w:val="320"/>
        </w:trPr>
        <w:tc>
          <w:tcPr>
            <w:tcW w:w="0" w:type="auto"/>
            <w:tcBorders>
              <w:top w:val="nil"/>
              <w:left w:val="nil"/>
              <w:bottom w:val="nil"/>
              <w:right w:val="nil"/>
            </w:tcBorders>
            <w:shd w:val="clear" w:color="auto" w:fill="auto"/>
            <w:noWrap/>
            <w:vAlign w:val="bottom"/>
            <w:hideMark/>
          </w:tcPr>
          <w:p w14:paraId="576F909F" w14:textId="77777777" w:rsidR="00F05C28" w:rsidRPr="00F05C28" w:rsidRDefault="00F05C28" w:rsidP="00574B5E">
            <w:r w:rsidRPr="00F05C28">
              <w:t>Female</w:t>
            </w:r>
          </w:p>
        </w:tc>
        <w:tc>
          <w:tcPr>
            <w:tcW w:w="0" w:type="auto"/>
            <w:tcBorders>
              <w:top w:val="nil"/>
              <w:left w:val="nil"/>
              <w:bottom w:val="nil"/>
              <w:right w:val="nil"/>
            </w:tcBorders>
            <w:shd w:val="clear" w:color="auto" w:fill="auto"/>
            <w:noWrap/>
            <w:vAlign w:val="bottom"/>
            <w:hideMark/>
          </w:tcPr>
          <w:p w14:paraId="6E0C07DD" w14:textId="77777777" w:rsidR="00F05C28" w:rsidRPr="00F05C28" w:rsidRDefault="00F05C28" w:rsidP="00574B5E">
            <w:pPr>
              <w:jc w:val="right"/>
            </w:pPr>
            <w:r w:rsidRPr="00F05C28">
              <w:t>388</w:t>
            </w:r>
          </w:p>
        </w:tc>
        <w:tc>
          <w:tcPr>
            <w:tcW w:w="0" w:type="auto"/>
            <w:tcBorders>
              <w:top w:val="nil"/>
              <w:left w:val="nil"/>
              <w:bottom w:val="nil"/>
              <w:right w:val="nil"/>
            </w:tcBorders>
            <w:shd w:val="clear" w:color="auto" w:fill="auto"/>
            <w:noWrap/>
            <w:vAlign w:val="bottom"/>
            <w:hideMark/>
          </w:tcPr>
          <w:p w14:paraId="5E969CE6" w14:textId="77777777" w:rsidR="00F05C28" w:rsidRPr="00F05C28" w:rsidRDefault="00F05C28" w:rsidP="00574B5E">
            <w:pPr>
              <w:jc w:val="right"/>
            </w:pPr>
            <w:r w:rsidRPr="00F05C28">
              <w:t>65%</w:t>
            </w:r>
          </w:p>
        </w:tc>
        <w:tc>
          <w:tcPr>
            <w:tcW w:w="0" w:type="auto"/>
            <w:tcBorders>
              <w:top w:val="nil"/>
              <w:left w:val="nil"/>
              <w:bottom w:val="nil"/>
              <w:right w:val="nil"/>
            </w:tcBorders>
            <w:shd w:val="clear" w:color="auto" w:fill="auto"/>
            <w:noWrap/>
            <w:vAlign w:val="bottom"/>
            <w:hideMark/>
          </w:tcPr>
          <w:p w14:paraId="530E07E2" w14:textId="77777777" w:rsidR="00F05C28" w:rsidRPr="00F05C28" w:rsidRDefault="00F05C28" w:rsidP="00574B5E">
            <w:pPr>
              <w:jc w:val="right"/>
            </w:pPr>
            <w:r w:rsidRPr="00F05C28">
              <w:t>2589</w:t>
            </w:r>
          </w:p>
        </w:tc>
        <w:tc>
          <w:tcPr>
            <w:tcW w:w="0" w:type="auto"/>
            <w:tcBorders>
              <w:top w:val="nil"/>
              <w:left w:val="nil"/>
              <w:bottom w:val="nil"/>
              <w:right w:val="nil"/>
            </w:tcBorders>
            <w:shd w:val="clear" w:color="auto" w:fill="auto"/>
            <w:noWrap/>
            <w:vAlign w:val="bottom"/>
            <w:hideMark/>
          </w:tcPr>
          <w:p w14:paraId="5C514B42" w14:textId="77777777" w:rsidR="00F05C28" w:rsidRPr="00F05C28" w:rsidRDefault="00F05C28" w:rsidP="00574B5E">
            <w:pPr>
              <w:jc w:val="right"/>
            </w:pPr>
            <w:r w:rsidRPr="00F05C28">
              <w:t>48%</w:t>
            </w:r>
          </w:p>
        </w:tc>
        <w:tc>
          <w:tcPr>
            <w:tcW w:w="0" w:type="auto"/>
            <w:tcBorders>
              <w:top w:val="nil"/>
              <w:left w:val="nil"/>
              <w:bottom w:val="nil"/>
              <w:right w:val="nil"/>
            </w:tcBorders>
            <w:shd w:val="clear" w:color="auto" w:fill="auto"/>
            <w:noWrap/>
            <w:vAlign w:val="bottom"/>
            <w:hideMark/>
          </w:tcPr>
          <w:p w14:paraId="35C0FADE" w14:textId="77777777" w:rsidR="00F05C28" w:rsidRPr="00F05C28" w:rsidRDefault="00F05C28" w:rsidP="00574B5E">
            <w:pPr>
              <w:jc w:val="right"/>
            </w:pPr>
            <w:r w:rsidRPr="00F05C28">
              <w:t>520</w:t>
            </w:r>
          </w:p>
        </w:tc>
        <w:tc>
          <w:tcPr>
            <w:tcW w:w="0" w:type="auto"/>
            <w:tcBorders>
              <w:top w:val="nil"/>
              <w:left w:val="nil"/>
              <w:bottom w:val="nil"/>
              <w:right w:val="nil"/>
            </w:tcBorders>
            <w:shd w:val="clear" w:color="auto" w:fill="auto"/>
            <w:noWrap/>
            <w:vAlign w:val="bottom"/>
            <w:hideMark/>
          </w:tcPr>
          <w:p w14:paraId="4764F2F6" w14:textId="77777777" w:rsidR="00F05C28" w:rsidRPr="00F05C28" w:rsidRDefault="00F05C28" w:rsidP="00574B5E">
            <w:pPr>
              <w:jc w:val="right"/>
            </w:pPr>
            <w:r w:rsidRPr="00F05C28">
              <w:t>55%</w:t>
            </w:r>
          </w:p>
        </w:tc>
        <w:tc>
          <w:tcPr>
            <w:tcW w:w="0" w:type="auto"/>
            <w:tcBorders>
              <w:top w:val="nil"/>
              <w:left w:val="nil"/>
              <w:bottom w:val="nil"/>
              <w:right w:val="nil"/>
            </w:tcBorders>
            <w:shd w:val="clear" w:color="auto" w:fill="auto"/>
            <w:noWrap/>
            <w:vAlign w:val="bottom"/>
            <w:hideMark/>
          </w:tcPr>
          <w:p w14:paraId="06C998D1" w14:textId="77777777" w:rsidR="00F05C28" w:rsidRPr="00F05C28" w:rsidRDefault="00F05C28" w:rsidP="00574B5E">
            <w:pPr>
              <w:jc w:val="right"/>
            </w:pPr>
            <w:r w:rsidRPr="00F05C28">
              <w:t>3009</w:t>
            </w:r>
          </w:p>
        </w:tc>
        <w:tc>
          <w:tcPr>
            <w:tcW w:w="0" w:type="auto"/>
            <w:tcBorders>
              <w:top w:val="nil"/>
              <w:left w:val="nil"/>
              <w:bottom w:val="nil"/>
              <w:right w:val="nil"/>
            </w:tcBorders>
            <w:shd w:val="clear" w:color="auto" w:fill="auto"/>
            <w:noWrap/>
            <w:vAlign w:val="bottom"/>
            <w:hideMark/>
          </w:tcPr>
          <w:p w14:paraId="7EF84E68" w14:textId="77777777" w:rsidR="00F05C28" w:rsidRPr="00F05C28" w:rsidRDefault="00F05C28" w:rsidP="00574B5E">
            <w:pPr>
              <w:jc w:val="right"/>
              <w:rPr>
                <w:rFonts w:ascii="Calibri" w:hAnsi="Calibri" w:cs="Calibri"/>
              </w:rPr>
            </w:pPr>
            <w:r w:rsidRPr="00F05C28">
              <w:rPr>
                <w:rFonts w:ascii="Calibri" w:hAnsi="Calibri" w:cs="Calibri"/>
              </w:rPr>
              <w:t>47%</w:t>
            </w:r>
          </w:p>
        </w:tc>
      </w:tr>
      <w:tr w:rsidR="00F05C28" w:rsidRPr="00F05C28" w14:paraId="70264730" w14:textId="77777777" w:rsidTr="00574B5E">
        <w:trPr>
          <w:trHeight w:val="320"/>
        </w:trPr>
        <w:tc>
          <w:tcPr>
            <w:tcW w:w="0" w:type="auto"/>
            <w:tcBorders>
              <w:top w:val="nil"/>
              <w:left w:val="nil"/>
              <w:bottom w:val="nil"/>
              <w:right w:val="nil"/>
            </w:tcBorders>
            <w:shd w:val="clear" w:color="auto" w:fill="auto"/>
            <w:noWrap/>
            <w:vAlign w:val="bottom"/>
            <w:hideMark/>
          </w:tcPr>
          <w:p w14:paraId="675AB300" w14:textId="77777777" w:rsidR="00F05C28" w:rsidRPr="00F05C28" w:rsidRDefault="00F05C28" w:rsidP="00574B5E">
            <w:r w:rsidRPr="00F05C28">
              <w:t>Male</w:t>
            </w:r>
          </w:p>
        </w:tc>
        <w:tc>
          <w:tcPr>
            <w:tcW w:w="0" w:type="auto"/>
            <w:tcBorders>
              <w:top w:val="nil"/>
              <w:left w:val="nil"/>
              <w:bottom w:val="nil"/>
              <w:right w:val="nil"/>
            </w:tcBorders>
            <w:shd w:val="clear" w:color="auto" w:fill="auto"/>
            <w:noWrap/>
            <w:vAlign w:val="bottom"/>
            <w:hideMark/>
          </w:tcPr>
          <w:p w14:paraId="1D91E483" w14:textId="77777777" w:rsidR="00F05C28" w:rsidRPr="00F05C28" w:rsidRDefault="00F05C28" w:rsidP="00574B5E">
            <w:pPr>
              <w:jc w:val="right"/>
            </w:pPr>
            <w:r w:rsidRPr="00F05C28">
              <w:t>213</w:t>
            </w:r>
          </w:p>
        </w:tc>
        <w:tc>
          <w:tcPr>
            <w:tcW w:w="0" w:type="auto"/>
            <w:tcBorders>
              <w:top w:val="nil"/>
              <w:left w:val="nil"/>
              <w:bottom w:val="nil"/>
              <w:right w:val="nil"/>
            </w:tcBorders>
            <w:shd w:val="clear" w:color="auto" w:fill="auto"/>
            <w:noWrap/>
            <w:vAlign w:val="bottom"/>
            <w:hideMark/>
          </w:tcPr>
          <w:p w14:paraId="00F84372" w14:textId="77777777" w:rsidR="00F05C28" w:rsidRPr="00F05C28" w:rsidRDefault="00F05C28" w:rsidP="00574B5E">
            <w:pPr>
              <w:jc w:val="right"/>
            </w:pPr>
            <w:r w:rsidRPr="00F05C28">
              <w:t>35%</w:t>
            </w:r>
          </w:p>
        </w:tc>
        <w:tc>
          <w:tcPr>
            <w:tcW w:w="0" w:type="auto"/>
            <w:tcBorders>
              <w:top w:val="nil"/>
              <w:left w:val="nil"/>
              <w:bottom w:val="nil"/>
              <w:right w:val="nil"/>
            </w:tcBorders>
            <w:shd w:val="clear" w:color="auto" w:fill="auto"/>
            <w:noWrap/>
            <w:vAlign w:val="bottom"/>
            <w:hideMark/>
          </w:tcPr>
          <w:p w14:paraId="4F401553" w14:textId="77777777" w:rsidR="00F05C28" w:rsidRPr="00F05C28" w:rsidRDefault="00F05C28" w:rsidP="00574B5E">
            <w:pPr>
              <w:jc w:val="right"/>
            </w:pPr>
            <w:r w:rsidRPr="00F05C28">
              <w:t>2848</w:t>
            </w:r>
          </w:p>
        </w:tc>
        <w:tc>
          <w:tcPr>
            <w:tcW w:w="0" w:type="auto"/>
            <w:tcBorders>
              <w:top w:val="nil"/>
              <w:left w:val="nil"/>
              <w:bottom w:val="nil"/>
              <w:right w:val="nil"/>
            </w:tcBorders>
            <w:shd w:val="clear" w:color="auto" w:fill="auto"/>
            <w:noWrap/>
            <w:vAlign w:val="bottom"/>
            <w:hideMark/>
          </w:tcPr>
          <w:p w14:paraId="687EF1BC" w14:textId="77777777" w:rsidR="00F05C28" w:rsidRPr="00F05C28" w:rsidRDefault="00F05C28" w:rsidP="00574B5E">
            <w:pPr>
              <w:jc w:val="right"/>
            </w:pPr>
            <w:r w:rsidRPr="00F05C28">
              <w:t>52%</w:t>
            </w:r>
          </w:p>
        </w:tc>
        <w:tc>
          <w:tcPr>
            <w:tcW w:w="0" w:type="auto"/>
            <w:tcBorders>
              <w:top w:val="nil"/>
              <w:left w:val="nil"/>
              <w:bottom w:val="nil"/>
              <w:right w:val="nil"/>
            </w:tcBorders>
            <w:shd w:val="clear" w:color="auto" w:fill="auto"/>
            <w:noWrap/>
            <w:vAlign w:val="bottom"/>
            <w:hideMark/>
          </w:tcPr>
          <w:p w14:paraId="690CA3C5" w14:textId="77777777" w:rsidR="00F05C28" w:rsidRPr="00F05C28" w:rsidRDefault="00F05C28" w:rsidP="00574B5E">
            <w:pPr>
              <w:jc w:val="right"/>
            </w:pPr>
            <w:r w:rsidRPr="00F05C28">
              <w:t>429</w:t>
            </w:r>
          </w:p>
        </w:tc>
        <w:tc>
          <w:tcPr>
            <w:tcW w:w="0" w:type="auto"/>
            <w:tcBorders>
              <w:top w:val="nil"/>
              <w:left w:val="nil"/>
              <w:bottom w:val="nil"/>
              <w:right w:val="nil"/>
            </w:tcBorders>
            <w:shd w:val="clear" w:color="auto" w:fill="auto"/>
            <w:noWrap/>
            <w:vAlign w:val="bottom"/>
            <w:hideMark/>
          </w:tcPr>
          <w:p w14:paraId="24F39AAE" w14:textId="77777777" w:rsidR="00F05C28" w:rsidRPr="00F05C28" w:rsidRDefault="00F05C28" w:rsidP="00574B5E">
            <w:pPr>
              <w:jc w:val="right"/>
            </w:pPr>
            <w:r w:rsidRPr="00F05C28">
              <w:t>45%</w:t>
            </w:r>
          </w:p>
        </w:tc>
        <w:tc>
          <w:tcPr>
            <w:tcW w:w="0" w:type="auto"/>
            <w:tcBorders>
              <w:top w:val="nil"/>
              <w:left w:val="nil"/>
              <w:bottom w:val="nil"/>
              <w:right w:val="nil"/>
            </w:tcBorders>
            <w:shd w:val="clear" w:color="auto" w:fill="auto"/>
            <w:noWrap/>
            <w:vAlign w:val="bottom"/>
            <w:hideMark/>
          </w:tcPr>
          <w:p w14:paraId="3081BE15" w14:textId="77777777" w:rsidR="00F05C28" w:rsidRPr="00F05C28" w:rsidRDefault="00F05C28" w:rsidP="00574B5E">
            <w:pPr>
              <w:jc w:val="right"/>
            </w:pPr>
            <w:r w:rsidRPr="00F05C28">
              <w:t>3360</w:t>
            </w:r>
          </w:p>
        </w:tc>
        <w:tc>
          <w:tcPr>
            <w:tcW w:w="0" w:type="auto"/>
            <w:tcBorders>
              <w:top w:val="nil"/>
              <w:left w:val="nil"/>
              <w:bottom w:val="nil"/>
              <w:right w:val="nil"/>
            </w:tcBorders>
            <w:shd w:val="clear" w:color="auto" w:fill="auto"/>
            <w:noWrap/>
            <w:vAlign w:val="bottom"/>
            <w:hideMark/>
          </w:tcPr>
          <w:p w14:paraId="7C66004B" w14:textId="77777777" w:rsidR="00F05C28" w:rsidRPr="00F05C28" w:rsidRDefault="00F05C28" w:rsidP="00574B5E">
            <w:pPr>
              <w:jc w:val="right"/>
              <w:rPr>
                <w:rFonts w:ascii="Calibri" w:hAnsi="Calibri" w:cs="Calibri"/>
              </w:rPr>
            </w:pPr>
            <w:r w:rsidRPr="00F05C28">
              <w:rPr>
                <w:rFonts w:ascii="Calibri" w:hAnsi="Calibri" w:cs="Calibri"/>
              </w:rPr>
              <w:t>53%</w:t>
            </w:r>
          </w:p>
        </w:tc>
      </w:tr>
      <w:tr w:rsidR="00F05C28" w:rsidRPr="00F05C28" w14:paraId="7E3A8D13" w14:textId="77777777" w:rsidTr="00574B5E">
        <w:trPr>
          <w:trHeight w:val="320"/>
        </w:trPr>
        <w:tc>
          <w:tcPr>
            <w:tcW w:w="0" w:type="auto"/>
            <w:tcBorders>
              <w:top w:val="nil"/>
              <w:left w:val="nil"/>
              <w:bottom w:val="nil"/>
              <w:right w:val="nil"/>
            </w:tcBorders>
            <w:shd w:val="clear" w:color="auto" w:fill="auto"/>
            <w:noWrap/>
            <w:vAlign w:val="bottom"/>
            <w:hideMark/>
          </w:tcPr>
          <w:p w14:paraId="0785E5B7" w14:textId="77777777" w:rsidR="00F05C28" w:rsidRPr="00F05C28" w:rsidRDefault="00F05C28" w:rsidP="00574B5E">
            <w:pPr>
              <w:jc w:val="center"/>
              <w:rPr>
                <w:b/>
                <w:bCs/>
              </w:rPr>
            </w:pPr>
            <w:r w:rsidRPr="00F05C28">
              <w:rPr>
                <w:b/>
                <w:bCs/>
              </w:rPr>
              <w:t>Race/Ethnicity</w:t>
            </w:r>
          </w:p>
        </w:tc>
        <w:tc>
          <w:tcPr>
            <w:tcW w:w="0" w:type="auto"/>
            <w:tcBorders>
              <w:top w:val="nil"/>
              <w:left w:val="nil"/>
              <w:bottom w:val="nil"/>
              <w:right w:val="nil"/>
            </w:tcBorders>
            <w:shd w:val="clear" w:color="auto" w:fill="auto"/>
            <w:noWrap/>
            <w:vAlign w:val="bottom"/>
            <w:hideMark/>
          </w:tcPr>
          <w:p w14:paraId="36CA58E6" w14:textId="77777777" w:rsidR="00F05C28" w:rsidRPr="00F05C28" w:rsidRDefault="00F05C28" w:rsidP="00574B5E">
            <w:pPr>
              <w:jc w:val="center"/>
              <w:rPr>
                <w:b/>
                <w:bCs/>
              </w:rPr>
            </w:pPr>
          </w:p>
        </w:tc>
        <w:tc>
          <w:tcPr>
            <w:tcW w:w="0" w:type="auto"/>
            <w:tcBorders>
              <w:top w:val="nil"/>
              <w:left w:val="nil"/>
              <w:bottom w:val="nil"/>
              <w:right w:val="nil"/>
            </w:tcBorders>
            <w:shd w:val="clear" w:color="auto" w:fill="auto"/>
            <w:noWrap/>
            <w:vAlign w:val="bottom"/>
            <w:hideMark/>
          </w:tcPr>
          <w:p w14:paraId="0BC14AF9"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1165D6A7"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0AE86DE2"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11CC26D6"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5FFA87E7"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293C908C"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1382065B" w14:textId="77777777" w:rsidR="00F05C28" w:rsidRPr="00F05C28" w:rsidRDefault="00F05C28" w:rsidP="00574B5E">
            <w:pPr>
              <w:rPr>
                <w:sz w:val="20"/>
                <w:szCs w:val="20"/>
              </w:rPr>
            </w:pPr>
          </w:p>
        </w:tc>
      </w:tr>
      <w:tr w:rsidR="00F05C28" w:rsidRPr="00F05C28" w14:paraId="43A754BA" w14:textId="77777777" w:rsidTr="00574B5E">
        <w:trPr>
          <w:trHeight w:val="320"/>
        </w:trPr>
        <w:tc>
          <w:tcPr>
            <w:tcW w:w="0" w:type="auto"/>
            <w:tcBorders>
              <w:top w:val="nil"/>
              <w:left w:val="nil"/>
              <w:bottom w:val="nil"/>
              <w:right w:val="nil"/>
            </w:tcBorders>
            <w:shd w:val="clear" w:color="auto" w:fill="auto"/>
            <w:noWrap/>
            <w:vAlign w:val="bottom"/>
            <w:hideMark/>
          </w:tcPr>
          <w:p w14:paraId="2742FEB3" w14:textId="77777777" w:rsidR="00F05C28" w:rsidRPr="00F05C28" w:rsidRDefault="00F05C28" w:rsidP="00574B5E">
            <w:r w:rsidRPr="00F05C28">
              <w:t>American Indian</w:t>
            </w:r>
          </w:p>
        </w:tc>
        <w:tc>
          <w:tcPr>
            <w:tcW w:w="0" w:type="auto"/>
            <w:tcBorders>
              <w:top w:val="nil"/>
              <w:left w:val="nil"/>
              <w:bottom w:val="nil"/>
              <w:right w:val="nil"/>
            </w:tcBorders>
            <w:shd w:val="clear" w:color="auto" w:fill="auto"/>
            <w:noWrap/>
            <w:vAlign w:val="bottom"/>
            <w:hideMark/>
          </w:tcPr>
          <w:p w14:paraId="5031E8FA" w14:textId="77777777" w:rsidR="00F05C28" w:rsidRPr="00F05C28" w:rsidRDefault="00F05C28" w:rsidP="00574B5E">
            <w:pPr>
              <w:jc w:val="right"/>
            </w:pPr>
            <w:r w:rsidRPr="00F05C28">
              <w:t>3</w:t>
            </w:r>
          </w:p>
        </w:tc>
        <w:tc>
          <w:tcPr>
            <w:tcW w:w="0" w:type="auto"/>
            <w:tcBorders>
              <w:top w:val="nil"/>
              <w:left w:val="nil"/>
              <w:bottom w:val="nil"/>
              <w:right w:val="nil"/>
            </w:tcBorders>
            <w:shd w:val="clear" w:color="auto" w:fill="auto"/>
            <w:noWrap/>
            <w:vAlign w:val="bottom"/>
            <w:hideMark/>
          </w:tcPr>
          <w:p w14:paraId="25C39165" w14:textId="77777777" w:rsidR="00F05C28" w:rsidRPr="00F05C28" w:rsidRDefault="00F05C28" w:rsidP="00574B5E">
            <w:pPr>
              <w:jc w:val="right"/>
            </w:pPr>
            <w:r w:rsidRPr="00F05C28">
              <w:t>1%</w:t>
            </w:r>
          </w:p>
        </w:tc>
        <w:tc>
          <w:tcPr>
            <w:tcW w:w="0" w:type="auto"/>
            <w:tcBorders>
              <w:top w:val="nil"/>
              <w:left w:val="nil"/>
              <w:bottom w:val="nil"/>
              <w:right w:val="nil"/>
            </w:tcBorders>
            <w:shd w:val="clear" w:color="auto" w:fill="auto"/>
            <w:noWrap/>
            <w:vAlign w:val="bottom"/>
            <w:hideMark/>
          </w:tcPr>
          <w:p w14:paraId="5AAD899C" w14:textId="77777777" w:rsidR="00F05C28" w:rsidRPr="00F05C28" w:rsidRDefault="00F05C28" w:rsidP="00574B5E">
            <w:pPr>
              <w:jc w:val="right"/>
            </w:pPr>
            <w:r w:rsidRPr="00F05C28">
              <w:t>96</w:t>
            </w:r>
          </w:p>
        </w:tc>
        <w:tc>
          <w:tcPr>
            <w:tcW w:w="0" w:type="auto"/>
            <w:tcBorders>
              <w:top w:val="nil"/>
              <w:left w:val="nil"/>
              <w:bottom w:val="nil"/>
              <w:right w:val="nil"/>
            </w:tcBorders>
            <w:shd w:val="clear" w:color="auto" w:fill="auto"/>
            <w:noWrap/>
            <w:vAlign w:val="bottom"/>
            <w:hideMark/>
          </w:tcPr>
          <w:p w14:paraId="4E850F2C" w14:textId="77777777" w:rsidR="00F05C28" w:rsidRPr="00F05C28" w:rsidRDefault="00F05C28" w:rsidP="00574B5E">
            <w:pPr>
              <w:jc w:val="right"/>
            </w:pPr>
            <w:r w:rsidRPr="00F05C28">
              <w:t>2%</w:t>
            </w:r>
          </w:p>
        </w:tc>
        <w:tc>
          <w:tcPr>
            <w:tcW w:w="0" w:type="auto"/>
            <w:tcBorders>
              <w:top w:val="nil"/>
              <w:left w:val="nil"/>
              <w:bottom w:val="nil"/>
              <w:right w:val="nil"/>
            </w:tcBorders>
            <w:shd w:val="clear" w:color="auto" w:fill="auto"/>
            <w:noWrap/>
            <w:vAlign w:val="bottom"/>
            <w:hideMark/>
          </w:tcPr>
          <w:p w14:paraId="61A3DB3B" w14:textId="77777777" w:rsidR="00F05C28" w:rsidRPr="00F05C28" w:rsidRDefault="00F05C28" w:rsidP="00574B5E">
            <w:pPr>
              <w:jc w:val="right"/>
            </w:pPr>
            <w:r w:rsidRPr="00F05C28">
              <w:t>96</w:t>
            </w:r>
          </w:p>
        </w:tc>
        <w:tc>
          <w:tcPr>
            <w:tcW w:w="0" w:type="auto"/>
            <w:tcBorders>
              <w:top w:val="nil"/>
              <w:left w:val="nil"/>
              <w:bottom w:val="nil"/>
              <w:right w:val="nil"/>
            </w:tcBorders>
            <w:shd w:val="clear" w:color="auto" w:fill="auto"/>
            <w:noWrap/>
            <w:vAlign w:val="bottom"/>
            <w:hideMark/>
          </w:tcPr>
          <w:p w14:paraId="661E54E0" w14:textId="77777777" w:rsidR="00F05C28" w:rsidRPr="00F05C28" w:rsidRDefault="00F05C28" w:rsidP="00574B5E">
            <w:pPr>
              <w:jc w:val="right"/>
            </w:pPr>
            <w:r w:rsidRPr="00F05C28">
              <w:t>9%</w:t>
            </w:r>
          </w:p>
        </w:tc>
        <w:tc>
          <w:tcPr>
            <w:tcW w:w="0" w:type="auto"/>
            <w:tcBorders>
              <w:top w:val="nil"/>
              <w:left w:val="nil"/>
              <w:bottom w:val="nil"/>
              <w:right w:val="nil"/>
            </w:tcBorders>
            <w:shd w:val="clear" w:color="auto" w:fill="auto"/>
            <w:noWrap/>
            <w:vAlign w:val="bottom"/>
            <w:hideMark/>
          </w:tcPr>
          <w:p w14:paraId="34AB0B8A" w14:textId="77777777" w:rsidR="00F05C28" w:rsidRPr="00F05C28" w:rsidRDefault="00F05C28" w:rsidP="00574B5E">
            <w:pPr>
              <w:jc w:val="right"/>
            </w:pPr>
            <w:r w:rsidRPr="00F05C28">
              <w:t>41</w:t>
            </w:r>
          </w:p>
        </w:tc>
        <w:tc>
          <w:tcPr>
            <w:tcW w:w="0" w:type="auto"/>
            <w:tcBorders>
              <w:top w:val="nil"/>
              <w:left w:val="nil"/>
              <w:bottom w:val="nil"/>
              <w:right w:val="nil"/>
            </w:tcBorders>
            <w:shd w:val="clear" w:color="auto" w:fill="auto"/>
            <w:noWrap/>
            <w:vAlign w:val="bottom"/>
            <w:hideMark/>
          </w:tcPr>
          <w:p w14:paraId="20E671C5" w14:textId="77777777" w:rsidR="00F05C28" w:rsidRPr="00F05C28" w:rsidRDefault="00F05C28" w:rsidP="00574B5E">
            <w:pPr>
              <w:jc w:val="right"/>
              <w:rPr>
                <w:rFonts w:ascii="Calibri" w:hAnsi="Calibri" w:cs="Calibri"/>
              </w:rPr>
            </w:pPr>
            <w:r w:rsidRPr="00F05C28">
              <w:rPr>
                <w:rFonts w:ascii="Calibri" w:hAnsi="Calibri" w:cs="Calibri"/>
              </w:rPr>
              <w:t>1%</w:t>
            </w:r>
          </w:p>
        </w:tc>
      </w:tr>
      <w:tr w:rsidR="00F05C28" w:rsidRPr="00F05C28" w14:paraId="5A939BB3" w14:textId="77777777" w:rsidTr="00574B5E">
        <w:trPr>
          <w:trHeight w:val="320"/>
        </w:trPr>
        <w:tc>
          <w:tcPr>
            <w:tcW w:w="0" w:type="auto"/>
            <w:tcBorders>
              <w:top w:val="nil"/>
              <w:left w:val="nil"/>
              <w:bottom w:val="nil"/>
              <w:right w:val="nil"/>
            </w:tcBorders>
            <w:shd w:val="clear" w:color="auto" w:fill="auto"/>
            <w:noWrap/>
            <w:vAlign w:val="bottom"/>
            <w:hideMark/>
          </w:tcPr>
          <w:p w14:paraId="056A4C53" w14:textId="77777777" w:rsidR="00F05C28" w:rsidRPr="00F05C28" w:rsidRDefault="00F05C28" w:rsidP="00574B5E">
            <w:r w:rsidRPr="00F05C28">
              <w:t>Asian</w:t>
            </w:r>
          </w:p>
        </w:tc>
        <w:tc>
          <w:tcPr>
            <w:tcW w:w="0" w:type="auto"/>
            <w:tcBorders>
              <w:top w:val="nil"/>
              <w:left w:val="nil"/>
              <w:bottom w:val="nil"/>
              <w:right w:val="nil"/>
            </w:tcBorders>
            <w:shd w:val="clear" w:color="auto" w:fill="auto"/>
            <w:noWrap/>
            <w:vAlign w:val="bottom"/>
            <w:hideMark/>
          </w:tcPr>
          <w:p w14:paraId="59FEBD14" w14:textId="77777777" w:rsidR="00F05C28" w:rsidRPr="00F05C28" w:rsidRDefault="00F05C28" w:rsidP="00574B5E">
            <w:pPr>
              <w:jc w:val="right"/>
            </w:pPr>
            <w:r w:rsidRPr="00F05C28">
              <w:t>34</w:t>
            </w:r>
          </w:p>
        </w:tc>
        <w:tc>
          <w:tcPr>
            <w:tcW w:w="0" w:type="auto"/>
            <w:tcBorders>
              <w:top w:val="nil"/>
              <w:left w:val="nil"/>
              <w:bottom w:val="nil"/>
              <w:right w:val="nil"/>
            </w:tcBorders>
            <w:shd w:val="clear" w:color="auto" w:fill="auto"/>
            <w:noWrap/>
            <w:vAlign w:val="bottom"/>
            <w:hideMark/>
          </w:tcPr>
          <w:p w14:paraId="1CA8998F" w14:textId="77777777" w:rsidR="00F05C28" w:rsidRPr="00F05C28" w:rsidRDefault="00F05C28" w:rsidP="00574B5E">
            <w:pPr>
              <w:jc w:val="right"/>
            </w:pPr>
            <w:r w:rsidRPr="00F05C28">
              <w:t>6%</w:t>
            </w:r>
          </w:p>
        </w:tc>
        <w:tc>
          <w:tcPr>
            <w:tcW w:w="0" w:type="auto"/>
            <w:tcBorders>
              <w:top w:val="nil"/>
              <w:left w:val="nil"/>
              <w:bottom w:val="nil"/>
              <w:right w:val="nil"/>
            </w:tcBorders>
            <w:shd w:val="clear" w:color="auto" w:fill="auto"/>
            <w:noWrap/>
            <w:vAlign w:val="bottom"/>
            <w:hideMark/>
          </w:tcPr>
          <w:p w14:paraId="0B17CF01" w14:textId="77777777" w:rsidR="00F05C28" w:rsidRPr="00F05C28" w:rsidRDefault="00F05C28" w:rsidP="00574B5E">
            <w:pPr>
              <w:jc w:val="right"/>
            </w:pPr>
            <w:r w:rsidRPr="00F05C28">
              <w:t>197</w:t>
            </w:r>
          </w:p>
        </w:tc>
        <w:tc>
          <w:tcPr>
            <w:tcW w:w="0" w:type="auto"/>
            <w:tcBorders>
              <w:top w:val="nil"/>
              <w:left w:val="nil"/>
              <w:bottom w:val="nil"/>
              <w:right w:val="nil"/>
            </w:tcBorders>
            <w:shd w:val="clear" w:color="auto" w:fill="auto"/>
            <w:noWrap/>
            <w:vAlign w:val="bottom"/>
            <w:hideMark/>
          </w:tcPr>
          <w:p w14:paraId="2B6D1ADA" w14:textId="77777777" w:rsidR="00F05C28" w:rsidRPr="00F05C28" w:rsidRDefault="00F05C28" w:rsidP="00574B5E">
            <w:pPr>
              <w:jc w:val="right"/>
            </w:pPr>
            <w:r w:rsidRPr="00F05C28">
              <w:t>4%</w:t>
            </w:r>
          </w:p>
        </w:tc>
        <w:tc>
          <w:tcPr>
            <w:tcW w:w="0" w:type="auto"/>
            <w:tcBorders>
              <w:top w:val="nil"/>
              <w:left w:val="nil"/>
              <w:bottom w:val="nil"/>
              <w:right w:val="nil"/>
            </w:tcBorders>
            <w:shd w:val="clear" w:color="auto" w:fill="auto"/>
            <w:noWrap/>
            <w:vAlign w:val="bottom"/>
            <w:hideMark/>
          </w:tcPr>
          <w:p w14:paraId="13ABED99" w14:textId="77777777" w:rsidR="00F05C28" w:rsidRPr="00F05C28" w:rsidRDefault="00F05C28" w:rsidP="00574B5E">
            <w:pPr>
              <w:jc w:val="right"/>
            </w:pPr>
            <w:r w:rsidRPr="00F05C28">
              <w:t>24</w:t>
            </w:r>
          </w:p>
        </w:tc>
        <w:tc>
          <w:tcPr>
            <w:tcW w:w="0" w:type="auto"/>
            <w:tcBorders>
              <w:top w:val="nil"/>
              <w:left w:val="nil"/>
              <w:bottom w:val="nil"/>
              <w:right w:val="nil"/>
            </w:tcBorders>
            <w:shd w:val="clear" w:color="auto" w:fill="auto"/>
            <w:noWrap/>
            <w:vAlign w:val="bottom"/>
            <w:hideMark/>
          </w:tcPr>
          <w:p w14:paraId="45C6B63D" w14:textId="77777777" w:rsidR="00F05C28" w:rsidRPr="00F05C28" w:rsidRDefault="00F05C28" w:rsidP="00574B5E">
            <w:pPr>
              <w:jc w:val="right"/>
            </w:pPr>
            <w:r w:rsidRPr="00F05C28">
              <w:t>2%</w:t>
            </w:r>
          </w:p>
        </w:tc>
        <w:tc>
          <w:tcPr>
            <w:tcW w:w="0" w:type="auto"/>
            <w:tcBorders>
              <w:top w:val="nil"/>
              <w:left w:val="nil"/>
              <w:bottom w:val="nil"/>
              <w:right w:val="nil"/>
            </w:tcBorders>
            <w:shd w:val="clear" w:color="auto" w:fill="auto"/>
            <w:noWrap/>
            <w:vAlign w:val="bottom"/>
            <w:hideMark/>
          </w:tcPr>
          <w:p w14:paraId="734A09B7" w14:textId="77777777" w:rsidR="00F05C28" w:rsidRPr="00F05C28" w:rsidRDefault="00F05C28" w:rsidP="00574B5E">
            <w:pPr>
              <w:jc w:val="right"/>
            </w:pPr>
            <w:r w:rsidRPr="00F05C28">
              <w:t>191</w:t>
            </w:r>
          </w:p>
        </w:tc>
        <w:tc>
          <w:tcPr>
            <w:tcW w:w="0" w:type="auto"/>
            <w:tcBorders>
              <w:top w:val="nil"/>
              <w:left w:val="nil"/>
              <w:bottom w:val="nil"/>
              <w:right w:val="nil"/>
            </w:tcBorders>
            <w:shd w:val="clear" w:color="auto" w:fill="auto"/>
            <w:noWrap/>
            <w:vAlign w:val="bottom"/>
            <w:hideMark/>
          </w:tcPr>
          <w:p w14:paraId="7A639D39" w14:textId="77777777" w:rsidR="00F05C28" w:rsidRPr="00F05C28" w:rsidRDefault="00F05C28" w:rsidP="00574B5E">
            <w:pPr>
              <w:jc w:val="right"/>
              <w:rPr>
                <w:rFonts w:ascii="Calibri" w:hAnsi="Calibri" w:cs="Calibri"/>
              </w:rPr>
            </w:pPr>
            <w:r w:rsidRPr="00F05C28">
              <w:rPr>
                <w:rFonts w:ascii="Calibri" w:hAnsi="Calibri" w:cs="Calibri"/>
              </w:rPr>
              <w:t>3%</w:t>
            </w:r>
          </w:p>
        </w:tc>
      </w:tr>
      <w:tr w:rsidR="00F05C28" w:rsidRPr="00F05C28" w14:paraId="2422D58F" w14:textId="77777777" w:rsidTr="00574B5E">
        <w:trPr>
          <w:trHeight w:val="320"/>
        </w:trPr>
        <w:tc>
          <w:tcPr>
            <w:tcW w:w="0" w:type="auto"/>
            <w:tcBorders>
              <w:top w:val="nil"/>
              <w:left w:val="nil"/>
              <w:bottom w:val="nil"/>
              <w:right w:val="nil"/>
            </w:tcBorders>
            <w:shd w:val="clear" w:color="auto" w:fill="auto"/>
            <w:noWrap/>
            <w:vAlign w:val="bottom"/>
            <w:hideMark/>
          </w:tcPr>
          <w:p w14:paraId="6BC915F0" w14:textId="77777777" w:rsidR="00F05C28" w:rsidRPr="00F05C28" w:rsidRDefault="00F05C28" w:rsidP="00574B5E">
            <w:r w:rsidRPr="00F05C28">
              <w:t>Black/African American</w:t>
            </w:r>
          </w:p>
        </w:tc>
        <w:tc>
          <w:tcPr>
            <w:tcW w:w="0" w:type="auto"/>
            <w:tcBorders>
              <w:top w:val="nil"/>
              <w:left w:val="nil"/>
              <w:bottom w:val="nil"/>
              <w:right w:val="nil"/>
            </w:tcBorders>
            <w:shd w:val="clear" w:color="auto" w:fill="auto"/>
            <w:noWrap/>
            <w:vAlign w:val="bottom"/>
            <w:hideMark/>
          </w:tcPr>
          <w:p w14:paraId="1C5B9851" w14:textId="77777777" w:rsidR="00F05C28" w:rsidRPr="00F05C28" w:rsidRDefault="00F05C28" w:rsidP="00574B5E">
            <w:pPr>
              <w:jc w:val="right"/>
            </w:pPr>
            <w:r w:rsidRPr="00F05C28">
              <w:t>36</w:t>
            </w:r>
          </w:p>
        </w:tc>
        <w:tc>
          <w:tcPr>
            <w:tcW w:w="0" w:type="auto"/>
            <w:tcBorders>
              <w:top w:val="nil"/>
              <w:left w:val="nil"/>
              <w:bottom w:val="nil"/>
              <w:right w:val="nil"/>
            </w:tcBorders>
            <w:shd w:val="clear" w:color="auto" w:fill="auto"/>
            <w:noWrap/>
            <w:vAlign w:val="bottom"/>
            <w:hideMark/>
          </w:tcPr>
          <w:p w14:paraId="00EF2649" w14:textId="77777777" w:rsidR="00F05C28" w:rsidRPr="00F05C28" w:rsidRDefault="00F05C28" w:rsidP="00574B5E">
            <w:pPr>
              <w:jc w:val="right"/>
            </w:pPr>
            <w:r w:rsidRPr="00F05C28">
              <w:t>6%</w:t>
            </w:r>
          </w:p>
        </w:tc>
        <w:tc>
          <w:tcPr>
            <w:tcW w:w="0" w:type="auto"/>
            <w:tcBorders>
              <w:top w:val="nil"/>
              <w:left w:val="nil"/>
              <w:bottom w:val="nil"/>
              <w:right w:val="nil"/>
            </w:tcBorders>
            <w:shd w:val="clear" w:color="auto" w:fill="auto"/>
            <w:noWrap/>
            <w:vAlign w:val="bottom"/>
            <w:hideMark/>
          </w:tcPr>
          <w:p w14:paraId="719C5D3D" w14:textId="77777777" w:rsidR="00F05C28" w:rsidRPr="00F05C28" w:rsidRDefault="00F05C28" w:rsidP="00574B5E">
            <w:pPr>
              <w:jc w:val="right"/>
            </w:pPr>
            <w:r w:rsidRPr="00F05C28">
              <w:t>511</w:t>
            </w:r>
          </w:p>
        </w:tc>
        <w:tc>
          <w:tcPr>
            <w:tcW w:w="0" w:type="auto"/>
            <w:tcBorders>
              <w:top w:val="nil"/>
              <w:left w:val="nil"/>
              <w:bottom w:val="nil"/>
              <w:right w:val="nil"/>
            </w:tcBorders>
            <w:shd w:val="clear" w:color="auto" w:fill="auto"/>
            <w:noWrap/>
            <w:vAlign w:val="bottom"/>
            <w:hideMark/>
          </w:tcPr>
          <w:p w14:paraId="16B1D923" w14:textId="77777777" w:rsidR="00F05C28" w:rsidRPr="00F05C28" w:rsidRDefault="00F05C28" w:rsidP="00574B5E">
            <w:pPr>
              <w:jc w:val="right"/>
            </w:pPr>
            <w:r w:rsidRPr="00F05C28">
              <w:t>10%</w:t>
            </w:r>
          </w:p>
        </w:tc>
        <w:tc>
          <w:tcPr>
            <w:tcW w:w="0" w:type="auto"/>
            <w:tcBorders>
              <w:top w:val="nil"/>
              <w:left w:val="nil"/>
              <w:bottom w:val="nil"/>
              <w:right w:val="nil"/>
            </w:tcBorders>
            <w:shd w:val="clear" w:color="auto" w:fill="auto"/>
            <w:noWrap/>
            <w:vAlign w:val="bottom"/>
            <w:hideMark/>
          </w:tcPr>
          <w:p w14:paraId="3FE3C8FD" w14:textId="77777777" w:rsidR="00F05C28" w:rsidRPr="00F05C28" w:rsidRDefault="00F05C28" w:rsidP="00574B5E">
            <w:pPr>
              <w:jc w:val="right"/>
            </w:pPr>
            <w:r w:rsidRPr="00F05C28">
              <w:t>26</w:t>
            </w:r>
          </w:p>
        </w:tc>
        <w:tc>
          <w:tcPr>
            <w:tcW w:w="0" w:type="auto"/>
            <w:tcBorders>
              <w:top w:val="nil"/>
              <w:left w:val="nil"/>
              <w:bottom w:val="nil"/>
              <w:right w:val="nil"/>
            </w:tcBorders>
            <w:shd w:val="clear" w:color="auto" w:fill="auto"/>
            <w:noWrap/>
            <w:vAlign w:val="bottom"/>
            <w:hideMark/>
          </w:tcPr>
          <w:p w14:paraId="20A2715F" w14:textId="77777777" w:rsidR="00F05C28" w:rsidRPr="00F05C28" w:rsidRDefault="00F05C28" w:rsidP="00574B5E">
            <w:pPr>
              <w:jc w:val="right"/>
            </w:pPr>
            <w:r w:rsidRPr="00F05C28">
              <w:t>2%</w:t>
            </w:r>
          </w:p>
        </w:tc>
        <w:tc>
          <w:tcPr>
            <w:tcW w:w="0" w:type="auto"/>
            <w:tcBorders>
              <w:top w:val="nil"/>
              <w:left w:val="nil"/>
              <w:bottom w:val="nil"/>
              <w:right w:val="nil"/>
            </w:tcBorders>
            <w:shd w:val="clear" w:color="auto" w:fill="auto"/>
            <w:noWrap/>
            <w:vAlign w:val="bottom"/>
            <w:hideMark/>
          </w:tcPr>
          <w:p w14:paraId="12E40CBA" w14:textId="77777777" w:rsidR="00F05C28" w:rsidRPr="00F05C28" w:rsidRDefault="00F05C28" w:rsidP="00574B5E">
            <w:pPr>
              <w:jc w:val="right"/>
            </w:pPr>
            <w:r w:rsidRPr="00F05C28">
              <w:t>431</w:t>
            </w:r>
          </w:p>
        </w:tc>
        <w:tc>
          <w:tcPr>
            <w:tcW w:w="0" w:type="auto"/>
            <w:tcBorders>
              <w:top w:val="nil"/>
              <w:left w:val="nil"/>
              <w:bottom w:val="nil"/>
              <w:right w:val="nil"/>
            </w:tcBorders>
            <w:shd w:val="clear" w:color="auto" w:fill="auto"/>
            <w:noWrap/>
            <w:vAlign w:val="bottom"/>
            <w:hideMark/>
          </w:tcPr>
          <w:p w14:paraId="51C8EC6C" w14:textId="77777777" w:rsidR="00F05C28" w:rsidRPr="00F05C28" w:rsidRDefault="00F05C28" w:rsidP="00574B5E">
            <w:pPr>
              <w:jc w:val="right"/>
              <w:rPr>
                <w:rFonts w:ascii="Calibri" w:hAnsi="Calibri" w:cs="Calibri"/>
              </w:rPr>
            </w:pPr>
            <w:r w:rsidRPr="00F05C28">
              <w:rPr>
                <w:rFonts w:ascii="Calibri" w:hAnsi="Calibri" w:cs="Calibri"/>
              </w:rPr>
              <w:t>7%</w:t>
            </w:r>
          </w:p>
        </w:tc>
      </w:tr>
      <w:tr w:rsidR="00F05C28" w:rsidRPr="00F05C28" w14:paraId="785FA5FA" w14:textId="77777777" w:rsidTr="00574B5E">
        <w:trPr>
          <w:trHeight w:val="320"/>
        </w:trPr>
        <w:tc>
          <w:tcPr>
            <w:tcW w:w="0" w:type="auto"/>
            <w:tcBorders>
              <w:top w:val="nil"/>
              <w:left w:val="nil"/>
              <w:bottom w:val="nil"/>
              <w:right w:val="nil"/>
            </w:tcBorders>
            <w:shd w:val="clear" w:color="auto" w:fill="auto"/>
            <w:noWrap/>
            <w:vAlign w:val="bottom"/>
            <w:hideMark/>
          </w:tcPr>
          <w:p w14:paraId="67679F1F" w14:textId="77777777" w:rsidR="00F05C28" w:rsidRPr="00F05C28" w:rsidRDefault="00F05C28" w:rsidP="00574B5E">
            <w:r w:rsidRPr="00F05C28">
              <w:t>Hispanic/Latinx</w:t>
            </w:r>
          </w:p>
        </w:tc>
        <w:tc>
          <w:tcPr>
            <w:tcW w:w="0" w:type="auto"/>
            <w:tcBorders>
              <w:top w:val="nil"/>
              <w:left w:val="nil"/>
              <w:bottom w:val="nil"/>
              <w:right w:val="nil"/>
            </w:tcBorders>
            <w:shd w:val="clear" w:color="auto" w:fill="auto"/>
            <w:noWrap/>
            <w:vAlign w:val="bottom"/>
            <w:hideMark/>
          </w:tcPr>
          <w:p w14:paraId="0D504FBE" w14:textId="77777777" w:rsidR="00F05C28" w:rsidRPr="00F05C28" w:rsidRDefault="00F05C28" w:rsidP="00574B5E">
            <w:pPr>
              <w:jc w:val="right"/>
            </w:pPr>
            <w:r w:rsidRPr="00F05C28">
              <w:t>11</w:t>
            </w:r>
          </w:p>
        </w:tc>
        <w:tc>
          <w:tcPr>
            <w:tcW w:w="0" w:type="auto"/>
            <w:tcBorders>
              <w:top w:val="nil"/>
              <w:left w:val="nil"/>
              <w:bottom w:val="nil"/>
              <w:right w:val="nil"/>
            </w:tcBorders>
            <w:shd w:val="clear" w:color="auto" w:fill="auto"/>
            <w:noWrap/>
            <w:vAlign w:val="bottom"/>
            <w:hideMark/>
          </w:tcPr>
          <w:p w14:paraId="5D0FD994" w14:textId="77777777" w:rsidR="00F05C28" w:rsidRPr="00F05C28" w:rsidRDefault="00F05C28" w:rsidP="00574B5E">
            <w:pPr>
              <w:jc w:val="right"/>
            </w:pPr>
            <w:r w:rsidRPr="00F05C28">
              <w:t>2%</w:t>
            </w:r>
          </w:p>
        </w:tc>
        <w:tc>
          <w:tcPr>
            <w:tcW w:w="0" w:type="auto"/>
            <w:tcBorders>
              <w:top w:val="nil"/>
              <w:left w:val="nil"/>
              <w:bottom w:val="nil"/>
              <w:right w:val="nil"/>
            </w:tcBorders>
            <w:shd w:val="clear" w:color="auto" w:fill="auto"/>
            <w:noWrap/>
            <w:vAlign w:val="bottom"/>
            <w:hideMark/>
          </w:tcPr>
          <w:p w14:paraId="441AED63" w14:textId="77777777" w:rsidR="00F05C28" w:rsidRPr="00F05C28" w:rsidRDefault="00F05C28" w:rsidP="00574B5E">
            <w:pPr>
              <w:jc w:val="right"/>
            </w:pPr>
            <w:r w:rsidRPr="00F05C28">
              <w:t>154</w:t>
            </w:r>
          </w:p>
        </w:tc>
        <w:tc>
          <w:tcPr>
            <w:tcW w:w="0" w:type="auto"/>
            <w:tcBorders>
              <w:top w:val="nil"/>
              <w:left w:val="nil"/>
              <w:bottom w:val="nil"/>
              <w:right w:val="nil"/>
            </w:tcBorders>
            <w:shd w:val="clear" w:color="auto" w:fill="auto"/>
            <w:noWrap/>
            <w:vAlign w:val="bottom"/>
            <w:hideMark/>
          </w:tcPr>
          <w:p w14:paraId="5811DB03" w14:textId="77777777" w:rsidR="00F05C28" w:rsidRPr="00F05C28" w:rsidRDefault="00F05C28" w:rsidP="00574B5E">
            <w:pPr>
              <w:jc w:val="right"/>
            </w:pPr>
            <w:r w:rsidRPr="00F05C28">
              <w:t>3%</w:t>
            </w:r>
          </w:p>
        </w:tc>
        <w:tc>
          <w:tcPr>
            <w:tcW w:w="0" w:type="auto"/>
            <w:tcBorders>
              <w:top w:val="nil"/>
              <w:left w:val="nil"/>
              <w:bottom w:val="nil"/>
              <w:right w:val="nil"/>
            </w:tcBorders>
            <w:shd w:val="clear" w:color="auto" w:fill="auto"/>
            <w:noWrap/>
            <w:vAlign w:val="bottom"/>
            <w:hideMark/>
          </w:tcPr>
          <w:p w14:paraId="400BD915" w14:textId="77777777" w:rsidR="00F05C28" w:rsidRPr="00F05C28" w:rsidRDefault="00F05C28" w:rsidP="00574B5E">
            <w:pPr>
              <w:jc w:val="right"/>
            </w:pPr>
            <w:r w:rsidRPr="00F05C28">
              <w:t>22</w:t>
            </w:r>
          </w:p>
        </w:tc>
        <w:tc>
          <w:tcPr>
            <w:tcW w:w="0" w:type="auto"/>
            <w:tcBorders>
              <w:top w:val="nil"/>
              <w:left w:val="nil"/>
              <w:bottom w:val="nil"/>
              <w:right w:val="nil"/>
            </w:tcBorders>
            <w:shd w:val="clear" w:color="auto" w:fill="auto"/>
            <w:noWrap/>
            <w:vAlign w:val="bottom"/>
            <w:hideMark/>
          </w:tcPr>
          <w:p w14:paraId="2193D00D" w14:textId="77777777" w:rsidR="00F05C28" w:rsidRPr="00F05C28" w:rsidRDefault="00F05C28" w:rsidP="00574B5E">
            <w:pPr>
              <w:jc w:val="right"/>
            </w:pPr>
            <w:r w:rsidRPr="00F05C28">
              <w:t>2%</w:t>
            </w:r>
          </w:p>
        </w:tc>
        <w:tc>
          <w:tcPr>
            <w:tcW w:w="0" w:type="auto"/>
            <w:tcBorders>
              <w:top w:val="nil"/>
              <w:left w:val="nil"/>
              <w:bottom w:val="nil"/>
              <w:right w:val="nil"/>
            </w:tcBorders>
            <w:shd w:val="clear" w:color="auto" w:fill="auto"/>
            <w:noWrap/>
            <w:vAlign w:val="bottom"/>
            <w:hideMark/>
          </w:tcPr>
          <w:p w14:paraId="3EA138E5" w14:textId="77777777" w:rsidR="00F05C28" w:rsidRPr="00F05C28" w:rsidRDefault="00F05C28" w:rsidP="00574B5E">
            <w:pPr>
              <w:jc w:val="right"/>
            </w:pPr>
            <w:r w:rsidRPr="00F05C28">
              <w:t>122</w:t>
            </w:r>
          </w:p>
        </w:tc>
        <w:tc>
          <w:tcPr>
            <w:tcW w:w="0" w:type="auto"/>
            <w:tcBorders>
              <w:top w:val="nil"/>
              <w:left w:val="nil"/>
              <w:bottom w:val="nil"/>
              <w:right w:val="nil"/>
            </w:tcBorders>
            <w:shd w:val="clear" w:color="auto" w:fill="auto"/>
            <w:noWrap/>
            <w:vAlign w:val="bottom"/>
            <w:hideMark/>
          </w:tcPr>
          <w:p w14:paraId="4A108F8B" w14:textId="77777777" w:rsidR="00F05C28" w:rsidRPr="00F05C28" w:rsidRDefault="00F05C28" w:rsidP="00574B5E">
            <w:pPr>
              <w:jc w:val="right"/>
              <w:rPr>
                <w:rFonts w:ascii="Calibri" w:hAnsi="Calibri" w:cs="Calibri"/>
              </w:rPr>
            </w:pPr>
            <w:r w:rsidRPr="00F05C28">
              <w:rPr>
                <w:rFonts w:ascii="Calibri" w:hAnsi="Calibri" w:cs="Calibri"/>
              </w:rPr>
              <w:t>2%</w:t>
            </w:r>
          </w:p>
        </w:tc>
      </w:tr>
      <w:tr w:rsidR="00F05C28" w:rsidRPr="00F05C28" w14:paraId="4580A77E" w14:textId="77777777" w:rsidTr="00574B5E">
        <w:trPr>
          <w:trHeight w:val="320"/>
        </w:trPr>
        <w:tc>
          <w:tcPr>
            <w:tcW w:w="0" w:type="auto"/>
            <w:tcBorders>
              <w:top w:val="nil"/>
              <w:left w:val="nil"/>
              <w:bottom w:val="nil"/>
              <w:right w:val="nil"/>
            </w:tcBorders>
            <w:shd w:val="clear" w:color="auto" w:fill="auto"/>
            <w:noWrap/>
            <w:vAlign w:val="bottom"/>
            <w:hideMark/>
          </w:tcPr>
          <w:p w14:paraId="086F69E6" w14:textId="77777777" w:rsidR="00F05C28" w:rsidRPr="00F05C28" w:rsidRDefault="00F05C28" w:rsidP="00574B5E">
            <w:r w:rsidRPr="00F05C28">
              <w:t>Caucasian</w:t>
            </w:r>
          </w:p>
        </w:tc>
        <w:tc>
          <w:tcPr>
            <w:tcW w:w="0" w:type="auto"/>
            <w:tcBorders>
              <w:top w:val="nil"/>
              <w:left w:val="nil"/>
              <w:bottom w:val="nil"/>
              <w:right w:val="nil"/>
            </w:tcBorders>
            <w:shd w:val="clear" w:color="auto" w:fill="auto"/>
            <w:noWrap/>
            <w:vAlign w:val="bottom"/>
            <w:hideMark/>
          </w:tcPr>
          <w:p w14:paraId="353E5C9F" w14:textId="77777777" w:rsidR="00F05C28" w:rsidRPr="00F05C28" w:rsidRDefault="00F05C28" w:rsidP="00574B5E">
            <w:pPr>
              <w:jc w:val="right"/>
            </w:pPr>
            <w:r w:rsidRPr="00F05C28">
              <w:t>474</w:t>
            </w:r>
          </w:p>
        </w:tc>
        <w:tc>
          <w:tcPr>
            <w:tcW w:w="0" w:type="auto"/>
            <w:tcBorders>
              <w:top w:val="nil"/>
              <w:left w:val="nil"/>
              <w:bottom w:val="nil"/>
              <w:right w:val="nil"/>
            </w:tcBorders>
            <w:shd w:val="clear" w:color="auto" w:fill="auto"/>
            <w:noWrap/>
            <w:vAlign w:val="bottom"/>
            <w:hideMark/>
          </w:tcPr>
          <w:p w14:paraId="3473FEDA" w14:textId="77777777" w:rsidR="00F05C28" w:rsidRPr="00F05C28" w:rsidRDefault="00F05C28" w:rsidP="00574B5E">
            <w:pPr>
              <w:jc w:val="right"/>
            </w:pPr>
            <w:r w:rsidRPr="00F05C28">
              <w:t>79%</w:t>
            </w:r>
          </w:p>
        </w:tc>
        <w:tc>
          <w:tcPr>
            <w:tcW w:w="0" w:type="auto"/>
            <w:tcBorders>
              <w:top w:val="nil"/>
              <w:left w:val="nil"/>
              <w:bottom w:val="nil"/>
              <w:right w:val="nil"/>
            </w:tcBorders>
            <w:shd w:val="clear" w:color="auto" w:fill="auto"/>
            <w:noWrap/>
            <w:vAlign w:val="bottom"/>
            <w:hideMark/>
          </w:tcPr>
          <w:p w14:paraId="6104C8C9" w14:textId="77777777" w:rsidR="00F05C28" w:rsidRPr="00F05C28" w:rsidRDefault="00F05C28" w:rsidP="00574B5E">
            <w:pPr>
              <w:jc w:val="right"/>
            </w:pPr>
            <w:r w:rsidRPr="00F05C28">
              <w:t>4359</w:t>
            </w:r>
          </w:p>
        </w:tc>
        <w:tc>
          <w:tcPr>
            <w:tcW w:w="0" w:type="auto"/>
            <w:tcBorders>
              <w:top w:val="nil"/>
              <w:left w:val="nil"/>
              <w:bottom w:val="nil"/>
              <w:right w:val="nil"/>
            </w:tcBorders>
            <w:shd w:val="clear" w:color="auto" w:fill="auto"/>
            <w:noWrap/>
            <w:vAlign w:val="bottom"/>
            <w:hideMark/>
          </w:tcPr>
          <w:p w14:paraId="0F97ADD3" w14:textId="77777777" w:rsidR="00F05C28" w:rsidRPr="00F05C28" w:rsidRDefault="00F05C28" w:rsidP="00574B5E">
            <w:pPr>
              <w:jc w:val="right"/>
            </w:pPr>
            <w:r w:rsidRPr="00F05C28">
              <w:t>81%</w:t>
            </w:r>
          </w:p>
        </w:tc>
        <w:tc>
          <w:tcPr>
            <w:tcW w:w="0" w:type="auto"/>
            <w:tcBorders>
              <w:top w:val="nil"/>
              <w:left w:val="nil"/>
              <w:bottom w:val="nil"/>
              <w:right w:val="nil"/>
            </w:tcBorders>
            <w:shd w:val="clear" w:color="auto" w:fill="auto"/>
            <w:noWrap/>
            <w:vAlign w:val="bottom"/>
            <w:hideMark/>
          </w:tcPr>
          <w:p w14:paraId="48F43338" w14:textId="77777777" w:rsidR="00F05C28" w:rsidRPr="00F05C28" w:rsidRDefault="00F05C28" w:rsidP="00574B5E">
            <w:pPr>
              <w:jc w:val="right"/>
            </w:pPr>
            <w:r w:rsidRPr="00F05C28">
              <w:t>798</w:t>
            </w:r>
          </w:p>
        </w:tc>
        <w:tc>
          <w:tcPr>
            <w:tcW w:w="0" w:type="auto"/>
            <w:tcBorders>
              <w:top w:val="nil"/>
              <w:left w:val="nil"/>
              <w:bottom w:val="nil"/>
              <w:right w:val="nil"/>
            </w:tcBorders>
            <w:shd w:val="clear" w:color="auto" w:fill="auto"/>
            <w:noWrap/>
            <w:vAlign w:val="bottom"/>
            <w:hideMark/>
          </w:tcPr>
          <w:p w14:paraId="5B5DD4B1" w14:textId="77777777" w:rsidR="00F05C28" w:rsidRPr="00F05C28" w:rsidRDefault="00F05C28" w:rsidP="00574B5E">
            <w:pPr>
              <w:jc w:val="right"/>
            </w:pPr>
            <w:r w:rsidRPr="00F05C28">
              <w:t>77%</w:t>
            </w:r>
          </w:p>
        </w:tc>
        <w:tc>
          <w:tcPr>
            <w:tcW w:w="0" w:type="auto"/>
            <w:tcBorders>
              <w:top w:val="nil"/>
              <w:left w:val="nil"/>
              <w:bottom w:val="nil"/>
              <w:right w:val="nil"/>
            </w:tcBorders>
            <w:shd w:val="clear" w:color="auto" w:fill="auto"/>
            <w:noWrap/>
            <w:vAlign w:val="bottom"/>
            <w:hideMark/>
          </w:tcPr>
          <w:p w14:paraId="39B572FA" w14:textId="77777777" w:rsidR="00F05C28" w:rsidRPr="00F05C28" w:rsidRDefault="00F05C28" w:rsidP="00574B5E">
            <w:pPr>
              <w:jc w:val="right"/>
            </w:pPr>
            <w:r w:rsidRPr="00F05C28">
              <w:t>5459</w:t>
            </w:r>
          </w:p>
        </w:tc>
        <w:tc>
          <w:tcPr>
            <w:tcW w:w="0" w:type="auto"/>
            <w:tcBorders>
              <w:top w:val="nil"/>
              <w:left w:val="nil"/>
              <w:bottom w:val="nil"/>
              <w:right w:val="nil"/>
            </w:tcBorders>
            <w:shd w:val="clear" w:color="auto" w:fill="auto"/>
            <w:noWrap/>
            <w:vAlign w:val="bottom"/>
            <w:hideMark/>
          </w:tcPr>
          <w:p w14:paraId="0108B126" w14:textId="77777777" w:rsidR="00F05C28" w:rsidRPr="00F05C28" w:rsidRDefault="00F05C28" w:rsidP="00574B5E">
            <w:pPr>
              <w:jc w:val="right"/>
              <w:rPr>
                <w:rFonts w:ascii="Calibri" w:hAnsi="Calibri" w:cs="Calibri"/>
              </w:rPr>
            </w:pPr>
            <w:r w:rsidRPr="00F05C28">
              <w:rPr>
                <w:rFonts w:ascii="Calibri" w:hAnsi="Calibri" w:cs="Calibri"/>
              </w:rPr>
              <w:t>87%</w:t>
            </w:r>
          </w:p>
        </w:tc>
      </w:tr>
      <w:tr w:rsidR="00F05C28" w:rsidRPr="00F05C28" w14:paraId="6BC5516B" w14:textId="77777777" w:rsidTr="00574B5E">
        <w:trPr>
          <w:trHeight w:val="320"/>
        </w:trPr>
        <w:tc>
          <w:tcPr>
            <w:tcW w:w="0" w:type="auto"/>
            <w:tcBorders>
              <w:top w:val="nil"/>
              <w:left w:val="nil"/>
              <w:bottom w:val="single" w:sz="4" w:space="0" w:color="auto"/>
              <w:right w:val="nil"/>
            </w:tcBorders>
            <w:shd w:val="clear" w:color="auto" w:fill="auto"/>
            <w:noWrap/>
            <w:vAlign w:val="bottom"/>
            <w:hideMark/>
          </w:tcPr>
          <w:p w14:paraId="73A65873" w14:textId="77777777" w:rsidR="00F05C28" w:rsidRPr="00F05C28" w:rsidRDefault="00F05C28" w:rsidP="00574B5E">
            <w:r w:rsidRPr="00F05C28">
              <w:t>Unknown</w:t>
            </w:r>
          </w:p>
        </w:tc>
        <w:tc>
          <w:tcPr>
            <w:tcW w:w="0" w:type="auto"/>
            <w:tcBorders>
              <w:top w:val="nil"/>
              <w:left w:val="nil"/>
              <w:bottom w:val="single" w:sz="4" w:space="0" w:color="auto"/>
              <w:right w:val="nil"/>
            </w:tcBorders>
            <w:shd w:val="clear" w:color="auto" w:fill="auto"/>
            <w:noWrap/>
            <w:vAlign w:val="bottom"/>
            <w:hideMark/>
          </w:tcPr>
          <w:p w14:paraId="4F9C2A9D" w14:textId="77777777" w:rsidR="00F05C28" w:rsidRPr="00F05C28" w:rsidRDefault="00F05C28" w:rsidP="00574B5E">
            <w:pPr>
              <w:jc w:val="right"/>
            </w:pPr>
            <w:r w:rsidRPr="00F05C28">
              <w:t>30</w:t>
            </w:r>
          </w:p>
        </w:tc>
        <w:tc>
          <w:tcPr>
            <w:tcW w:w="0" w:type="auto"/>
            <w:tcBorders>
              <w:top w:val="nil"/>
              <w:left w:val="nil"/>
              <w:bottom w:val="single" w:sz="4" w:space="0" w:color="auto"/>
              <w:right w:val="nil"/>
            </w:tcBorders>
            <w:shd w:val="clear" w:color="auto" w:fill="auto"/>
            <w:noWrap/>
            <w:vAlign w:val="bottom"/>
            <w:hideMark/>
          </w:tcPr>
          <w:p w14:paraId="351BA62C" w14:textId="77777777" w:rsidR="00F05C28" w:rsidRPr="00F05C28" w:rsidRDefault="00F05C28" w:rsidP="00574B5E">
            <w:pPr>
              <w:jc w:val="right"/>
            </w:pPr>
            <w:r w:rsidRPr="00F05C28">
              <w:t>5%</w:t>
            </w:r>
          </w:p>
        </w:tc>
        <w:tc>
          <w:tcPr>
            <w:tcW w:w="0" w:type="auto"/>
            <w:tcBorders>
              <w:top w:val="nil"/>
              <w:left w:val="nil"/>
              <w:bottom w:val="single" w:sz="4" w:space="0" w:color="auto"/>
              <w:right w:val="nil"/>
            </w:tcBorders>
            <w:shd w:val="clear" w:color="auto" w:fill="auto"/>
            <w:noWrap/>
            <w:vAlign w:val="bottom"/>
            <w:hideMark/>
          </w:tcPr>
          <w:p w14:paraId="00C2B75C" w14:textId="77777777" w:rsidR="00F05C28" w:rsidRPr="00F05C28" w:rsidRDefault="00F05C28" w:rsidP="00574B5E">
            <w:pPr>
              <w:jc w:val="right"/>
            </w:pPr>
            <w:r w:rsidRPr="00F05C28">
              <w:t>57</w:t>
            </w:r>
          </w:p>
        </w:tc>
        <w:tc>
          <w:tcPr>
            <w:tcW w:w="0" w:type="auto"/>
            <w:tcBorders>
              <w:top w:val="nil"/>
              <w:left w:val="nil"/>
              <w:bottom w:val="single" w:sz="4" w:space="0" w:color="auto"/>
              <w:right w:val="nil"/>
            </w:tcBorders>
            <w:shd w:val="clear" w:color="auto" w:fill="auto"/>
            <w:noWrap/>
            <w:vAlign w:val="bottom"/>
            <w:hideMark/>
          </w:tcPr>
          <w:p w14:paraId="490101F0" w14:textId="77777777" w:rsidR="00F05C28" w:rsidRPr="00F05C28" w:rsidRDefault="00F05C28" w:rsidP="00574B5E">
            <w:pPr>
              <w:jc w:val="right"/>
            </w:pPr>
            <w:r w:rsidRPr="00F05C28">
              <w:t>1%</w:t>
            </w:r>
          </w:p>
        </w:tc>
        <w:tc>
          <w:tcPr>
            <w:tcW w:w="0" w:type="auto"/>
            <w:tcBorders>
              <w:top w:val="nil"/>
              <w:left w:val="nil"/>
              <w:bottom w:val="single" w:sz="4" w:space="0" w:color="auto"/>
              <w:right w:val="nil"/>
            </w:tcBorders>
            <w:shd w:val="clear" w:color="auto" w:fill="auto"/>
            <w:noWrap/>
            <w:vAlign w:val="bottom"/>
            <w:hideMark/>
          </w:tcPr>
          <w:p w14:paraId="46B432E6" w14:textId="77777777" w:rsidR="00F05C28" w:rsidRPr="00F05C28" w:rsidRDefault="00F05C28" w:rsidP="00574B5E">
            <w:pPr>
              <w:jc w:val="right"/>
            </w:pPr>
            <w:r w:rsidRPr="00F05C28">
              <w:t>59</w:t>
            </w:r>
          </w:p>
        </w:tc>
        <w:tc>
          <w:tcPr>
            <w:tcW w:w="0" w:type="auto"/>
            <w:tcBorders>
              <w:top w:val="nil"/>
              <w:left w:val="nil"/>
              <w:bottom w:val="single" w:sz="4" w:space="0" w:color="auto"/>
              <w:right w:val="nil"/>
            </w:tcBorders>
            <w:shd w:val="clear" w:color="auto" w:fill="auto"/>
            <w:noWrap/>
            <w:vAlign w:val="bottom"/>
            <w:hideMark/>
          </w:tcPr>
          <w:p w14:paraId="0A117747" w14:textId="77777777" w:rsidR="00F05C28" w:rsidRPr="00F05C28" w:rsidRDefault="00F05C28" w:rsidP="00574B5E">
            <w:pPr>
              <w:jc w:val="right"/>
            </w:pPr>
            <w:r w:rsidRPr="00F05C28">
              <w:t>6%</w:t>
            </w:r>
          </w:p>
        </w:tc>
        <w:tc>
          <w:tcPr>
            <w:tcW w:w="0" w:type="auto"/>
            <w:tcBorders>
              <w:top w:val="nil"/>
              <w:left w:val="nil"/>
              <w:bottom w:val="single" w:sz="4" w:space="0" w:color="auto"/>
              <w:right w:val="nil"/>
            </w:tcBorders>
            <w:shd w:val="clear" w:color="auto" w:fill="auto"/>
            <w:noWrap/>
            <w:vAlign w:val="bottom"/>
            <w:hideMark/>
          </w:tcPr>
          <w:p w14:paraId="5B198A7A" w14:textId="77777777" w:rsidR="00F05C28" w:rsidRPr="00F05C28" w:rsidRDefault="00F05C28" w:rsidP="00574B5E">
            <w:pPr>
              <w:jc w:val="right"/>
            </w:pPr>
            <w:r w:rsidRPr="00F05C28">
              <w:t>56</w:t>
            </w:r>
          </w:p>
        </w:tc>
        <w:tc>
          <w:tcPr>
            <w:tcW w:w="0" w:type="auto"/>
            <w:tcBorders>
              <w:top w:val="nil"/>
              <w:left w:val="nil"/>
              <w:bottom w:val="single" w:sz="4" w:space="0" w:color="auto"/>
              <w:right w:val="nil"/>
            </w:tcBorders>
            <w:shd w:val="clear" w:color="auto" w:fill="auto"/>
            <w:noWrap/>
            <w:vAlign w:val="bottom"/>
            <w:hideMark/>
          </w:tcPr>
          <w:p w14:paraId="7DE2402F" w14:textId="77777777" w:rsidR="00F05C28" w:rsidRPr="00F05C28" w:rsidRDefault="00F05C28" w:rsidP="00574B5E">
            <w:pPr>
              <w:jc w:val="right"/>
            </w:pPr>
            <w:r w:rsidRPr="00F05C28">
              <w:t>1%</w:t>
            </w:r>
          </w:p>
        </w:tc>
      </w:tr>
    </w:tbl>
    <w:p w14:paraId="0BD169F0" w14:textId="77777777" w:rsidR="00F05C28" w:rsidRPr="00F05C28" w:rsidRDefault="00F05C28" w:rsidP="00F05C28">
      <w:pPr>
        <w:spacing w:line="480" w:lineRule="auto"/>
        <w:outlineLvl w:val="0"/>
        <w:rPr>
          <w:b/>
        </w:rPr>
      </w:pPr>
    </w:p>
    <w:p w14:paraId="7BD9DD99" w14:textId="77777777" w:rsidR="00F05C28" w:rsidRPr="00F05C28" w:rsidRDefault="00F05C28" w:rsidP="00F05C28">
      <w:pPr>
        <w:spacing w:line="480" w:lineRule="auto"/>
        <w:outlineLvl w:val="0"/>
        <w:rPr>
          <w:b/>
        </w:rPr>
      </w:pPr>
    </w:p>
    <w:p w14:paraId="7017265F" w14:textId="77777777" w:rsidR="00F05C28" w:rsidRPr="00F05C28" w:rsidRDefault="00F05C28" w:rsidP="00F05C28">
      <w:pPr>
        <w:spacing w:line="480" w:lineRule="auto"/>
        <w:outlineLvl w:val="0"/>
        <w:rPr>
          <w:b/>
        </w:rPr>
      </w:pPr>
      <w:bookmarkStart w:id="15" w:name="_Toc43791648"/>
      <w:r w:rsidRPr="00F05C28">
        <w:rPr>
          <w:b/>
        </w:rPr>
        <w:t>Data Sources</w:t>
      </w:r>
      <w:bookmarkEnd w:id="15"/>
    </w:p>
    <w:p w14:paraId="43280B04" w14:textId="77777777" w:rsidR="00F05C28" w:rsidRPr="00F05C28" w:rsidRDefault="00F05C28" w:rsidP="00F05C28">
      <w:pPr>
        <w:spacing w:line="480" w:lineRule="auto"/>
      </w:pPr>
      <w:r w:rsidRPr="00F05C28">
        <w:tab/>
        <w:t xml:space="preserve">Two sources of data were used.  South-Eastern State University agreed to provide both sources of data used in this study.  The source of data relative to social integration was obtained from the 2011 National Survey of Student Engagement (NSSE).  Institutional data, including student graduation and demographic information, was supplied by South-Eastern State University. </w:t>
      </w:r>
    </w:p>
    <w:p w14:paraId="723B5FB5" w14:textId="77777777" w:rsidR="00F05C28" w:rsidRPr="00F05C28" w:rsidRDefault="00F05C28" w:rsidP="00F05C28">
      <w:pPr>
        <w:spacing w:line="480" w:lineRule="auto"/>
      </w:pPr>
      <w:r w:rsidRPr="00F05C28">
        <w:t xml:space="preserve"> </w:t>
      </w:r>
      <w:r w:rsidRPr="00F05C28">
        <w:tab/>
      </w:r>
      <w:r w:rsidRPr="00F05C28">
        <w:rPr>
          <w:b/>
        </w:rPr>
        <w:t>Social Integration Data.</w:t>
      </w:r>
      <w:r w:rsidRPr="00F05C28">
        <w:t xml:space="preserve"> The first source of data, social integration data, was derived from the National Survey of Student Engagement (NSSE), a national survey distributed to first year and senior-level undergraduate students at participating 4-year institutions.  Originally developed as a joint effort between the Indiana University Center of Post-Secondary Research (IUCPR) and the National Center for Higher Education Management Systems (NCHEMS) in 2000, NSSE was designed to measure student engagement through identifying, analyzing, and comparing the time and energy undergraduate students spend participating in institutional </w:t>
      </w:r>
      <w:r w:rsidRPr="00F05C28">
        <w:lastRenderedPageBreak/>
        <w:t>programs and extracurricular activities that promote student learning and development (</w:t>
      </w:r>
      <w:proofErr w:type="spellStart"/>
      <w:r w:rsidRPr="00F05C28">
        <w:t>Kuh</w:t>
      </w:r>
      <w:proofErr w:type="spellEnd"/>
      <w:r w:rsidRPr="00F05C28">
        <w:t>, 2009).  The data collected from the NSSE focused on the measurement of academic and social engagement of students within institutions of higher education (</w:t>
      </w:r>
      <w:proofErr w:type="spellStart"/>
      <w:r w:rsidRPr="00F05C28">
        <w:t>Kuh</w:t>
      </w:r>
      <w:proofErr w:type="spellEnd"/>
      <w:r w:rsidRPr="00F05C28">
        <w:t xml:space="preserve">, 2009).  </w:t>
      </w:r>
    </w:p>
    <w:p w14:paraId="6AD398FD" w14:textId="77777777" w:rsidR="00F05C28" w:rsidRPr="00F05C28" w:rsidRDefault="00F05C28" w:rsidP="00F05C28">
      <w:pPr>
        <w:spacing w:line="480" w:lineRule="auto"/>
        <w:ind w:firstLine="720"/>
      </w:pPr>
      <w:r w:rsidRPr="00F05C28">
        <w:t>The NSSE is comprised of 40 questions.  These questions are thematically categorized into five benchmarks, Level of Academic Challenge, Active and Collaborative Learning, Student-Faculty Interaction, Enriching Educational Experiences, and Supportive Campus Environment.  The Level of Academic Challenge (AC) benchmark includes ten questions that assess the participants’ perception of assigned academic work, the complexity of assigned tasks, and the standards used to measure student performance (</w:t>
      </w:r>
      <w:proofErr w:type="spellStart"/>
      <w:r w:rsidRPr="00F05C28">
        <w:t>Kuh</w:t>
      </w:r>
      <w:proofErr w:type="spellEnd"/>
      <w:r w:rsidRPr="00F05C28">
        <w:t>, 2009).  The Active and Collaborative Learning (ACL) benchmark is comprised of seven questions centered around identifying participants actively involved in their education through applied learning activities and opportunities to collaborate with others in learning and mastering difficult material.  The Student-Faculty Interactions (SFI) benchmark incorporates six questions that measure the types of interactions students have with faculty both within and outside of the classroom.  The Enriching Educational Experiences (EEE) benchmark uses eleven questions to capture activities for learning within and outside the classroom to assist students in “synthesizing, integrating, and applying their knowledge” (</w:t>
      </w:r>
      <w:proofErr w:type="spellStart"/>
      <w:r w:rsidRPr="00F05C28">
        <w:t>Kuh</w:t>
      </w:r>
      <w:proofErr w:type="spellEnd"/>
      <w:r w:rsidRPr="00F05C28">
        <w:t xml:space="preserve">, 2009).  The Supportive Campus Environment (SCE) benchmark utilizes six questions to measure institutional commitment to student success, and the development of working and social relationship on campus. </w:t>
      </w:r>
    </w:p>
    <w:p w14:paraId="52A11406" w14:textId="77777777" w:rsidR="00F05C28" w:rsidRPr="00F05C28" w:rsidRDefault="00F05C28" w:rsidP="00F05C28">
      <w:pPr>
        <w:spacing w:line="480" w:lineRule="auto"/>
        <w:ind w:firstLine="720"/>
        <w:rPr>
          <w:color w:val="C00000"/>
        </w:rPr>
      </w:pPr>
      <w:r w:rsidRPr="00F05C28">
        <w:t xml:space="preserve">This study utilized specific questions within the Supportive Campus Environment (SCE) and Enriching Educational Experiences (EEE) benchmarks to measure the social integration of NSSE participants.  The five SCE questions utilized focus on social relationships the participants forged with faculty, staff, and peers as defined by Tinto (1975, 1993).  The researcher used eight </w:t>
      </w:r>
      <w:r w:rsidRPr="00F05C28">
        <w:lastRenderedPageBreak/>
        <w:t xml:space="preserve">questions from the EEE benchmark were selected to measure the students’ integration outside of the classroom as highlighted in the social integration research (Braxton et al., 2004; Tinto, 1975, 1993; Wilcox et al. 2005).  Appendix A contains all the questions the researcher used to measure the social integration of all participants.  </w:t>
      </w:r>
    </w:p>
    <w:p w14:paraId="088A1C99" w14:textId="77777777" w:rsidR="00F05C28" w:rsidRPr="00F05C28" w:rsidRDefault="00F05C28" w:rsidP="00F05C28">
      <w:pPr>
        <w:spacing w:line="480" w:lineRule="auto"/>
        <w:ind w:firstLine="720"/>
      </w:pPr>
      <w:r w:rsidRPr="00F05C28">
        <w:rPr>
          <w:b/>
          <w:i/>
        </w:rPr>
        <w:t>Institutional Data: Retention to Graduation</w:t>
      </w:r>
      <w:r w:rsidRPr="00F05C28">
        <w:rPr>
          <w:b/>
        </w:rPr>
        <w:t>.</w:t>
      </w:r>
      <w:r w:rsidRPr="00F05C28">
        <w:t xml:space="preserve"> South-Eastern State University maintains institutional retention records for each student documenting their retention to graduation.  In this study, the researcher used the institutional retention data from South-Eastern State University to determine each participants’ graduation status.  South-Eastern State University provided the researcher with institutional retention data for all the 2011 NSSE participants. </w:t>
      </w:r>
    </w:p>
    <w:p w14:paraId="3577DB12" w14:textId="77777777" w:rsidR="00F05C28" w:rsidRPr="00F05C28" w:rsidRDefault="00F05C28" w:rsidP="00F05C28">
      <w:pPr>
        <w:spacing w:line="480" w:lineRule="auto"/>
        <w:ind w:firstLine="720"/>
      </w:pPr>
      <w:r w:rsidRPr="00F05C28">
        <w:rPr>
          <w:b/>
          <w:i/>
        </w:rPr>
        <w:t>Institutional Data: Student demographics</w:t>
      </w:r>
      <w:r w:rsidRPr="00F05C28">
        <w:rPr>
          <w:b/>
        </w:rPr>
        <w:t>.</w:t>
      </w:r>
      <w:r w:rsidRPr="00F05C28">
        <w:t xml:space="preserve"> Student demographic data related to race/ethnicity, gender, nationality, class level, transfer status, enrollment status, residential status, and parents’ highest level of education were provided by South-Eastern State University.  These demographic variables were intentionally selected and often highlighted within educational research as factors that shape student retention (Carter, 2006; </w:t>
      </w:r>
      <w:proofErr w:type="spellStart"/>
      <w:r w:rsidRPr="00F05C28">
        <w:t>Crede</w:t>
      </w:r>
      <w:proofErr w:type="spellEnd"/>
      <w:r w:rsidRPr="00F05C28">
        <w:t xml:space="preserve"> &amp; Borrego, 2014; Duggan &amp; Pickering, 2008; </w:t>
      </w:r>
      <w:proofErr w:type="spellStart"/>
      <w:r w:rsidRPr="00F05C28">
        <w:t>Huhn</w:t>
      </w:r>
      <w:proofErr w:type="spellEnd"/>
      <w:r w:rsidRPr="00F05C28">
        <w:t xml:space="preserve">, 2006; </w:t>
      </w:r>
      <w:proofErr w:type="spellStart"/>
      <w:r w:rsidRPr="00F05C28">
        <w:t>Ishitani</w:t>
      </w:r>
      <w:proofErr w:type="spellEnd"/>
      <w:r w:rsidRPr="00F05C28">
        <w:t xml:space="preserve">, 2006; </w:t>
      </w:r>
      <w:proofErr w:type="spellStart"/>
      <w:r w:rsidRPr="00F05C28">
        <w:t>Kozeracki</w:t>
      </w:r>
      <w:proofErr w:type="spellEnd"/>
      <w:r w:rsidRPr="00F05C28">
        <w:t xml:space="preserve">, 2001; </w:t>
      </w:r>
      <w:proofErr w:type="spellStart"/>
      <w:r w:rsidRPr="00F05C28">
        <w:t>Rienties</w:t>
      </w:r>
      <w:proofErr w:type="spellEnd"/>
      <w:r w:rsidRPr="00F05C28">
        <w:t xml:space="preserve"> et al., 2012; </w:t>
      </w:r>
      <w:proofErr w:type="spellStart"/>
      <w:r w:rsidRPr="00F05C28">
        <w:t>Schudde</w:t>
      </w:r>
      <w:proofErr w:type="spellEnd"/>
      <w:r w:rsidRPr="00F05C28">
        <w:t xml:space="preserve">, 2006).  The race/ethnicity and gender variables provided traditional demographic information about the participants.  The nationality variable indicated whether or not the student was an international student.  Class level information distinguished between the </w:t>
      </w:r>
      <w:proofErr w:type="gramStart"/>
      <w:r w:rsidRPr="00F05C28">
        <w:t>first-year</w:t>
      </w:r>
      <w:proofErr w:type="gramEnd"/>
      <w:r w:rsidRPr="00F05C28">
        <w:t xml:space="preserve"> and senior level participants.  Transfer status denoted if the participant was a first-time student at South-Eastern State University or if the student transferred to South-Eastern State University from another institution.  Enrollment status indicated whether the student was full-time or less than full-time.  Residential status provided a description of the participants’ living arrangements.  Parents’ highest level of education provided information on the highest level of education </w:t>
      </w:r>
      <w:r w:rsidRPr="00F05C28">
        <w:lastRenderedPageBreak/>
        <w:t xml:space="preserve">completed by the participants’ father and mother.  All student demographic variables were used to best identify and analyze predictors of graduation for the 2011 NSSE participants.  </w:t>
      </w:r>
      <w:r w:rsidRPr="00F05C28">
        <w:rPr>
          <w:b/>
        </w:rPr>
        <w:t xml:space="preserve"> </w:t>
      </w:r>
    </w:p>
    <w:p w14:paraId="521C11F0" w14:textId="77777777" w:rsidR="00F05C28" w:rsidRPr="00F05C28" w:rsidRDefault="00F05C28" w:rsidP="00F05C28">
      <w:pPr>
        <w:spacing w:line="480" w:lineRule="auto"/>
        <w:outlineLvl w:val="0"/>
        <w:rPr>
          <w:b/>
        </w:rPr>
      </w:pPr>
      <w:bookmarkStart w:id="16" w:name="_Toc43791649"/>
      <w:r w:rsidRPr="00F05C28">
        <w:rPr>
          <w:b/>
        </w:rPr>
        <w:t>Procedures</w:t>
      </w:r>
      <w:bookmarkEnd w:id="16"/>
      <w:r w:rsidRPr="00F05C28">
        <w:rPr>
          <w:b/>
        </w:rPr>
        <w:t xml:space="preserve"> </w:t>
      </w:r>
    </w:p>
    <w:p w14:paraId="19E8FA35" w14:textId="77777777" w:rsidR="00F05C28" w:rsidRPr="00F05C28" w:rsidRDefault="00F05C28" w:rsidP="00F05C28">
      <w:pPr>
        <w:spacing w:line="480" w:lineRule="auto"/>
      </w:pPr>
      <w:r w:rsidRPr="00F05C28">
        <w:rPr>
          <w:b/>
        </w:rPr>
        <w:tab/>
      </w:r>
      <w:r w:rsidRPr="00F05C28">
        <w:t>While South-Eastern State University provided the researcher with their approval to conduct the study, additional approval was sought from the South-Eastern State University Institutional Review Board (IRB).  Upon approval from the South-Eastern State University, a formal request to solicit the raw data from the 2011 National Survey of Student Engagement (social integration data), institutional retention records, and student demographic information was submitted to South-Eastern State University.  University officials explained that all student demographic information reported on the NSSE was verified by South-Eastern State University prior to the delivery of such data to the researcher.  After access to the data was granted, each data element was checked and/or recoded in preparation of the data for statistical analysis.  As noted by NSSE (2012), although NSSE data are ordinal in nature, it can be used as interval data and analyzed using parametric tests.  Statistical Package for Social Sciences (SPSS) was used to complete the statistical and parametric analyses for this study.  This software was selected to align with the formatting of the data provided by South-Eastern State University.</w:t>
      </w:r>
    </w:p>
    <w:p w14:paraId="19D38AD0" w14:textId="77777777" w:rsidR="00F05C28" w:rsidRPr="00F05C28" w:rsidRDefault="00F05C28" w:rsidP="00F05C28">
      <w:pPr>
        <w:spacing w:line="480" w:lineRule="auto"/>
      </w:pPr>
      <w:r w:rsidRPr="00F05C28">
        <w:tab/>
        <w:t xml:space="preserve">While NSSE provided coding for the student demographic information, all variables were thoroughly examined for errors and consistency in comparison to the values assigned in the code book.  All variables were reviewed or recoded to align with the definitions this study utilized.  A composite social integration score was calculated using the summation of scores from specific NSSE questions the researcher used to measure social integration. </w:t>
      </w:r>
    </w:p>
    <w:p w14:paraId="638112F2" w14:textId="77777777" w:rsidR="00F05C28" w:rsidRPr="00F05C28" w:rsidRDefault="00F05C28" w:rsidP="00F05C28">
      <w:pPr>
        <w:spacing w:line="480" w:lineRule="auto"/>
        <w:ind w:firstLine="720"/>
      </w:pPr>
      <w:r w:rsidRPr="00F05C28">
        <w:t xml:space="preserve">The institutional retention data were used to create a dichotomous student grouping variable.  The first group was comprised of the students who were retained to graduation, coded </w:t>
      </w:r>
      <w:r w:rsidRPr="00F05C28">
        <w:lastRenderedPageBreak/>
        <w:t xml:space="preserve">as ‘1’.  The second group was comprised of student who did not complete their tenure at South-Eastern State University, coded as ‘0’.  Appendix B provides a breakdown of the original and updated coding for all student demographic information variables used in this study. </w:t>
      </w:r>
    </w:p>
    <w:p w14:paraId="69C0AF65" w14:textId="77777777" w:rsidR="00F05C28" w:rsidRPr="00F05C28" w:rsidRDefault="00F05C28" w:rsidP="00F05C28">
      <w:pPr>
        <w:spacing w:line="480" w:lineRule="auto"/>
        <w:ind w:firstLine="720"/>
      </w:pPr>
      <w:r w:rsidRPr="00F05C28">
        <w:rPr>
          <w:b/>
        </w:rPr>
        <w:t xml:space="preserve">Data Analysis. </w:t>
      </w:r>
      <w:r w:rsidRPr="00F05C28">
        <w:t xml:space="preserve"> After all data coding was completed, descriptive statistics were used to measure the tendencies and variances within the sample data, and to evaluate the integrity of the data in preparation of this study’s parametric testing.  The Data Analysis Schema, Table 2, illustrates the specific parametric tests used to answer the research questions of this study.  All statistical analysis tests were conducted using an alpha value of .05. </w:t>
      </w:r>
    </w:p>
    <w:p w14:paraId="20159B99" w14:textId="77777777" w:rsidR="00F05C28" w:rsidRPr="00F05C28" w:rsidRDefault="00F05C28" w:rsidP="00F05C28">
      <w:pPr>
        <w:spacing w:line="480" w:lineRule="auto"/>
        <w:ind w:firstLine="720"/>
      </w:pPr>
      <w:r w:rsidRPr="00F05C28">
        <w:t xml:space="preserve">Research Question 1. An independent sample t-test was utilized to address the first research question, determining the differences between </w:t>
      </w:r>
      <w:proofErr w:type="gramStart"/>
      <w:r w:rsidRPr="00F05C28">
        <w:t>first-year</w:t>
      </w:r>
      <w:proofErr w:type="gramEnd"/>
      <w:r w:rsidRPr="00F05C28">
        <w:t xml:space="preserve"> and senior level student social integration.  The categorical dependent variable used was class level.  The class level variable was divided into two categories, first-year students and senior level students, to represent all NSSE participants.  The independent variable used to answer this question was social integration.  A composite score for student social integration was generated during the beginning stages of the research and was used for analysis of this question.  The independent sample t-test is an inferential statistical method to analyze the difference in means of two distinct groups.  For </w:t>
      </w:r>
    </w:p>
    <w:p w14:paraId="77FEF141" w14:textId="77777777" w:rsidR="00F05C28" w:rsidRPr="00F05C28" w:rsidRDefault="00F05C28" w:rsidP="00F05C28">
      <w:pPr>
        <w:ind w:firstLine="720"/>
      </w:pPr>
    </w:p>
    <w:p w14:paraId="0A7A3F0E" w14:textId="77777777" w:rsidR="00F05C28" w:rsidRPr="00F05C28" w:rsidRDefault="00F05C28" w:rsidP="00F05C28">
      <w:pPr>
        <w:ind w:firstLine="720"/>
      </w:pPr>
    </w:p>
    <w:p w14:paraId="0ED1BA0E" w14:textId="77777777" w:rsidR="00F05C28" w:rsidRPr="00F05C28" w:rsidRDefault="00F05C28" w:rsidP="00F05C28">
      <w:pPr>
        <w:ind w:firstLine="720"/>
      </w:pPr>
    </w:p>
    <w:tbl>
      <w:tblPr>
        <w:tblW w:w="9005" w:type="dxa"/>
        <w:jc w:val="center"/>
        <w:tblLook w:val="04A0" w:firstRow="1" w:lastRow="0" w:firstColumn="1" w:lastColumn="0" w:noHBand="0" w:noVBand="1"/>
      </w:tblPr>
      <w:tblGrid>
        <w:gridCol w:w="1980"/>
        <w:gridCol w:w="2680"/>
        <w:gridCol w:w="2350"/>
        <w:gridCol w:w="1770"/>
        <w:gridCol w:w="225"/>
      </w:tblGrid>
      <w:tr w:rsidR="00F05C28" w:rsidRPr="00F05C28" w14:paraId="0E35D439" w14:textId="77777777" w:rsidTr="00574B5E">
        <w:trPr>
          <w:trHeight w:val="300"/>
          <w:jc w:val="center"/>
        </w:trPr>
        <w:tc>
          <w:tcPr>
            <w:tcW w:w="1980" w:type="dxa"/>
            <w:tcBorders>
              <w:top w:val="nil"/>
              <w:left w:val="nil"/>
              <w:bottom w:val="nil"/>
              <w:right w:val="nil"/>
            </w:tcBorders>
            <w:shd w:val="clear" w:color="auto" w:fill="auto"/>
            <w:noWrap/>
            <w:vAlign w:val="bottom"/>
            <w:hideMark/>
          </w:tcPr>
          <w:p w14:paraId="1EDB66E2" w14:textId="77777777" w:rsidR="00F05C28" w:rsidRPr="00F05C28" w:rsidRDefault="00F05C28" w:rsidP="00574B5E">
            <w:r w:rsidRPr="00F05C28">
              <w:t>Table 3.2</w:t>
            </w:r>
          </w:p>
        </w:tc>
        <w:tc>
          <w:tcPr>
            <w:tcW w:w="2680" w:type="dxa"/>
            <w:tcBorders>
              <w:top w:val="nil"/>
              <w:left w:val="nil"/>
              <w:bottom w:val="nil"/>
              <w:right w:val="nil"/>
            </w:tcBorders>
            <w:shd w:val="clear" w:color="auto" w:fill="auto"/>
            <w:noWrap/>
            <w:vAlign w:val="bottom"/>
            <w:hideMark/>
          </w:tcPr>
          <w:p w14:paraId="62069DA1" w14:textId="77777777" w:rsidR="00F05C28" w:rsidRPr="00F05C28" w:rsidRDefault="00F05C28" w:rsidP="00574B5E"/>
        </w:tc>
        <w:tc>
          <w:tcPr>
            <w:tcW w:w="2350" w:type="dxa"/>
            <w:tcBorders>
              <w:top w:val="nil"/>
              <w:left w:val="nil"/>
              <w:bottom w:val="nil"/>
              <w:right w:val="nil"/>
            </w:tcBorders>
            <w:shd w:val="clear" w:color="auto" w:fill="auto"/>
            <w:noWrap/>
            <w:vAlign w:val="bottom"/>
            <w:hideMark/>
          </w:tcPr>
          <w:p w14:paraId="32DA05CD" w14:textId="77777777" w:rsidR="00F05C28" w:rsidRPr="00F05C28" w:rsidRDefault="00F05C28" w:rsidP="00574B5E"/>
        </w:tc>
        <w:tc>
          <w:tcPr>
            <w:tcW w:w="1995" w:type="dxa"/>
            <w:gridSpan w:val="2"/>
            <w:tcBorders>
              <w:top w:val="nil"/>
              <w:left w:val="nil"/>
              <w:bottom w:val="nil"/>
              <w:right w:val="nil"/>
            </w:tcBorders>
            <w:shd w:val="clear" w:color="auto" w:fill="auto"/>
            <w:noWrap/>
            <w:vAlign w:val="bottom"/>
            <w:hideMark/>
          </w:tcPr>
          <w:p w14:paraId="711D5AEB" w14:textId="77777777" w:rsidR="00F05C28" w:rsidRPr="00F05C28" w:rsidRDefault="00F05C28" w:rsidP="00574B5E"/>
        </w:tc>
      </w:tr>
      <w:tr w:rsidR="00F05C28" w:rsidRPr="00F05C28" w14:paraId="2AE95532" w14:textId="77777777" w:rsidTr="00574B5E">
        <w:trPr>
          <w:gridAfter w:val="1"/>
          <w:wAfter w:w="225" w:type="dxa"/>
          <w:trHeight w:val="320"/>
          <w:jc w:val="center"/>
        </w:trPr>
        <w:tc>
          <w:tcPr>
            <w:tcW w:w="8780" w:type="dxa"/>
            <w:gridSpan w:val="4"/>
            <w:tcBorders>
              <w:top w:val="nil"/>
              <w:left w:val="nil"/>
              <w:bottom w:val="single" w:sz="8" w:space="0" w:color="auto"/>
              <w:right w:val="nil"/>
            </w:tcBorders>
            <w:shd w:val="clear" w:color="auto" w:fill="auto"/>
            <w:vAlign w:val="center"/>
            <w:hideMark/>
          </w:tcPr>
          <w:p w14:paraId="421B4315" w14:textId="77777777" w:rsidR="00F05C28" w:rsidRPr="00F05C28" w:rsidRDefault="00F05C28" w:rsidP="00574B5E">
            <w:r w:rsidRPr="00F05C28">
              <w:t>Data Analysis Schema</w:t>
            </w:r>
          </w:p>
        </w:tc>
      </w:tr>
      <w:tr w:rsidR="00F05C28" w:rsidRPr="00F05C28" w14:paraId="61A6B0B0" w14:textId="77777777" w:rsidTr="00574B5E">
        <w:trPr>
          <w:trHeight w:val="583"/>
          <w:jc w:val="center"/>
        </w:trPr>
        <w:tc>
          <w:tcPr>
            <w:tcW w:w="1980" w:type="dxa"/>
            <w:tcBorders>
              <w:top w:val="nil"/>
              <w:left w:val="nil"/>
              <w:bottom w:val="nil"/>
              <w:right w:val="nil"/>
            </w:tcBorders>
            <w:shd w:val="clear" w:color="auto" w:fill="auto"/>
            <w:vAlign w:val="center"/>
            <w:hideMark/>
          </w:tcPr>
          <w:p w14:paraId="54762D77" w14:textId="77777777" w:rsidR="00F05C28" w:rsidRPr="00F05C28" w:rsidRDefault="00F05C28" w:rsidP="00574B5E">
            <w:pPr>
              <w:jc w:val="center"/>
              <w:rPr>
                <w:u w:val="single"/>
              </w:rPr>
            </w:pPr>
            <w:r w:rsidRPr="00F05C28">
              <w:rPr>
                <w:u w:val="single"/>
              </w:rPr>
              <w:t>Research Question</w:t>
            </w:r>
          </w:p>
        </w:tc>
        <w:tc>
          <w:tcPr>
            <w:tcW w:w="2680" w:type="dxa"/>
            <w:tcBorders>
              <w:top w:val="nil"/>
              <w:left w:val="nil"/>
              <w:bottom w:val="nil"/>
              <w:right w:val="nil"/>
            </w:tcBorders>
            <w:shd w:val="clear" w:color="auto" w:fill="auto"/>
            <w:vAlign w:val="center"/>
            <w:hideMark/>
          </w:tcPr>
          <w:p w14:paraId="54BB00F3" w14:textId="77777777" w:rsidR="00F05C28" w:rsidRPr="00F05C28" w:rsidRDefault="00F05C28" w:rsidP="00574B5E">
            <w:pPr>
              <w:jc w:val="center"/>
              <w:rPr>
                <w:u w:val="single"/>
              </w:rPr>
            </w:pPr>
            <w:r w:rsidRPr="00F05C28">
              <w:rPr>
                <w:u w:val="single"/>
              </w:rPr>
              <w:t>Independent Variable(s)</w:t>
            </w:r>
          </w:p>
        </w:tc>
        <w:tc>
          <w:tcPr>
            <w:tcW w:w="2350" w:type="dxa"/>
            <w:tcBorders>
              <w:top w:val="nil"/>
              <w:left w:val="nil"/>
              <w:bottom w:val="nil"/>
              <w:right w:val="nil"/>
            </w:tcBorders>
            <w:shd w:val="clear" w:color="auto" w:fill="auto"/>
            <w:vAlign w:val="center"/>
            <w:hideMark/>
          </w:tcPr>
          <w:p w14:paraId="25205880" w14:textId="77777777" w:rsidR="00F05C28" w:rsidRPr="00F05C28" w:rsidRDefault="00F05C28" w:rsidP="00574B5E">
            <w:pPr>
              <w:jc w:val="center"/>
              <w:rPr>
                <w:u w:val="single"/>
              </w:rPr>
            </w:pPr>
            <w:r w:rsidRPr="00F05C28">
              <w:rPr>
                <w:u w:val="single"/>
              </w:rPr>
              <w:t>Dependent Variable(s)</w:t>
            </w:r>
          </w:p>
        </w:tc>
        <w:tc>
          <w:tcPr>
            <w:tcW w:w="1995" w:type="dxa"/>
            <w:gridSpan w:val="2"/>
            <w:tcBorders>
              <w:top w:val="nil"/>
              <w:left w:val="nil"/>
              <w:bottom w:val="nil"/>
              <w:right w:val="nil"/>
            </w:tcBorders>
            <w:shd w:val="clear" w:color="auto" w:fill="auto"/>
            <w:vAlign w:val="center"/>
            <w:hideMark/>
          </w:tcPr>
          <w:p w14:paraId="64EFE164" w14:textId="77777777" w:rsidR="00F05C28" w:rsidRPr="00F05C28" w:rsidRDefault="00F05C28" w:rsidP="00574B5E">
            <w:pPr>
              <w:jc w:val="center"/>
              <w:rPr>
                <w:u w:val="single"/>
              </w:rPr>
            </w:pPr>
            <w:r w:rsidRPr="00F05C28">
              <w:rPr>
                <w:u w:val="single"/>
              </w:rPr>
              <w:t>Statistic Procedure</w:t>
            </w:r>
          </w:p>
        </w:tc>
      </w:tr>
      <w:tr w:rsidR="00F05C28" w:rsidRPr="00F05C28" w14:paraId="7842C0F3" w14:textId="77777777" w:rsidTr="00574B5E">
        <w:trPr>
          <w:trHeight w:val="300"/>
          <w:jc w:val="center"/>
        </w:trPr>
        <w:tc>
          <w:tcPr>
            <w:tcW w:w="1980" w:type="dxa"/>
            <w:tcBorders>
              <w:top w:val="nil"/>
              <w:left w:val="nil"/>
              <w:bottom w:val="nil"/>
              <w:right w:val="nil"/>
            </w:tcBorders>
            <w:shd w:val="clear" w:color="auto" w:fill="auto"/>
            <w:vAlign w:val="bottom"/>
            <w:hideMark/>
          </w:tcPr>
          <w:p w14:paraId="52D53756" w14:textId="77777777" w:rsidR="00F05C28" w:rsidRPr="00F05C28" w:rsidRDefault="00F05C28" w:rsidP="00574B5E">
            <w:pPr>
              <w:jc w:val="center"/>
            </w:pPr>
            <w:r w:rsidRPr="00F05C28">
              <w:t>#1</w:t>
            </w:r>
          </w:p>
        </w:tc>
        <w:tc>
          <w:tcPr>
            <w:tcW w:w="2680" w:type="dxa"/>
            <w:tcBorders>
              <w:top w:val="nil"/>
              <w:left w:val="nil"/>
              <w:bottom w:val="nil"/>
              <w:right w:val="nil"/>
            </w:tcBorders>
            <w:shd w:val="clear" w:color="auto" w:fill="auto"/>
            <w:vAlign w:val="bottom"/>
          </w:tcPr>
          <w:p w14:paraId="58B8D18E" w14:textId="77777777" w:rsidR="00F05C28" w:rsidRPr="00F05C28" w:rsidRDefault="00F05C28" w:rsidP="00574B5E">
            <w:pPr>
              <w:jc w:val="center"/>
            </w:pPr>
            <w:r w:rsidRPr="00F05C28">
              <w:t>Class Level</w:t>
            </w:r>
          </w:p>
        </w:tc>
        <w:tc>
          <w:tcPr>
            <w:tcW w:w="2350" w:type="dxa"/>
            <w:tcBorders>
              <w:top w:val="nil"/>
              <w:left w:val="nil"/>
              <w:bottom w:val="nil"/>
              <w:right w:val="nil"/>
            </w:tcBorders>
            <w:shd w:val="clear" w:color="auto" w:fill="auto"/>
            <w:vAlign w:val="bottom"/>
            <w:hideMark/>
          </w:tcPr>
          <w:p w14:paraId="454C2354" w14:textId="77777777" w:rsidR="00F05C28" w:rsidRPr="00F05C28" w:rsidRDefault="00F05C28" w:rsidP="00574B5E">
            <w:pPr>
              <w:jc w:val="center"/>
            </w:pPr>
            <w:r w:rsidRPr="00F05C28">
              <w:t>Social Integration</w:t>
            </w:r>
          </w:p>
        </w:tc>
        <w:tc>
          <w:tcPr>
            <w:tcW w:w="1995" w:type="dxa"/>
            <w:gridSpan w:val="2"/>
            <w:tcBorders>
              <w:top w:val="nil"/>
              <w:left w:val="nil"/>
              <w:bottom w:val="nil"/>
              <w:right w:val="nil"/>
            </w:tcBorders>
            <w:shd w:val="clear" w:color="auto" w:fill="auto"/>
            <w:vAlign w:val="bottom"/>
            <w:hideMark/>
          </w:tcPr>
          <w:p w14:paraId="14F43931" w14:textId="77777777" w:rsidR="00F05C28" w:rsidRPr="00F05C28" w:rsidRDefault="00F05C28" w:rsidP="00574B5E">
            <w:pPr>
              <w:jc w:val="center"/>
            </w:pPr>
            <w:r w:rsidRPr="00F05C28">
              <w:t>T-test</w:t>
            </w:r>
          </w:p>
        </w:tc>
      </w:tr>
      <w:tr w:rsidR="00F05C28" w:rsidRPr="00F05C28" w14:paraId="7E82C518" w14:textId="77777777" w:rsidTr="00574B5E">
        <w:trPr>
          <w:trHeight w:val="600"/>
          <w:jc w:val="center"/>
        </w:trPr>
        <w:tc>
          <w:tcPr>
            <w:tcW w:w="1980" w:type="dxa"/>
            <w:tcBorders>
              <w:top w:val="nil"/>
              <w:left w:val="nil"/>
              <w:bottom w:val="nil"/>
              <w:right w:val="nil"/>
            </w:tcBorders>
            <w:shd w:val="clear" w:color="auto" w:fill="auto"/>
            <w:vAlign w:val="bottom"/>
            <w:hideMark/>
          </w:tcPr>
          <w:p w14:paraId="33F1144D" w14:textId="77777777" w:rsidR="00F05C28" w:rsidRPr="00F05C28" w:rsidRDefault="00F05C28" w:rsidP="00574B5E">
            <w:pPr>
              <w:jc w:val="center"/>
            </w:pPr>
            <w:r w:rsidRPr="00F05C28">
              <w:t>#2</w:t>
            </w:r>
          </w:p>
        </w:tc>
        <w:tc>
          <w:tcPr>
            <w:tcW w:w="2680" w:type="dxa"/>
            <w:tcBorders>
              <w:top w:val="nil"/>
              <w:left w:val="nil"/>
              <w:bottom w:val="nil"/>
              <w:right w:val="nil"/>
            </w:tcBorders>
            <w:shd w:val="clear" w:color="auto" w:fill="auto"/>
            <w:vAlign w:val="bottom"/>
            <w:hideMark/>
          </w:tcPr>
          <w:p w14:paraId="42A4A8B6" w14:textId="77777777" w:rsidR="00F05C28" w:rsidRPr="00F05C28" w:rsidRDefault="00F05C28" w:rsidP="00574B5E">
            <w:pPr>
              <w:jc w:val="center"/>
            </w:pPr>
            <w:r w:rsidRPr="00F05C28">
              <w:t>Race/Ethnicity &amp; Graduation</w:t>
            </w:r>
          </w:p>
        </w:tc>
        <w:tc>
          <w:tcPr>
            <w:tcW w:w="2350" w:type="dxa"/>
            <w:tcBorders>
              <w:top w:val="nil"/>
              <w:left w:val="nil"/>
              <w:bottom w:val="nil"/>
              <w:right w:val="nil"/>
            </w:tcBorders>
            <w:shd w:val="clear" w:color="auto" w:fill="auto"/>
            <w:vAlign w:val="bottom"/>
            <w:hideMark/>
          </w:tcPr>
          <w:p w14:paraId="41E926AF" w14:textId="77777777" w:rsidR="00F05C28" w:rsidRPr="00F05C28" w:rsidRDefault="00F05C28" w:rsidP="00574B5E">
            <w:pPr>
              <w:jc w:val="center"/>
            </w:pPr>
            <w:r w:rsidRPr="00F05C28">
              <w:t>Social Integration</w:t>
            </w:r>
          </w:p>
        </w:tc>
        <w:tc>
          <w:tcPr>
            <w:tcW w:w="1995" w:type="dxa"/>
            <w:gridSpan w:val="2"/>
            <w:tcBorders>
              <w:top w:val="nil"/>
              <w:left w:val="nil"/>
              <w:bottom w:val="nil"/>
              <w:right w:val="nil"/>
            </w:tcBorders>
            <w:shd w:val="clear" w:color="auto" w:fill="auto"/>
            <w:vAlign w:val="bottom"/>
            <w:hideMark/>
          </w:tcPr>
          <w:p w14:paraId="287DD5E0" w14:textId="77777777" w:rsidR="00F05C28" w:rsidRPr="00F05C28" w:rsidRDefault="00F05C28" w:rsidP="00574B5E">
            <w:pPr>
              <w:jc w:val="center"/>
            </w:pPr>
            <w:r w:rsidRPr="00F05C28">
              <w:t>ANOVA</w:t>
            </w:r>
          </w:p>
        </w:tc>
      </w:tr>
      <w:tr w:rsidR="00F05C28" w:rsidRPr="00F05C28" w14:paraId="626D4DE7" w14:textId="77777777" w:rsidTr="00574B5E">
        <w:trPr>
          <w:trHeight w:val="600"/>
          <w:jc w:val="center"/>
        </w:trPr>
        <w:tc>
          <w:tcPr>
            <w:tcW w:w="1980" w:type="dxa"/>
            <w:tcBorders>
              <w:top w:val="nil"/>
              <w:left w:val="nil"/>
              <w:bottom w:val="single" w:sz="8" w:space="0" w:color="auto"/>
              <w:right w:val="nil"/>
            </w:tcBorders>
            <w:shd w:val="clear" w:color="auto" w:fill="auto"/>
            <w:vAlign w:val="bottom"/>
            <w:hideMark/>
          </w:tcPr>
          <w:p w14:paraId="79D017EF" w14:textId="77777777" w:rsidR="00F05C28" w:rsidRPr="00F05C28" w:rsidRDefault="00F05C28" w:rsidP="00574B5E">
            <w:pPr>
              <w:jc w:val="center"/>
            </w:pPr>
            <w:r w:rsidRPr="00F05C28">
              <w:t>#3</w:t>
            </w:r>
          </w:p>
        </w:tc>
        <w:tc>
          <w:tcPr>
            <w:tcW w:w="2680" w:type="dxa"/>
            <w:tcBorders>
              <w:top w:val="nil"/>
              <w:left w:val="nil"/>
              <w:bottom w:val="single" w:sz="8" w:space="0" w:color="auto"/>
              <w:right w:val="nil"/>
            </w:tcBorders>
            <w:shd w:val="clear" w:color="auto" w:fill="auto"/>
            <w:vAlign w:val="bottom"/>
            <w:hideMark/>
          </w:tcPr>
          <w:p w14:paraId="3F333385" w14:textId="77777777" w:rsidR="00F05C28" w:rsidRPr="00F05C28" w:rsidRDefault="00F05C28" w:rsidP="00574B5E">
            <w:pPr>
              <w:jc w:val="center"/>
            </w:pPr>
            <w:r w:rsidRPr="00F05C28">
              <w:t>Social Integration &amp; Student Demographic Information</w:t>
            </w:r>
          </w:p>
        </w:tc>
        <w:tc>
          <w:tcPr>
            <w:tcW w:w="2350" w:type="dxa"/>
            <w:tcBorders>
              <w:top w:val="nil"/>
              <w:left w:val="nil"/>
              <w:bottom w:val="single" w:sz="8" w:space="0" w:color="auto"/>
              <w:right w:val="nil"/>
            </w:tcBorders>
            <w:shd w:val="clear" w:color="auto" w:fill="auto"/>
            <w:vAlign w:val="bottom"/>
            <w:hideMark/>
          </w:tcPr>
          <w:p w14:paraId="2A4C4D5C" w14:textId="77777777" w:rsidR="00F05C28" w:rsidRPr="00F05C28" w:rsidRDefault="00F05C28" w:rsidP="00574B5E">
            <w:pPr>
              <w:jc w:val="center"/>
            </w:pPr>
            <w:r w:rsidRPr="00F05C28">
              <w:t>Graduation</w:t>
            </w:r>
          </w:p>
        </w:tc>
        <w:tc>
          <w:tcPr>
            <w:tcW w:w="1995" w:type="dxa"/>
            <w:gridSpan w:val="2"/>
            <w:tcBorders>
              <w:top w:val="nil"/>
              <w:left w:val="nil"/>
              <w:bottom w:val="single" w:sz="8" w:space="0" w:color="auto"/>
              <w:right w:val="nil"/>
            </w:tcBorders>
            <w:shd w:val="clear" w:color="auto" w:fill="auto"/>
            <w:vAlign w:val="bottom"/>
            <w:hideMark/>
          </w:tcPr>
          <w:p w14:paraId="4C40864E" w14:textId="77777777" w:rsidR="00F05C28" w:rsidRPr="00F05C28" w:rsidRDefault="00F05C28" w:rsidP="00574B5E">
            <w:pPr>
              <w:jc w:val="center"/>
            </w:pPr>
            <w:r w:rsidRPr="00F05C28">
              <w:t>Logistic Regression</w:t>
            </w:r>
          </w:p>
        </w:tc>
      </w:tr>
    </w:tbl>
    <w:p w14:paraId="16528285" w14:textId="77777777" w:rsidR="00F05C28" w:rsidRPr="00F05C28" w:rsidRDefault="00F05C28" w:rsidP="00F05C28">
      <w:pPr>
        <w:spacing w:line="480" w:lineRule="auto"/>
      </w:pPr>
      <w:r w:rsidRPr="00F05C28">
        <w:lastRenderedPageBreak/>
        <w:t xml:space="preserve">this study, the independent sample t-test analyzed the difference in the social integration mean score of the first-year student group and the senior-level student group.  The assumptions that needed to be met prior to completing the t-test were the assumption of normality and homogeneity of variance.  Normality indicates that the spread or distribution of the sample scores are perfectly symmetrical and the reflects a bell curve.  The second assumption, Homogeneity of Variance is the assumption that all comparison groups have the same variance. If homogeneity of variance is violated it can increase the chances of making a type 1 error, the incorrect rejection of a null hypothesis. </w:t>
      </w:r>
    </w:p>
    <w:p w14:paraId="7665D57F" w14:textId="77777777" w:rsidR="00F05C28" w:rsidRPr="00F05C28" w:rsidRDefault="00F05C28" w:rsidP="00F05C28">
      <w:pPr>
        <w:spacing w:line="480" w:lineRule="auto"/>
        <w:ind w:firstLine="720"/>
      </w:pPr>
      <w:r w:rsidRPr="00F05C28">
        <w:t xml:space="preserve">Research Question 2. The researcher used a two-way Analysis of Variance (ANOVA) to test the differences in social integration by race/ethnicity and retention status (graduate or dropout) for both the </w:t>
      </w:r>
      <w:proofErr w:type="gramStart"/>
      <w:r w:rsidRPr="00F05C28">
        <w:t>first-year</w:t>
      </w:r>
      <w:proofErr w:type="gramEnd"/>
      <w:r w:rsidRPr="00F05C28">
        <w:t xml:space="preserve"> and senior level participants.  The ANOVA test was selected because it would best answer the question while determining specifically which factors and interactions account for a significant proportion of variance (Cramer, 2007).  The independent variables in this question were race/ethnicity and graduation.  This question specifically analyzed the African American and Latinx participants captured in the race/ethnicity variable.  Prior to completing the ANOVA, the assumption of normality and homogeneity of variance needed to be met.  The assumption of normality was tested using the Shapiro-Wilks test to determine if the spread or distribution of the sample means are similar.  Once all assumptions were met the two-way ANOVA was completed.  The ANOVA was used to analyze how race/ethnicity interacted with graduation in response to social integration.</w:t>
      </w:r>
    </w:p>
    <w:p w14:paraId="3BBC5748" w14:textId="77777777" w:rsidR="00F05C28" w:rsidRPr="00F05C28" w:rsidRDefault="00F05C28" w:rsidP="00F05C28">
      <w:pPr>
        <w:spacing w:line="480" w:lineRule="auto"/>
        <w:ind w:firstLine="720"/>
      </w:pPr>
      <w:r w:rsidRPr="00F05C28">
        <w:t xml:space="preserve">Research Question 3. Logistic regression was used to answer the third research question, identifying the predictability of retention to graduation based on student demographic information.  The dependent variable was graduation.  In this study, the dependent variable, </w:t>
      </w:r>
      <w:r w:rsidRPr="00F05C28">
        <w:lastRenderedPageBreak/>
        <w:t xml:space="preserve">graduation, falls into one of two categories, where Y=0, accounts for students who discontinued their college enrollment (dropout), and Y=1 for students who graduated from college (graduate).  Logistic regression is specifically applicable when the dependent variable is dichotomous, as in this study (Harrell, 2001; Menard, 1995, 2010; </w:t>
      </w:r>
      <w:proofErr w:type="spellStart"/>
      <w:r w:rsidRPr="00F05C28">
        <w:t>Pampel</w:t>
      </w:r>
      <w:proofErr w:type="spellEnd"/>
      <w:r w:rsidRPr="00F05C28">
        <w:t xml:space="preserve">, 2000).  The independent variables, also referred to as predictors in logistic regression, are normally interval, ratio, or dummy variables (Healy, 2006; Menard, 2010).  The independent variables that are used for outcome prediction may be dichotomous, categorical or continuous.  Since dichotomous data are not normally distributed, all normality tests are invalid.  The independent variable are the student demographic variables previously listed (race/ethnicity, gender, nationality, class level, transfer status, enrollment status, residential status, and parents’ highest level of education). </w:t>
      </w:r>
    </w:p>
    <w:p w14:paraId="436D3F98" w14:textId="77777777" w:rsidR="00F05C28" w:rsidRPr="00F05C28" w:rsidRDefault="00F05C28" w:rsidP="00F05C28">
      <w:pPr>
        <w:spacing w:line="480" w:lineRule="auto"/>
        <w:ind w:firstLine="720"/>
        <w:rPr>
          <w:b/>
        </w:rPr>
      </w:pPr>
      <w:r w:rsidRPr="00F05C28">
        <w:t>Two assumptions needed to be verified before completing a logistic regression analysis, multicollinearity and goodness-of-fit (Harrell, 2001).  Multicollinearity measures the shared variance or the amount of overlap between the independent variables.  A smaller shared variance would allow the researcher to measure the effect of each independent variable more accurately.  Collinearity makes it difficult to estimate and interpret effect sizes because the data includes relatively no information about the effect of changing one variable while holding another variable constant.  Collinearity is tested through the analysis of Variance Inflation Factors (VIFs).  According to O’Brien (2007), practitioners must be careful when utilizing VIFs to test collinearity, for the misuse of this data can compromise the validity of the entire study.  Goodness-of-fit evaluates how well the data selected can predict certain outcomes for the dichotomous dependent variable.  The Goodness-of-fit test, Hosmer-</w:t>
      </w:r>
      <w:proofErr w:type="spellStart"/>
      <w:r w:rsidRPr="00F05C28">
        <w:t>Lemeshow</w:t>
      </w:r>
      <w:proofErr w:type="spellEnd"/>
      <w:r w:rsidRPr="00F05C28">
        <w:t xml:space="preserve"> test, also measures the fit of a logistical model against the data the model is analyzing based on the grouping and distribution of predicted probability (Harrell, 2001, pp. 231; Peng &amp; So, 2002). </w:t>
      </w:r>
    </w:p>
    <w:p w14:paraId="512D8D46" w14:textId="77777777" w:rsidR="00F05C28" w:rsidRPr="00F05C28" w:rsidRDefault="00F05C28" w:rsidP="00F05C28">
      <w:pPr>
        <w:spacing w:line="480" w:lineRule="auto"/>
        <w:ind w:firstLine="720"/>
      </w:pPr>
      <w:r w:rsidRPr="00F05C28">
        <w:lastRenderedPageBreak/>
        <w:t xml:space="preserve"> The results from a logistic regression depict the changes in probability of experiencing an event due to a </w:t>
      </w:r>
      <w:proofErr w:type="gramStart"/>
      <w:r w:rsidRPr="00F05C28">
        <w:t>one unit</w:t>
      </w:r>
      <w:proofErr w:type="gramEnd"/>
      <w:r w:rsidRPr="00F05C28">
        <w:t xml:space="preserve"> change in the independent variable(s) (</w:t>
      </w:r>
      <w:proofErr w:type="spellStart"/>
      <w:r w:rsidRPr="00F05C28">
        <w:t>Pampel</w:t>
      </w:r>
      <w:proofErr w:type="spellEnd"/>
      <w:r w:rsidRPr="00F05C28">
        <w:t>, 2000).  Within this study, logistic regression will be utilized to predict the probability of student graduation in college while accounting for various independent factors, such as race, level of social integration, and other background characteristics.  Logistic regression in the form of probabilities and odds expresses expression of the likelihood of an event occurring (</w:t>
      </w:r>
      <w:proofErr w:type="spellStart"/>
      <w:r w:rsidRPr="00F05C28">
        <w:t>Pampel</w:t>
      </w:r>
      <w:proofErr w:type="spellEnd"/>
      <w:r w:rsidRPr="00F05C28">
        <w:t xml:space="preserve">, 2000).  The odds ratio will be used to depict the likelihood of an event occurring compared to the odds of that event occurring for a reference group (Harrell, 2001).  The coefficient of determination, also called </w:t>
      </w:r>
      <w:proofErr w:type="spellStart"/>
      <w:r w:rsidRPr="00F05C28">
        <w:t>Psuedo</w:t>
      </w:r>
      <w:proofErr w:type="spellEnd"/>
      <w:r w:rsidRPr="00F05C28">
        <w:t xml:space="preserve"> R-squared (R²) in logistic regression, will be used to measure the proportion of variance that is explained by the independent variable(s) (Menard, 1995).  Utilizing the pseudo R-squared allows for the comparison of logistic regression models with other statistical models of analysis such as linear probability, analysis of variance, and discriminant analysis when predicting the observed values (Menard, 1995).  </w:t>
      </w:r>
    </w:p>
    <w:p w14:paraId="5B919536" w14:textId="77777777" w:rsidR="00F05C28" w:rsidRPr="00F05C28" w:rsidRDefault="00F05C28" w:rsidP="00F05C28">
      <w:pPr>
        <w:spacing w:line="480" w:lineRule="auto"/>
        <w:outlineLvl w:val="0"/>
        <w:rPr>
          <w:b/>
        </w:rPr>
      </w:pPr>
      <w:bookmarkStart w:id="17" w:name="_Toc43791650"/>
      <w:r w:rsidRPr="00F05C28">
        <w:rPr>
          <w:b/>
        </w:rPr>
        <w:t>Delimitations and Limitations</w:t>
      </w:r>
      <w:bookmarkEnd w:id="17"/>
    </w:p>
    <w:p w14:paraId="7B163033" w14:textId="77777777" w:rsidR="00F05C28" w:rsidRPr="00F05C28" w:rsidRDefault="00F05C28" w:rsidP="00F05C28">
      <w:pPr>
        <w:spacing w:line="480" w:lineRule="auto"/>
        <w:ind w:firstLine="720"/>
      </w:pPr>
      <w:r w:rsidRPr="00F05C28">
        <w:t xml:space="preserve">It is important to acknowledge the limitations of this study.  The study is delimited to understanding social integration and retention of African American and Latinx students at a large, public, Predominantly White University (PWI) in the South.  As a result, the findings of the study cannot speak to or accurately explain social integration of African American or Latinx students at any other public, private, for-profit, small, large, or research 1 colleges or universities. While the findings of the study may be suggestive for other similar institutions, the results of this study are limited to the institution studied.  Using data from the National Survey of Student Engagement (NSSE) provides a couple limitations for this study as well.  One of these limitations was the age of the data.  South-Eastern State University most recently only </w:t>
      </w:r>
      <w:r w:rsidRPr="00F05C28">
        <w:lastRenderedPageBreak/>
        <w:t xml:space="preserve">participated in the 2011, 2014, and 2017 NSSE.  The 2011 NSSE data are the only year where institutional retention data are available for the participants for both 4-year and 6-year graduation rates.  Another limitation for this study is the lack of customization of the instrument.  Since we are using a secondary national dataset, the questions participants answered are already set and questions specifically addressing social integration or newly found methods were not incorporated into the survey.  A third limitation for this study is the population sample. The cohort used for this study includes a non-paired sample of freshmen and senior students, and only examines one-year of their college tenure.  A paired sample would allow for a progression analysis students’ social integration. A final limitation to this study is the small sample size of the African American and Latinx students.  The small size of the samples can contribute to the difficulty of identifying and measuring significant differences across populations. </w:t>
      </w:r>
    </w:p>
    <w:p w14:paraId="1D4410D6" w14:textId="77777777" w:rsidR="00F05C28" w:rsidRPr="00F05C28" w:rsidRDefault="00F05C28" w:rsidP="00F05C28">
      <w:pPr>
        <w:spacing w:line="480" w:lineRule="auto"/>
        <w:outlineLvl w:val="0"/>
        <w:rPr>
          <w:b/>
        </w:rPr>
      </w:pPr>
      <w:bookmarkStart w:id="18" w:name="_Toc43791651"/>
      <w:r w:rsidRPr="00F05C28">
        <w:rPr>
          <w:b/>
        </w:rPr>
        <w:t>Summary</w:t>
      </w:r>
      <w:bookmarkEnd w:id="18"/>
    </w:p>
    <w:p w14:paraId="5746A267" w14:textId="77777777" w:rsidR="00F05C28" w:rsidRPr="00F05C28" w:rsidRDefault="00F05C28" w:rsidP="00F05C28">
      <w:pPr>
        <w:spacing w:line="480" w:lineRule="auto"/>
        <w:ind w:firstLine="720"/>
      </w:pPr>
      <w:r w:rsidRPr="00F05C28">
        <w:t xml:space="preserve">This study focuses on comparing the impact of social integration and student demographic information on student graduation.  This chapter reintroduced the purpose of this study and the research questions that guided this study.  After the research design was detailed, the variables used as well as the methods of data collections were thoroughly detailed.  The method of analysis for each other research questions was also presented.  The findings of the study will be examined in Chapter 4. </w:t>
      </w:r>
    </w:p>
    <w:p w14:paraId="4BD14041" w14:textId="77777777" w:rsidR="00F05C28" w:rsidRPr="00F05C28" w:rsidRDefault="00F05C28" w:rsidP="00F05C28">
      <w:pPr>
        <w:spacing w:line="480" w:lineRule="auto"/>
        <w:ind w:firstLine="720"/>
      </w:pPr>
    </w:p>
    <w:p w14:paraId="359ADA9A" w14:textId="77777777" w:rsidR="00F05C28" w:rsidRPr="00F05C28" w:rsidRDefault="00F05C28" w:rsidP="00F05C28">
      <w:pPr>
        <w:spacing w:line="480" w:lineRule="auto"/>
        <w:ind w:firstLine="720"/>
      </w:pPr>
    </w:p>
    <w:p w14:paraId="10C10962" w14:textId="77777777" w:rsidR="00F05C28" w:rsidRPr="00F05C28" w:rsidRDefault="00F05C28" w:rsidP="00F05C28">
      <w:pPr>
        <w:spacing w:after="160" w:line="259" w:lineRule="auto"/>
      </w:pPr>
      <w:r w:rsidRPr="00F05C28">
        <w:br w:type="page"/>
      </w:r>
    </w:p>
    <w:p w14:paraId="5891BA5C" w14:textId="77777777" w:rsidR="00F05C28" w:rsidRPr="00F05C28" w:rsidRDefault="00F05C28" w:rsidP="00F05C28">
      <w:pPr>
        <w:spacing w:line="480" w:lineRule="auto"/>
        <w:jc w:val="center"/>
        <w:rPr>
          <w:b/>
        </w:rPr>
      </w:pPr>
      <w:r w:rsidRPr="00F05C28">
        <w:rPr>
          <w:b/>
        </w:rPr>
        <w:lastRenderedPageBreak/>
        <w:t>CHAPTER FOUR</w:t>
      </w:r>
    </w:p>
    <w:p w14:paraId="69A73961" w14:textId="77777777" w:rsidR="00F05C28" w:rsidRPr="00F05C28" w:rsidRDefault="00F05C28" w:rsidP="00F05C28">
      <w:pPr>
        <w:spacing w:line="480" w:lineRule="auto"/>
        <w:jc w:val="center"/>
        <w:rPr>
          <w:b/>
        </w:rPr>
      </w:pPr>
      <w:r w:rsidRPr="00F05C28">
        <w:rPr>
          <w:b/>
        </w:rPr>
        <w:t>Findings</w:t>
      </w:r>
    </w:p>
    <w:p w14:paraId="4F5135E6" w14:textId="77777777" w:rsidR="00F05C28" w:rsidRPr="00F05C28" w:rsidRDefault="00F05C28" w:rsidP="00F05C28">
      <w:pPr>
        <w:spacing w:line="480" w:lineRule="auto"/>
      </w:pPr>
      <w:r w:rsidRPr="00F05C28">
        <w:tab/>
        <w:t>The purpose of this study was to explore the relationships between student background characteristics, enrollment, class level, and social integration and the ability to predict student graduation based on social integration. The study addressed the following research questions:</w:t>
      </w:r>
    </w:p>
    <w:p w14:paraId="798D9576" w14:textId="77777777" w:rsidR="00F05C28" w:rsidRPr="00F05C28" w:rsidRDefault="00F05C28" w:rsidP="00F05C28">
      <w:pPr>
        <w:pStyle w:val="ListParagraph"/>
        <w:numPr>
          <w:ilvl w:val="0"/>
          <w:numId w:val="6"/>
        </w:numPr>
        <w:spacing w:after="0" w:line="480" w:lineRule="auto"/>
        <w:ind w:left="1080"/>
        <w:rPr>
          <w:rFonts w:ascii="Times New Roman" w:hAnsi="Times New Roman" w:cs="Times New Roman"/>
          <w:sz w:val="24"/>
          <w:szCs w:val="24"/>
        </w:rPr>
      </w:pPr>
      <w:bookmarkStart w:id="19" w:name="_Hlk34731022"/>
      <w:r w:rsidRPr="00F05C28">
        <w:rPr>
          <w:rFonts w:ascii="Times New Roman" w:hAnsi="Times New Roman" w:cs="Times New Roman"/>
          <w:sz w:val="24"/>
          <w:szCs w:val="24"/>
        </w:rPr>
        <w:t>Is there a significant difference in the scaled measurement of social integration of first year and senior level students?</w:t>
      </w:r>
    </w:p>
    <w:p w14:paraId="47ABD910" w14:textId="77777777" w:rsidR="00F05C28" w:rsidRPr="00F05C28" w:rsidRDefault="00F05C28" w:rsidP="00F05C28">
      <w:pPr>
        <w:pStyle w:val="ListParagraph"/>
        <w:numPr>
          <w:ilvl w:val="0"/>
          <w:numId w:val="6"/>
        </w:numPr>
        <w:spacing w:after="0" w:line="480" w:lineRule="auto"/>
        <w:ind w:left="1080"/>
        <w:rPr>
          <w:rFonts w:ascii="Times New Roman" w:hAnsi="Times New Roman" w:cs="Times New Roman"/>
          <w:sz w:val="24"/>
          <w:szCs w:val="24"/>
        </w:rPr>
      </w:pPr>
      <w:r w:rsidRPr="00F05C28">
        <w:rPr>
          <w:rFonts w:ascii="Times New Roman" w:hAnsi="Times New Roman" w:cs="Times New Roman"/>
          <w:sz w:val="24"/>
          <w:szCs w:val="24"/>
        </w:rPr>
        <w:t>Is there a significant difference in the scaled measurement of social integration for African American and Latinx graduates and dropouts?</w:t>
      </w:r>
    </w:p>
    <w:p w14:paraId="26B304C5" w14:textId="77777777" w:rsidR="00F05C28" w:rsidRPr="00F05C28" w:rsidRDefault="00F05C28" w:rsidP="00F05C28">
      <w:pPr>
        <w:pStyle w:val="ListParagraph"/>
        <w:numPr>
          <w:ilvl w:val="0"/>
          <w:numId w:val="6"/>
        </w:numPr>
        <w:spacing w:after="0" w:line="480" w:lineRule="auto"/>
        <w:ind w:left="1080"/>
        <w:rPr>
          <w:rFonts w:ascii="Times New Roman" w:hAnsi="Times New Roman" w:cs="Times New Roman"/>
          <w:sz w:val="24"/>
          <w:szCs w:val="24"/>
        </w:rPr>
      </w:pPr>
      <w:r w:rsidRPr="00F05C28">
        <w:rPr>
          <w:rFonts w:ascii="Times New Roman" w:hAnsi="Times New Roman" w:cs="Times New Roman"/>
          <w:sz w:val="24"/>
          <w:szCs w:val="24"/>
        </w:rPr>
        <w:t>Does social integration predict graduation among African American and Latinx students?</w:t>
      </w:r>
    </w:p>
    <w:bookmarkEnd w:id="19"/>
    <w:p w14:paraId="3CCAB7C2" w14:textId="77777777" w:rsidR="00F05C28" w:rsidRPr="00F05C28" w:rsidRDefault="00F05C28" w:rsidP="00F05C28">
      <w:pPr>
        <w:spacing w:line="480" w:lineRule="auto"/>
      </w:pPr>
      <w:r w:rsidRPr="00F05C28">
        <w:t xml:space="preserve">This chapter presents descriptive statistics of the participants of the study and inferential statistics’ findings from the analysis conducted to answer the research questions that guided this study. The chapter begins with a demographic profile of study participants. Next, the findings related to each of the three research questions are presented. A summary of the findings appears at the end of the chapter. </w:t>
      </w:r>
    </w:p>
    <w:p w14:paraId="47F85E2D" w14:textId="77777777" w:rsidR="00F05C28" w:rsidRPr="00F05C28" w:rsidRDefault="00F05C28" w:rsidP="00F05C28">
      <w:pPr>
        <w:spacing w:line="480" w:lineRule="auto"/>
        <w:rPr>
          <w:b/>
        </w:rPr>
      </w:pPr>
      <w:r w:rsidRPr="00F05C28">
        <w:rPr>
          <w:b/>
        </w:rPr>
        <w:t>Demographic Information</w:t>
      </w:r>
    </w:p>
    <w:p w14:paraId="1E41AFE1" w14:textId="77777777" w:rsidR="00F05C28" w:rsidRPr="00F05C28" w:rsidRDefault="00F05C28" w:rsidP="00F05C28">
      <w:pPr>
        <w:spacing w:line="480" w:lineRule="auto"/>
        <w:ind w:firstLine="720"/>
      </w:pPr>
      <w:r w:rsidRPr="00F05C28">
        <w:tab/>
        <w:t xml:space="preserve">A total of 1,742 students participated in the 2011 NSSE at South-Eastern State University. For the purpose of this study, data from 1,516 participants were used due to missing records and survey responses. Table 4.1 includes a breakdown of the student characteristics and demographic information.  As may be seen in Table 4.1, the participants included 1,353 graduates and 163 dropouts. There were 892 female participants and 624 male participants. The class level breakdown included 589 Freshmen participants and 927 Senior participants. </w:t>
      </w:r>
    </w:p>
    <w:tbl>
      <w:tblPr>
        <w:tblW w:w="0" w:type="auto"/>
        <w:tblLook w:val="04A0" w:firstRow="1" w:lastRow="0" w:firstColumn="1" w:lastColumn="0" w:noHBand="0" w:noVBand="1"/>
      </w:tblPr>
      <w:tblGrid>
        <w:gridCol w:w="3725"/>
        <w:gridCol w:w="1298"/>
        <w:gridCol w:w="1332"/>
      </w:tblGrid>
      <w:tr w:rsidR="00F05C28" w:rsidRPr="00F05C28" w14:paraId="30234F72" w14:textId="77777777" w:rsidTr="00574B5E">
        <w:trPr>
          <w:trHeight w:val="288"/>
        </w:trPr>
        <w:tc>
          <w:tcPr>
            <w:tcW w:w="0" w:type="auto"/>
            <w:gridSpan w:val="3"/>
            <w:tcBorders>
              <w:top w:val="nil"/>
              <w:left w:val="nil"/>
              <w:bottom w:val="nil"/>
              <w:right w:val="nil"/>
            </w:tcBorders>
            <w:shd w:val="clear" w:color="auto" w:fill="auto"/>
            <w:noWrap/>
            <w:vAlign w:val="bottom"/>
            <w:hideMark/>
          </w:tcPr>
          <w:p w14:paraId="590501CF" w14:textId="77777777" w:rsidR="00F05C28" w:rsidRPr="00F05C28" w:rsidRDefault="00F05C28" w:rsidP="00574B5E">
            <w:pPr>
              <w:rPr>
                <w:color w:val="000000"/>
              </w:rPr>
            </w:pPr>
            <w:r w:rsidRPr="00F05C28">
              <w:rPr>
                <w:color w:val="000000"/>
              </w:rPr>
              <w:lastRenderedPageBreak/>
              <w:t>Table 4.1</w:t>
            </w:r>
          </w:p>
        </w:tc>
      </w:tr>
      <w:tr w:rsidR="00F05C28" w:rsidRPr="00F05C28" w14:paraId="33853469" w14:textId="77777777" w:rsidTr="00574B5E">
        <w:trPr>
          <w:trHeight w:val="288"/>
        </w:trPr>
        <w:tc>
          <w:tcPr>
            <w:tcW w:w="0" w:type="auto"/>
            <w:gridSpan w:val="3"/>
            <w:tcBorders>
              <w:top w:val="nil"/>
              <w:left w:val="nil"/>
              <w:bottom w:val="single" w:sz="4" w:space="0" w:color="auto"/>
              <w:right w:val="nil"/>
            </w:tcBorders>
            <w:shd w:val="clear" w:color="auto" w:fill="auto"/>
            <w:noWrap/>
            <w:vAlign w:val="bottom"/>
            <w:hideMark/>
          </w:tcPr>
          <w:p w14:paraId="55AB9BCF" w14:textId="77777777" w:rsidR="00F05C28" w:rsidRPr="00F05C28" w:rsidRDefault="00F05C28" w:rsidP="00574B5E">
            <w:pPr>
              <w:rPr>
                <w:color w:val="000000"/>
              </w:rPr>
            </w:pPr>
            <w:r w:rsidRPr="00F05C28">
              <w:rPr>
                <w:color w:val="000000"/>
              </w:rPr>
              <w:t>Participant Demographic Information &amp; Student Characteristics</w:t>
            </w:r>
          </w:p>
        </w:tc>
      </w:tr>
      <w:tr w:rsidR="00F05C28" w:rsidRPr="00F05C28" w14:paraId="2F3C6D3A" w14:textId="77777777" w:rsidTr="00574B5E">
        <w:trPr>
          <w:trHeight w:val="288"/>
        </w:trPr>
        <w:tc>
          <w:tcPr>
            <w:tcW w:w="0" w:type="auto"/>
            <w:tcBorders>
              <w:top w:val="nil"/>
              <w:left w:val="nil"/>
              <w:bottom w:val="single" w:sz="4" w:space="0" w:color="auto"/>
              <w:right w:val="nil"/>
            </w:tcBorders>
            <w:shd w:val="clear" w:color="auto" w:fill="auto"/>
            <w:noWrap/>
            <w:vAlign w:val="bottom"/>
            <w:hideMark/>
          </w:tcPr>
          <w:p w14:paraId="18385C51" w14:textId="77777777" w:rsidR="00F05C28" w:rsidRPr="00F05C28" w:rsidRDefault="00F05C28" w:rsidP="00574B5E">
            <w:pPr>
              <w:rPr>
                <w:color w:val="000000"/>
              </w:rPr>
            </w:pPr>
            <w:r w:rsidRPr="00F05C28">
              <w:rPr>
                <w:color w:val="000000"/>
              </w:rPr>
              <w:t> </w:t>
            </w:r>
          </w:p>
        </w:tc>
        <w:tc>
          <w:tcPr>
            <w:tcW w:w="0" w:type="auto"/>
            <w:tcBorders>
              <w:top w:val="nil"/>
              <w:left w:val="nil"/>
              <w:bottom w:val="single" w:sz="4" w:space="0" w:color="auto"/>
              <w:right w:val="nil"/>
            </w:tcBorders>
            <w:shd w:val="clear" w:color="auto" w:fill="auto"/>
            <w:noWrap/>
            <w:vAlign w:val="bottom"/>
            <w:hideMark/>
          </w:tcPr>
          <w:p w14:paraId="453A3D6F" w14:textId="77777777" w:rsidR="00F05C28" w:rsidRPr="00F05C28" w:rsidRDefault="00F05C28" w:rsidP="00574B5E">
            <w:pPr>
              <w:rPr>
                <w:color w:val="000000"/>
              </w:rPr>
            </w:pPr>
            <w:r w:rsidRPr="00F05C28">
              <w:rPr>
                <w:color w:val="000000"/>
              </w:rPr>
              <w:t>Count</w:t>
            </w:r>
          </w:p>
        </w:tc>
        <w:tc>
          <w:tcPr>
            <w:tcW w:w="0" w:type="auto"/>
            <w:tcBorders>
              <w:top w:val="nil"/>
              <w:left w:val="nil"/>
              <w:bottom w:val="single" w:sz="4" w:space="0" w:color="auto"/>
              <w:right w:val="nil"/>
            </w:tcBorders>
            <w:shd w:val="clear" w:color="auto" w:fill="auto"/>
            <w:noWrap/>
            <w:vAlign w:val="bottom"/>
            <w:hideMark/>
          </w:tcPr>
          <w:p w14:paraId="66539307" w14:textId="77777777" w:rsidR="00F05C28" w:rsidRPr="00F05C28" w:rsidRDefault="00F05C28" w:rsidP="00574B5E">
            <w:pPr>
              <w:rPr>
                <w:color w:val="000000"/>
              </w:rPr>
            </w:pPr>
            <w:r w:rsidRPr="00F05C28">
              <w:rPr>
                <w:color w:val="000000"/>
              </w:rPr>
              <w:t>Percentage</w:t>
            </w:r>
          </w:p>
        </w:tc>
      </w:tr>
      <w:tr w:rsidR="00F05C28" w:rsidRPr="00F05C28" w14:paraId="01F77588" w14:textId="77777777" w:rsidTr="00574B5E">
        <w:trPr>
          <w:trHeight w:val="288"/>
        </w:trPr>
        <w:tc>
          <w:tcPr>
            <w:tcW w:w="0" w:type="auto"/>
            <w:tcBorders>
              <w:top w:val="nil"/>
              <w:left w:val="nil"/>
              <w:bottom w:val="nil"/>
              <w:right w:val="nil"/>
            </w:tcBorders>
            <w:shd w:val="clear" w:color="auto" w:fill="auto"/>
            <w:noWrap/>
            <w:vAlign w:val="bottom"/>
            <w:hideMark/>
          </w:tcPr>
          <w:p w14:paraId="3C37234F" w14:textId="77777777" w:rsidR="00F05C28" w:rsidRPr="00F05C28" w:rsidRDefault="00F05C28" w:rsidP="00574B5E">
            <w:pPr>
              <w:jc w:val="center"/>
              <w:rPr>
                <w:b/>
                <w:bCs/>
                <w:color w:val="000000"/>
              </w:rPr>
            </w:pPr>
            <w:r w:rsidRPr="00F05C28">
              <w:rPr>
                <w:b/>
                <w:bCs/>
                <w:color w:val="000000"/>
              </w:rPr>
              <w:t>Graduation Status</w:t>
            </w:r>
          </w:p>
        </w:tc>
        <w:tc>
          <w:tcPr>
            <w:tcW w:w="0" w:type="auto"/>
            <w:tcBorders>
              <w:top w:val="nil"/>
              <w:left w:val="nil"/>
              <w:bottom w:val="nil"/>
              <w:right w:val="nil"/>
            </w:tcBorders>
            <w:shd w:val="clear" w:color="auto" w:fill="auto"/>
            <w:noWrap/>
            <w:vAlign w:val="bottom"/>
            <w:hideMark/>
          </w:tcPr>
          <w:p w14:paraId="2A52745A"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384674B1" w14:textId="77777777" w:rsidR="00F05C28" w:rsidRPr="00F05C28" w:rsidRDefault="00F05C28" w:rsidP="00574B5E"/>
        </w:tc>
      </w:tr>
      <w:tr w:rsidR="00F05C28" w:rsidRPr="00F05C28" w14:paraId="3F00176E" w14:textId="77777777" w:rsidTr="00574B5E">
        <w:trPr>
          <w:trHeight w:val="288"/>
        </w:trPr>
        <w:tc>
          <w:tcPr>
            <w:tcW w:w="0" w:type="auto"/>
            <w:tcBorders>
              <w:top w:val="nil"/>
              <w:left w:val="nil"/>
              <w:bottom w:val="nil"/>
              <w:right w:val="nil"/>
            </w:tcBorders>
            <w:shd w:val="clear" w:color="auto" w:fill="auto"/>
            <w:noWrap/>
            <w:vAlign w:val="bottom"/>
            <w:hideMark/>
          </w:tcPr>
          <w:p w14:paraId="0D64A3F9" w14:textId="77777777" w:rsidR="00F05C28" w:rsidRPr="00F05C28" w:rsidRDefault="00F05C28" w:rsidP="00574B5E">
            <w:pPr>
              <w:rPr>
                <w:color w:val="000000"/>
              </w:rPr>
            </w:pPr>
            <w:r w:rsidRPr="00F05C28">
              <w:rPr>
                <w:color w:val="000000"/>
              </w:rPr>
              <w:t>Graduate</w:t>
            </w:r>
          </w:p>
        </w:tc>
        <w:tc>
          <w:tcPr>
            <w:tcW w:w="0" w:type="auto"/>
            <w:tcBorders>
              <w:top w:val="nil"/>
              <w:left w:val="nil"/>
              <w:bottom w:val="nil"/>
              <w:right w:val="nil"/>
            </w:tcBorders>
            <w:shd w:val="clear" w:color="auto" w:fill="auto"/>
            <w:noWrap/>
            <w:vAlign w:val="bottom"/>
            <w:hideMark/>
          </w:tcPr>
          <w:p w14:paraId="68F33876" w14:textId="77777777" w:rsidR="00F05C28" w:rsidRPr="00F05C28" w:rsidRDefault="00F05C28" w:rsidP="00574B5E">
            <w:pPr>
              <w:rPr>
                <w:color w:val="000000"/>
              </w:rPr>
            </w:pPr>
            <w:r w:rsidRPr="00F05C28">
              <w:rPr>
                <w:color w:val="000000"/>
              </w:rPr>
              <w:t xml:space="preserve">        1,353 </w:t>
            </w:r>
          </w:p>
        </w:tc>
        <w:tc>
          <w:tcPr>
            <w:tcW w:w="0" w:type="auto"/>
            <w:tcBorders>
              <w:top w:val="nil"/>
              <w:left w:val="nil"/>
              <w:bottom w:val="nil"/>
              <w:right w:val="nil"/>
            </w:tcBorders>
            <w:shd w:val="clear" w:color="auto" w:fill="auto"/>
            <w:noWrap/>
            <w:vAlign w:val="bottom"/>
            <w:hideMark/>
          </w:tcPr>
          <w:p w14:paraId="55C9EFC4" w14:textId="77777777" w:rsidR="00F05C28" w:rsidRPr="00F05C28" w:rsidRDefault="00F05C28" w:rsidP="00574B5E">
            <w:pPr>
              <w:jc w:val="right"/>
              <w:rPr>
                <w:color w:val="000000"/>
              </w:rPr>
            </w:pPr>
            <w:r w:rsidRPr="00F05C28">
              <w:rPr>
                <w:color w:val="000000"/>
              </w:rPr>
              <w:t>89.25%</w:t>
            </w:r>
          </w:p>
        </w:tc>
      </w:tr>
      <w:tr w:rsidR="00F05C28" w:rsidRPr="00F05C28" w14:paraId="12967C45" w14:textId="77777777" w:rsidTr="00574B5E">
        <w:trPr>
          <w:trHeight w:val="288"/>
        </w:trPr>
        <w:tc>
          <w:tcPr>
            <w:tcW w:w="0" w:type="auto"/>
            <w:tcBorders>
              <w:top w:val="nil"/>
              <w:left w:val="nil"/>
              <w:bottom w:val="nil"/>
              <w:right w:val="nil"/>
            </w:tcBorders>
            <w:shd w:val="clear" w:color="auto" w:fill="auto"/>
            <w:noWrap/>
            <w:vAlign w:val="bottom"/>
            <w:hideMark/>
          </w:tcPr>
          <w:p w14:paraId="018FC004" w14:textId="77777777" w:rsidR="00F05C28" w:rsidRPr="00F05C28" w:rsidRDefault="00F05C28" w:rsidP="00574B5E">
            <w:pPr>
              <w:rPr>
                <w:color w:val="000000"/>
              </w:rPr>
            </w:pPr>
            <w:r w:rsidRPr="00F05C28">
              <w:rPr>
                <w:color w:val="000000"/>
              </w:rPr>
              <w:t>Dropout</w:t>
            </w:r>
          </w:p>
        </w:tc>
        <w:tc>
          <w:tcPr>
            <w:tcW w:w="0" w:type="auto"/>
            <w:tcBorders>
              <w:top w:val="nil"/>
              <w:left w:val="nil"/>
              <w:bottom w:val="nil"/>
              <w:right w:val="nil"/>
            </w:tcBorders>
            <w:shd w:val="clear" w:color="auto" w:fill="auto"/>
            <w:noWrap/>
            <w:vAlign w:val="bottom"/>
            <w:hideMark/>
          </w:tcPr>
          <w:p w14:paraId="02C5FFE5" w14:textId="77777777" w:rsidR="00F05C28" w:rsidRPr="00F05C28" w:rsidRDefault="00F05C28" w:rsidP="00574B5E">
            <w:pPr>
              <w:rPr>
                <w:color w:val="000000"/>
              </w:rPr>
            </w:pPr>
            <w:r w:rsidRPr="00F05C28">
              <w:rPr>
                <w:color w:val="000000"/>
              </w:rPr>
              <w:t xml:space="preserve">           163 </w:t>
            </w:r>
          </w:p>
        </w:tc>
        <w:tc>
          <w:tcPr>
            <w:tcW w:w="0" w:type="auto"/>
            <w:tcBorders>
              <w:top w:val="nil"/>
              <w:left w:val="nil"/>
              <w:bottom w:val="nil"/>
              <w:right w:val="nil"/>
            </w:tcBorders>
            <w:shd w:val="clear" w:color="auto" w:fill="auto"/>
            <w:noWrap/>
            <w:vAlign w:val="bottom"/>
            <w:hideMark/>
          </w:tcPr>
          <w:p w14:paraId="00F6AEA4" w14:textId="77777777" w:rsidR="00F05C28" w:rsidRPr="00F05C28" w:rsidRDefault="00F05C28" w:rsidP="00574B5E">
            <w:pPr>
              <w:jc w:val="right"/>
              <w:rPr>
                <w:color w:val="000000"/>
              </w:rPr>
            </w:pPr>
            <w:r w:rsidRPr="00F05C28">
              <w:rPr>
                <w:color w:val="000000"/>
              </w:rPr>
              <w:t>10.75%</w:t>
            </w:r>
          </w:p>
        </w:tc>
      </w:tr>
      <w:tr w:rsidR="00F05C28" w:rsidRPr="00F05C28" w14:paraId="571E9684" w14:textId="77777777" w:rsidTr="00574B5E">
        <w:trPr>
          <w:trHeight w:val="288"/>
        </w:trPr>
        <w:tc>
          <w:tcPr>
            <w:tcW w:w="0" w:type="auto"/>
            <w:tcBorders>
              <w:top w:val="nil"/>
              <w:left w:val="nil"/>
              <w:bottom w:val="nil"/>
              <w:right w:val="nil"/>
            </w:tcBorders>
            <w:shd w:val="clear" w:color="auto" w:fill="auto"/>
            <w:noWrap/>
            <w:vAlign w:val="bottom"/>
            <w:hideMark/>
          </w:tcPr>
          <w:p w14:paraId="322A0E1F" w14:textId="77777777" w:rsidR="00F05C28" w:rsidRPr="00F05C28" w:rsidRDefault="00F05C28" w:rsidP="00574B5E">
            <w:pPr>
              <w:jc w:val="center"/>
              <w:rPr>
                <w:b/>
                <w:bCs/>
                <w:color w:val="000000"/>
              </w:rPr>
            </w:pPr>
            <w:r w:rsidRPr="00F05C28">
              <w:rPr>
                <w:b/>
                <w:bCs/>
                <w:color w:val="000000"/>
              </w:rPr>
              <w:t>Gender</w:t>
            </w:r>
          </w:p>
        </w:tc>
        <w:tc>
          <w:tcPr>
            <w:tcW w:w="0" w:type="auto"/>
            <w:tcBorders>
              <w:top w:val="nil"/>
              <w:left w:val="nil"/>
              <w:bottom w:val="nil"/>
              <w:right w:val="nil"/>
            </w:tcBorders>
            <w:shd w:val="clear" w:color="auto" w:fill="auto"/>
            <w:noWrap/>
            <w:vAlign w:val="bottom"/>
            <w:hideMark/>
          </w:tcPr>
          <w:p w14:paraId="126C9336"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6A584366" w14:textId="77777777" w:rsidR="00F05C28" w:rsidRPr="00F05C28" w:rsidRDefault="00F05C28" w:rsidP="00574B5E"/>
        </w:tc>
      </w:tr>
      <w:tr w:rsidR="00F05C28" w:rsidRPr="00F05C28" w14:paraId="0E62549D" w14:textId="77777777" w:rsidTr="00574B5E">
        <w:trPr>
          <w:trHeight w:val="288"/>
        </w:trPr>
        <w:tc>
          <w:tcPr>
            <w:tcW w:w="0" w:type="auto"/>
            <w:tcBorders>
              <w:top w:val="nil"/>
              <w:left w:val="nil"/>
              <w:bottom w:val="nil"/>
              <w:right w:val="nil"/>
            </w:tcBorders>
            <w:shd w:val="clear" w:color="auto" w:fill="auto"/>
            <w:noWrap/>
            <w:vAlign w:val="bottom"/>
            <w:hideMark/>
          </w:tcPr>
          <w:p w14:paraId="4B812676" w14:textId="77777777" w:rsidR="00F05C28" w:rsidRPr="00F05C28" w:rsidRDefault="00F05C28" w:rsidP="00574B5E">
            <w:pPr>
              <w:rPr>
                <w:color w:val="000000"/>
              </w:rPr>
            </w:pPr>
            <w:proofErr w:type="spellStart"/>
            <w:r w:rsidRPr="00F05C28">
              <w:rPr>
                <w:color w:val="000000"/>
              </w:rPr>
              <w:t>Male</w:t>
            </w:r>
            <w:r w:rsidRPr="00F05C28">
              <w:rPr>
                <w:color w:val="000000"/>
                <w:vertAlign w:val="superscript"/>
              </w:rPr>
              <w:t>a</w:t>
            </w:r>
            <w:proofErr w:type="spellEnd"/>
          </w:p>
        </w:tc>
        <w:tc>
          <w:tcPr>
            <w:tcW w:w="0" w:type="auto"/>
            <w:tcBorders>
              <w:top w:val="nil"/>
              <w:left w:val="nil"/>
              <w:bottom w:val="nil"/>
              <w:right w:val="nil"/>
            </w:tcBorders>
            <w:shd w:val="clear" w:color="auto" w:fill="auto"/>
            <w:noWrap/>
            <w:vAlign w:val="bottom"/>
            <w:hideMark/>
          </w:tcPr>
          <w:p w14:paraId="34AD54E9" w14:textId="77777777" w:rsidR="00F05C28" w:rsidRPr="00F05C28" w:rsidRDefault="00F05C28" w:rsidP="00574B5E">
            <w:pPr>
              <w:rPr>
                <w:color w:val="000000"/>
              </w:rPr>
            </w:pPr>
            <w:r w:rsidRPr="00F05C28">
              <w:rPr>
                <w:color w:val="000000"/>
              </w:rPr>
              <w:t xml:space="preserve">           624 </w:t>
            </w:r>
          </w:p>
        </w:tc>
        <w:tc>
          <w:tcPr>
            <w:tcW w:w="0" w:type="auto"/>
            <w:tcBorders>
              <w:top w:val="nil"/>
              <w:left w:val="nil"/>
              <w:bottom w:val="nil"/>
              <w:right w:val="nil"/>
            </w:tcBorders>
            <w:shd w:val="clear" w:color="auto" w:fill="auto"/>
            <w:noWrap/>
            <w:vAlign w:val="bottom"/>
            <w:hideMark/>
          </w:tcPr>
          <w:p w14:paraId="789F3287" w14:textId="77777777" w:rsidR="00F05C28" w:rsidRPr="00F05C28" w:rsidRDefault="00F05C28" w:rsidP="00574B5E">
            <w:pPr>
              <w:jc w:val="right"/>
              <w:rPr>
                <w:color w:val="000000"/>
              </w:rPr>
            </w:pPr>
            <w:r w:rsidRPr="00F05C28">
              <w:rPr>
                <w:color w:val="000000"/>
              </w:rPr>
              <w:t>41.16%</w:t>
            </w:r>
          </w:p>
        </w:tc>
      </w:tr>
      <w:tr w:rsidR="00F05C28" w:rsidRPr="00F05C28" w14:paraId="6896DC6A" w14:textId="77777777" w:rsidTr="00574B5E">
        <w:trPr>
          <w:trHeight w:val="288"/>
        </w:trPr>
        <w:tc>
          <w:tcPr>
            <w:tcW w:w="0" w:type="auto"/>
            <w:tcBorders>
              <w:top w:val="nil"/>
              <w:left w:val="nil"/>
              <w:bottom w:val="nil"/>
              <w:right w:val="nil"/>
            </w:tcBorders>
            <w:shd w:val="clear" w:color="auto" w:fill="auto"/>
            <w:noWrap/>
            <w:vAlign w:val="bottom"/>
            <w:hideMark/>
          </w:tcPr>
          <w:p w14:paraId="6D54D057" w14:textId="77777777" w:rsidR="00F05C28" w:rsidRPr="00F05C28" w:rsidRDefault="00F05C28" w:rsidP="00574B5E">
            <w:pPr>
              <w:rPr>
                <w:color w:val="000000"/>
              </w:rPr>
            </w:pPr>
            <w:r w:rsidRPr="00F05C28">
              <w:rPr>
                <w:color w:val="000000"/>
              </w:rPr>
              <w:t>Female</w:t>
            </w:r>
          </w:p>
        </w:tc>
        <w:tc>
          <w:tcPr>
            <w:tcW w:w="0" w:type="auto"/>
            <w:tcBorders>
              <w:top w:val="nil"/>
              <w:left w:val="nil"/>
              <w:bottom w:val="nil"/>
              <w:right w:val="nil"/>
            </w:tcBorders>
            <w:shd w:val="clear" w:color="auto" w:fill="auto"/>
            <w:noWrap/>
            <w:vAlign w:val="bottom"/>
            <w:hideMark/>
          </w:tcPr>
          <w:p w14:paraId="69C99A7B" w14:textId="77777777" w:rsidR="00F05C28" w:rsidRPr="00F05C28" w:rsidRDefault="00F05C28" w:rsidP="00574B5E">
            <w:pPr>
              <w:rPr>
                <w:color w:val="000000"/>
              </w:rPr>
            </w:pPr>
            <w:r w:rsidRPr="00F05C28">
              <w:rPr>
                <w:color w:val="000000"/>
              </w:rPr>
              <w:t xml:space="preserve">           892 </w:t>
            </w:r>
          </w:p>
        </w:tc>
        <w:tc>
          <w:tcPr>
            <w:tcW w:w="0" w:type="auto"/>
            <w:tcBorders>
              <w:top w:val="nil"/>
              <w:left w:val="nil"/>
              <w:bottom w:val="nil"/>
              <w:right w:val="nil"/>
            </w:tcBorders>
            <w:shd w:val="clear" w:color="auto" w:fill="auto"/>
            <w:noWrap/>
            <w:vAlign w:val="bottom"/>
            <w:hideMark/>
          </w:tcPr>
          <w:p w14:paraId="76384AB4" w14:textId="77777777" w:rsidR="00F05C28" w:rsidRPr="00F05C28" w:rsidRDefault="00F05C28" w:rsidP="00574B5E">
            <w:pPr>
              <w:jc w:val="right"/>
              <w:rPr>
                <w:color w:val="000000"/>
              </w:rPr>
            </w:pPr>
            <w:r w:rsidRPr="00F05C28">
              <w:rPr>
                <w:color w:val="000000"/>
              </w:rPr>
              <w:t>58.84%</w:t>
            </w:r>
          </w:p>
        </w:tc>
      </w:tr>
      <w:tr w:rsidR="00F05C28" w:rsidRPr="00F05C28" w14:paraId="045F5F00" w14:textId="77777777" w:rsidTr="00574B5E">
        <w:trPr>
          <w:trHeight w:val="288"/>
        </w:trPr>
        <w:tc>
          <w:tcPr>
            <w:tcW w:w="0" w:type="auto"/>
            <w:tcBorders>
              <w:top w:val="nil"/>
              <w:left w:val="nil"/>
              <w:bottom w:val="nil"/>
              <w:right w:val="nil"/>
            </w:tcBorders>
            <w:shd w:val="clear" w:color="auto" w:fill="auto"/>
            <w:noWrap/>
            <w:vAlign w:val="bottom"/>
            <w:hideMark/>
          </w:tcPr>
          <w:p w14:paraId="7E92C69D" w14:textId="77777777" w:rsidR="00F05C28" w:rsidRPr="00F05C28" w:rsidRDefault="00F05C28" w:rsidP="00574B5E">
            <w:pPr>
              <w:jc w:val="center"/>
              <w:rPr>
                <w:b/>
                <w:bCs/>
                <w:color w:val="000000"/>
              </w:rPr>
            </w:pPr>
            <w:r w:rsidRPr="00F05C28">
              <w:rPr>
                <w:b/>
                <w:bCs/>
                <w:color w:val="000000"/>
              </w:rPr>
              <w:t>Class Level</w:t>
            </w:r>
          </w:p>
        </w:tc>
        <w:tc>
          <w:tcPr>
            <w:tcW w:w="0" w:type="auto"/>
            <w:tcBorders>
              <w:top w:val="nil"/>
              <w:left w:val="nil"/>
              <w:bottom w:val="nil"/>
              <w:right w:val="nil"/>
            </w:tcBorders>
            <w:shd w:val="clear" w:color="auto" w:fill="auto"/>
            <w:noWrap/>
            <w:vAlign w:val="bottom"/>
            <w:hideMark/>
          </w:tcPr>
          <w:p w14:paraId="5FDA7BC1"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5BCA8BBB" w14:textId="77777777" w:rsidR="00F05C28" w:rsidRPr="00F05C28" w:rsidRDefault="00F05C28" w:rsidP="00574B5E"/>
        </w:tc>
      </w:tr>
      <w:tr w:rsidR="00F05C28" w:rsidRPr="00F05C28" w14:paraId="70F4DE73" w14:textId="77777777" w:rsidTr="00574B5E">
        <w:trPr>
          <w:trHeight w:val="288"/>
        </w:trPr>
        <w:tc>
          <w:tcPr>
            <w:tcW w:w="0" w:type="auto"/>
            <w:tcBorders>
              <w:top w:val="nil"/>
              <w:left w:val="nil"/>
              <w:right w:val="nil"/>
            </w:tcBorders>
            <w:shd w:val="clear" w:color="auto" w:fill="auto"/>
            <w:noWrap/>
            <w:vAlign w:val="bottom"/>
            <w:hideMark/>
          </w:tcPr>
          <w:p w14:paraId="59CC4336" w14:textId="77777777" w:rsidR="00F05C28" w:rsidRPr="00F05C28" w:rsidRDefault="00F05C28" w:rsidP="00574B5E">
            <w:pPr>
              <w:rPr>
                <w:color w:val="000000"/>
              </w:rPr>
            </w:pPr>
            <w:r w:rsidRPr="00F05C28">
              <w:rPr>
                <w:color w:val="000000"/>
              </w:rPr>
              <w:t>Freshmen</w:t>
            </w:r>
          </w:p>
        </w:tc>
        <w:tc>
          <w:tcPr>
            <w:tcW w:w="0" w:type="auto"/>
            <w:tcBorders>
              <w:top w:val="nil"/>
              <w:left w:val="nil"/>
              <w:right w:val="nil"/>
            </w:tcBorders>
            <w:shd w:val="clear" w:color="auto" w:fill="auto"/>
            <w:noWrap/>
            <w:vAlign w:val="bottom"/>
            <w:hideMark/>
          </w:tcPr>
          <w:p w14:paraId="0C3B6203" w14:textId="77777777" w:rsidR="00F05C28" w:rsidRPr="00F05C28" w:rsidRDefault="00F05C28" w:rsidP="00574B5E">
            <w:pPr>
              <w:rPr>
                <w:color w:val="000000"/>
              </w:rPr>
            </w:pPr>
            <w:r w:rsidRPr="00F05C28">
              <w:rPr>
                <w:color w:val="000000"/>
              </w:rPr>
              <w:t xml:space="preserve">           589 </w:t>
            </w:r>
          </w:p>
        </w:tc>
        <w:tc>
          <w:tcPr>
            <w:tcW w:w="0" w:type="auto"/>
            <w:tcBorders>
              <w:top w:val="nil"/>
              <w:left w:val="nil"/>
              <w:right w:val="nil"/>
            </w:tcBorders>
            <w:shd w:val="clear" w:color="auto" w:fill="auto"/>
            <w:noWrap/>
            <w:vAlign w:val="bottom"/>
            <w:hideMark/>
          </w:tcPr>
          <w:p w14:paraId="5D2BB613" w14:textId="77777777" w:rsidR="00F05C28" w:rsidRPr="00F05C28" w:rsidRDefault="00F05C28" w:rsidP="00574B5E">
            <w:pPr>
              <w:jc w:val="right"/>
              <w:rPr>
                <w:color w:val="000000"/>
              </w:rPr>
            </w:pPr>
            <w:r w:rsidRPr="00F05C28">
              <w:rPr>
                <w:color w:val="000000"/>
              </w:rPr>
              <w:t>38.85%</w:t>
            </w:r>
          </w:p>
        </w:tc>
      </w:tr>
      <w:tr w:rsidR="00F05C28" w:rsidRPr="00F05C28" w14:paraId="4A326A1A" w14:textId="77777777" w:rsidTr="00574B5E">
        <w:trPr>
          <w:trHeight w:val="288"/>
        </w:trPr>
        <w:tc>
          <w:tcPr>
            <w:tcW w:w="0" w:type="auto"/>
            <w:tcBorders>
              <w:top w:val="nil"/>
              <w:left w:val="nil"/>
              <w:right w:val="nil"/>
            </w:tcBorders>
            <w:shd w:val="clear" w:color="auto" w:fill="auto"/>
            <w:noWrap/>
            <w:vAlign w:val="bottom"/>
            <w:hideMark/>
          </w:tcPr>
          <w:p w14:paraId="7D06E306" w14:textId="77777777" w:rsidR="00F05C28" w:rsidRPr="00F05C28" w:rsidRDefault="00F05C28" w:rsidP="00574B5E">
            <w:pPr>
              <w:rPr>
                <w:color w:val="000000"/>
              </w:rPr>
            </w:pPr>
            <w:proofErr w:type="spellStart"/>
            <w:r w:rsidRPr="00F05C28">
              <w:rPr>
                <w:color w:val="000000"/>
              </w:rPr>
              <w:t>Senior</w:t>
            </w:r>
            <w:r w:rsidRPr="00F05C28">
              <w:rPr>
                <w:color w:val="000000"/>
                <w:vertAlign w:val="superscript"/>
              </w:rPr>
              <w:t>a</w:t>
            </w:r>
            <w:proofErr w:type="spellEnd"/>
          </w:p>
        </w:tc>
        <w:tc>
          <w:tcPr>
            <w:tcW w:w="0" w:type="auto"/>
            <w:tcBorders>
              <w:top w:val="nil"/>
              <w:left w:val="nil"/>
              <w:right w:val="nil"/>
            </w:tcBorders>
            <w:shd w:val="clear" w:color="auto" w:fill="auto"/>
            <w:noWrap/>
            <w:vAlign w:val="bottom"/>
            <w:hideMark/>
          </w:tcPr>
          <w:p w14:paraId="0C406A20" w14:textId="77777777" w:rsidR="00F05C28" w:rsidRPr="00F05C28" w:rsidRDefault="00F05C28" w:rsidP="00574B5E">
            <w:pPr>
              <w:rPr>
                <w:color w:val="000000"/>
              </w:rPr>
            </w:pPr>
            <w:r w:rsidRPr="00F05C28">
              <w:rPr>
                <w:color w:val="000000"/>
              </w:rPr>
              <w:t xml:space="preserve">           927 </w:t>
            </w:r>
          </w:p>
        </w:tc>
        <w:tc>
          <w:tcPr>
            <w:tcW w:w="0" w:type="auto"/>
            <w:tcBorders>
              <w:top w:val="nil"/>
              <w:left w:val="nil"/>
              <w:right w:val="nil"/>
            </w:tcBorders>
            <w:shd w:val="clear" w:color="auto" w:fill="auto"/>
            <w:noWrap/>
            <w:vAlign w:val="bottom"/>
            <w:hideMark/>
          </w:tcPr>
          <w:p w14:paraId="1E33F45E" w14:textId="77777777" w:rsidR="00F05C28" w:rsidRPr="00F05C28" w:rsidRDefault="00F05C28" w:rsidP="00574B5E">
            <w:pPr>
              <w:jc w:val="right"/>
              <w:rPr>
                <w:color w:val="000000"/>
              </w:rPr>
            </w:pPr>
            <w:r w:rsidRPr="00F05C28">
              <w:rPr>
                <w:color w:val="000000"/>
              </w:rPr>
              <w:t>61.15%</w:t>
            </w:r>
          </w:p>
        </w:tc>
      </w:tr>
      <w:tr w:rsidR="00F05C28" w:rsidRPr="00F05C28" w14:paraId="4A13A40E" w14:textId="77777777" w:rsidTr="00574B5E">
        <w:trPr>
          <w:trHeight w:val="288"/>
        </w:trPr>
        <w:tc>
          <w:tcPr>
            <w:tcW w:w="0" w:type="auto"/>
            <w:tcBorders>
              <w:left w:val="nil"/>
              <w:bottom w:val="nil"/>
              <w:right w:val="nil"/>
            </w:tcBorders>
            <w:shd w:val="clear" w:color="auto" w:fill="auto"/>
            <w:noWrap/>
            <w:vAlign w:val="bottom"/>
            <w:hideMark/>
          </w:tcPr>
          <w:p w14:paraId="0B1D4AE1" w14:textId="77777777" w:rsidR="00F05C28" w:rsidRPr="00F05C28" w:rsidRDefault="00F05C28" w:rsidP="00574B5E">
            <w:pPr>
              <w:jc w:val="center"/>
              <w:rPr>
                <w:b/>
                <w:bCs/>
                <w:color w:val="000000"/>
              </w:rPr>
            </w:pPr>
            <w:r w:rsidRPr="00F05C28">
              <w:rPr>
                <w:b/>
                <w:bCs/>
                <w:color w:val="000000"/>
              </w:rPr>
              <w:t>Race/Ethnicity</w:t>
            </w:r>
          </w:p>
        </w:tc>
        <w:tc>
          <w:tcPr>
            <w:tcW w:w="0" w:type="auto"/>
            <w:tcBorders>
              <w:left w:val="nil"/>
              <w:bottom w:val="nil"/>
              <w:right w:val="nil"/>
            </w:tcBorders>
            <w:shd w:val="clear" w:color="auto" w:fill="auto"/>
            <w:noWrap/>
            <w:vAlign w:val="bottom"/>
            <w:hideMark/>
          </w:tcPr>
          <w:p w14:paraId="7DCE4EA2" w14:textId="77777777" w:rsidR="00F05C28" w:rsidRPr="00F05C28" w:rsidRDefault="00F05C28" w:rsidP="00574B5E">
            <w:pPr>
              <w:jc w:val="center"/>
              <w:rPr>
                <w:b/>
                <w:bCs/>
                <w:color w:val="000000"/>
              </w:rPr>
            </w:pPr>
          </w:p>
        </w:tc>
        <w:tc>
          <w:tcPr>
            <w:tcW w:w="0" w:type="auto"/>
            <w:tcBorders>
              <w:left w:val="nil"/>
              <w:bottom w:val="nil"/>
              <w:right w:val="nil"/>
            </w:tcBorders>
            <w:shd w:val="clear" w:color="auto" w:fill="auto"/>
            <w:noWrap/>
            <w:vAlign w:val="bottom"/>
            <w:hideMark/>
          </w:tcPr>
          <w:p w14:paraId="6EABA631" w14:textId="77777777" w:rsidR="00F05C28" w:rsidRPr="00F05C28" w:rsidRDefault="00F05C28" w:rsidP="00574B5E"/>
        </w:tc>
      </w:tr>
      <w:tr w:rsidR="00F05C28" w:rsidRPr="00F05C28" w14:paraId="31BFAD20" w14:textId="77777777" w:rsidTr="00574B5E">
        <w:trPr>
          <w:trHeight w:val="288"/>
        </w:trPr>
        <w:tc>
          <w:tcPr>
            <w:tcW w:w="0" w:type="auto"/>
            <w:tcBorders>
              <w:top w:val="nil"/>
              <w:left w:val="nil"/>
              <w:bottom w:val="nil"/>
              <w:right w:val="nil"/>
            </w:tcBorders>
            <w:shd w:val="clear" w:color="auto" w:fill="auto"/>
            <w:noWrap/>
            <w:vAlign w:val="bottom"/>
            <w:hideMark/>
          </w:tcPr>
          <w:p w14:paraId="6E898978" w14:textId="77777777" w:rsidR="00F05C28" w:rsidRPr="00F05C28" w:rsidRDefault="00F05C28" w:rsidP="00574B5E">
            <w:pPr>
              <w:rPr>
                <w:color w:val="000000"/>
              </w:rPr>
            </w:pPr>
            <w:r w:rsidRPr="00F05C28">
              <w:rPr>
                <w:color w:val="000000"/>
              </w:rPr>
              <w:t>American Indian/Native American</w:t>
            </w:r>
          </w:p>
        </w:tc>
        <w:tc>
          <w:tcPr>
            <w:tcW w:w="0" w:type="auto"/>
            <w:tcBorders>
              <w:top w:val="nil"/>
              <w:left w:val="nil"/>
              <w:bottom w:val="nil"/>
              <w:right w:val="nil"/>
            </w:tcBorders>
            <w:shd w:val="clear" w:color="auto" w:fill="auto"/>
            <w:noWrap/>
            <w:vAlign w:val="bottom"/>
            <w:hideMark/>
          </w:tcPr>
          <w:p w14:paraId="2D6BBF60" w14:textId="77777777" w:rsidR="00F05C28" w:rsidRPr="00F05C28" w:rsidRDefault="00F05C28" w:rsidP="00574B5E">
            <w:pPr>
              <w:rPr>
                <w:color w:val="000000"/>
              </w:rPr>
            </w:pPr>
            <w:r w:rsidRPr="00F05C28">
              <w:rPr>
                <w:color w:val="000000"/>
              </w:rPr>
              <w:t xml:space="preserve">               7 </w:t>
            </w:r>
          </w:p>
        </w:tc>
        <w:tc>
          <w:tcPr>
            <w:tcW w:w="0" w:type="auto"/>
            <w:tcBorders>
              <w:top w:val="nil"/>
              <w:left w:val="nil"/>
              <w:bottom w:val="nil"/>
              <w:right w:val="nil"/>
            </w:tcBorders>
            <w:shd w:val="clear" w:color="auto" w:fill="auto"/>
            <w:noWrap/>
            <w:vAlign w:val="bottom"/>
            <w:hideMark/>
          </w:tcPr>
          <w:p w14:paraId="1999863E" w14:textId="77777777" w:rsidR="00F05C28" w:rsidRPr="00F05C28" w:rsidRDefault="00F05C28" w:rsidP="00574B5E">
            <w:pPr>
              <w:jc w:val="right"/>
              <w:rPr>
                <w:color w:val="000000"/>
              </w:rPr>
            </w:pPr>
            <w:r w:rsidRPr="00F05C28">
              <w:rPr>
                <w:color w:val="000000"/>
              </w:rPr>
              <w:t>0.46%</w:t>
            </w:r>
          </w:p>
        </w:tc>
      </w:tr>
      <w:tr w:rsidR="00F05C28" w:rsidRPr="00F05C28" w14:paraId="3F70593C" w14:textId="77777777" w:rsidTr="00574B5E">
        <w:trPr>
          <w:trHeight w:val="288"/>
        </w:trPr>
        <w:tc>
          <w:tcPr>
            <w:tcW w:w="0" w:type="auto"/>
            <w:tcBorders>
              <w:top w:val="nil"/>
              <w:left w:val="nil"/>
              <w:bottom w:val="nil"/>
              <w:right w:val="nil"/>
            </w:tcBorders>
            <w:shd w:val="clear" w:color="auto" w:fill="auto"/>
            <w:noWrap/>
            <w:vAlign w:val="bottom"/>
            <w:hideMark/>
          </w:tcPr>
          <w:p w14:paraId="21616BBC" w14:textId="77777777" w:rsidR="00F05C28" w:rsidRPr="00F05C28" w:rsidRDefault="00F05C28" w:rsidP="00574B5E">
            <w:pPr>
              <w:rPr>
                <w:color w:val="000000"/>
              </w:rPr>
            </w:pPr>
            <w:r w:rsidRPr="00F05C28">
              <w:rPr>
                <w:color w:val="000000"/>
              </w:rPr>
              <w:t>Asian/Pacific Islander</w:t>
            </w:r>
          </w:p>
        </w:tc>
        <w:tc>
          <w:tcPr>
            <w:tcW w:w="0" w:type="auto"/>
            <w:tcBorders>
              <w:top w:val="nil"/>
              <w:left w:val="nil"/>
              <w:bottom w:val="nil"/>
              <w:right w:val="nil"/>
            </w:tcBorders>
            <w:shd w:val="clear" w:color="auto" w:fill="auto"/>
            <w:noWrap/>
            <w:vAlign w:val="bottom"/>
            <w:hideMark/>
          </w:tcPr>
          <w:p w14:paraId="316ECD3C" w14:textId="77777777" w:rsidR="00F05C28" w:rsidRPr="00F05C28" w:rsidRDefault="00F05C28" w:rsidP="00574B5E">
            <w:pPr>
              <w:rPr>
                <w:color w:val="000000"/>
              </w:rPr>
            </w:pPr>
            <w:r w:rsidRPr="00F05C28">
              <w:rPr>
                <w:color w:val="000000"/>
              </w:rPr>
              <w:t xml:space="preserve">             59 </w:t>
            </w:r>
          </w:p>
        </w:tc>
        <w:tc>
          <w:tcPr>
            <w:tcW w:w="0" w:type="auto"/>
            <w:tcBorders>
              <w:top w:val="nil"/>
              <w:left w:val="nil"/>
              <w:bottom w:val="nil"/>
              <w:right w:val="nil"/>
            </w:tcBorders>
            <w:shd w:val="clear" w:color="auto" w:fill="auto"/>
            <w:noWrap/>
            <w:vAlign w:val="bottom"/>
            <w:hideMark/>
          </w:tcPr>
          <w:p w14:paraId="02C44AA5" w14:textId="77777777" w:rsidR="00F05C28" w:rsidRPr="00F05C28" w:rsidRDefault="00F05C28" w:rsidP="00574B5E">
            <w:pPr>
              <w:jc w:val="right"/>
              <w:rPr>
                <w:color w:val="000000"/>
              </w:rPr>
            </w:pPr>
            <w:r w:rsidRPr="00F05C28">
              <w:rPr>
                <w:color w:val="000000"/>
              </w:rPr>
              <w:t>3.89%</w:t>
            </w:r>
          </w:p>
        </w:tc>
      </w:tr>
      <w:tr w:rsidR="00F05C28" w:rsidRPr="00F05C28" w14:paraId="689863D3" w14:textId="77777777" w:rsidTr="00574B5E">
        <w:trPr>
          <w:trHeight w:val="288"/>
        </w:trPr>
        <w:tc>
          <w:tcPr>
            <w:tcW w:w="0" w:type="auto"/>
            <w:tcBorders>
              <w:top w:val="nil"/>
              <w:left w:val="nil"/>
              <w:bottom w:val="nil"/>
              <w:right w:val="nil"/>
            </w:tcBorders>
            <w:shd w:val="clear" w:color="auto" w:fill="auto"/>
            <w:noWrap/>
            <w:vAlign w:val="bottom"/>
            <w:hideMark/>
          </w:tcPr>
          <w:p w14:paraId="541C1C9A" w14:textId="77777777" w:rsidR="00F05C28" w:rsidRPr="00F05C28" w:rsidRDefault="00F05C28" w:rsidP="00574B5E">
            <w:pPr>
              <w:rPr>
                <w:color w:val="000000"/>
              </w:rPr>
            </w:pPr>
            <w:r w:rsidRPr="00F05C28">
              <w:rPr>
                <w:color w:val="000000"/>
              </w:rPr>
              <w:t>Black/African American</w:t>
            </w:r>
          </w:p>
        </w:tc>
        <w:tc>
          <w:tcPr>
            <w:tcW w:w="0" w:type="auto"/>
            <w:tcBorders>
              <w:top w:val="nil"/>
              <w:left w:val="nil"/>
              <w:bottom w:val="nil"/>
              <w:right w:val="nil"/>
            </w:tcBorders>
            <w:shd w:val="clear" w:color="auto" w:fill="auto"/>
            <w:noWrap/>
            <w:vAlign w:val="bottom"/>
            <w:hideMark/>
          </w:tcPr>
          <w:p w14:paraId="55822D90" w14:textId="77777777" w:rsidR="00F05C28" w:rsidRPr="00F05C28" w:rsidRDefault="00F05C28" w:rsidP="00574B5E">
            <w:pPr>
              <w:rPr>
                <w:color w:val="000000"/>
              </w:rPr>
            </w:pPr>
            <w:r w:rsidRPr="00F05C28">
              <w:rPr>
                <w:color w:val="000000"/>
              </w:rPr>
              <w:t xml:space="preserve">             72 </w:t>
            </w:r>
          </w:p>
        </w:tc>
        <w:tc>
          <w:tcPr>
            <w:tcW w:w="0" w:type="auto"/>
            <w:tcBorders>
              <w:top w:val="nil"/>
              <w:left w:val="nil"/>
              <w:bottom w:val="nil"/>
              <w:right w:val="nil"/>
            </w:tcBorders>
            <w:shd w:val="clear" w:color="auto" w:fill="auto"/>
            <w:noWrap/>
            <w:vAlign w:val="bottom"/>
            <w:hideMark/>
          </w:tcPr>
          <w:p w14:paraId="7E1AE38C" w14:textId="77777777" w:rsidR="00F05C28" w:rsidRPr="00F05C28" w:rsidRDefault="00F05C28" w:rsidP="00574B5E">
            <w:pPr>
              <w:jc w:val="right"/>
              <w:rPr>
                <w:color w:val="000000"/>
              </w:rPr>
            </w:pPr>
            <w:r w:rsidRPr="00F05C28">
              <w:rPr>
                <w:color w:val="000000"/>
              </w:rPr>
              <w:t>4.75%</w:t>
            </w:r>
          </w:p>
        </w:tc>
      </w:tr>
      <w:tr w:rsidR="00F05C28" w:rsidRPr="00F05C28" w14:paraId="3C9A55DB" w14:textId="77777777" w:rsidTr="00574B5E">
        <w:trPr>
          <w:trHeight w:val="288"/>
        </w:trPr>
        <w:tc>
          <w:tcPr>
            <w:tcW w:w="0" w:type="auto"/>
            <w:tcBorders>
              <w:top w:val="nil"/>
              <w:left w:val="nil"/>
              <w:bottom w:val="nil"/>
              <w:right w:val="nil"/>
            </w:tcBorders>
            <w:shd w:val="clear" w:color="auto" w:fill="auto"/>
            <w:noWrap/>
            <w:vAlign w:val="bottom"/>
            <w:hideMark/>
          </w:tcPr>
          <w:p w14:paraId="393A7A22" w14:textId="77777777" w:rsidR="00F05C28" w:rsidRPr="00F05C28" w:rsidRDefault="00F05C28" w:rsidP="00574B5E">
            <w:pPr>
              <w:rPr>
                <w:color w:val="000000"/>
              </w:rPr>
            </w:pPr>
            <w:proofErr w:type="spellStart"/>
            <w:r w:rsidRPr="00F05C28">
              <w:rPr>
                <w:color w:val="000000"/>
              </w:rPr>
              <w:t>Caucasian</w:t>
            </w:r>
            <w:r w:rsidRPr="00F05C28">
              <w:rPr>
                <w:color w:val="000000"/>
                <w:vertAlign w:val="superscript"/>
              </w:rPr>
              <w:t>a</w:t>
            </w:r>
            <w:proofErr w:type="spellEnd"/>
          </w:p>
        </w:tc>
        <w:tc>
          <w:tcPr>
            <w:tcW w:w="0" w:type="auto"/>
            <w:tcBorders>
              <w:top w:val="nil"/>
              <w:left w:val="nil"/>
              <w:bottom w:val="nil"/>
              <w:right w:val="nil"/>
            </w:tcBorders>
            <w:shd w:val="clear" w:color="auto" w:fill="auto"/>
            <w:noWrap/>
            <w:vAlign w:val="bottom"/>
            <w:hideMark/>
          </w:tcPr>
          <w:p w14:paraId="136C3416" w14:textId="77777777" w:rsidR="00F05C28" w:rsidRPr="00F05C28" w:rsidRDefault="00F05C28" w:rsidP="00574B5E">
            <w:pPr>
              <w:rPr>
                <w:color w:val="000000"/>
              </w:rPr>
            </w:pPr>
            <w:r w:rsidRPr="00F05C28">
              <w:rPr>
                <w:color w:val="000000"/>
              </w:rPr>
              <w:t xml:space="preserve">        1,308 </w:t>
            </w:r>
          </w:p>
        </w:tc>
        <w:tc>
          <w:tcPr>
            <w:tcW w:w="0" w:type="auto"/>
            <w:tcBorders>
              <w:top w:val="nil"/>
              <w:left w:val="nil"/>
              <w:bottom w:val="nil"/>
              <w:right w:val="nil"/>
            </w:tcBorders>
            <w:shd w:val="clear" w:color="auto" w:fill="auto"/>
            <w:noWrap/>
            <w:vAlign w:val="bottom"/>
            <w:hideMark/>
          </w:tcPr>
          <w:p w14:paraId="3916D947" w14:textId="77777777" w:rsidR="00F05C28" w:rsidRPr="00F05C28" w:rsidRDefault="00F05C28" w:rsidP="00574B5E">
            <w:pPr>
              <w:jc w:val="right"/>
              <w:rPr>
                <w:color w:val="000000"/>
              </w:rPr>
            </w:pPr>
            <w:r w:rsidRPr="00F05C28">
              <w:rPr>
                <w:color w:val="000000"/>
              </w:rPr>
              <w:t>86.28%</w:t>
            </w:r>
          </w:p>
        </w:tc>
      </w:tr>
      <w:tr w:rsidR="00F05C28" w:rsidRPr="00F05C28" w14:paraId="23D51FD3" w14:textId="77777777" w:rsidTr="00574B5E">
        <w:trPr>
          <w:trHeight w:val="288"/>
        </w:trPr>
        <w:tc>
          <w:tcPr>
            <w:tcW w:w="0" w:type="auto"/>
            <w:tcBorders>
              <w:top w:val="nil"/>
              <w:left w:val="nil"/>
              <w:bottom w:val="nil"/>
              <w:right w:val="nil"/>
            </w:tcBorders>
            <w:shd w:val="clear" w:color="auto" w:fill="auto"/>
            <w:noWrap/>
            <w:vAlign w:val="bottom"/>
            <w:hideMark/>
          </w:tcPr>
          <w:p w14:paraId="07DC7CF7" w14:textId="77777777" w:rsidR="00F05C28" w:rsidRPr="00F05C28" w:rsidRDefault="00F05C28" w:rsidP="00574B5E">
            <w:pPr>
              <w:rPr>
                <w:color w:val="000000"/>
              </w:rPr>
            </w:pPr>
            <w:r w:rsidRPr="00F05C28">
              <w:rPr>
                <w:color w:val="000000"/>
              </w:rPr>
              <w:t>Latinx</w:t>
            </w:r>
          </w:p>
        </w:tc>
        <w:tc>
          <w:tcPr>
            <w:tcW w:w="0" w:type="auto"/>
            <w:tcBorders>
              <w:top w:val="nil"/>
              <w:left w:val="nil"/>
              <w:bottom w:val="nil"/>
              <w:right w:val="nil"/>
            </w:tcBorders>
            <w:shd w:val="clear" w:color="auto" w:fill="auto"/>
            <w:noWrap/>
            <w:vAlign w:val="bottom"/>
            <w:hideMark/>
          </w:tcPr>
          <w:p w14:paraId="30B2D15E" w14:textId="77777777" w:rsidR="00F05C28" w:rsidRPr="00F05C28" w:rsidRDefault="00F05C28" w:rsidP="00574B5E">
            <w:pPr>
              <w:rPr>
                <w:color w:val="000000"/>
              </w:rPr>
            </w:pPr>
            <w:r w:rsidRPr="00F05C28">
              <w:rPr>
                <w:color w:val="000000"/>
              </w:rPr>
              <w:t xml:space="preserve">             40 </w:t>
            </w:r>
          </w:p>
        </w:tc>
        <w:tc>
          <w:tcPr>
            <w:tcW w:w="0" w:type="auto"/>
            <w:tcBorders>
              <w:top w:val="nil"/>
              <w:left w:val="nil"/>
              <w:bottom w:val="nil"/>
              <w:right w:val="nil"/>
            </w:tcBorders>
            <w:shd w:val="clear" w:color="auto" w:fill="auto"/>
            <w:noWrap/>
            <w:vAlign w:val="bottom"/>
            <w:hideMark/>
          </w:tcPr>
          <w:p w14:paraId="5716E17B" w14:textId="77777777" w:rsidR="00F05C28" w:rsidRPr="00F05C28" w:rsidRDefault="00F05C28" w:rsidP="00574B5E">
            <w:pPr>
              <w:jc w:val="right"/>
              <w:rPr>
                <w:color w:val="000000"/>
              </w:rPr>
            </w:pPr>
            <w:r w:rsidRPr="00F05C28">
              <w:rPr>
                <w:color w:val="000000"/>
              </w:rPr>
              <w:t>2.64%</w:t>
            </w:r>
          </w:p>
        </w:tc>
      </w:tr>
      <w:tr w:rsidR="00F05C28" w:rsidRPr="00F05C28" w14:paraId="30BE059D" w14:textId="77777777" w:rsidTr="00574B5E">
        <w:trPr>
          <w:trHeight w:val="288"/>
        </w:trPr>
        <w:tc>
          <w:tcPr>
            <w:tcW w:w="0" w:type="auto"/>
            <w:tcBorders>
              <w:top w:val="nil"/>
              <w:left w:val="nil"/>
              <w:bottom w:val="nil"/>
              <w:right w:val="nil"/>
            </w:tcBorders>
            <w:shd w:val="clear" w:color="auto" w:fill="auto"/>
            <w:noWrap/>
            <w:vAlign w:val="bottom"/>
            <w:hideMark/>
          </w:tcPr>
          <w:p w14:paraId="4232A9F5" w14:textId="77777777" w:rsidR="00F05C28" w:rsidRPr="00F05C28" w:rsidRDefault="00F05C28" w:rsidP="00574B5E">
            <w:pPr>
              <w:rPr>
                <w:color w:val="000000"/>
              </w:rPr>
            </w:pPr>
            <w:r w:rsidRPr="00F05C28">
              <w:rPr>
                <w:color w:val="000000"/>
              </w:rPr>
              <w:t>Multiracial</w:t>
            </w:r>
          </w:p>
        </w:tc>
        <w:tc>
          <w:tcPr>
            <w:tcW w:w="0" w:type="auto"/>
            <w:tcBorders>
              <w:top w:val="nil"/>
              <w:left w:val="nil"/>
              <w:bottom w:val="nil"/>
              <w:right w:val="nil"/>
            </w:tcBorders>
            <w:shd w:val="clear" w:color="auto" w:fill="auto"/>
            <w:noWrap/>
            <w:vAlign w:val="bottom"/>
            <w:hideMark/>
          </w:tcPr>
          <w:p w14:paraId="2CAF00B6" w14:textId="77777777" w:rsidR="00F05C28" w:rsidRPr="00F05C28" w:rsidRDefault="00F05C28" w:rsidP="00574B5E">
            <w:pPr>
              <w:rPr>
                <w:color w:val="000000"/>
              </w:rPr>
            </w:pPr>
            <w:r w:rsidRPr="00F05C28">
              <w:rPr>
                <w:color w:val="000000"/>
              </w:rPr>
              <w:t xml:space="preserve">             27 </w:t>
            </w:r>
          </w:p>
        </w:tc>
        <w:tc>
          <w:tcPr>
            <w:tcW w:w="0" w:type="auto"/>
            <w:tcBorders>
              <w:top w:val="nil"/>
              <w:left w:val="nil"/>
              <w:bottom w:val="nil"/>
              <w:right w:val="nil"/>
            </w:tcBorders>
            <w:shd w:val="clear" w:color="auto" w:fill="auto"/>
            <w:noWrap/>
            <w:vAlign w:val="bottom"/>
            <w:hideMark/>
          </w:tcPr>
          <w:p w14:paraId="50BAFE63" w14:textId="77777777" w:rsidR="00F05C28" w:rsidRPr="00F05C28" w:rsidRDefault="00F05C28" w:rsidP="00574B5E">
            <w:pPr>
              <w:jc w:val="right"/>
              <w:rPr>
                <w:color w:val="000000"/>
              </w:rPr>
            </w:pPr>
            <w:r w:rsidRPr="00F05C28">
              <w:rPr>
                <w:color w:val="000000"/>
              </w:rPr>
              <w:t>1.78%</w:t>
            </w:r>
          </w:p>
        </w:tc>
      </w:tr>
      <w:tr w:rsidR="00F05C28" w:rsidRPr="00F05C28" w14:paraId="40A160BC" w14:textId="77777777" w:rsidTr="00574B5E">
        <w:trPr>
          <w:trHeight w:val="288"/>
        </w:trPr>
        <w:tc>
          <w:tcPr>
            <w:tcW w:w="0" w:type="auto"/>
            <w:tcBorders>
              <w:top w:val="nil"/>
              <w:left w:val="nil"/>
              <w:bottom w:val="nil"/>
              <w:right w:val="nil"/>
            </w:tcBorders>
            <w:shd w:val="clear" w:color="auto" w:fill="auto"/>
            <w:noWrap/>
            <w:vAlign w:val="bottom"/>
            <w:hideMark/>
          </w:tcPr>
          <w:p w14:paraId="04EA3639" w14:textId="77777777" w:rsidR="00F05C28" w:rsidRPr="00F05C28" w:rsidRDefault="00F05C28" w:rsidP="00574B5E">
            <w:pPr>
              <w:rPr>
                <w:color w:val="000000"/>
              </w:rPr>
            </w:pPr>
            <w:r w:rsidRPr="00F05C28">
              <w:rPr>
                <w:color w:val="000000"/>
              </w:rPr>
              <w:t>Decline to state</w:t>
            </w:r>
          </w:p>
        </w:tc>
        <w:tc>
          <w:tcPr>
            <w:tcW w:w="0" w:type="auto"/>
            <w:tcBorders>
              <w:top w:val="nil"/>
              <w:left w:val="nil"/>
              <w:bottom w:val="nil"/>
              <w:right w:val="nil"/>
            </w:tcBorders>
            <w:shd w:val="clear" w:color="auto" w:fill="auto"/>
            <w:noWrap/>
            <w:vAlign w:val="bottom"/>
            <w:hideMark/>
          </w:tcPr>
          <w:p w14:paraId="282EE88C" w14:textId="77777777" w:rsidR="00F05C28" w:rsidRPr="00F05C28" w:rsidRDefault="00F05C28" w:rsidP="00574B5E">
            <w:pPr>
              <w:rPr>
                <w:color w:val="000000"/>
              </w:rPr>
            </w:pPr>
            <w:r w:rsidRPr="00F05C28">
              <w:rPr>
                <w:color w:val="000000"/>
              </w:rPr>
              <w:t xml:space="preserve">               3 </w:t>
            </w:r>
          </w:p>
        </w:tc>
        <w:tc>
          <w:tcPr>
            <w:tcW w:w="0" w:type="auto"/>
            <w:tcBorders>
              <w:top w:val="nil"/>
              <w:left w:val="nil"/>
              <w:bottom w:val="nil"/>
              <w:right w:val="nil"/>
            </w:tcBorders>
            <w:shd w:val="clear" w:color="auto" w:fill="auto"/>
            <w:noWrap/>
            <w:vAlign w:val="bottom"/>
            <w:hideMark/>
          </w:tcPr>
          <w:p w14:paraId="2A9C1369" w14:textId="77777777" w:rsidR="00F05C28" w:rsidRPr="00F05C28" w:rsidRDefault="00F05C28" w:rsidP="00574B5E">
            <w:pPr>
              <w:jc w:val="right"/>
              <w:rPr>
                <w:color w:val="000000"/>
              </w:rPr>
            </w:pPr>
            <w:r w:rsidRPr="00F05C28">
              <w:rPr>
                <w:color w:val="000000"/>
              </w:rPr>
              <w:t>0.20%</w:t>
            </w:r>
          </w:p>
        </w:tc>
      </w:tr>
      <w:tr w:rsidR="00F05C28" w:rsidRPr="00F05C28" w14:paraId="58179252" w14:textId="77777777" w:rsidTr="00574B5E">
        <w:trPr>
          <w:trHeight w:val="288"/>
        </w:trPr>
        <w:tc>
          <w:tcPr>
            <w:tcW w:w="0" w:type="auto"/>
            <w:tcBorders>
              <w:top w:val="nil"/>
              <w:left w:val="nil"/>
              <w:bottom w:val="nil"/>
              <w:right w:val="nil"/>
            </w:tcBorders>
            <w:shd w:val="clear" w:color="auto" w:fill="auto"/>
            <w:noWrap/>
            <w:vAlign w:val="bottom"/>
            <w:hideMark/>
          </w:tcPr>
          <w:p w14:paraId="0A08F1FA" w14:textId="77777777" w:rsidR="00F05C28" w:rsidRPr="00F05C28" w:rsidRDefault="00F05C28" w:rsidP="00574B5E">
            <w:pPr>
              <w:jc w:val="center"/>
              <w:rPr>
                <w:b/>
                <w:bCs/>
                <w:color w:val="000000"/>
              </w:rPr>
            </w:pPr>
            <w:r w:rsidRPr="00F05C28">
              <w:rPr>
                <w:b/>
                <w:bCs/>
                <w:color w:val="000000"/>
              </w:rPr>
              <w:t>Nationality</w:t>
            </w:r>
          </w:p>
        </w:tc>
        <w:tc>
          <w:tcPr>
            <w:tcW w:w="0" w:type="auto"/>
            <w:tcBorders>
              <w:top w:val="nil"/>
              <w:left w:val="nil"/>
              <w:bottom w:val="nil"/>
              <w:right w:val="nil"/>
            </w:tcBorders>
            <w:shd w:val="clear" w:color="auto" w:fill="auto"/>
            <w:noWrap/>
            <w:vAlign w:val="bottom"/>
            <w:hideMark/>
          </w:tcPr>
          <w:p w14:paraId="1437C9F5"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3B4B7014" w14:textId="77777777" w:rsidR="00F05C28" w:rsidRPr="00F05C28" w:rsidRDefault="00F05C28" w:rsidP="00574B5E"/>
        </w:tc>
      </w:tr>
      <w:tr w:rsidR="00F05C28" w:rsidRPr="00F05C28" w14:paraId="6BDC9520" w14:textId="77777777" w:rsidTr="00574B5E">
        <w:trPr>
          <w:trHeight w:val="288"/>
        </w:trPr>
        <w:tc>
          <w:tcPr>
            <w:tcW w:w="0" w:type="auto"/>
            <w:tcBorders>
              <w:top w:val="nil"/>
              <w:left w:val="nil"/>
              <w:bottom w:val="nil"/>
              <w:right w:val="nil"/>
            </w:tcBorders>
            <w:shd w:val="clear" w:color="auto" w:fill="auto"/>
            <w:noWrap/>
            <w:vAlign w:val="bottom"/>
            <w:hideMark/>
          </w:tcPr>
          <w:p w14:paraId="1B553293" w14:textId="77777777" w:rsidR="00F05C28" w:rsidRPr="00F05C28" w:rsidRDefault="00F05C28" w:rsidP="00574B5E">
            <w:pPr>
              <w:rPr>
                <w:color w:val="000000"/>
              </w:rPr>
            </w:pPr>
            <w:r w:rsidRPr="00F05C28">
              <w:rPr>
                <w:color w:val="000000"/>
              </w:rPr>
              <w:t>Domestic</w:t>
            </w:r>
            <w:r w:rsidRPr="00F05C28">
              <w:rPr>
                <w:color w:val="000000"/>
                <w:vertAlign w:val="superscript"/>
              </w:rPr>
              <w:t>a</w:t>
            </w:r>
          </w:p>
        </w:tc>
        <w:tc>
          <w:tcPr>
            <w:tcW w:w="0" w:type="auto"/>
            <w:tcBorders>
              <w:top w:val="nil"/>
              <w:left w:val="nil"/>
              <w:bottom w:val="nil"/>
              <w:right w:val="nil"/>
            </w:tcBorders>
            <w:shd w:val="clear" w:color="auto" w:fill="auto"/>
            <w:noWrap/>
            <w:vAlign w:val="bottom"/>
            <w:hideMark/>
          </w:tcPr>
          <w:p w14:paraId="2E8202A0" w14:textId="77777777" w:rsidR="00F05C28" w:rsidRPr="00F05C28" w:rsidRDefault="00F05C28" w:rsidP="00574B5E">
            <w:pPr>
              <w:rPr>
                <w:color w:val="000000"/>
              </w:rPr>
            </w:pPr>
            <w:r w:rsidRPr="00F05C28">
              <w:rPr>
                <w:color w:val="000000"/>
              </w:rPr>
              <w:t xml:space="preserve">        1,488 </w:t>
            </w:r>
          </w:p>
        </w:tc>
        <w:tc>
          <w:tcPr>
            <w:tcW w:w="0" w:type="auto"/>
            <w:tcBorders>
              <w:top w:val="nil"/>
              <w:left w:val="nil"/>
              <w:bottom w:val="nil"/>
              <w:right w:val="nil"/>
            </w:tcBorders>
            <w:shd w:val="clear" w:color="auto" w:fill="auto"/>
            <w:noWrap/>
            <w:vAlign w:val="bottom"/>
            <w:hideMark/>
          </w:tcPr>
          <w:p w14:paraId="4CAB8A11" w14:textId="77777777" w:rsidR="00F05C28" w:rsidRPr="00F05C28" w:rsidRDefault="00F05C28" w:rsidP="00574B5E">
            <w:pPr>
              <w:jc w:val="right"/>
              <w:rPr>
                <w:color w:val="000000"/>
              </w:rPr>
            </w:pPr>
            <w:r w:rsidRPr="00F05C28">
              <w:rPr>
                <w:color w:val="000000"/>
              </w:rPr>
              <w:t>98.15%</w:t>
            </w:r>
          </w:p>
        </w:tc>
      </w:tr>
      <w:tr w:rsidR="00F05C28" w:rsidRPr="00F05C28" w14:paraId="42D2996E" w14:textId="77777777" w:rsidTr="00574B5E">
        <w:trPr>
          <w:trHeight w:val="288"/>
        </w:trPr>
        <w:tc>
          <w:tcPr>
            <w:tcW w:w="0" w:type="auto"/>
            <w:tcBorders>
              <w:top w:val="nil"/>
              <w:left w:val="nil"/>
              <w:bottom w:val="nil"/>
              <w:right w:val="nil"/>
            </w:tcBorders>
            <w:shd w:val="clear" w:color="auto" w:fill="auto"/>
            <w:noWrap/>
            <w:vAlign w:val="bottom"/>
            <w:hideMark/>
          </w:tcPr>
          <w:p w14:paraId="0851DC7F" w14:textId="77777777" w:rsidR="00F05C28" w:rsidRPr="00F05C28" w:rsidRDefault="00F05C28" w:rsidP="00574B5E">
            <w:pPr>
              <w:rPr>
                <w:color w:val="000000"/>
              </w:rPr>
            </w:pPr>
            <w:r w:rsidRPr="00F05C28">
              <w:rPr>
                <w:color w:val="000000"/>
              </w:rPr>
              <w:t>International</w:t>
            </w:r>
          </w:p>
        </w:tc>
        <w:tc>
          <w:tcPr>
            <w:tcW w:w="0" w:type="auto"/>
            <w:tcBorders>
              <w:top w:val="nil"/>
              <w:left w:val="nil"/>
              <w:bottom w:val="nil"/>
              <w:right w:val="nil"/>
            </w:tcBorders>
            <w:shd w:val="clear" w:color="auto" w:fill="auto"/>
            <w:noWrap/>
            <w:vAlign w:val="bottom"/>
            <w:hideMark/>
          </w:tcPr>
          <w:p w14:paraId="4784AEF5" w14:textId="77777777" w:rsidR="00F05C28" w:rsidRPr="00F05C28" w:rsidRDefault="00F05C28" w:rsidP="00574B5E">
            <w:pPr>
              <w:rPr>
                <w:color w:val="000000"/>
              </w:rPr>
            </w:pPr>
            <w:r w:rsidRPr="00F05C28">
              <w:rPr>
                <w:color w:val="000000"/>
              </w:rPr>
              <w:t xml:space="preserve">             28 </w:t>
            </w:r>
          </w:p>
        </w:tc>
        <w:tc>
          <w:tcPr>
            <w:tcW w:w="0" w:type="auto"/>
            <w:tcBorders>
              <w:top w:val="nil"/>
              <w:left w:val="nil"/>
              <w:bottom w:val="nil"/>
              <w:right w:val="nil"/>
            </w:tcBorders>
            <w:shd w:val="clear" w:color="auto" w:fill="auto"/>
            <w:noWrap/>
            <w:vAlign w:val="bottom"/>
            <w:hideMark/>
          </w:tcPr>
          <w:p w14:paraId="4838B708" w14:textId="77777777" w:rsidR="00F05C28" w:rsidRPr="00F05C28" w:rsidRDefault="00F05C28" w:rsidP="00574B5E">
            <w:pPr>
              <w:jc w:val="right"/>
              <w:rPr>
                <w:color w:val="000000"/>
              </w:rPr>
            </w:pPr>
            <w:r w:rsidRPr="00F05C28">
              <w:rPr>
                <w:color w:val="000000"/>
              </w:rPr>
              <w:t>1.85%</w:t>
            </w:r>
          </w:p>
        </w:tc>
      </w:tr>
      <w:tr w:rsidR="00F05C28" w:rsidRPr="00F05C28" w14:paraId="3E7985B7" w14:textId="77777777" w:rsidTr="00574B5E">
        <w:trPr>
          <w:trHeight w:val="288"/>
        </w:trPr>
        <w:tc>
          <w:tcPr>
            <w:tcW w:w="0" w:type="auto"/>
            <w:tcBorders>
              <w:top w:val="nil"/>
              <w:left w:val="nil"/>
              <w:bottom w:val="nil"/>
              <w:right w:val="nil"/>
            </w:tcBorders>
            <w:shd w:val="clear" w:color="auto" w:fill="auto"/>
            <w:noWrap/>
            <w:vAlign w:val="bottom"/>
            <w:hideMark/>
          </w:tcPr>
          <w:p w14:paraId="2454DD8A" w14:textId="77777777" w:rsidR="00F05C28" w:rsidRPr="00F05C28" w:rsidRDefault="00F05C28" w:rsidP="00574B5E">
            <w:pPr>
              <w:jc w:val="center"/>
              <w:rPr>
                <w:b/>
                <w:bCs/>
                <w:color w:val="000000"/>
              </w:rPr>
            </w:pPr>
            <w:r w:rsidRPr="00F05C28">
              <w:rPr>
                <w:b/>
                <w:bCs/>
                <w:color w:val="000000"/>
              </w:rPr>
              <w:t>Enrollment Status</w:t>
            </w:r>
          </w:p>
        </w:tc>
        <w:tc>
          <w:tcPr>
            <w:tcW w:w="0" w:type="auto"/>
            <w:tcBorders>
              <w:top w:val="nil"/>
              <w:left w:val="nil"/>
              <w:bottom w:val="nil"/>
              <w:right w:val="nil"/>
            </w:tcBorders>
            <w:shd w:val="clear" w:color="auto" w:fill="auto"/>
            <w:noWrap/>
            <w:vAlign w:val="bottom"/>
            <w:hideMark/>
          </w:tcPr>
          <w:p w14:paraId="66C3C308"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7F1E0A2E" w14:textId="77777777" w:rsidR="00F05C28" w:rsidRPr="00F05C28" w:rsidRDefault="00F05C28" w:rsidP="00574B5E"/>
        </w:tc>
      </w:tr>
      <w:tr w:rsidR="00F05C28" w:rsidRPr="00F05C28" w14:paraId="6252741C" w14:textId="77777777" w:rsidTr="00574B5E">
        <w:trPr>
          <w:trHeight w:val="288"/>
        </w:trPr>
        <w:tc>
          <w:tcPr>
            <w:tcW w:w="0" w:type="auto"/>
            <w:tcBorders>
              <w:top w:val="nil"/>
              <w:left w:val="nil"/>
              <w:bottom w:val="nil"/>
              <w:right w:val="nil"/>
            </w:tcBorders>
            <w:shd w:val="clear" w:color="auto" w:fill="auto"/>
            <w:noWrap/>
            <w:vAlign w:val="bottom"/>
            <w:hideMark/>
          </w:tcPr>
          <w:p w14:paraId="570B92D3" w14:textId="77777777" w:rsidR="00F05C28" w:rsidRPr="00F05C28" w:rsidRDefault="00F05C28" w:rsidP="00574B5E">
            <w:pPr>
              <w:rPr>
                <w:color w:val="000000"/>
              </w:rPr>
            </w:pPr>
            <w:r w:rsidRPr="00F05C28">
              <w:rPr>
                <w:color w:val="000000"/>
              </w:rPr>
              <w:t xml:space="preserve">Full-time </w:t>
            </w:r>
            <w:proofErr w:type="spellStart"/>
            <w:r w:rsidRPr="00F05C28">
              <w:rPr>
                <w:color w:val="000000"/>
              </w:rPr>
              <w:t>Enrollment</w:t>
            </w:r>
            <w:r w:rsidRPr="00F05C28">
              <w:rPr>
                <w:color w:val="000000"/>
                <w:vertAlign w:val="superscript"/>
              </w:rPr>
              <w:t>a</w:t>
            </w:r>
            <w:proofErr w:type="spellEnd"/>
          </w:p>
        </w:tc>
        <w:tc>
          <w:tcPr>
            <w:tcW w:w="0" w:type="auto"/>
            <w:tcBorders>
              <w:top w:val="nil"/>
              <w:left w:val="nil"/>
              <w:bottom w:val="nil"/>
              <w:right w:val="nil"/>
            </w:tcBorders>
            <w:shd w:val="clear" w:color="auto" w:fill="auto"/>
            <w:noWrap/>
            <w:vAlign w:val="bottom"/>
            <w:hideMark/>
          </w:tcPr>
          <w:p w14:paraId="720C7E38" w14:textId="77777777" w:rsidR="00F05C28" w:rsidRPr="00F05C28" w:rsidRDefault="00F05C28" w:rsidP="00574B5E">
            <w:pPr>
              <w:rPr>
                <w:color w:val="000000"/>
              </w:rPr>
            </w:pPr>
            <w:r w:rsidRPr="00F05C28">
              <w:rPr>
                <w:color w:val="000000"/>
              </w:rPr>
              <w:t xml:space="preserve">        1,446 </w:t>
            </w:r>
          </w:p>
        </w:tc>
        <w:tc>
          <w:tcPr>
            <w:tcW w:w="0" w:type="auto"/>
            <w:tcBorders>
              <w:top w:val="nil"/>
              <w:left w:val="nil"/>
              <w:bottom w:val="nil"/>
              <w:right w:val="nil"/>
            </w:tcBorders>
            <w:shd w:val="clear" w:color="auto" w:fill="auto"/>
            <w:noWrap/>
            <w:vAlign w:val="bottom"/>
            <w:hideMark/>
          </w:tcPr>
          <w:p w14:paraId="645314D1" w14:textId="77777777" w:rsidR="00F05C28" w:rsidRPr="00F05C28" w:rsidRDefault="00F05C28" w:rsidP="00574B5E">
            <w:pPr>
              <w:jc w:val="right"/>
              <w:rPr>
                <w:color w:val="000000"/>
              </w:rPr>
            </w:pPr>
            <w:r w:rsidRPr="00F05C28">
              <w:rPr>
                <w:color w:val="000000"/>
              </w:rPr>
              <w:t>95.38%</w:t>
            </w:r>
          </w:p>
        </w:tc>
      </w:tr>
      <w:tr w:rsidR="00F05C28" w:rsidRPr="00F05C28" w14:paraId="4B8A351D" w14:textId="77777777" w:rsidTr="00574B5E">
        <w:trPr>
          <w:trHeight w:val="288"/>
        </w:trPr>
        <w:tc>
          <w:tcPr>
            <w:tcW w:w="0" w:type="auto"/>
            <w:tcBorders>
              <w:top w:val="nil"/>
              <w:left w:val="nil"/>
              <w:bottom w:val="nil"/>
              <w:right w:val="nil"/>
            </w:tcBorders>
            <w:shd w:val="clear" w:color="auto" w:fill="auto"/>
            <w:noWrap/>
            <w:vAlign w:val="bottom"/>
            <w:hideMark/>
          </w:tcPr>
          <w:p w14:paraId="103D3C61" w14:textId="77777777" w:rsidR="00F05C28" w:rsidRPr="00F05C28" w:rsidRDefault="00F05C28" w:rsidP="00574B5E">
            <w:pPr>
              <w:rPr>
                <w:color w:val="000000"/>
              </w:rPr>
            </w:pPr>
            <w:r w:rsidRPr="00F05C28">
              <w:rPr>
                <w:color w:val="000000"/>
              </w:rPr>
              <w:t>Part-Time Enrollment</w:t>
            </w:r>
          </w:p>
        </w:tc>
        <w:tc>
          <w:tcPr>
            <w:tcW w:w="0" w:type="auto"/>
            <w:tcBorders>
              <w:top w:val="nil"/>
              <w:left w:val="nil"/>
              <w:bottom w:val="nil"/>
              <w:right w:val="nil"/>
            </w:tcBorders>
            <w:shd w:val="clear" w:color="auto" w:fill="auto"/>
            <w:noWrap/>
            <w:vAlign w:val="bottom"/>
            <w:hideMark/>
          </w:tcPr>
          <w:p w14:paraId="1841FF6D" w14:textId="77777777" w:rsidR="00F05C28" w:rsidRPr="00F05C28" w:rsidRDefault="00F05C28" w:rsidP="00574B5E">
            <w:pPr>
              <w:rPr>
                <w:color w:val="000000"/>
              </w:rPr>
            </w:pPr>
            <w:r w:rsidRPr="00F05C28">
              <w:rPr>
                <w:color w:val="000000"/>
              </w:rPr>
              <w:t xml:space="preserve">             70 </w:t>
            </w:r>
          </w:p>
        </w:tc>
        <w:tc>
          <w:tcPr>
            <w:tcW w:w="0" w:type="auto"/>
            <w:tcBorders>
              <w:top w:val="nil"/>
              <w:left w:val="nil"/>
              <w:bottom w:val="nil"/>
              <w:right w:val="nil"/>
            </w:tcBorders>
            <w:shd w:val="clear" w:color="auto" w:fill="auto"/>
            <w:noWrap/>
            <w:vAlign w:val="bottom"/>
            <w:hideMark/>
          </w:tcPr>
          <w:p w14:paraId="36F0B631" w14:textId="77777777" w:rsidR="00F05C28" w:rsidRPr="00F05C28" w:rsidRDefault="00F05C28" w:rsidP="00574B5E">
            <w:pPr>
              <w:jc w:val="right"/>
              <w:rPr>
                <w:color w:val="000000"/>
              </w:rPr>
            </w:pPr>
            <w:r w:rsidRPr="00F05C28">
              <w:rPr>
                <w:color w:val="000000"/>
              </w:rPr>
              <w:t>4.62%</w:t>
            </w:r>
          </w:p>
        </w:tc>
      </w:tr>
      <w:tr w:rsidR="00F05C28" w:rsidRPr="00F05C28" w14:paraId="6E607EF6" w14:textId="77777777" w:rsidTr="00574B5E">
        <w:trPr>
          <w:trHeight w:val="288"/>
        </w:trPr>
        <w:tc>
          <w:tcPr>
            <w:tcW w:w="0" w:type="auto"/>
            <w:tcBorders>
              <w:top w:val="nil"/>
              <w:left w:val="nil"/>
              <w:bottom w:val="nil"/>
              <w:right w:val="nil"/>
            </w:tcBorders>
            <w:shd w:val="clear" w:color="auto" w:fill="auto"/>
            <w:noWrap/>
            <w:vAlign w:val="bottom"/>
            <w:hideMark/>
          </w:tcPr>
          <w:p w14:paraId="10248609" w14:textId="77777777" w:rsidR="00F05C28" w:rsidRPr="00F05C28" w:rsidRDefault="00F05C28" w:rsidP="00574B5E">
            <w:pPr>
              <w:jc w:val="center"/>
              <w:rPr>
                <w:b/>
                <w:bCs/>
                <w:color w:val="000000"/>
              </w:rPr>
            </w:pPr>
            <w:r w:rsidRPr="00F05C28">
              <w:rPr>
                <w:b/>
                <w:bCs/>
                <w:color w:val="000000"/>
              </w:rPr>
              <w:t>Transfer Status</w:t>
            </w:r>
          </w:p>
        </w:tc>
        <w:tc>
          <w:tcPr>
            <w:tcW w:w="0" w:type="auto"/>
            <w:tcBorders>
              <w:top w:val="nil"/>
              <w:left w:val="nil"/>
              <w:bottom w:val="nil"/>
              <w:right w:val="nil"/>
            </w:tcBorders>
            <w:shd w:val="clear" w:color="auto" w:fill="auto"/>
            <w:noWrap/>
            <w:vAlign w:val="bottom"/>
            <w:hideMark/>
          </w:tcPr>
          <w:p w14:paraId="6436BB58"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22BE0207" w14:textId="77777777" w:rsidR="00F05C28" w:rsidRPr="00F05C28" w:rsidRDefault="00F05C28" w:rsidP="00574B5E"/>
        </w:tc>
      </w:tr>
      <w:tr w:rsidR="00F05C28" w:rsidRPr="00F05C28" w14:paraId="7EC77621" w14:textId="77777777" w:rsidTr="00574B5E">
        <w:trPr>
          <w:trHeight w:val="288"/>
        </w:trPr>
        <w:tc>
          <w:tcPr>
            <w:tcW w:w="0" w:type="auto"/>
            <w:tcBorders>
              <w:top w:val="nil"/>
              <w:left w:val="nil"/>
              <w:bottom w:val="nil"/>
              <w:right w:val="nil"/>
            </w:tcBorders>
            <w:shd w:val="clear" w:color="auto" w:fill="auto"/>
            <w:noWrap/>
            <w:vAlign w:val="bottom"/>
            <w:hideMark/>
          </w:tcPr>
          <w:p w14:paraId="06F39AF5" w14:textId="77777777" w:rsidR="00F05C28" w:rsidRPr="00F05C28" w:rsidRDefault="00F05C28" w:rsidP="00574B5E">
            <w:pPr>
              <w:rPr>
                <w:color w:val="000000"/>
              </w:rPr>
            </w:pPr>
            <w:r w:rsidRPr="00F05C28">
              <w:rPr>
                <w:color w:val="000000"/>
              </w:rPr>
              <w:t xml:space="preserve">First-time </w:t>
            </w:r>
            <w:proofErr w:type="spellStart"/>
            <w:r w:rsidRPr="00F05C28">
              <w:rPr>
                <w:color w:val="000000"/>
              </w:rPr>
              <w:t>students</w:t>
            </w:r>
            <w:r w:rsidRPr="00F05C28">
              <w:rPr>
                <w:color w:val="000000"/>
                <w:vertAlign w:val="superscript"/>
              </w:rPr>
              <w:t>a</w:t>
            </w:r>
            <w:proofErr w:type="spellEnd"/>
          </w:p>
        </w:tc>
        <w:tc>
          <w:tcPr>
            <w:tcW w:w="0" w:type="auto"/>
            <w:tcBorders>
              <w:top w:val="nil"/>
              <w:left w:val="nil"/>
              <w:bottom w:val="nil"/>
              <w:right w:val="nil"/>
            </w:tcBorders>
            <w:shd w:val="clear" w:color="auto" w:fill="auto"/>
            <w:noWrap/>
            <w:vAlign w:val="bottom"/>
            <w:hideMark/>
          </w:tcPr>
          <w:p w14:paraId="4A8C5895" w14:textId="77777777" w:rsidR="00F05C28" w:rsidRPr="00F05C28" w:rsidRDefault="00F05C28" w:rsidP="00574B5E">
            <w:pPr>
              <w:rPr>
                <w:color w:val="000000"/>
              </w:rPr>
            </w:pPr>
            <w:r w:rsidRPr="00F05C28">
              <w:rPr>
                <w:color w:val="000000"/>
              </w:rPr>
              <w:t xml:space="preserve">        1,160 </w:t>
            </w:r>
          </w:p>
        </w:tc>
        <w:tc>
          <w:tcPr>
            <w:tcW w:w="0" w:type="auto"/>
            <w:tcBorders>
              <w:top w:val="nil"/>
              <w:left w:val="nil"/>
              <w:bottom w:val="nil"/>
              <w:right w:val="nil"/>
            </w:tcBorders>
            <w:shd w:val="clear" w:color="auto" w:fill="auto"/>
            <w:noWrap/>
            <w:vAlign w:val="bottom"/>
            <w:hideMark/>
          </w:tcPr>
          <w:p w14:paraId="052F3316" w14:textId="77777777" w:rsidR="00F05C28" w:rsidRPr="00F05C28" w:rsidRDefault="00F05C28" w:rsidP="00574B5E">
            <w:pPr>
              <w:jc w:val="right"/>
              <w:rPr>
                <w:color w:val="000000"/>
              </w:rPr>
            </w:pPr>
            <w:r w:rsidRPr="00F05C28">
              <w:rPr>
                <w:color w:val="000000"/>
              </w:rPr>
              <w:t>76.52%</w:t>
            </w:r>
          </w:p>
        </w:tc>
      </w:tr>
      <w:tr w:rsidR="00F05C28" w:rsidRPr="00F05C28" w14:paraId="0E5BF861" w14:textId="77777777" w:rsidTr="00574B5E">
        <w:trPr>
          <w:trHeight w:val="288"/>
        </w:trPr>
        <w:tc>
          <w:tcPr>
            <w:tcW w:w="0" w:type="auto"/>
            <w:tcBorders>
              <w:top w:val="nil"/>
              <w:left w:val="nil"/>
              <w:bottom w:val="nil"/>
              <w:right w:val="nil"/>
            </w:tcBorders>
            <w:shd w:val="clear" w:color="auto" w:fill="auto"/>
            <w:noWrap/>
            <w:vAlign w:val="bottom"/>
            <w:hideMark/>
          </w:tcPr>
          <w:p w14:paraId="450BD775" w14:textId="77777777" w:rsidR="00F05C28" w:rsidRPr="00F05C28" w:rsidRDefault="00F05C28" w:rsidP="00574B5E">
            <w:pPr>
              <w:rPr>
                <w:color w:val="000000"/>
              </w:rPr>
            </w:pPr>
            <w:r w:rsidRPr="00F05C28">
              <w:rPr>
                <w:color w:val="000000"/>
              </w:rPr>
              <w:t>Transfer students</w:t>
            </w:r>
          </w:p>
        </w:tc>
        <w:tc>
          <w:tcPr>
            <w:tcW w:w="0" w:type="auto"/>
            <w:tcBorders>
              <w:top w:val="nil"/>
              <w:left w:val="nil"/>
              <w:bottom w:val="nil"/>
              <w:right w:val="nil"/>
            </w:tcBorders>
            <w:shd w:val="clear" w:color="auto" w:fill="auto"/>
            <w:noWrap/>
            <w:vAlign w:val="bottom"/>
            <w:hideMark/>
          </w:tcPr>
          <w:p w14:paraId="72558CED" w14:textId="77777777" w:rsidR="00F05C28" w:rsidRPr="00F05C28" w:rsidRDefault="00F05C28" w:rsidP="00574B5E">
            <w:pPr>
              <w:rPr>
                <w:color w:val="000000"/>
              </w:rPr>
            </w:pPr>
            <w:r w:rsidRPr="00F05C28">
              <w:rPr>
                <w:color w:val="000000"/>
              </w:rPr>
              <w:t xml:space="preserve">           322 </w:t>
            </w:r>
          </w:p>
        </w:tc>
        <w:tc>
          <w:tcPr>
            <w:tcW w:w="0" w:type="auto"/>
            <w:tcBorders>
              <w:top w:val="nil"/>
              <w:left w:val="nil"/>
              <w:bottom w:val="nil"/>
              <w:right w:val="nil"/>
            </w:tcBorders>
            <w:shd w:val="clear" w:color="auto" w:fill="auto"/>
            <w:noWrap/>
            <w:vAlign w:val="bottom"/>
            <w:hideMark/>
          </w:tcPr>
          <w:p w14:paraId="570C4FBD" w14:textId="77777777" w:rsidR="00F05C28" w:rsidRPr="00F05C28" w:rsidRDefault="00F05C28" w:rsidP="00574B5E">
            <w:pPr>
              <w:jc w:val="right"/>
              <w:rPr>
                <w:color w:val="000000"/>
              </w:rPr>
            </w:pPr>
            <w:r w:rsidRPr="00F05C28">
              <w:rPr>
                <w:color w:val="000000"/>
              </w:rPr>
              <w:t>21.24%</w:t>
            </w:r>
          </w:p>
        </w:tc>
      </w:tr>
      <w:tr w:rsidR="00F05C28" w:rsidRPr="00F05C28" w14:paraId="18DC7494" w14:textId="77777777" w:rsidTr="00574B5E">
        <w:trPr>
          <w:trHeight w:val="288"/>
        </w:trPr>
        <w:tc>
          <w:tcPr>
            <w:tcW w:w="0" w:type="auto"/>
            <w:tcBorders>
              <w:top w:val="nil"/>
              <w:left w:val="nil"/>
              <w:bottom w:val="nil"/>
              <w:right w:val="nil"/>
            </w:tcBorders>
            <w:shd w:val="clear" w:color="auto" w:fill="auto"/>
            <w:noWrap/>
            <w:vAlign w:val="bottom"/>
            <w:hideMark/>
          </w:tcPr>
          <w:p w14:paraId="7954583C" w14:textId="77777777" w:rsidR="00F05C28" w:rsidRPr="00F05C28" w:rsidRDefault="00F05C28" w:rsidP="00574B5E">
            <w:pPr>
              <w:rPr>
                <w:color w:val="000000"/>
              </w:rPr>
            </w:pPr>
            <w:r w:rsidRPr="00F05C28">
              <w:rPr>
                <w:color w:val="000000"/>
              </w:rPr>
              <w:t>Unknown Transfer Status</w:t>
            </w:r>
          </w:p>
        </w:tc>
        <w:tc>
          <w:tcPr>
            <w:tcW w:w="0" w:type="auto"/>
            <w:tcBorders>
              <w:top w:val="nil"/>
              <w:left w:val="nil"/>
              <w:bottom w:val="nil"/>
              <w:right w:val="nil"/>
            </w:tcBorders>
            <w:shd w:val="clear" w:color="auto" w:fill="auto"/>
            <w:noWrap/>
            <w:vAlign w:val="bottom"/>
            <w:hideMark/>
          </w:tcPr>
          <w:p w14:paraId="33C9DC13" w14:textId="77777777" w:rsidR="00F05C28" w:rsidRPr="00F05C28" w:rsidRDefault="00F05C28" w:rsidP="00574B5E">
            <w:pPr>
              <w:rPr>
                <w:color w:val="000000"/>
              </w:rPr>
            </w:pPr>
            <w:r w:rsidRPr="00F05C28">
              <w:rPr>
                <w:color w:val="000000"/>
              </w:rPr>
              <w:t xml:space="preserve">             34 </w:t>
            </w:r>
          </w:p>
        </w:tc>
        <w:tc>
          <w:tcPr>
            <w:tcW w:w="0" w:type="auto"/>
            <w:tcBorders>
              <w:top w:val="nil"/>
              <w:left w:val="nil"/>
              <w:bottom w:val="nil"/>
              <w:right w:val="nil"/>
            </w:tcBorders>
            <w:shd w:val="clear" w:color="auto" w:fill="auto"/>
            <w:noWrap/>
            <w:vAlign w:val="bottom"/>
            <w:hideMark/>
          </w:tcPr>
          <w:p w14:paraId="620C9C7E" w14:textId="77777777" w:rsidR="00F05C28" w:rsidRPr="00F05C28" w:rsidRDefault="00F05C28" w:rsidP="00574B5E">
            <w:pPr>
              <w:jc w:val="right"/>
              <w:rPr>
                <w:color w:val="000000"/>
              </w:rPr>
            </w:pPr>
            <w:r w:rsidRPr="00F05C28">
              <w:rPr>
                <w:color w:val="000000"/>
              </w:rPr>
              <w:t>2.24%</w:t>
            </w:r>
          </w:p>
        </w:tc>
      </w:tr>
      <w:tr w:rsidR="00F05C28" w:rsidRPr="00F05C28" w14:paraId="0EC69BCA" w14:textId="77777777" w:rsidTr="00574B5E">
        <w:trPr>
          <w:trHeight w:val="288"/>
        </w:trPr>
        <w:tc>
          <w:tcPr>
            <w:tcW w:w="0" w:type="auto"/>
            <w:tcBorders>
              <w:top w:val="nil"/>
              <w:left w:val="nil"/>
              <w:bottom w:val="nil"/>
              <w:right w:val="nil"/>
            </w:tcBorders>
            <w:shd w:val="clear" w:color="auto" w:fill="auto"/>
            <w:noWrap/>
            <w:vAlign w:val="bottom"/>
            <w:hideMark/>
          </w:tcPr>
          <w:p w14:paraId="5C710D55" w14:textId="77777777" w:rsidR="00F05C28" w:rsidRPr="00F05C28" w:rsidRDefault="00F05C28" w:rsidP="00574B5E">
            <w:pPr>
              <w:jc w:val="center"/>
              <w:rPr>
                <w:b/>
                <w:bCs/>
                <w:color w:val="000000"/>
              </w:rPr>
            </w:pPr>
            <w:r w:rsidRPr="00F05C28">
              <w:rPr>
                <w:b/>
                <w:bCs/>
                <w:color w:val="000000"/>
              </w:rPr>
              <w:t>Residential Status</w:t>
            </w:r>
          </w:p>
        </w:tc>
        <w:tc>
          <w:tcPr>
            <w:tcW w:w="0" w:type="auto"/>
            <w:tcBorders>
              <w:top w:val="nil"/>
              <w:left w:val="nil"/>
              <w:bottom w:val="nil"/>
              <w:right w:val="nil"/>
            </w:tcBorders>
            <w:shd w:val="clear" w:color="auto" w:fill="auto"/>
            <w:noWrap/>
            <w:vAlign w:val="bottom"/>
            <w:hideMark/>
          </w:tcPr>
          <w:p w14:paraId="78195F3A" w14:textId="77777777" w:rsidR="00F05C28" w:rsidRPr="00F05C28" w:rsidRDefault="00F05C28" w:rsidP="00574B5E">
            <w:pPr>
              <w:jc w:val="center"/>
              <w:rPr>
                <w:b/>
                <w:bCs/>
                <w:color w:val="000000"/>
              </w:rPr>
            </w:pPr>
          </w:p>
        </w:tc>
        <w:tc>
          <w:tcPr>
            <w:tcW w:w="0" w:type="auto"/>
            <w:tcBorders>
              <w:top w:val="nil"/>
              <w:left w:val="nil"/>
              <w:bottom w:val="nil"/>
              <w:right w:val="nil"/>
            </w:tcBorders>
            <w:shd w:val="clear" w:color="auto" w:fill="auto"/>
            <w:noWrap/>
            <w:vAlign w:val="bottom"/>
            <w:hideMark/>
          </w:tcPr>
          <w:p w14:paraId="00671CC0" w14:textId="77777777" w:rsidR="00F05C28" w:rsidRPr="00F05C28" w:rsidRDefault="00F05C28" w:rsidP="00574B5E"/>
        </w:tc>
      </w:tr>
      <w:tr w:rsidR="00F05C28" w:rsidRPr="00F05C28" w14:paraId="2750110F" w14:textId="77777777" w:rsidTr="00574B5E">
        <w:trPr>
          <w:trHeight w:val="288"/>
        </w:trPr>
        <w:tc>
          <w:tcPr>
            <w:tcW w:w="0" w:type="auto"/>
            <w:tcBorders>
              <w:top w:val="nil"/>
              <w:left w:val="nil"/>
              <w:bottom w:val="nil"/>
              <w:right w:val="nil"/>
            </w:tcBorders>
            <w:shd w:val="clear" w:color="auto" w:fill="auto"/>
            <w:noWrap/>
            <w:vAlign w:val="bottom"/>
            <w:hideMark/>
          </w:tcPr>
          <w:p w14:paraId="74534409" w14:textId="77777777" w:rsidR="00F05C28" w:rsidRPr="00F05C28" w:rsidRDefault="00F05C28" w:rsidP="00574B5E">
            <w:pPr>
              <w:rPr>
                <w:color w:val="000000"/>
              </w:rPr>
            </w:pPr>
            <w:r w:rsidRPr="00F05C28">
              <w:rPr>
                <w:color w:val="000000"/>
              </w:rPr>
              <w:t>On-</w:t>
            </w:r>
            <w:proofErr w:type="spellStart"/>
            <w:r w:rsidRPr="00F05C28">
              <w:rPr>
                <w:color w:val="000000"/>
              </w:rPr>
              <w:t>Campus</w:t>
            </w:r>
            <w:r w:rsidRPr="00F05C28">
              <w:rPr>
                <w:color w:val="000000"/>
                <w:vertAlign w:val="superscript"/>
              </w:rPr>
              <w:t>a</w:t>
            </w:r>
            <w:proofErr w:type="spellEnd"/>
          </w:p>
        </w:tc>
        <w:tc>
          <w:tcPr>
            <w:tcW w:w="0" w:type="auto"/>
            <w:tcBorders>
              <w:top w:val="nil"/>
              <w:left w:val="nil"/>
              <w:bottom w:val="nil"/>
              <w:right w:val="nil"/>
            </w:tcBorders>
            <w:shd w:val="clear" w:color="auto" w:fill="auto"/>
            <w:noWrap/>
            <w:vAlign w:val="bottom"/>
            <w:hideMark/>
          </w:tcPr>
          <w:p w14:paraId="3966098F" w14:textId="77777777" w:rsidR="00F05C28" w:rsidRPr="00F05C28" w:rsidRDefault="00F05C28" w:rsidP="00574B5E">
            <w:pPr>
              <w:rPr>
                <w:color w:val="000000"/>
              </w:rPr>
            </w:pPr>
            <w:r w:rsidRPr="00F05C28">
              <w:rPr>
                <w:color w:val="000000"/>
              </w:rPr>
              <w:t xml:space="preserve">           582 </w:t>
            </w:r>
          </w:p>
        </w:tc>
        <w:tc>
          <w:tcPr>
            <w:tcW w:w="0" w:type="auto"/>
            <w:tcBorders>
              <w:top w:val="nil"/>
              <w:left w:val="nil"/>
              <w:bottom w:val="nil"/>
              <w:right w:val="nil"/>
            </w:tcBorders>
            <w:shd w:val="clear" w:color="auto" w:fill="auto"/>
            <w:noWrap/>
            <w:vAlign w:val="bottom"/>
            <w:hideMark/>
          </w:tcPr>
          <w:p w14:paraId="1A897B68" w14:textId="77777777" w:rsidR="00F05C28" w:rsidRPr="00F05C28" w:rsidRDefault="00F05C28" w:rsidP="00574B5E">
            <w:pPr>
              <w:jc w:val="right"/>
              <w:rPr>
                <w:color w:val="000000"/>
              </w:rPr>
            </w:pPr>
            <w:r w:rsidRPr="00F05C28">
              <w:rPr>
                <w:color w:val="000000"/>
              </w:rPr>
              <w:t>38.39%</w:t>
            </w:r>
          </w:p>
        </w:tc>
      </w:tr>
      <w:tr w:rsidR="00F05C28" w:rsidRPr="00F05C28" w14:paraId="50B701B8" w14:textId="77777777" w:rsidTr="00574B5E">
        <w:trPr>
          <w:trHeight w:val="288"/>
        </w:trPr>
        <w:tc>
          <w:tcPr>
            <w:tcW w:w="0" w:type="auto"/>
            <w:tcBorders>
              <w:top w:val="nil"/>
              <w:left w:val="nil"/>
              <w:bottom w:val="nil"/>
              <w:right w:val="nil"/>
            </w:tcBorders>
            <w:shd w:val="clear" w:color="auto" w:fill="auto"/>
            <w:noWrap/>
            <w:vAlign w:val="bottom"/>
            <w:hideMark/>
          </w:tcPr>
          <w:p w14:paraId="45AB42D7" w14:textId="77777777" w:rsidR="00F05C28" w:rsidRPr="00F05C28" w:rsidRDefault="00F05C28" w:rsidP="00574B5E">
            <w:pPr>
              <w:rPr>
                <w:color w:val="000000"/>
              </w:rPr>
            </w:pPr>
            <w:r w:rsidRPr="00F05C28">
              <w:rPr>
                <w:color w:val="000000"/>
              </w:rPr>
              <w:t>Commuter</w:t>
            </w:r>
          </w:p>
        </w:tc>
        <w:tc>
          <w:tcPr>
            <w:tcW w:w="0" w:type="auto"/>
            <w:tcBorders>
              <w:top w:val="nil"/>
              <w:left w:val="nil"/>
              <w:bottom w:val="nil"/>
              <w:right w:val="nil"/>
            </w:tcBorders>
            <w:shd w:val="clear" w:color="auto" w:fill="auto"/>
            <w:noWrap/>
            <w:vAlign w:val="bottom"/>
            <w:hideMark/>
          </w:tcPr>
          <w:p w14:paraId="56301C81" w14:textId="77777777" w:rsidR="00F05C28" w:rsidRPr="00F05C28" w:rsidRDefault="00F05C28" w:rsidP="00574B5E">
            <w:pPr>
              <w:rPr>
                <w:color w:val="000000"/>
              </w:rPr>
            </w:pPr>
            <w:r w:rsidRPr="00F05C28">
              <w:rPr>
                <w:color w:val="000000"/>
              </w:rPr>
              <w:t xml:space="preserve">           866 </w:t>
            </w:r>
          </w:p>
        </w:tc>
        <w:tc>
          <w:tcPr>
            <w:tcW w:w="0" w:type="auto"/>
            <w:tcBorders>
              <w:top w:val="nil"/>
              <w:left w:val="nil"/>
              <w:bottom w:val="nil"/>
              <w:right w:val="nil"/>
            </w:tcBorders>
            <w:shd w:val="clear" w:color="auto" w:fill="auto"/>
            <w:noWrap/>
            <w:vAlign w:val="bottom"/>
            <w:hideMark/>
          </w:tcPr>
          <w:p w14:paraId="0EC25802" w14:textId="77777777" w:rsidR="00F05C28" w:rsidRPr="00F05C28" w:rsidRDefault="00F05C28" w:rsidP="00574B5E">
            <w:pPr>
              <w:jc w:val="right"/>
              <w:rPr>
                <w:color w:val="000000"/>
              </w:rPr>
            </w:pPr>
            <w:r w:rsidRPr="00F05C28">
              <w:rPr>
                <w:color w:val="000000"/>
              </w:rPr>
              <w:t>57.12%</w:t>
            </w:r>
          </w:p>
        </w:tc>
      </w:tr>
      <w:tr w:rsidR="00F05C28" w:rsidRPr="00F05C28" w14:paraId="6DDCB503" w14:textId="77777777" w:rsidTr="00574B5E">
        <w:trPr>
          <w:trHeight w:val="288"/>
        </w:trPr>
        <w:tc>
          <w:tcPr>
            <w:tcW w:w="0" w:type="auto"/>
            <w:tcBorders>
              <w:top w:val="nil"/>
              <w:left w:val="nil"/>
              <w:right w:val="nil"/>
            </w:tcBorders>
            <w:shd w:val="clear" w:color="auto" w:fill="auto"/>
            <w:noWrap/>
            <w:vAlign w:val="bottom"/>
            <w:hideMark/>
          </w:tcPr>
          <w:p w14:paraId="17C9C424" w14:textId="77777777" w:rsidR="00F05C28" w:rsidRPr="00F05C28" w:rsidRDefault="00F05C28" w:rsidP="00574B5E">
            <w:pPr>
              <w:rPr>
                <w:color w:val="000000"/>
              </w:rPr>
            </w:pPr>
            <w:r w:rsidRPr="00F05C28">
              <w:rPr>
                <w:color w:val="000000"/>
              </w:rPr>
              <w:t>Fraternity/Sorority Housing</w:t>
            </w:r>
          </w:p>
        </w:tc>
        <w:tc>
          <w:tcPr>
            <w:tcW w:w="0" w:type="auto"/>
            <w:tcBorders>
              <w:top w:val="nil"/>
              <w:left w:val="nil"/>
              <w:right w:val="nil"/>
            </w:tcBorders>
            <w:shd w:val="clear" w:color="auto" w:fill="auto"/>
            <w:noWrap/>
            <w:vAlign w:val="bottom"/>
            <w:hideMark/>
          </w:tcPr>
          <w:p w14:paraId="327659D1" w14:textId="77777777" w:rsidR="00F05C28" w:rsidRPr="00F05C28" w:rsidRDefault="00F05C28" w:rsidP="00574B5E">
            <w:pPr>
              <w:rPr>
                <w:color w:val="000000"/>
              </w:rPr>
            </w:pPr>
            <w:r w:rsidRPr="00F05C28">
              <w:rPr>
                <w:color w:val="000000"/>
              </w:rPr>
              <w:t xml:space="preserve">             13 </w:t>
            </w:r>
          </w:p>
        </w:tc>
        <w:tc>
          <w:tcPr>
            <w:tcW w:w="0" w:type="auto"/>
            <w:tcBorders>
              <w:top w:val="nil"/>
              <w:left w:val="nil"/>
              <w:right w:val="nil"/>
            </w:tcBorders>
            <w:shd w:val="clear" w:color="auto" w:fill="auto"/>
            <w:noWrap/>
            <w:vAlign w:val="bottom"/>
            <w:hideMark/>
          </w:tcPr>
          <w:p w14:paraId="01607E5F" w14:textId="77777777" w:rsidR="00F05C28" w:rsidRPr="00F05C28" w:rsidRDefault="00F05C28" w:rsidP="00574B5E">
            <w:pPr>
              <w:jc w:val="right"/>
              <w:rPr>
                <w:color w:val="000000"/>
              </w:rPr>
            </w:pPr>
            <w:r w:rsidRPr="00F05C28">
              <w:rPr>
                <w:color w:val="000000"/>
              </w:rPr>
              <w:t>0.86%</w:t>
            </w:r>
          </w:p>
        </w:tc>
      </w:tr>
      <w:tr w:rsidR="00F05C28" w:rsidRPr="00F05C28" w14:paraId="0354DA82" w14:textId="77777777" w:rsidTr="00574B5E">
        <w:trPr>
          <w:trHeight w:val="288"/>
        </w:trPr>
        <w:tc>
          <w:tcPr>
            <w:tcW w:w="0" w:type="auto"/>
            <w:tcBorders>
              <w:top w:val="nil"/>
              <w:left w:val="nil"/>
              <w:bottom w:val="nil"/>
              <w:right w:val="nil"/>
            </w:tcBorders>
            <w:shd w:val="clear" w:color="auto" w:fill="auto"/>
            <w:noWrap/>
            <w:vAlign w:val="bottom"/>
            <w:hideMark/>
          </w:tcPr>
          <w:p w14:paraId="47191E44" w14:textId="77777777" w:rsidR="00F05C28" w:rsidRPr="00F05C28" w:rsidRDefault="00F05C28" w:rsidP="00574B5E">
            <w:pPr>
              <w:rPr>
                <w:color w:val="000000"/>
              </w:rPr>
            </w:pPr>
            <w:r w:rsidRPr="00F05C28">
              <w:rPr>
                <w:color w:val="000000"/>
              </w:rPr>
              <w:t>Unknown Housing</w:t>
            </w:r>
          </w:p>
        </w:tc>
        <w:tc>
          <w:tcPr>
            <w:tcW w:w="0" w:type="auto"/>
            <w:tcBorders>
              <w:top w:val="nil"/>
              <w:left w:val="nil"/>
              <w:bottom w:val="nil"/>
              <w:right w:val="nil"/>
            </w:tcBorders>
            <w:shd w:val="clear" w:color="auto" w:fill="auto"/>
            <w:noWrap/>
            <w:vAlign w:val="bottom"/>
            <w:hideMark/>
          </w:tcPr>
          <w:p w14:paraId="29AAE48E" w14:textId="77777777" w:rsidR="00F05C28" w:rsidRPr="00F05C28" w:rsidRDefault="00F05C28" w:rsidP="00574B5E">
            <w:pPr>
              <w:rPr>
                <w:color w:val="000000"/>
              </w:rPr>
            </w:pPr>
            <w:r w:rsidRPr="00F05C28">
              <w:rPr>
                <w:color w:val="000000"/>
              </w:rPr>
              <w:t xml:space="preserve">             55 </w:t>
            </w:r>
          </w:p>
        </w:tc>
        <w:tc>
          <w:tcPr>
            <w:tcW w:w="0" w:type="auto"/>
            <w:tcBorders>
              <w:top w:val="nil"/>
              <w:left w:val="nil"/>
              <w:bottom w:val="nil"/>
              <w:right w:val="nil"/>
            </w:tcBorders>
            <w:shd w:val="clear" w:color="auto" w:fill="auto"/>
            <w:noWrap/>
            <w:vAlign w:val="bottom"/>
            <w:hideMark/>
          </w:tcPr>
          <w:p w14:paraId="1C0EEADD" w14:textId="77777777" w:rsidR="00F05C28" w:rsidRPr="00F05C28" w:rsidRDefault="00F05C28" w:rsidP="00574B5E">
            <w:pPr>
              <w:jc w:val="right"/>
              <w:rPr>
                <w:color w:val="000000"/>
              </w:rPr>
            </w:pPr>
            <w:r w:rsidRPr="00F05C28">
              <w:rPr>
                <w:color w:val="000000"/>
              </w:rPr>
              <w:t>3.63%</w:t>
            </w:r>
          </w:p>
        </w:tc>
      </w:tr>
      <w:tr w:rsidR="00F05C28" w:rsidRPr="00F05C28" w14:paraId="73A6D567" w14:textId="77777777" w:rsidTr="00574B5E">
        <w:trPr>
          <w:trHeight w:val="288"/>
        </w:trPr>
        <w:tc>
          <w:tcPr>
            <w:tcW w:w="0" w:type="auto"/>
            <w:tcBorders>
              <w:top w:val="nil"/>
              <w:left w:val="nil"/>
              <w:right w:val="nil"/>
            </w:tcBorders>
            <w:shd w:val="clear" w:color="auto" w:fill="auto"/>
            <w:noWrap/>
            <w:vAlign w:val="bottom"/>
          </w:tcPr>
          <w:p w14:paraId="694F65DF" w14:textId="77777777" w:rsidR="00F05C28" w:rsidRPr="00F05C28" w:rsidRDefault="00F05C28" w:rsidP="00574B5E">
            <w:pPr>
              <w:jc w:val="center"/>
              <w:rPr>
                <w:color w:val="000000"/>
              </w:rPr>
            </w:pPr>
            <w:r w:rsidRPr="00F05C28">
              <w:rPr>
                <w:b/>
                <w:bCs/>
                <w:color w:val="000000"/>
              </w:rPr>
              <w:t>Parent's Education</w:t>
            </w:r>
          </w:p>
        </w:tc>
        <w:tc>
          <w:tcPr>
            <w:tcW w:w="0" w:type="auto"/>
            <w:tcBorders>
              <w:top w:val="nil"/>
              <w:left w:val="nil"/>
              <w:right w:val="nil"/>
            </w:tcBorders>
            <w:shd w:val="clear" w:color="auto" w:fill="auto"/>
            <w:noWrap/>
            <w:vAlign w:val="bottom"/>
          </w:tcPr>
          <w:p w14:paraId="26040225" w14:textId="77777777" w:rsidR="00F05C28" w:rsidRPr="00F05C28" w:rsidRDefault="00F05C28" w:rsidP="00574B5E">
            <w:pPr>
              <w:rPr>
                <w:color w:val="000000"/>
              </w:rPr>
            </w:pPr>
          </w:p>
        </w:tc>
        <w:tc>
          <w:tcPr>
            <w:tcW w:w="0" w:type="auto"/>
            <w:tcBorders>
              <w:top w:val="nil"/>
              <w:left w:val="nil"/>
              <w:right w:val="nil"/>
            </w:tcBorders>
            <w:shd w:val="clear" w:color="auto" w:fill="auto"/>
            <w:noWrap/>
            <w:vAlign w:val="bottom"/>
          </w:tcPr>
          <w:p w14:paraId="02D2FFAA" w14:textId="77777777" w:rsidR="00F05C28" w:rsidRPr="00F05C28" w:rsidRDefault="00F05C28" w:rsidP="00574B5E">
            <w:pPr>
              <w:rPr>
                <w:color w:val="000000"/>
              </w:rPr>
            </w:pPr>
          </w:p>
        </w:tc>
      </w:tr>
      <w:tr w:rsidR="00F05C28" w:rsidRPr="00F05C28" w14:paraId="76977C93" w14:textId="77777777" w:rsidTr="00574B5E">
        <w:trPr>
          <w:trHeight w:val="288"/>
        </w:trPr>
        <w:tc>
          <w:tcPr>
            <w:tcW w:w="0" w:type="auto"/>
            <w:tcBorders>
              <w:top w:val="nil"/>
              <w:left w:val="nil"/>
              <w:right w:val="nil"/>
            </w:tcBorders>
            <w:shd w:val="clear" w:color="auto" w:fill="auto"/>
            <w:noWrap/>
            <w:vAlign w:val="bottom"/>
          </w:tcPr>
          <w:p w14:paraId="6255B68C" w14:textId="77777777" w:rsidR="00F05C28" w:rsidRPr="00F05C28" w:rsidRDefault="00F05C28" w:rsidP="00574B5E">
            <w:pPr>
              <w:rPr>
                <w:color w:val="000000"/>
              </w:rPr>
            </w:pPr>
            <w:r w:rsidRPr="00F05C28">
              <w:rPr>
                <w:color w:val="000000"/>
              </w:rPr>
              <w:t>Below High School</w:t>
            </w:r>
          </w:p>
        </w:tc>
        <w:tc>
          <w:tcPr>
            <w:tcW w:w="0" w:type="auto"/>
            <w:tcBorders>
              <w:top w:val="nil"/>
              <w:left w:val="nil"/>
              <w:right w:val="nil"/>
            </w:tcBorders>
            <w:shd w:val="clear" w:color="auto" w:fill="auto"/>
            <w:noWrap/>
            <w:vAlign w:val="bottom"/>
          </w:tcPr>
          <w:p w14:paraId="0D48F972" w14:textId="77777777" w:rsidR="00F05C28" w:rsidRPr="00F05C28" w:rsidRDefault="00F05C28" w:rsidP="00574B5E">
            <w:pPr>
              <w:rPr>
                <w:color w:val="000000"/>
              </w:rPr>
            </w:pPr>
            <w:r w:rsidRPr="00F05C28">
              <w:rPr>
                <w:color w:val="000000"/>
              </w:rPr>
              <w:t xml:space="preserve">             28 </w:t>
            </w:r>
          </w:p>
        </w:tc>
        <w:tc>
          <w:tcPr>
            <w:tcW w:w="0" w:type="auto"/>
            <w:tcBorders>
              <w:top w:val="nil"/>
              <w:left w:val="nil"/>
              <w:right w:val="nil"/>
            </w:tcBorders>
            <w:shd w:val="clear" w:color="auto" w:fill="auto"/>
            <w:noWrap/>
            <w:vAlign w:val="bottom"/>
          </w:tcPr>
          <w:p w14:paraId="4396430F" w14:textId="77777777" w:rsidR="00F05C28" w:rsidRPr="00F05C28" w:rsidRDefault="00F05C28" w:rsidP="00574B5E">
            <w:pPr>
              <w:jc w:val="right"/>
              <w:rPr>
                <w:color w:val="000000"/>
              </w:rPr>
            </w:pPr>
            <w:r w:rsidRPr="00F05C28">
              <w:rPr>
                <w:color w:val="000000"/>
              </w:rPr>
              <w:t>1.85%</w:t>
            </w:r>
          </w:p>
        </w:tc>
      </w:tr>
      <w:tr w:rsidR="00F05C28" w:rsidRPr="00F05C28" w14:paraId="19FB8D69" w14:textId="77777777" w:rsidTr="00574B5E">
        <w:trPr>
          <w:trHeight w:val="288"/>
        </w:trPr>
        <w:tc>
          <w:tcPr>
            <w:tcW w:w="0" w:type="auto"/>
            <w:tcBorders>
              <w:left w:val="nil"/>
              <w:right w:val="nil"/>
            </w:tcBorders>
            <w:shd w:val="clear" w:color="auto" w:fill="auto"/>
            <w:noWrap/>
            <w:vAlign w:val="bottom"/>
          </w:tcPr>
          <w:p w14:paraId="2C930359" w14:textId="77777777" w:rsidR="00F05C28" w:rsidRPr="00F05C28" w:rsidRDefault="00F05C28" w:rsidP="00574B5E">
            <w:pPr>
              <w:rPr>
                <w:color w:val="000000"/>
              </w:rPr>
            </w:pPr>
            <w:r w:rsidRPr="00F05C28">
              <w:rPr>
                <w:color w:val="000000"/>
              </w:rPr>
              <w:t>High School/GED</w:t>
            </w:r>
          </w:p>
        </w:tc>
        <w:tc>
          <w:tcPr>
            <w:tcW w:w="0" w:type="auto"/>
            <w:tcBorders>
              <w:left w:val="nil"/>
              <w:right w:val="nil"/>
            </w:tcBorders>
            <w:shd w:val="clear" w:color="auto" w:fill="auto"/>
            <w:noWrap/>
            <w:vAlign w:val="bottom"/>
          </w:tcPr>
          <w:p w14:paraId="1EF42F32" w14:textId="77777777" w:rsidR="00F05C28" w:rsidRPr="00F05C28" w:rsidRDefault="00F05C28" w:rsidP="00574B5E">
            <w:pPr>
              <w:rPr>
                <w:color w:val="000000"/>
              </w:rPr>
            </w:pPr>
            <w:r w:rsidRPr="00F05C28">
              <w:rPr>
                <w:color w:val="000000"/>
              </w:rPr>
              <w:t xml:space="preserve">           175 </w:t>
            </w:r>
          </w:p>
        </w:tc>
        <w:tc>
          <w:tcPr>
            <w:tcW w:w="0" w:type="auto"/>
            <w:tcBorders>
              <w:left w:val="nil"/>
              <w:right w:val="nil"/>
            </w:tcBorders>
            <w:shd w:val="clear" w:color="auto" w:fill="auto"/>
            <w:noWrap/>
            <w:vAlign w:val="bottom"/>
          </w:tcPr>
          <w:p w14:paraId="18C35E0B" w14:textId="77777777" w:rsidR="00F05C28" w:rsidRPr="00F05C28" w:rsidRDefault="00F05C28" w:rsidP="00574B5E">
            <w:pPr>
              <w:jc w:val="right"/>
              <w:rPr>
                <w:color w:val="000000"/>
              </w:rPr>
            </w:pPr>
            <w:r w:rsidRPr="00F05C28">
              <w:rPr>
                <w:color w:val="000000"/>
              </w:rPr>
              <w:t>11.54%</w:t>
            </w:r>
          </w:p>
        </w:tc>
      </w:tr>
      <w:tr w:rsidR="00F05C28" w:rsidRPr="00F05C28" w14:paraId="5B6D8A1E" w14:textId="77777777" w:rsidTr="00574B5E">
        <w:trPr>
          <w:trHeight w:val="288"/>
        </w:trPr>
        <w:tc>
          <w:tcPr>
            <w:tcW w:w="0" w:type="auto"/>
            <w:tcBorders>
              <w:left w:val="nil"/>
              <w:right w:val="nil"/>
            </w:tcBorders>
            <w:shd w:val="clear" w:color="auto" w:fill="auto"/>
            <w:noWrap/>
            <w:vAlign w:val="bottom"/>
          </w:tcPr>
          <w:p w14:paraId="626CBE93" w14:textId="77777777" w:rsidR="00F05C28" w:rsidRPr="00F05C28" w:rsidRDefault="00F05C28" w:rsidP="00574B5E">
            <w:pPr>
              <w:rPr>
                <w:color w:val="000000"/>
              </w:rPr>
            </w:pPr>
            <w:r w:rsidRPr="00F05C28">
              <w:rPr>
                <w:color w:val="000000"/>
              </w:rPr>
              <w:t>Some College</w:t>
            </w:r>
          </w:p>
        </w:tc>
        <w:tc>
          <w:tcPr>
            <w:tcW w:w="0" w:type="auto"/>
            <w:tcBorders>
              <w:left w:val="nil"/>
              <w:right w:val="nil"/>
            </w:tcBorders>
            <w:shd w:val="clear" w:color="auto" w:fill="auto"/>
            <w:noWrap/>
            <w:vAlign w:val="bottom"/>
          </w:tcPr>
          <w:p w14:paraId="00D7E78C" w14:textId="77777777" w:rsidR="00F05C28" w:rsidRPr="00F05C28" w:rsidRDefault="00F05C28" w:rsidP="00574B5E">
            <w:pPr>
              <w:rPr>
                <w:color w:val="000000"/>
              </w:rPr>
            </w:pPr>
            <w:r w:rsidRPr="00F05C28">
              <w:rPr>
                <w:color w:val="000000"/>
              </w:rPr>
              <w:t xml:space="preserve">           176 </w:t>
            </w:r>
          </w:p>
        </w:tc>
        <w:tc>
          <w:tcPr>
            <w:tcW w:w="0" w:type="auto"/>
            <w:tcBorders>
              <w:left w:val="nil"/>
              <w:right w:val="nil"/>
            </w:tcBorders>
            <w:shd w:val="clear" w:color="auto" w:fill="auto"/>
            <w:noWrap/>
            <w:vAlign w:val="bottom"/>
          </w:tcPr>
          <w:p w14:paraId="75DA86AD" w14:textId="77777777" w:rsidR="00F05C28" w:rsidRPr="00F05C28" w:rsidRDefault="00F05C28" w:rsidP="00574B5E">
            <w:pPr>
              <w:jc w:val="right"/>
              <w:rPr>
                <w:color w:val="000000"/>
              </w:rPr>
            </w:pPr>
            <w:r w:rsidRPr="00F05C28">
              <w:rPr>
                <w:color w:val="000000"/>
              </w:rPr>
              <w:t>11.61%</w:t>
            </w:r>
          </w:p>
        </w:tc>
      </w:tr>
      <w:tr w:rsidR="00F05C28" w:rsidRPr="00F05C28" w14:paraId="23888D59" w14:textId="77777777" w:rsidTr="00574B5E">
        <w:trPr>
          <w:trHeight w:val="288"/>
        </w:trPr>
        <w:tc>
          <w:tcPr>
            <w:tcW w:w="0" w:type="auto"/>
            <w:tcBorders>
              <w:left w:val="nil"/>
              <w:right w:val="nil"/>
            </w:tcBorders>
            <w:shd w:val="clear" w:color="auto" w:fill="auto"/>
            <w:noWrap/>
            <w:vAlign w:val="bottom"/>
          </w:tcPr>
          <w:p w14:paraId="14587C3D" w14:textId="77777777" w:rsidR="00F05C28" w:rsidRPr="00F05C28" w:rsidRDefault="00F05C28" w:rsidP="00574B5E">
            <w:pPr>
              <w:rPr>
                <w:color w:val="000000"/>
              </w:rPr>
            </w:pPr>
            <w:r w:rsidRPr="00F05C28">
              <w:rPr>
                <w:color w:val="000000"/>
              </w:rPr>
              <w:t>Associate Degree</w:t>
            </w:r>
          </w:p>
        </w:tc>
        <w:tc>
          <w:tcPr>
            <w:tcW w:w="0" w:type="auto"/>
            <w:tcBorders>
              <w:left w:val="nil"/>
              <w:right w:val="nil"/>
            </w:tcBorders>
            <w:shd w:val="clear" w:color="auto" w:fill="auto"/>
            <w:noWrap/>
            <w:vAlign w:val="bottom"/>
          </w:tcPr>
          <w:p w14:paraId="21A2F3BF" w14:textId="77777777" w:rsidR="00F05C28" w:rsidRPr="00F05C28" w:rsidRDefault="00F05C28" w:rsidP="00574B5E">
            <w:pPr>
              <w:rPr>
                <w:color w:val="000000"/>
              </w:rPr>
            </w:pPr>
            <w:r w:rsidRPr="00F05C28">
              <w:rPr>
                <w:color w:val="000000"/>
              </w:rPr>
              <w:t xml:space="preserve">           106 </w:t>
            </w:r>
          </w:p>
        </w:tc>
        <w:tc>
          <w:tcPr>
            <w:tcW w:w="0" w:type="auto"/>
            <w:tcBorders>
              <w:left w:val="nil"/>
              <w:right w:val="nil"/>
            </w:tcBorders>
            <w:shd w:val="clear" w:color="auto" w:fill="auto"/>
            <w:noWrap/>
            <w:vAlign w:val="bottom"/>
          </w:tcPr>
          <w:p w14:paraId="036DBA16" w14:textId="77777777" w:rsidR="00F05C28" w:rsidRPr="00F05C28" w:rsidRDefault="00F05C28" w:rsidP="00574B5E">
            <w:pPr>
              <w:jc w:val="right"/>
              <w:rPr>
                <w:color w:val="000000"/>
              </w:rPr>
            </w:pPr>
            <w:r w:rsidRPr="00F05C28">
              <w:rPr>
                <w:color w:val="000000"/>
              </w:rPr>
              <w:t>6.99%</w:t>
            </w:r>
          </w:p>
        </w:tc>
      </w:tr>
      <w:tr w:rsidR="00F05C28" w:rsidRPr="00F05C28" w14:paraId="53CC145F" w14:textId="77777777" w:rsidTr="00574B5E">
        <w:trPr>
          <w:trHeight w:val="288"/>
        </w:trPr>
        <w:tc>
          <w:tcPr>
            <w:tcW w:w="0" w:type="auto"/>
            <w:tcBorders>
              <w:left w:val="nil"/>
              <w:right w:val="nil"/>
            </w:tcBorders>
            <w:shd w:val="clear" w:color="auto" w:fill="auto"/>
            <w:noWrap/>
            <w:vAlign w:val="bottom"/>
          </w:tcPr>
          <w:p w14:paraId="48A36161" w14:textId="77777777" w:rsidR="00F05C28" w:rsidRPr="00F05C28" w:rsidRDefault="00F05C28" w:rsidP="00574B5E">
            <w:pPr>
              <w:rPr>
                <w:color w:val="000000"/>
              </w:rPr>
            </w:pPr>
            <w:r w:rsidRPr="00F05C28">
              <w:rPr>
                <w:color w:val="000000"/>
              </w:rPr>
              <w:t xml:space="preserve">Bachelor’s </w:t>
            </w:r>
            <w:proofErr w:type="spellStart"/>
            <w:r w:rsidRPr="00F05C28">
              <w:rPr>
                <w:color w:val="000000"/>
              </w:rPr>
              <w:t>Degree</w:t>
            </w:r>
            <w:r w:rsidRPr="00F05C28">
              <w:rPr>
                <w:color w:val="000000"/>
                <w:vertAlign w:val="superscript"/>
              </w:rPr>
              <w:t>a</w:t>
            </w:r>
            <w:proofErr w:type="spellEnd"/>
          </w:p>
        </w:tc>
        <w:tc>
          <w:tcPr>
            <w:tcW w:w="0" w:type="auto"/>
            <w:tcBorders>
              <w:left w:val="nil"/>
              <w:right w:val="nil"/>
            </w:tcBorders>
            <w:shd w:val="clear" w:color="auto" w:fill="auto"/>
            <w:noWrap/>
            <w:vAlign w:val="bottom"/>
          </w:tcPr>
          <w:p w14:paraId="3EDB9C1B" w14:textId="77777777" w:rsidR="00F05C28" w:rsidRPr="00F05C28" w:rsidRDefault="00F05C28" w:rsidP="00574B5E">
            <w:pPr>
              <w:rPr>
                <w:color w:val="000000"/>
              </w:rPr>
            </w:pPr>
            <w:r w:rsidRPr="00F05C28">
              <w:rPr>
                <w:color w:val="000000"/>
              </w:rPr>
              <w:t xml:space="preserve">           499 </w:t>
            </w:r>
          </w:p>
        </w:tc>
        <w:tc>
          <w:tcPr>
            <w:tcW w:w="0" w:type="auto"/>
            <w:tcBorders>
              <w:left w:val="nil"/>
              <w:right w:val="nil"/>
            </w:tcBorders>
            <w:shd w:val="clear" w:color="auto" w:fill="auto"/>
            <w:noWrap/>
            <w:vAlign w:val="bottom"/>
          </w:tcPr>
          <w:p w14:paraId="0A0097CC" w14:textId="77777777" w:rsidR="00F05C28" w:rsidRPr="00F05C28" w:rsidRDefault="00F05C28" w:rsidP="00574B5E">
            <w:pPr>
              <w:jc w:val="right"/>
              <w:rPr>
                <w:color w:val="000000"/>
              </w:rPr>
            </w:pPr>
            <w:r w:rsidRPr="00F05C28">
              <w:rPr>
                <w:color w:val="000000"/>
              </w:rPr>
              <w:t>32.92%</w:t>
            </w:r>
          </w:p>
        </w:tc>
      </w:tr>
      <w:tr w:rsidR="00F05C28" w:rsidRPr="00F05C28" w14:paraId="606E2203" w14:textId="77777777" w:rsidTr="00574B5E">
        <w:trPr>
          <w:trHeight w:val="288"/>
        </w:trPr>
        <w:tc>
          <w:tcPr>
            <w:tcW w:w="0" w:type="auto"/>
            <w:tcBorders>
              <w:left w:val="nil"/>
              <w:right w:val="nil"/>
            </w:tcBorders>
            <w:shd w:val="clear" w:color="auto" w:fill="auto"/>
            <w:noWrap/>
            <w:vAlign w:val="bottom"/>
          </w:tcPr>
          <w:p w14:paraId="5736613E" w14:textId="77777777" w:rsidR="00F05C28" w:rsidRPr="00F05C28" w:rsidRDefault="00F05C28" w:rsidP="00574B5E">
            <w:pPr>
              <w:rPr>
                <w:color w:val="000000"/>
              </w:rPr>
            </w:pPr>
            <w:r w:rsidRPr="00F05C28">
              <w:rPr>
                <w:color w:val="000000"/>
              </w:rPr>
              <w:t>Master’s Degree</w:t>
            </w:r>
          </w:p>
        </w:tc>
        <w:tc>
          <w:tcPr>
            <w:tcW w:w="0" w:type="auto"/>
            <w:tcBorders>
              <w:left w:val="nil"/>
              <w:right w:val="nil"/>
            </w:tcBorders>
            <w:shd w:val="clear" w:color="auto" w:fill="auto"/>
            <w:noWrap/>
            <w:vAlign w:val="bottom"/>
          </w:tcPr>
          <w:p w14:paraId="5C3D7478" w14:textId="77777777" w:rsidR="00F05C28" w:rsidRPr="00F05C28" w:rsidRDefault="00F05C28" w:rsidP="00574B5E">
            <w:pPr>
              <w:rPr>
                <w:color w:val="000000"/>
              </w:rPr>
            </w:pPr>
            <w:r w:rsidRPr="00F05C28">
              <w:rPr>
                <w:color w:val="000000"/>
              </w:rPr>
              <w:t xml:space="preserve">           348 </w:t>
            </w:r>
          </w:p>
        </w:tc>
        <w:tc>
          <w:tcPr>
            <w:tcW w:w="0" w:type="auto"/>
            <w:tcBorders>
              <w:left w:val="nil"/>
              <w:right w:val="nil"/>
            </w:tcBorders>
            <w:shd w:val="clear" w:color="auto" w:fill="auto"/>
            <w:noWrap/>
            <w:vAlign w:val="bottom"/>
          </w:tcPr>
          <w:p w14:paraId="3CA9FD7B" w14:textId="77777777" w:rsidR="00F05C28" w:rsidRPr="00F05C28" w:rsidRDefault="00F05C28" w:rsidP="00574B5E">
            <w:pPr>
              <w:jc w:val="right"/>
              <w:rPr>
                <w:color w:val="000000"/>
              </w:rPr>
            </w:pPr>
            <w:r w:rsidRPr="00F05C28">
              <w:rPr>
                <w:color w:val="000000"/>
              </w:rPr>
              <w:t>22.96%</w:t>
            </w:r>
          </w:p>
        </w:tc>
      </w:tr>
      <w:tr w:rsidR="00F05C28" w:rsidRPr="00F05C28" w14:paraId="57EF4174" w14:textId="77777777" w:rsidTr="00574B5E">
        <w:trPr>
          <w:trHeight w:val="288"/>
        </w:trPr>
        <w:tc>
          <w:tcPr>
            <w:tcW w:w="0" w:type="auto"/>
            <w:tcBorders>
              <w:left w:val="nil"/>
              <w:bottom w:val="single" w:sz="4" w:space="0" w:color="auto"/>
              <w:right w:val="nil"/>
            </w:tcBorders>
            <w:shd w:val="clear" w:color="auto" w:fill="auto"/>
            <w:noWrap/>
            <w:vAlign w:val="bottom"/>
          </w:tcPr>
          <w:p w14:paraId="7C1BAE1E" w14:textId="77777777" w:rsidR="00F05C28" w:rsidRPr="00F05C28" w:rsidRDefault="00F05C28" w:rsidP="00574B5E">
            <w:pPr>
              <w:rPr>
                <w:color w:val="000000"/>
              </w:rPr>
            </w:pPr>
            <w:r w:rsidRPr="00F05C28">
              <w:rPr>
                <w:color w:val="000000"/>
              </w:rPr>
              <w:t>Unknown Parent Education</w:t>
            </w:r>
          </w:p>
        </w:tc>
        <w:tc>
          <w:tcPr>
            <w:tcW w:w="0" w:type="auto"/>
            <w:tcBorders>
              <w:left w:val="nil"/>
              <w:bottom w:val="single" w:sz="4" w:space="0" w:color="auto"/>
              <w:right w:val="nil"/>
            </w:tcBorders>
            <w:shd w:val="clear" w:color="auto" w:fill="auto"/>
            <w:noWrap/>
            <w:vAlign w:val="bottom"/>
          </w:tcPr>
          <w:p w14:paraId="4CF3BDB8" w14:textId="77777777" w:rsidR="00F05C28" w:rsidRPr="00F05C28" w:rsidRDefault="00F05C28" w:rsidP="00574B5E">
            <w:pPr>
              <w:rPr>
                <w:color w:val="000000"/>
              </w:rPr>
            </w:pPr>
            <w:r w:rsidRPr="00F05C28">
              <w:rPr>
                <w:color w:val="000000"/>
              </w:rPr>
              <w:t xml:space="preserve">           184 </w:t>
            </w:r>
          </w:p>
        </w:tc>
        <w:tc>
          <w:tcPr>
            <w:tcW w:w="0" w:type="auto"/>
            <w:tcBorders>
              <w:left w:val="nil"/>
              <w:bottom w:val="single" w:sz="4" w:space="0" w:color="auto"/>
              <w:right w:val="nil"/>
            </w:tcBorders>
            <w:shd w:val="clear" w:color="auto" w:fill="auto"/>
            <w:noWrap/>
            <w:vAlign w:val="bottom"/>
          </w:tcPr>
          <w:p w14:paraId="3DC20965" w14:textId="77777777" w:rsidR="00F05C28" w:rsidRPr="00F05C28" w:rsidRDefault="00F05C28" w:rsidP="00574B5E">
            <w:pPr>
              <w:jc w:val="right"/>
              <w:rPr>
                <w:color w:val="000000"/>
              </w:rPr>
            </w:pPr>
            <w:r w:rsidRPr="00F05C28">
              <w:rPr>
                <w:color w:val="000000"/>
              </w:rPr>
              <w:t>12.14%</w:t>
            </w:r>
          </w:p>
        </w:tc>
      </w:tr>
    </w:tbl>
    <w:p w14:paraId="10AEF036" w14:textId="77777777" w:rsidR="00F05C28" w:rsidRPr="00F05C28" w:rsidRDefault="00F05C28" w:rsidP="00F05C28">
      <w:pPr>
        <w:spacing w:line="480" w:lineRule="auto"/>
        <w:rPr>
          <w:b/>
          <w:bCs/>
        </w:rPr>
      </w:pPr>
      <w:proofErr w:type="gramStart"/>
      <w:r w:rsidRPr="00F05C28">
        <w:rPr>
          <w:color w:val="000000"/>
          <w:vertAlign w:val="superscript"/>
        </w:rPr>
        <w:t xml:space="preserve">a  </w:t>
      </w:r>
      <w:r w:rsidRPr="00F05C28">
        <w:t>Reference</w:t>
      </w:r>
      <w:proofErr w:type="gramEnd"/>
      <w:r w:rsidRPr="00F05C28">
        <w:t xml:space="preserve"> groups in inferential analysis for research question three.</w:t>
      </w:r>
    </w:p>
    <w:p w14:paraId="2241FEC4" w14:textId="77777777" w:rsidR="00F05C28" w:rsidRPr="00F05C28" w:rsidRDefault="00F05C28" w:rsidP="00F05C28">
      <w:pPr>
        <w:spacing w:line="480" w:lineRule="auto"/>
      </w:pPr>
      <w:r w:rsidRPr="00F05C28">
        <w:lastRenderedPageBreak/>
        <w:t>The participants’ race/ethnicity was reported by South-Eastern State University and included seven American Indian/Native American students, 44 Asian/Pacific Islander students, 72 Black/African American students, 1,300 Caucasian students, 38 Latinx students, 25 Multiracial students, and 30 students that declined to state their race/ethnicity. A majority of the student participants were domestic students (1,488) and 29 were international students.  This study included 1,446 full-time students and 70 part-time students.  A total of 1,160 first-time students, 322 transfer students, and 34 students with an unidentified transfer status were included in this study. Residential status included 582 students living on-campus, 866 commuter students, 13 students in fraternity/sorority housing options, and 55 students whose housing options were not identified. Parent’s education incorporated both the mother’s and father’s highest reported educational attainment. There were 28 students whose parents had below a high school education, 175 students whose parents received a high school diploma or passed the GED, 176 students whose parents had some college experience, 106 students whose parents were Associate degree recipients, 499 students whose parents completed Bachelor’s degrees, 348 students whose parents were Master’s degree recipients, and 184 students that did not disclose their parent’s educational attainment.</w:t>
      </w:r>
    </w:p>
    <w:p w14:paraId="58D7730D" w14:textId="77777777" w:rsidR="00F05C28" w:rsidRPr="00F05C28" w:rsidRDefault="00F05C28" w:rsidP="00F05C28">
      <w:pPr>
        <w:spacing w:line="480" w:lineRule="auto"/>
        <w:rPr>
          <w:b/>
          <w:bCs/>
        </w:rPr>
      </w:pPr>
      <w:r w:rsidRPr="00F05C28">
        <w:rPr>
          <w:b/>
          <w:bCs/>
        </w:rPr>
        <w:t>Findings of the Study</w:t>
      </w:r>
    </w:p>
    <w:p w14:paraId="5C65AF5C" w14:textId="77777777" w:rsidR="00F05C28" w:rsidRPr="00F05C28" w:rsidRDefault="00F05C28" w:rsidP="00F05C28">
      <w:pPr>
        <w:spacing w:line="480" w:lineRule="auto"/>
        <w:rPr>
          <w:i/>
        </w:rPr>
      </w:pPr>
      <w:r w:rsidRPr="00F05C28">
        <w:rPr>
          <w:i/>
        </w:rPr>
        <w:t xml:space="preserve">Research Question 1: Is </w:t>
      </w:r>
      <w:bookmarkStart w:id="20" w:name="_Hlk34740003"/>
      <w:r w:rsidRPr="00F05C28">
        <w:rPr>
          <w:i/>
        </w:rPr>
        <w:t>there a significant difference in the scaled measurement of social integration of first year and senior level students?</w:t>
      </w:r>
      <w:bookmarkEnd w:id="20"/>
    </w:p>
    <w:p w14:paraId="44053D01" w14:textId="77777777" w:rsidR="00F05C28" w:rsidRPr="00F05C28" w:rsidRDefault="00F05C28" w:rsidP="00F05C28">
      <w:pPr>
        <w:spacing w:line="480" w:lineRule="auto"/>
        <w:ind w:firstLine="720"/>
      </w:pPr>
      <w:r w:rsidRPr="00F05C28">
        <w:t xml:space="preserve">An independent sample t-test was used to explore the measured difference in social integration composite scores between </w:t>
      </w:r>
      <w:proofErr w:type="gramStart"/>
      <w:r w:rsidRPr="00F05C28">
        <w:t>first-year</w:t>
      </w:r>
      <w:proofErr w:type="gramEnd"/>
      <w:r w:rsidRPr="00F05C28">
        <w:t xml:space="preserve"> (Freshmen) students and senior level (Senior) students. Before the start of the t-test analysis, the assumptions of normality and homogeneity of variance were tested. The coefficient of skewness was used to evaluate the normality of the </w:t>
      </w:r>
      <w:r w:rsidRPr="00F05C28">
        <w:lastRenderedPageBreak/>
        <w:t xml:space="preserve">sample distribution. Normality is achieved when the skewness coefficient is zero or close to zero. Parameters for normal distribution are typically set between -0.5 and 0.5. The skewness coefficient was -.128 overall, -.148 for Freshmen, and -.100 for senior level students, indicating that the normality assumption was met. The average social integration composite scores of 589 Freshmen participants (M = 40.74, SD = 6.41) compared to the 927 Senior participants (M = 40.14, SD = 7.13) demonstrated very similar results for social integration. The assumption of homogeneity of variance assumption was violated based on the </w:t>
      </w:r>
      <w:proofErr w:type="spellStart"/>
      <w:r w:rsidRPr="00F05C28">
        <w:t>Levene’s</w:t>
      </w:r>
      <w:proofErr w:type="spellEnd"/>
      <w:r w:rsidRPr="00F05C28">
        <w:t xml:space="preserve"> Test of Equality of Variances, p = .005, and equal variance was not assumed. Overall, the t-test comparing the social integration composite scores for Freshmen and Senior was statistically insignificant, </w:t>
      </w:r>
      <w:proofErr w:type="gramStart"/>
      <w:r w:rsidRPr="00F05C28">
        <w:t>t(</w:t>
      </w:r>
      <w:proofErr w:type="gramEnd"/>
      <w:r w:rsidRPr="00F05C28">
        <w:t xml:space="preserve">1347.86) = 1.695, p = .09. These results indicated there was no significant difference in the scaled measurements of social integration of first year (freshmen) and senior level students. </w:t>
      </w:r>
    </w:p>
    <w:p w14:paraId="18022E60" w14:textId="77777777" w:rsidR="00F05C28" w:rsidRPr="00F05C28" w:rsidRDefault="00F05C28" w:rsidP="00F05C28">
      <w:pPr>
        <w:spacing w:line="480" w:lineRule="auto"/>
        <w:rPr>
          <w:i/>
          <w:iCs/>
        </w:rPr>
      </w:pPr>
      <w:r w:rsidRPr="00F05C28">
        <w:rPr>
          <w:i/>
          <w:iCs/>
        </w:rPr>
        <w:t>Research Question 2: Is there a significant difference in the scaled measurement of social integration for</w:t>
      </w:r>
      <w:bookmarkStart w:id="21" w:name="_Hlk34740047"/>
      <w:r w:rsidRPr="00F05C28">
        <w:rPr>
          <w:i/>
          <w:iCs/>
        </w:rPr>
        <w:t xml:space="preserve"> African American and Latinx graduates and dropouts</w:t>
      </w:r>
      <w:bookmarkEnd w:id="21"/>
      <w:r w:rsidRPr="00F05C28">
        <w:rPr>
          <w:i/>
          <w:iCs/>
        </w:rPr>
        <w:t xml:space="preserve">? </w:t>
      </w:r>
    </w:p>
    <w:p w14:paraId="26B9D8A4" w14:textId="77777777" w:rsidR="00F05C28" w:rsidRPr="00F05C28" w:rsidRDefault="00F05C28" w:rsidP="00F05C28">
      <w:pPr>
        <w:spacing w:line="480" w:lineRule="auto"/>
        <w:ind w:firstLine="720"/>
      </w:pPr>
      <w:r w:rsidRPr="00F05C28">
        <w:t xml:space="preserve">A two-way Analysis of Variance (ANOVA) was used to explore the relationship between graduation and race/ethnicity on students’ social integration scores. Prior to conducting the ANOVA, the assumptions of normality and homogeneity of variance were tested. The coefficients of skewness for the dropout population were -.435, and -.082 for the graduate population, again indicating a normal distribution. The assumption of homogeneity of variance was evaluated using </w:t>
      </w:r>
      <w:proofErr w:type="spellStart"/>
      <w:r w:rsidRPr="00F05C28">
        <w:t>Levene’s</w:t>
      </w:r>
      <w:proofErr w:type="spellEnd"/>
      <w:r w:rsidRPr="00F05C28">
        <w:t xml:space="preserve"> Test of Equality of Variance. The test resulted in a p-value of .241, meeting the assumption of equal variance. Overall, graduates (M = 40.71, SD = 6.79) had higher average social integration composite scores compare to the dropouts ((M = 37.64, SD = 6.73). African American graduates (M = 42.80, SD = 8.04) had a higher average social integration composite score compared to African American dropouts (M = 40.81, SD = 4.25).  </w:t>
      </w:r>
      <w:r w:rsidRPr="00F05C28">
        <w:lastRenderedPageBreak/>
        <w:t xml:space="preserve">Latinx graduates (M = 41.13, SD = 6.17) had a higher average social integration composite score compared to the Latinx dropouts (M = 35.88, SD = 7.08). Table 4.2 shows the ANOVA descriptive statistics for graduation status by race/ethnicity. The average social integration composite score for both African American graduates and dropouts was higher than the average social integration composite scores for both the Latinx graduates and dropouts.  </w:t>
      </w:r>
    </w:p>
    <w:p w14:paraId="42B8D528" w14:textId="77777777" w:rsidR="00F05C28" w:rsidRPr="00F05C28" w:rsidRDefault="00F05C28" w:rsidP="00F05C28">
      <w:pPr>
        <w:spacing w:line="480" w:lineRule="auto"/>
        <w:ind w:firstLine="720"/>
      </w:pPr>
      <w:r w:rsidRPr="00F05C28">
        <w:t xml:space="preserve">The effect sizes (partial </w:t>
      </w:r>
      <w:r w:rsidRPr="00F05C28">
        <w:rPr>
          <w:rFonts w:ascii="Calibri" w:hAnsi="Calibri" w:cs="Calibri"/>
        </w:rPr>
        <w:t xml:space="preserve">η </w:t>
      </w:r>
      <w:r w:rsidRPr="00F05C28">
        <w:rPr>
          <w:vertAlign w:val="superscript"/>
        </w:rPr>
        <w:t>2</w:t>
      </w:r>
      <w:r w:rsidRPr="00F05C28">
        <w:t xml:space="preserve">) were also calculated to determine the strength of interaction between the independent variables of graduation status and race/ethnicity and social integration.  Table 4.3 displays the summary results for the ANOVA that analyzed graduation status and race/ethnicity. The interaction effect between graduation and race/ethnicity was not significant </w:t>
      </w:r>
      <w:proofErr w:type="gramStart"/>
      <w:r w:rsidRPr="00F05C28">
        <w:t>F(</w:t>
      </w:r>
      <w:proofErr w:type="gramEnd"/>
      <w:r w:rsidRPr="00F05C28">
        <w:t xml:space="preserve">5, 1503) </w:t>
      </w:r>
      <w:r w:rsidRPr="00F05C28">
        <w:rPr>
          <w:iCs/>
        </w:rPr>
        <w:t>= 0.528, p = 0.755</w:t>
      </w:r>
      <w:r w:rsidRPr="00F05C28">
        <w:t xml:space="preserve">. The main effect for race/ethnicity was also not statistically significant </w:t>
      </w:r>
      <w:proofErr w:type="gramStart"/>
      <w:r w:rsidRPr="00F05C28">
        <w:t>F(</w:t>
      </w:r>
      <w:proofErr w:type="gramEnd"/>
      <w:r w:rsidRPr="00F05C28">
        <w:t xml:space="preserve">6, 1503) = 1.585, p = 0.148, partial </w:t>
      </w:r>
      <w:r w:rsidRPr="00F05C28">
        <w:rPr>
          <w:rFonts w:ascii="Calibri" w:hAnsi="Calibri" w:cs="Calibri"/>
        </w:rPr>
        <w:t xml:space="preserve">η </w:t>
      </w:r>
      <w:r w:rsidRPr="00F05C28">
        <w:rPr>
          <w:vertAlign w:val="superscript"/>
        </w:rPr>
        <w:t xml:space="preserve">2 </w:t>
      </w:r>
      <w:r w:rsidRPr="00F05C28">
        <w:t xml:space="preserve">= 0.006.  There was a significant main effect for graduation status at the p&lt;.05 significant level </w:t>
      </w:r>
      <w:proofErr w:type="gramStart"/>
      <w:r w:rsidRPr="00F05C28">
        <w:t>F(</w:t>
      </w:r>
      <w:proofErr w:type="gramEnd"/>
      <w:r w:rsidRPr="00F05C28">
        <w:t xml:space="preserve">1, 1503) = 10.759, p = 0.001, partial </w:t>
      </w:r>
      <w:r w:rsidRPr="00F05C28">
        <w:rPr>
          <w:rFonts w:ascii="Calibri" w:hAnsi="Calibri" w:cs="Calibri"/>
        </w:rPr>
        <w:t xml:space="preserve">η </w:t>
      </w:r>
      <w:r w:rsidRPr="00F05C28">
        <w:rPr>
          <w:vertAlign w:val="superscript"/>
        </w:rPr>
        <w:t xml:space="preserve">2 </w:t>
      </w:r>
      <w:r w:rsidRPr="00F05C28">
        <w:t xml:space="preserve">= </w:t>
      </w:r>
    </w:p>
    <w:p w14:paraId="47D6479B" w14:textId="77777777" w:rsidR="00F05C28" w:rsidRPr="00F05C28" w:rsidRDefault="00F05C28" w:rsidP="00F05C28">
      <w:pPr>
        <w:spacing w:line="480" w:lineRule="auto"/>
        <w:ind w:firstLine="720"/>
      </w:pPr>
    </w:p>
    <w:tbl>
      <w:tblPr>
        <w:tblW w:w="0" w:type="auto"/>
        <w:tblLook w:val="04A0" w:firstRow="1" w:lastRow="0" w:firstColumn="1" w:lastColumn="0" w:noHBand="0" w:noVBand="1"/>
      </w:tblPr>
      <w:tblGrid>
        <w:gridCol w:w="1296"/>
        <w:gridCol w:w="3548"/>
        <w:gridCol w:w="763"/>
        <w:gridCol w:w="1543"/>
        <w:gridCol w:w="936"/>
      </w:tblGrid>
      <w:tr w:rsidR="00F05C28" w:rsidRPr="00F05C28" w14:paraId="668652B0" w14:textId="77777777" w:rsidTr="00574B5E">
        <w:trPr>
          <w:trHeight w:val="288"/>
        </w:trPr>
        <w:tc>
          <w:tcPr>
            <w:tcW w:w="0" w:type="auto"/>
            <w:gridSpan w:val="5"/>
            <w:tcBorders>
              <w:top w:val="nil"/>
              <w:left w:val="nil"/>
              <w:bottom w:val="nil"/>
              <w:right w:val="nil"/>
            </w:tcBorders>
            <w:shd w:val="clear" w:color="auto" w:fill="auto"/>
            <w:noWrap/>
            <w:vAlign w:val="bottom"/>
            <w:hideMark/>
          </w:tcPr>
          <w:p w14:paraId="0285EA9E" w14:textId="77777777" w:rsidR="00F05C28" w:rsidRPr="00F05C28" w:rsidRDefault="00F05C28" w:rsidP="00574B5E">
            <w:pPr>
              <w:rPr>
                <w:color w:val="000000"/>
              </w:rPr>
            </w:pPr>
            <w:r w:rsidRPr="00F05C28">
              <w:rPr>
                <w:color w:val="000000"/>
              </w:rPr>
              <w:t>Table 4.2</w:t>
            </w:r>
          </w:p>
        </w:tc>
      </w:tr>
      <w:tr w:rsidR="00F05C28" w:rsidRPr="00F05C28" w14:paraId="260E4D5F" w14:textId="77777777" w:rsidTr="00574B5E">
        <w:trPr>
          <w:trHeight w:val="288"/>
        </w:trPr>
        <w:tc>
          <w:tcPr>
            <w:tcW w:w="0" w:type="auto"/>
            <w:gridSpan w:val="5"/>
            <w:tcBorders>
              <w:top w:val="nil"/>
              <w:left w:val="nil"/>
              <w:bottom w:val="single" w:sz="4" w:space="0" w:color="auto"/>
              <w:right w:val="nil"/>
            </w:tcBorders>
            <w:shd w:val="clear" w:color="auto" w:fill="auto"/>
            <w:noWrap/>
            <w:vAlign w:val="bottom"/>
            <w:hideMark/>
          </w:tcPr>
          <w:p w14:paraId="4A1F18FC" w14:textId="77777777" w:rsidR="00F05C28" w:rsidRPr="00F05C28" w:rsidRDefault="00F05C28" w:rsidP="00574B5E">
            <w:pPr>
              <w:rPr>
                <w:color w:val="000000"/>
              </w:rPr>
            </w:pPr>
            <w:r w:rsidRPr="00F05C28">
              <w:rPr>
                <w:color w:val="000000"/>
              </w:rPr>
              <w:t>Descriptive Statistics for Graduation Status by Race/Ethnicity</w:t>
            </w:r>
          </w:p>
        </w:tc>
      </w:tr>
      <w:tr w:rsidR="00F05C28" w:rsidRPr="00F05C28" w14:paraId="575C7E63" w14:textId="77777777" w:rsidTr="00574B5E">
        <w:trPr>
          <w:trHeight w:val="288"/>
        </w:trPr>
        <w:tc>
          <w:tcPr>
            <w:tcW w:w="0" w:type="auto"/>
            <w:tcBorders>
              <w:top w:val="nil"/>
              <w:left w:val="nil"/>
              <w:bottom w:val="single" w:sz="4" w:space="0" w:color="auto"/>
              <w:right w:val="nil"/>
            </w:tcBorders>
            <w:shd w:val="clear" w:color="auto" w:fill="auto"/>
            <w:noWrap/>
            <w:vAlign w:val="bottom"/>
            <w:hideMark/>
          </w:tcPr>
          <w:p w14:paraId="0DBAF67A" w14:textId="77777777" w:rsidR="00F05C28" w:rsidRPr="00F05C28" w:rsidRDefault="00F05C28" w:rsidP="00574B5E">
            <w:pPr>
              <w:rPr>
                <w:color w:val="000000"/>
              </w:rPr>
            </w:pPr>
            <w:r w:rsidRPr="00F05C28">
              <w:rPr>
                <w:color w:val="000000"/>
              </w:rPr>
              <w:t>Graduation</w:t>
            </w:r>
          </w:p>
        </w:tc>
        <w:tc>
          <w:tcPr>
            <w:tcW w:w="0" w:type="auto"/>
            <w:tcBorders>
              <w:top w:val="nil"/>
              <w:left w:val="nil"/>
              <w:bottom w:val="single" w:sz="4" w:space="0" w:color="auto"/>
              <w:right w:val="nil"/>
            </w:tcBorders>
            <w:shd w:val="clear" w:color="auto" w:fill="auto"/>
            <w:noWrap/>
            <w:vAlign w:val="bottom"/>
            <w:hideMark/>
          </w:tcPr>
          <w:p w14:paraId="588E6C4D" w14:textId="77777777" w:rsidR="00F05C28" w:rsidRPr="00F05C28" w:rsidRDefault="00F05C28" w:rsidP="00574B5E">
            <w:pPr>
              <w:rPr>
                <w:color w:val="000000"/>
              </w:rPr>
            </w:pPr>
            <w:r w:rsidRPr="00F05C28">
              <w:rPr>
                <w:color w:val="000000"/>
              </w:rPr>
              <w:t>Race/Ethnicity</w:t>
            </w:r>
          </w:p>
        </w:tc>
        <w:tc>
          <w:tcPr>
            <w:tcW w:w="0" w:type="auto"/>
            <w:tcBorders>
              <w:top w:val="nil"/>
              <w:left w:val="nil"/>
              <w:bottom w:val="single" w:sz="4" w:space="0" w:color="auto"/>
              <w:right w:val="nil"/>
            </w:tcBorders>
            <w:shd w:val="clear" w:color="auto" w:fill="auto"/>
            <w:noWrap/>
            <w:vAlign w:val="bottom"/>
            <w:hideMark/>
          </w:tcPr>
          <w:p w14:paraId="6ADDB8D6" w14:textId="77777777" w:rsidR="00F05C28" w:rsidRPr="00F05C28" w:rsidRDefault="00F05C28" w:rsidP="00574B5E">
            <w:pPr>
              <w:jc w:val="center"/>
              <w:rPr>
                <w:color w:val="000000"/>
              </w:rPr>
            </w:pPr>
            <w:r w:rsidRPr="00F05C28">
              <w:rPr>
                <w:color w:val="000000"/>
              </w:rPr>
              <w:t>Mean</w:t>
            </w:r>
          </w:p>
        </w:tc>
        <w:tc>
          <w:tcPr>
            <w:tcW w:w="0" w:type="auto"/>
            <w:tcBorders>
              <w:top w:val="nil"/>
              <w:left w:val="nil"/>
              <w:bottom w:val="single" w:sz="4" w:space="0" w:color="auto"/>
              <w:right w:val="nil"/>
            </w:tcBorders>
            <w:shd w:val="clear" w:color="auto" w:fill="auto"/>
            <w:noWrap/>
            <w:vAlign w:val="bottom"/>
            <w:hideMark/>
          </w:tcPr>
          <w:p w14:paraId="5708D50A" w14:textId="77777777" w:rsidR="00F05C28" w:rsidRPr="00F05C28" w:rsidRDefault="00F05C28" w:rsidP="00574B5E">
            <w:pPr>
              <w:jc w:val="center"/>
              <w:rPr>
                <w:color w:val="000000"/>
              </w:rPr>
            </w:pPr>
            <w:r w:rsidRPr="00F05C28">
              <w:rPr>
                <w:color w:val="000000"/>
              </w:rPr>
              <w:t>Std Deviation</w:t>
            </w:r>
          </w:p>
        </w:tc>
        <w:tc>
          <w:tcPr>
            <w:tcW w:w="0" w:type="auto"/>
            <w:tcBorders>
              <w:top w:val="nil"/>
              <w:left w:val="nil"/>
              <w:bottom w:val="single" w:sz="4" w:space="0" w:color="auto"/>
              <w:right w:val="nil"/>
            </w:tcBorders>
            <w:shd w:val="clear" w:color="auto" w:fill="auto"/>
            <w:noWrap/>
            <w:vAlign w:val="bottom"/>
            <w:hideMark/>
          </w:tcPr>
          <w:p w14:paraId="08E1BEAC" w14:textId="77777777" w:rsidR="00F05C28" w:rsidRPr="00F05C28" w:rsidRDefault="00F05C28" w:rsidP="00574B5E">
            <w:pPr>
              <w:jc w:val="center"/>
              <w:rPr>
                <w:color w:val="000000"/>
              </w:rPr>
            </w:pPr>
            <w:r w:rsidRPr="00F05C28">
              <w:rPr>
                <w:color w:val="000000"/>
              </w:rPr>
              <w:t>N</w:t>
            </w:r>
          </w:p>
        </w:tc>
      </w:tr>
      <w:tr w:rsidR="00F05C28" w:rsidRPr="00F05C28" w14:paraId="34340DEB" w14:textId="77777777" w:rsidTr="00574B5E">
        <w:trPr>
          <w:trHeight w:val="288"/>
        </w:trPr>
        <w:tc>
          <w:tcPr>
            <w:tcW w:w="0" w:type="auto"/>
            <w:vMerge w:val="restart"/>
            <w:tcBorders>
              <w:top w:val="nil"/>
              <w:left w:val="nil"/>
              <w:bottom w:val="nil"/>
              <w:right w:val="nil"/>
            </w:tcBorders>
            <w:shd w:val="clear" w:color="auto" w:fill="auto"/>
            <w:noWrap/>
            <w:hideMark/>
          </w:tcPr>
          <w:p w14:paraId="126974C2" w14:textId="77777777" w:rsidR="00F05C28" w:rsidRPr="00F05C28" w:rsidRDefault="00F05C28" w:rsidP="00574B5E">
            <w:pPr>
              <w:rPr>
                <w:color w:val="000000"/>
              </w:rPr>
            </w:pPr>
            <w:r w:rsidRPr="00F05C28">
              <w:rPr>
                <w:color w:val="000000"/>
              </w:rPr>
              <w:t>Dropout</w:t>
            </w:r>
          </w:p>
        </w:tc>
        <w:tc>
          <w:tcPr>
            <w:tcW w:w="0" w:type="auto"/>
            <w:tcBorders>
              <w:top w:val="nil"/>
              <w:left w:val="nil"/>
              <w:bottom w:val="nil"/>
              <w:right w:val="nil"/>
            </w:tcBorders>
            <w:shd w:val="clear" w:color="auto" w:fill="auto"/>
            <w:vAlign w:val="bottom"/>
            <w:hideMark/>
          </w:tcPr>
          <w:p w14:paraId="72B0F351" w14:textId="77777777" w:rsidR="00F05C28" w:rsidRPr="00F05C28" w:rsidRDefault="00F05C28" w:rsidP="00574B5E">
            <w:pPr>
              <w:rPr>
                <w:color w:val="000000"/>
              </w:rPr>
            </w:pPr>
            <w:r w:rsidRPr="00F05C28">
              <w:rPr>
                <w:color w:val="000000"/>
              </w:rPr>
              <w:t>American Indian/Native American</w:t>
            </w:r>
          </w:p>
        </w:tc>
        <w:tc>
          <w:tcPr>
            <w:tcW w:w="0" w:type="auto"/>
            <w:tcBorders>
              <w:top w:val="nil"/>
              <w:left w:val="nil"/>
              <w:bottom w:val="nil"/>
              <w:right w:val="nil"/>
            </w:tcBorders>
            <w:shd w:val="clear" w:color="auto" w:fill="auto"/>
            <w:noWrap/>
            <w:vAlign w:val="bottom"/>
            <w:hideMark/>
          </w:tcPr>
          <w:p w14:paraId="09735727" w14:textId="77777777" w:rsidR="00F05C28" w:rsidRPr="00F05C28" w:rsidRDefault="00F05C28" w:rsidP="00574B5E">
            <w:pPr>
              <w:jc w:val="right"/>
              <w:rPr>
                <w:color w:val="000000"/>
              </w:rPr>
            </w:pPr>
            <w:r w:rsidRPr="00F05C28">
              <w:rPr>
                <w:color w:val="000000"/>
              </w:rPr>
              <w:t>32.00</w:t>
            </w:r>
          </w:p>
        </w:tc>
        <w:tc>
          <w:tcPr>
            <w:tcW w:w="0" w:type="auto"/>
            <w:tcBorders>
              <w:top w:val="nil"/>
              <w:left w:val="nil"/>
              <w:bottom w:val="nil"/>
              <w:right w:val="nil"/>
            </w:tcBorders>
            <w:shd w:val="clear" w:color="auto" w:fill="auto"/>
            <w:noWrap/>
            <w:vAlign w:val="bottom"/>
            <w:hideMark/>
          </w:tcPr>
          <w:p w14:paraId="28E315DD" w14:textId="77777777" w:rsidR="00F05C28" w:rsidRPr="00F05C28" w:rsidRDefault="00F05C28" w:rsidP="00574B5E">
            <w:pPr>
              <w:jc w:val="center"/>
              <w:rPr>
                <w:color w:val="000000"/>
              </w:rPr>
            </w:pPr>
            <w:r w:rsidRPr="00F05C28">
              <w:rPr>
                <w:color w:val="000000"/>
              </w:rPr>
              <w:t>14.14</w:t>
            </w:r>
          </w:p>
        </w:tc>
        <w:tc>
          <w:tcPr>
            <w:tcW w:w="0" w:type="auto"/>
            <w:tcBorders>
              <w:top w:val="nil"/>
              <w:left w:val="nil"/>
              <w:bottom w:val="nil"/>
              <w:right w:val="nil"/>
            </w:tcBorders>
            <w:shd w:val="clear" w:color="auto" w:fill="auto"/>
            <w:noWrap/>
            <w:vAlign w:val="bottom"/>
            <w:hideMark/>
          </w:tcPr>
          <w:p w14:paraId="2ACA7695" w14:textId="77777777" w:rsidR="00F05C28" w:rsidRPr="00F05C28" w:rsidRDefault="00F05C28" w:rsidP="00574B5E">
            <w:pPr>
              <w:rPr>
                <w:color w:val="000000"/>
              </w:rPr>
            </w:pPr>
            <w:r w:rsidRPr="00F05C28">
              <w:rPr>
                <w:color w:val="000000"/>
              </w:rPr>
              <w:t xml:space="preserve">          2 </w:t>
            </w:r>
          </w:p>
        </w:tc>
      </w:tr>
      <w:tr w:rsidR="00F05C28" w:rsidRPr="00F05C28" w14:paraId="6695377A" w14:textId="77777777" w:rsidTr="00574B5E">
        <w:trPr>
          <w:trHeight w:val="288"/>
        </w:trPr>
        <w:tc>
          <w:tcPr>
            <w:tcW w:w="0" w:type="auto"/>
            <w:vMerge/>
            <w:tcBorders>
              <w:top w:val="nil"/>
              <w:left w:val="nil"/>
              <w:bottom w:val="nil"/>
              <w:right w:val="nil"/>
            </w:tcBorders>
            <w:vAlign w:val="center"/>
            <w:hideMark/>
          </w:tcPr>
          <w:p w14:paraId="4C06B767"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38B6CBC0" w14:textId="77777777" w:rsidR="00F05C28" w:rsidRPr="00F05C28" w:rsidRDefault="00F05C28" w:rsidP="00574B5E">
            <w:pPr>
              <w:rPr>
                <w:color w:val="000000"/>
              </w:rPr>
            </w:pPr>
            <w:r w:rsidRPr="00F05C28">
              <w:rPr>
                <w:color w:val="000000"/>
              </w:rPr>
              <w:t>Asian/Pacific Islander</w:t>
            </w:r>
          </w:p>
        </w:tc>
        <w:tc>
          <w:tcPr>
            <w:tcW w:w="0" w:type="auto"/>
            <w:tcBorders>
              <w:top w:val="nil"/>
              <w:left w:val="nil"/>
              <w:bottom w:val="nil"/>
              <w:right w:val="nil"/>
            </w:tcBorders>
            <w:shd w:val="clear" w:color="auto" w:fill="auto"/>
            <w:noWrap/>
            <w:vAlign w:val="bottom"/>
            <w:hideMark/>
          </w:tcPr>
          <w:p w14:paraId="57B35CB7" w14:textId="77777777" w:rsidR="00F05C28" w:rsidRPr="00F05C28" w:rsidRDefault="00F05C28" w:rsidP="00574B5E">
            <w:pPr>
              <w:jc w:val="right"/>
              <w:rPr>
                <w:color w:val="000000"/>
              </w:rPr>
            </w:pPr>
            <w:r w:rsidRPr="00F05C28">
              <w:rPr>
                <w:color w:val="000000"/>
              </w:rPr>
              <w:t>38.33</w:t>
            </w:r>
          </w:p>
        </w:tc>
        <w:tc>
          <w:tcPr>
            <w:tcW w:w="0" w:type="auto"/>
            <w:tcBorders>
              <w:top w:val="nil"/>
              <w:left w:val="nil"/>
              <w:bottom w:val="nil"/>
              <w:right w:val="nil"/>
            </w:tcBorders>
            <w:shd w:val="clear" w:color="auto" w:fill="auto"/>
            <w:noWrap/>
            <w:vAlign w:val="bottom"/>
            <w:hideMark/>
          </w:tcPr>
          <w:p w14:paraId="16F8BBC3" w14:textId="77777777" w:rsidR="00F05C28" w:rsidRPr="00F05C28" w:rsidRDefault="00F05C28" w:rsidP="00574B5E">
            <w:pPr>
              <w:jc w:val="center"/>
              <w:rPr>
                <w:color w:val="000000"/>
              </w:rPr>
            </w:pPr>
            <w:r w:rsidRPr="00F05C28">
              <w:rPr>
                <w:color w:val="000000"/>
              </w:rPr>
              <w:t>3.79</w:t>
            </w:r>
          </w:p>
        </w:tc>
        <w:tc>
          <w:tcPr>
            <w:tcW w:w="0" w:type="auto"/>
            <w:tcBorders>
              <w:top w:val="nil"/>
              <w:left w:val="nil"/>
              <w:bottom w:val="nil"/>
              <w:right w:val="nil"/>
            </w:tcBorders>
            <w:shd w:val="clear" w:color="auto" w:fill="auto"/>
            <w:noWrap/>
            <w:vAlign w:val="bottom"/>
            <w:hideMark/>
          </w:tcPr>
          <w:p w14:paraId="5F47F52A" w14:textId="77777777" w:rsidR="00F05C28" w:rsidRPr="00F05C28" w:rsidRDefault="00F05C28" w:rsidP="00574B5E">
            <w:pPr>
              <w:rPr>
                <w:color w:val="000000"/>
              </w:rPr>
            </w:pPr>
            <w:r w:rsidRPr="00F05C28">
              <w:rPr>
                <w:color w:val="000000"/>
              </w:rPr>
              <w:t xml:space="preserve">          3 </w:t>
            </w:r>
          </w:p>
        </w:tc>
      </w:tr>
      <w:tr w:rsidR="00F05C28" w:rsidRPr="00F05C28" w14:paraId="21261465" w14:textId="77777777" w:rsidTr="00574B5E">
        <w:trPr>
          <w:trHeight w:val="288"/>
        </w:trPr>
        <w:tc>
          <w:tcPr>
            <w:tcW w:w="0" w:type="auto"/>
            <w:vMerge/>
            <w:tcBorders>
              <w:top w:val="nil"/>
              <w:left w:val="nil"/>
              <w:bottom w:val="nil"/>
              <w:right w:val="nil"/>
            </w:tcBorders>
            <w:vAlign w:val="center"/>
            <w:hideMark/>
          </w:tcPr>
          <w:p w14:paraId="057E40C1"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5786E223" w14:textId="77777777" w:rsidR="00F05C28" w:rsidRPr="00F05C28" w:rsidRDefault="00F05C28" w:rsidP="00574B5E">
            <w:pPr>
              <w:rPr>
                <w:color w:val="000000"/>
              </w:rPr>
            </w:pPr>
            <w:r w:rsidRPr="00F05C28">
              <w:rPr>
                <w:color w:val="000000"/>
              </w:rPr>
              <w:t>Black/African American</w:t>
            </w:r>
          </w:p>
        </w:tc>
        <w:tc>
          <w:tcPr>
            <w:tcW w:w="0" w:type="auto"/>
            <w:tcBorders>
              <w:top w:val="nil"/>
              <w:left w:val="nil"/>
              <w:bottom w:val="nil"/>
              <w:right w:val="nil"/>
            </w:tcBorders>
            <w:shd w:val="clear" w:color="auto" w:fill="auto"/>
            <w:noWrap/>
            <w:vAlign w:val="bottom"/>
            <w:hideMark/>
          </w:tcPr>
          <w:p w14:paraId="6C9E3121" w14:textId="77777777" w:rsidR="00F05C28" w:rsidRPr="00F05C28" w:rsidRDefault="00F05C28" w:rsidP="00574B5E">
            <w:pPr>
              <w:jc w:val="right"/>
              <w:rPr>
                <w:color w:val="000000"/>
              </w:rPr>
            </w:pPr>
            <w:r w:rsidRPr="00F05C28">
              <w:rPr>
                <w:color w:val="000000"/>
              </w:rPr>
              <w:t>40.81</w:t>
            </w:r>
          </w:p>
        </w:tc>
        <w:tc>
          <w:tcPr>
            <w:tcW w:w="0" w:type="auto"/>
            <w:tcBorders>
              <w:top w:val="nil"/>
              <w:left w:val="nil"/>
              <w:bottom w:val="nil"/>
              <w:right w:val="nil"/>
            </w:tcBorders>
            <w:shd w:val="clear" w:color="auto" w:fill="auto"/>
            <w:noWrap/>
            <w:vAlign w:val="bottom"/>
            <w:hideMark/>
          </w:tcPr>
          <w:p w14:paraId="0BCFA5B8" w14:textId="77777777" w:rsidR="00F05C28" w:rsidRPr="00F05C28" w:rsidRDefault="00F05C28" w:rsidP="00574B5E">
            <w:pPr>
              <w:jc w:val="center"/>
              <w:rPr>
                <w:color w:val="000000"/>
              </w:rPr>
            </w:pPr>
            <w:r w:rsidRPr="00F05C28">
              <w:rPr>
                <w:color w:val="000000"/>
              </w:rPr>
              <w:t>4.25</w:t>
            </w:r>
          </w:p>
        </w:tc>
        <w:tc>
          <w:tcPr>
            <w:tcW w:w="0" w:type="auto"/>
            <w:tcBorders>
              <w:top w:val="nil"/>
              <w:left w:val="nil"/>
              <w:bottom w:val="nil"/>
              <w:right w:val="nil"/>
            </w:tcBorders>
            <w:shd w:val="clear" w:color="auto" w:fill="auto"/>
            <w:noWrap/>
            <w:vAlign w:val="bottom"/>
            <w:hideMark/>
          </w:tcPr>
          <w:p w14:paraId="38153885" w14:textId="77777777" w:rsidR="00F05C28" w:rsidRPr="00F05C28" w:rsidRDefault="00F05C28" w:rsidP="00574B5E">
            <w:pPr>
              <w:rPr>
                <w:color w:val="000000"/>
              </w:rPr>
            </w:pPr>
            <w:r w:rsidRPr="00F05C28">
              <w:rPr>
                <w:color w:val="000000"/>
              </w:rPr>
              <w:t xml:space="preserve">        16 </w:t>
            </w:r>
          </w:p>
        </w:tc>
      </w:tr>
      <w:tr w:rsidR="00F05C28" w:rsidRPr="00F05C28" w14:paraId="7BBAD3E6" w14:textId="77777777" w:rsidTr="00574B5E">
        <w:trPr>
          <w:trHeight w:val="288"/>
        </w:trPr>
        <w:tc>
          <w:tcPr>
            <w:tcW w:w="0" w:type="auto"/>
            <w:vMerge/>
            <w:tcBorders>
              <w:top w:val="nil"/>
              <w:left w:val="nil"/>
              <w:bottom w:val="nil"/>
              <w:right w:val="nil"/>
            </w:tcBorders>
            <w:vAlign w:val="center"/>
            <w:hideMark/>
          </w:tcPr>
          <w:p w14:paraId="4CE92482"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272A6373" w14:textId="77777777" w:rsidR="00F05C28" w:rsidRPr="00F05C28" w:rsidRDefault="00F05C28" w:rsidP="00574B5E">
            <w:pPr>
              <w:rPr>
                <w:color w:val="000000"/>
              </w:rPr>
            </w:pPr>
            <w:r w:rsidRPr="00F05C28">
              <w:rPr>
                <w:color w:val="000000"/>
              </w:rPr>
              <w:t>White</w:t>
            </w:r>
          </w:p>
        </w:tc>
        <w:tc>
          <w:tcPr>
            <w:tcW w:w="0" w:type="auto"/>
            <w:tcBorders>
              <w:top w:val="nil"/>
              <w:left w:val="nil"/>
              <w:bottom w:val="nil"/>
              <w:right w:val="nil"/>
            </w:tcBorders>
            <w:shd w:val="clear" w:color="auto" w:fill="auto"/>
            <w:noWrap/>
            <w:vAlign w:val="bottom"/>
            <w:hideMark/>
          </w:tcPr>
          <w:p w14:paraId="2035EC8D" w14:textId="77777777" w:rsidR="00F05C28" w:rsidRPr="00F05C28" w:rsidRDefault="00F05C28" w:rsidP="00574B5E">
            <w:pPr>
              <w:jc w:val="right"/>
              <w:rPr>
                <w:color w:val="000000"/>
              </w:rPr>
            </w:pPr>
            <w:r w:rsidRPr="00F05C28">
              <w:rPr>
                <w:color w:val="000000"/>
              </w:rPr>
              <w:t>37.48</w:t>
            </w:r>
          </w:p>
        </w:tc>
        <w:tc>
          <w:tcPr>
            <w:tcW w:w="0" w:type="auto"/>
            <w:tcBorders>
              <w:top w:val="nil"/>
              <w:left w:val="nil"/>
              <w:bottom w:val="nil"/>
              <w:right w:val="nil"/>
            </w:tcBorders>
            <w:shd w:val="clear" w:color="auto" w:fill="auto"/>
            <w:noWrap/>
            <w:vAlign w:val="bottom"/>
            <w:hideMark/>
          </w:tcPr>
          <w:p w14:paraId="4FC0926C" w14:textId="77777777" w:rsidR="00F05C28" w:rsidRPr="00F05C28" w:rsidRDefault="00F05C28" w:rsidP="00574B5E">
            <w:pPr>
              <w:jc w:val="center"/>
              <w:rPr>
                <w:color w:val="000000"/>
              </w:rPr>
            </w:pPr>
            <w:r w:rsidRPr="00F05C28">
              <w:rPr>
                <w:color w:val="000000"/>
              </w:rPr>
              <w:t>7.01</w:t>
            </w:r>
          </w:p>
        </w:tc>
        <w:tc>
          <w:tcPr>
            <w:tcW w:w="0" w:type="auto"/>
            <w:tcBorders>
              <w:top w:val="nil"/>
              <w:left w:val="nil"/>
              <w:bottom w:val="nil"/>
              <w:right w:val="nil"/>
            </w:tcBorders>
            <w:shd w:val="clear" w:color="auto" w:fill="auto"/>
            <w:noWrap/>
            <w:vAlign w:val="bottom"/>
            <w:hideMark/>
          </w:tcPr>
          <w:p w14:paraId="29BE11BA" w14:textId="77777777" w:rsidR="00F05C28" w:rsidRPr="00F05C28" w:rsidRDefault="00F05C28" w:rsidP="00574B5E">
            <w:pPr>
              <w:rPr>
                <w:color w:val="000000"/>
              </w:rPr>
            </w:pPr>
            <w:r w:rsidRPr="00F05C28">
              <w:rPr>
                <w:color w:val="000000"/>
              </w:rPr>
              <w:t xml:space="preserve">      130 </w:t>
            </w:r>
          </w:p>
        </w:tc>
      </w:tr>
      <w:tr w:rsidR="00F05C28" w:rsidRPr="00F05C28" w14:paraId="427149B8" w14:textId="77777777" w:rsidTr="00574B5E">
        <w:trPr>
          <w:trHeight w:val="288"/>
        </w:trPr>
        <w:tc>
          <w:tcPr>
            <w:tcW w:w="0" w:type="auto"/>
            <w:vMerge/>
            <w:tcBorders>
              <w:top w:val="nil"/>
              <w:left w:val="nil"/>
              <w:bottom w:val="nil"/>
              <w:right w:val="nil"/>
            </w:tcBorders>
            <w:vAlign w:val="center"/>
            <w:hideMark/>
          </w:tcPr>
          <w:p w14:paraId="49601BC2"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0715CF66" w14:textId="77777777" w:rsidR="00F05C28" w:rsidRPr="00F05C28" w:rsidRDefault="00F05C28" w:rsidP="00574B5E">
            <w:pPr>
              <w:rPr>
                <w:color w:val="000000"/>
              </w:rPr>
            </w:pPr>
            <w:r w:rsidRPr="00F05C28">
              <w:rPr>
                <w:color w:val="000000"/>
              </w:rPr>
              <w:t>Latinx</w:t>
            </w:r>
          </w:p>
        </w:tc>
        <w:tc>
          <w:tcPr>
            <w:tcW w:w="0" w:type="auto"/>
            <w:tcBorders>
              <w:top w:val="nil"/>
              <w:left w:val="nil"/>
              <w:bottom w:val="nil"/>
              <w:right w:val="nil"/>
            </w:tcBorders>
            <w:shd w:val="clear" w:color="auto" w:fill="auto"/>
            <w:noWrap/>
            <w:vAlign w:val="bottom"/>
            <w:hideMark/>
          </w:tcPr>
          <w:p w14:paraId="6AC24170" w14:textId="77777777" w:rsidR="00F05C28" w:rsidRPr="00F05C28" w:rsidRDefault="00F05C28" w:rsidP="00574B5E">
            <w:pPr>
              <w:jc w:val="right"/>
              <w:rPr>
                <w:color w:val="000000"/>
              </w:rPr>
            </w:pPr>
            <w:r w:rsidRPr="00F05C28">
              <w:rPr>
                <w:color w:val="000000"/>
              </w:rPr>
              <w:t>35.88</w:t>
            </w:r>
          </w:p>
        </w:tc>
        <w:tc>
          <w:tcPr>
            <w:tcW w:w="0" w:type="auto"/>
            <w:tcBorders>
              <w:top w:val="nil"/>
              <w:left w:val="nil"/>
              <w:bottom w:val="nil"/>
              <w:right w:val="nil"/>
            </w:tcBorders>
            <w:shd w:val="clear" w:color="auto" w:fill="auto"/>
            <w:noWrap/>
            <w:vAlign w:val="bottom"/>
            <w:hideMark/>
          </w:tcPr>
          <w:p w14:paraId="3955472C" w14:textId="77777777" w:rsidR="00F05C28" w:rsidRPr="00F05C28" w:rsidRDefault="00F05C28" w:rsidP="00574B5E">
            <w:pPr>
              <w:jc w:val="center"/>
              <w:rPr>
                <w:color w:val="000000"/>
              </w:rPr>
            </w:pPr>
            <w:r w:rsidRPr="00F05C28">
              <w:rPr>
                <w:color w:val="000000"/>
              </w:rPr>
              <w:t>7.08</w:t>
            </w:r>
          </w:p>
        </w:tc>
        <w:tc>
          <w:tcPr>
            <w:tcW w:w="0" w:type="auto"/>
            <w:tcBorders>
              <w:top w:val="nil"/>
              <w:left w:val="nil"/>
              <w:bottom w:val="nil"/>
              <w:right w:val="nil"/>
            </w:tcBorders>
            <w:shd w:val="clear" w:color="auto" w:fill="auto"/>
            <w:noWrap/>
            <w:vAlign w:val="bottom"/>
            <w:hideMark/>
          </w:tcPr>
          <w:p w14:paraId="17982287" w14:textId="77777777" w:rsidR="00F05C28" w:rsidRPr="00F05C28" w:rsidRDefault="00F05C28" w:rsidP="00574B5E">
            <w:pPr>
              <w:rPr>
                <w:color w:val="000000"/>
              </w:rPr>
            </w:pPr>
            <w:r w:rsidRPr="00F05C28">
              <w:rPr>
                <w:color w:val="000000"/>
              </w:rPr>
              <w:t xml:space="preserve">          8 </w:t>
            </w:r>
          </w:p>
        </w:tc>
      </w:tr>
      <w:tr w:rsidR="00F05C28" w:rsidRPr="00F05C28" w14:paraId="0E342FB5" w14:textId="77777777" w:rsidTr="00574B5E">
        <w:trPr>
          <w:trHeight w:val="288"/>
        </w:trPr>
        <w:tc>
          <w:tcPr>
            <w:tcW w:w="0" w:type="auto"/>
            <w:vMerge/>
            <w:tcBorders>
              <w:top w:val="nil"/>
              <w:left w:val="nil"/>
              <w:bottom w:val="nil"/>
              <w:right w:val="nil"/>
            </w:tcBorders>
            <w:vAlign w:val="center"/>
            <w:hideMark/>
          </w:tcPr>
          <w:p w14:paraId="0F25E5EC"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3BF24C8D" w14:textId="77777777" w:rsidR="00F05C28" w:rsidRPr="00F05C28" w:rsidRDefault="00F05C28" w:rsidP="00574B5E">
            <w:pPr>
              <w:rPr>
                <w:color w:val="000000"/>
              </w:rPr>
            </w:pPr>
            <w:r w:rsidRPr="00F05C28">
              <w:rPr>
                <w:color w:val="000000"/>
              </w:rPr>
              <w:t>Multiracial</w:t>
            </w:r>
          </w:p>
        </w:tc>
        <w:tc>
          <w:tcPr>
            <w:tcW w:w="0" w:type="auto"/>
            <w:tcBorders>
              <w:top w:val="nil"/>
              <w:left w:val="nil"/>
              <w:bottom w:val="nil"/>
              <w:right w:val="nil"/>
            </w:tcBorders>
            <w:shd w:val="clear" w:color="auto" w:fill="auto"/>
            <w:noWrap/>
            <w:vAlign w:val="bottom"/>
            <w:hideMark/>
          </w:tcPr>
          <w:p w14:paraId="596F9171" w14:textId="77777777" w:rsidR="00F05C28" w:rsidRPr="00F05C28" w:rsidRDefault="00F05C28" w:rsidP="00574B5E">
            <w:pPr>
              <w:jc w:val="right"/>
              <w:rPr>
                <w:color w:val="000000"/>
              </w:rPr>
            </w:pPr>
            <w:r w:rsidRPr="00F05C28">
              <w:rPr>
                <w:color w:val="000000"/>
              </w:rPr>
              <w:t>36.25</w:t>
            </w:r>
          </w:p>
        </w:tc>
        <w:tc>
          <w:tcPr>
            <w:tcW w:w="0" w:type="auto"/>
            <w:tcBorders>
              <w:top w:val="nil"/>
              <w:left w:val="nil"/>
              <w:bottom w:val="nil"/>
              <w:right w:val="nil"/>
            </w:tcBorders>
            <w:shd w:val="clear" w:color="auto" w:fill="auto"/>
            <w:noWrap/>
            <w:vAlign w:val="bottom"/>
            <w:hideMark/>
          </w:tcPr>
          <w:p w14:paraId="282B7C30" w14:textId="77777777" w:rsidR="00F05C28" w:rsidRPr="00F05C28" w:rsidRDefault="00F05C28" w:rsidP="00574B5E">
            <w:pPr>
              <w:jc w:val="center"/>
              <w:rPr>
                <w:color w:val="000000"/>
              </w:rPr>
            </w:pPr>
            <w:r w:rsidRPr="00F05C28">
              <w:rPr>
                <w:color w:val="000000"/>
              </w:rPr>
              <w:t>9.84</w:t>
            </w:r>
          </w:p>
        </w:tc>
        <w:tc>
          <w:tcPr>
            <w:tcW w:w="0" w:type="auto"/>
            <w:tcBorders>
              <w:top w:val="nil"/>
              <w:left w:val="nil"/>
              <w:bottom w:val="nil"/>
              <w:right w:val="nil"/>
            </w:tcBorders>
            <w:shd w:val="clear" w:color="auto" w:fill="auto"/>
            <w:noWrap/>
            <w:vAlign w:val="bottom"/>
            <w:hideMark/>
          </w:tcPr>
          <w:p w14:paraId="2747F2A3" w14:textId="77777777" w:rsidR="00F05C28" w:rsidRPr="00F05C28" w:rsidRDefault="00F05C28" w:rsidP="00574B5E">
            <w:pPr>
              <w:rPr>
                <w:color w:val="000000"/>
              </w:rPr>
            </w:pPr>
            <w:r w:rsidRPr="00F05C28">
              <w:rPr>
                <w:color w:val="000000"/>
              </w:rPr>
              <w:t xml:space="preserve">          4 </w:t>
            </w:r>
          </w:p>
        </w:tc>
      </w:tr>
      <w:tr w:rsidR="00F05C28" w:rsidRPr="00F05C28" w14:paraId="3208AC44" w14:textId="77777777" w:rsidTr="00574B5E">
        <w:trPr>
          <w:trHeight w:val="288"/>
        </w:trPr>
        <w:tc>
          <w:tcPr>
            <w:tcW w:w="0" w:type="auto"/>
            <w:vMerge/>
            <w:tcBorders>
              <w:top w:val="nil"/>
              <w:left w:val="nil"/>
              <w:bottom w:val="nil"/>
              <w:right w:val="nil"/>
            </w:tcBorders>
            <w:vAlign w:val="center"/>
            <w:hideMark/>
          </w:tcPr>
          <w:p w14:paraId="0316FA17"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2384F4D6" w14:textId="77777777" w:rsidR="00F05C28" w:rsidRPr="00F05C28" w:rsidRDefault="00F05C28" w:rsidP="00574B5E">
            <w:pPr>
              <w:rPr>
                <w:color w:val="000000"/>
              </w:rPr>
            </w:pPr>
            <w:r w:rsidRPr="00F05C28">
              <w:rPr>
                <w:color w:val="000000"/>
              </w:rPr>
              <w:t>Total</w:t>
            </w:r>
          </w:p>
        </w:tc>
        <w:tc>
          <w:tcPr>
            <w:tcW w:w="0" w:type="auto"/>
            <w:tcBorders>
              <w:top w:val="nil"/>
              <w:left w:val="nil"/>
              <w:bottom w:val="nil"/>
              <w:right w:val="nil"/>
            </w:tcBorders>
            <w:shd w:val="clear" w:color="auto" w:fill="auto"/>
            <w:noWrap/>
            <w:vAlign w:val="bottom"/>
            <w:hideMark/>
          </w:tcPr>
          <w:p w14:paraId="3EB17D3A" w14:textId="77777777" w:rsidR="00F05C28" w:rsidRPr="00F05C28" w:rsidRDefault="00F05C28" w:rsidP="00574B5E">
            <w:pPr>
              <w:jc w:val="right"/>
              <w:rPr>
                <w:color w:val="000000"/>
              </w:rPr>
            </w:pPr>
            <w:r w:rsidRPr="00F05C28">
              <w:rPr>
                <w:color w:val="000000"/>
              </w:rPr>
              <w:t>37.64</w:t>
            </w:r>
          </w:p>
        </w:tc>
        <w:tc>
          <w:tcPr>
            <w:tcW w:w="0" w:type="auto"/>
            <w:tcBorders>
              <w:top w:val="nil"/>
              <w:left w:val="nil"/>
              <w:bottom w:val="nil"/>
              <w:right w:val="nil"/>
            </w:tcBorders>
            <w:shd w:val="clear" w:color="auto" w:fill="auto"/>
            <w:noWrap/>
            <w:vAlign w:val="bottom"/>
            <w:hideMark/>
          </w:tcPr>
          <w:p w14:paraId="3A1DEF7D" w14:textId="77777777" w:rsidR="00F05C28" w:rsidRPr="00F05C28" w:rsidRDefault="00F05C28" w:rsidP="00574B5E">
            <w:pPr>
              <w:jc w:val="center"/>
              <w:rPr>
                <w:color w:val="000000"/>
              </w:rPr>
            </w:pPr>
            <w:r w:rsidRPr="00F05C28">
              <w:rPr>
                <w:color w:val="000000"/>
              </w:rPr>
              <w:t>6.91</w:t>
            </w:r>
          </w:p>
        </w:tc>
        <w:tc>
          <w:tcPr>
            <w:tcW w:w="0" w:type="auto"/>
            <w:tcBorders>
              <w:top w:val="nil"/>
              <w:left w:val="nil"/>
              <w:bottom w:val="nil"/>
              <w:right w:val="nil"/>
            </w:tcBorders>
            <w:shd w:val="clear" w:color="auto" w:fill="auto"/>
            <w:noWrap/>
            <w:vAlign w:val="bottom"/>
            <w:hideMark/>
          </w:tcPr>
          <w:p w14:paraId="29796AF3" w14:textId="77777777" w:rsidR="00F05C28" w:rsidRPr="00F05C28" w:rsidRDefault="00F05C28" w:rsidP="00574B5E">
            <w:pPr>
              <w:rPr>
                <w:color w:val="000000"/>
              </w:rPr>
            </w:pPr>
            <w:r w:rsidRPr="00F05C28">
              <w:rPr>
                <w:color w:val="000000"/>
              </w:rPr>
              <w:t xml:space="preserve">      163 </w:t>
            </w:r>
          </w:p>
        </w:tc>
      </w:tr>
      <w:tr w:rsidR="00F05C28" w:rsidRPr="00F05C28" w14:paraId="264B8BA1" w14:textId="77777777" w:rsidTr="00574B5E">
        <w:trPr>
          <w:trHeight w:val="288"/>
        </w:trPr>
        <w:tc>
          <w:tcPr>
            <w:tcW w:w="0" w:type="auto"/>
            <w:vMerge w:val="restart"/>
            <w:tcBorders>
              <w:top w:val="nil"/>
              <w:left w:val="nil"/>
              <w:bottom w:val="single" w:sz="4" w:space="0" w:color="000000"/>
              <w:right w:val="nil"/>
            </w:tcBorders>
            <w:shd w:val="clear" w:color="auto" w:fill="auto"/>
            <w:noWrap/>
            <w:hideMark/>
          </w:tcPr>
          <w:p w14:paraId="11C58B31" w14:textId="77777777" w:rsidR="00F05C28" w:rsidRPr="00F05C28" w:rsidRDefault="00F05C28" w:rsidP="00574B5E">
            <w:pPr>
              <w:rPr>
                <w:color w:val="000000"/>
              </w:rPr>
            </w:pPr>
            <w:r w:rsidRPr="00F05C28">
              <w:rPr>
                <w:color w:val="000000"/>
              </w:rPr>
              <w:t>Graduate</w:t>
            </w:r>
          </w:p>
        </w:tc>
        <w:tc>
          <w:tcPr>
            <w:tcW w:w="0" w:type="auto"/>
            <w:tcBorders>
              <w:top w:val="nil"/>
              <w:left w:val="nil"/>
              <w:bottom w:val="nil"/>
              <w:right w:val="nil"/>
            </w:tcBorders>
            <w:shd w:val="clear" w:color="auto" w:fill="auto"/>
            <w:vAlign w:val="bottom"/>
            <w:hideMark/>
          </w:tcPr>
          <w:p w14:paraId="62798C26" w14:textId="77777777" w:rsidR="00F05C28" w:rsidRPr="00F05C28" w:rsidRDefault="00F05C28" w:rsidP="00574B5E">
            <w:pPr>
              <w:rPr>
                <w:color w:val="000000"/>
              </w:rPr>
            </w:pPr>
            <w:r w:rsidRPr="00F05C28">
              <w:rPr>
                <w:color w:val="000000"/>
              </w:rPr>
              <w:t>American Indian/Native American</w:t>
            </w:r>
          </w:p>
        </w:tc>
        <w:tc>
          <w:tcPr>
            <w:tcW w:w="0" w:type="auto"/>
            <w:tcBorders>
              <w:top w:val="nil"/>
              <w:left w:val="nil"/>
              <w:bottom w:val="nil"/>
              <w:right w:val="nil"/>
            </w:tcBorders>
            <w:shd w:val="clear" w:color="auto" w:fill="auto"/>
            <w:noWrap/>
            <w:vAlign w:val="bottom"/>
            <w:hideMark/>
          </w:tcPr>
          <w:p w14:paraId="6C02743B" w14:textId="77777777" w:rsidR="00F05C28" w:rsidRPr="00F05C28" w:rsidRDefault="00F05C28" w:rsidP="00574B5E">
            <w:pPr>
              <w:jc w:val="right"/>
              <w:rPr>
                <w:color w:val="000000"/>
              </w:rPr>
            </w:pPr>
            <w:r w:rsidRPr="00F05C28">
              <w:rPr>
                <w:color w:val="000000"/>
              </w:rPr>
              <w:t>42.00</w:t>
            </w:r>
          </w:p>
        </w:tc>
        <w:tc>
          <w:tcPr>
            <w:tcW w:w="0" w:type="auto"/>
            <w:tcBorders>
              <w:top w:val="nil"/>
              <w:left w:val="nil"/>
              <w:bottom w:val="nil"/>
              <w:right w:val="nil"/>
            </w:tcBorders>
            <w:shd w:val="clear" w:color="auto" w:fill="auto"/>
            <w:noWrap/>
            <w:vAlign w:val="bottom"/>
            <w:hideMark/>
          </w:tcPr>
          <w:p w14:paraId="3531E0E3" w14:textId="77777777" w:rsidR="00F05C28" w:rsidRPr="00F05C28" w:rsidRDefault="00F05C28" w:rsidP="00574B5E">
            <w:pPr>
              <w:jc w:val="center"/>
              <w:rPr>
                <w:color w:val="000000"/>
              </w:rPr>
            </w:pPr>
            <w:r w:rsidRPr="00F05C28">
              <w:rPr>
                <w:color w:val="000000"/>
              </w:rPr>
              <w:t>6.89</w:t>
            </w:r>
          </w:p>
        </w:tc>
        <w:tc>
          <w:tcPr>
            <w:tcW w:w="0" w:type="auto"/>
            <w:tcBorders>
              <w:top w:val="nil"/>
              <w:left w:val="nil"/>
              <w:bottom w:val="nil"/>
              <w:right w:val="nil"/>
            </w:tcBorders>
            <w:shd w:val="clear" w:color="auto" w:fill="auto"/>
            <w:noWrap/>
            <w:vAlign w:val="bottom"/>
            <w:hideMark/>
          </w:tcPr>
          <w:p w14:paraId="558D3C34" w14:textId="77777777" w:rsidR="00F05C28" w:rsidRPr="00F05C28" w:rsidRDefault="00F05C28" w:rsidP="00574B5E">
            <w:pPr>
              <w:rPr>
                <w:color w:val="000000"/>
              </w:rPr>
            </w:pPr>
            <w:r w:rsidRPr="00F05C28">
              <w:rPr>
                <w:color w:val="000000"/>
              </w:rPr>
              <w:t xml:space="preserve">          5 </w:t>
            </w:r>
          </w:p>
        </w:tc>
      </w:tr>
      <w:tr w:rsidR="00F05C28" w:rsidRPr="00F05C28" w14:paraId="65C13E2B" w14:textId="77777777" w:rsidTr="00574B5E">
        <w:trPr>
          <w:trHeight w:val="288"/>
        </w:trPr>
        <w:tc>
          <w:tcPr>
            <w:tcW w:w="0" w:type="auto"/>
            <w:vMerge/>
            <w:tcBorders>
              <w:top w:val="nil"/>
              <w:left w:val="nil"/>
              <w:bottom w:val="single" w:sz="4" w:space="0" w:color="000000"/>
              <w:right w:val="nil"/>
            </w:tcBorders>
            <w:vAlign w:val="center"/>
            <w:hideMark/>
          </w:tcPr>
          <w:p w14:paraId="3B38792E"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008D9D73" w14:textId="77777777" w:rsidR="00F05C28" w:rsidRPr="00F05C28" w:rsidRDefault="00F05C28" w:rsidP="00574B5E">
            <w:pPr>
              <w:rPr>
                <w:color w:val="000000"/>
              </w:rPr>
            </w:pPr>
            <w:r w:rsidRPr="00F05C28">
              <w:rPr>
                <w:color w:val="000000"/>
              </w:rPr>
              <w:t>Asian/Pacific Islander</w:t>
            </w:r>
          </w:p>
        </w:tc>
        <w:tc>
          <w:tcPr>
            <w:tcW w:w="0" w:type="auto"/>
            <w:tcBorders>
              <w:top w:val="nil"/>
              <w:left w:val="nil"/>
              <w:bottom w:val="nil"/>
              <w:right w:val="nil"/>
            </w:tcBorders>
            <w:shd w:val="clear" w:color="auto" w:fill="auto"/>
            <w:noWrap/>
            <w:vAlign w:val="bottom"/>
            <w:hideMark/>
          </w:tcPr>
          <w:p w14:paraId="53DE000B" w14:textId="77777777" w:rsidR="00F05C28" w:rsidRPr="00F05C28" w:rsidRDefault="00F05C28" w:rsidP="00574B5E">
            <w:pPr>
              <w:jc w:val="right"/>
              <w:rPr>
                <w:color w:val="000000"/>
              </w:rPr>
            </w:pPr>
            <w:r w:rsidRPr="00F05C28">
              <w:rPr>
                <w:color w:val="000000"/>
              </w:rPr>
              <w:t>41.34</w:t>
            </w:r>
          </w:p>
        </w:tc>
        <w:tc>
          <w:tcPr>
            <w:tcW w:w="0" w:type="auto"/>
            <w:tcBorders>
              <w:top w:val="nil"/>
              <w:left w:val="nil"/>
              <w:bottom w:val="nil"/>
              <w:right w:val="nil"/>
            </w:tcBorders>
            <w:shd w:val="clear" w:color="auto" w:fill="auto"/>
            <w:noWrap/>
            <w:vAlign w:val="bottom"/>
            <w:hideMark/>
          </w:tcPr>
          <w:p w14:paraId="06B499D7" w14:textId="77777777" w:rsidR="00F05C28" w:rsidRPr="00F05C28" w:rsidRDefault="00F05C28" w:rsidP="00574B5E">
            <w:pPr>
              <w:jc w:val="center"/>
              <w:rPr>
                <w:color w:val="000000"/>
              </w:rPr>
            </w:pPr>
            <w:r w:rsidRPr="00F05C28">
              <w:rPr>
                <w:color w:val="000000"/>
              </w:rPr>
              <w:t>7.30</w:t>
            </w:r>
          </w:p>
        </w:tc>
        <w:tc>
          <w:tcPr>
            <w:tcW w:w="0" w:type="auto"/>
            <w:tcBorders>
              <w:top w:val="nil"/>
              <w:left w:val="nil"/>
              <w:bottom w:val="nil"/>
              <w:right w:val="nil"/>
            </w:tcBorders>
            <w:shd w:val="clear" w:color="auto" w:fill="auto"/>
            <w:noWrap/>
            <w:vAlign w:val="bottom"/>
            <w:hideMark/>
          </w:tcPr>
          <w:p w14:paraId="597E8500" w14:textId="77777777" w:rsidR="00F05C28" w:rsidRPr="00F05C28" w:rsidRDefault="00F05C28" w:rsidP="00574B5E">
            <w:pPr>
              <w:rPr>
                <w:color w:val="000000"/>
              </w:rPr>
            </w:pPr>
            <w:r w:rsidRPr="00F05C28">
              <w:rPr>
                <w:color w:val="000000"/>
              </w:rPr>
              <w:t xml:space="preserve">        56 </w:t>
            </w:r>
          </w:p>
        </w:tc>
      </w:tr>
      <w:tr w:rsidR="00F05C28" w:rsidRPr="00F05C28" w14:paraId="2F1E6EF7" w14:textId="77777777" w:rsidTr="00574B5E">
        <w:trPr>
          <w:trHeight w:val="288"/>
        </w:trPr>
        <w:tc>
          <w:tcPr>
            <w:tcW w:w="0" w:type="auto"/>
            <w:vMerge/>
            <w:tcBorders>
              <w:top w:val="nil"/>
              <w:left w:val="nil"/>
              <w:bottom w:val="single" w:sz="4" w:space="0" w:color="000000"/>
              <w:right w:val="nil"/>
            </w:tcBorders>
            <w:vAlign w:val="center"/>
            <w:hideMark/>
          </w:tcPr>
          <w:p w14:paraId="417AEA69"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237FA27A" w14:textId="77777777" w:rsidR="00F05C28" w:rsidRPr="00F05C28" w:rsidRDefault="00F05C28" w:rsidP="00574B5E">
            <w:pPr>
              <w:rPr>
                <w:color w:val="000000"/>
              </w:rPr>
            </w:pPr>
            <w:r w:rsidRPr="00F05C28">
              <w:rPr>
                <w:color w:val="000000"/>
              </w:rPr>
              <w:t>Black/African American</w:t>
            </w:r>
          </w:p>
        </w:tc>
        <w:tc>
          <w:tcPr>
            <w:tcW w:w="0" w:type="auto"/>
            <w:tcBorders>
              <w:top w:val="nil"/>
              <w:left w:val="nil"/>
              <w:bottom w:val="nil"/>
              <w:right w:val="nil"/>
            </w:tcBorders>
            <w:shd w:val="clear" w:color="auto" w:fill="auto"/>
            <w:noWrap/>
            <w:vAlign w:val="bottom"/>
            <w:hideMark/>
          </w:tcPr>
          <w:p w14:paraId="7288DE1C" w14:textId="77777777" w:rsidR="00F05C28" w:rsidRPr="00F05C28" w:rsidRDefault="00F05C28" w:rsidP="00574B5E">
            <w:pPr>
              <w:jc w:val="right"/>
              <w:rPr>
                <w:color w:val="000000"/>
              </w:rPr>
            </w:pPr>
            <w:r w:rsidRPr="00F05C28">
              <w:rPr>
                <w:color w:val="000000"/>
              </w:rPr>
              <w:t>42.80</w:t>
            </w:r>
          </w:p>
        </w:tc>
        <w:tc>
          <w:tcPr>
            <w:tcW w:w="0" w:type="auto"/>
            <w:tcBorders>
              <w:top w:val="nil"/>
              <w:left w:val="nil"/>
              <w:bottom w:val="nil"/>
              <w:right w:val="nil"/>
            </w:tcBorders>
            <w:shd w:val="clear" w:color="auto" w:fill="auto"/>
            <w:noWrap/>
            <w:vAlign w:val="bottom"/>
            <w:hideMark/>
          </w:tcPr>
          <w:p w14:paraId="07BDD66E" w14:textId="77777777" w:rsidR="00F05C28" w:rsidRPr="00F05C28" w:rsidRDefault="00F05C28" w:rsidP="00574B5E">
            <w:pPr>
              <w:jc w:val="center"/>
              <w:rPr>
                <w:color w:val="000000"/>
              </w:rPr>
            </w:pPr>
            <w:r w:rsidRPr="00F05C28">
              <w:rPr>
                <w:color w:val="000000"/>
              </w:rPr>
              <w:t>8.04</w:t>
            </w:r>
          </w:p>
        </w:tc>
        <w:tc>
          <w:tcPr>
            <w:tcW w:w="0" w:type="auto"/>
            <w:tcBorders>
              <w:top w:val="nil"/>
              <w:left w:val="nil"/>
              <w:bottom w:val="nil"/>
              <w:right w:val="nil"/>
            </w:tcBorders>
            <w:shd w:val="clear" w:color="auto" w:fill="auto"/>
            <w:noWrap/>
            <w:vAlign w:val="bottom"/>
            <w:hideMark/>
          </w:tcPr>
          <w:p w14:paraId="18D7EFFD" w14:textId="77777777" w:rsidR="00F05C28" w:rsidRPr="00F05C28" w:rsidRDefault="00F05C28" w:rsidP="00574B5E">
            <w:pPr>
              <w:rPr>
                <w:color w:val="000000"/>
              </w:rPr>
            </w:pPr>
            <w:r w:rsidRPr="00F05C28">
              <w:rPr>
                <w:color w:val="000000"/>
              </w:rPr>
              <w:t xml:space="preserve">        56 </w:t>
            </w:r>
          </w:p>
        </w:tc>
      </w:tr>
      <w:tr w:rsidR="00F05C28" w:rsidRPr="00F05C28" w14:paraId="26012EFB" w14:textId="77777777" w:rsidTr="00574B5E">
        <w:trPr>
          <w:trHeight w:val="288"/>
        </w:trPr>
        <w:tc>
          <w:tcPr>
            <w:tcW w:w="0" w:type="auto"/>
            <w:vMerge/>
            <w:tcBorders>
              <w:top w:val="nil"/>
              <w:left w:val="nil"/>
              <w:bottom w:val="single" w:sz="4" w:space="0" w:color="000000"/>
              <w:right w:val="nil"/>
            </w:tcBorders>
            <w:vAlign w:val="center"/>
            <w:hideMark/>
          </w:tcPr>
          <w:p w14:paraId="3D93BA18"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675705AE" w14:textId="77777777" w:rsidR="00F05C28" w:rsidRPr="00F05C28" w:rsidRDefault="00F05C28" w:rsidP="00574B5E">
            <w:pPr>
              <w:rPr>
                <w:color w:val="000000"/>
              </w:rPr>
            </w:pPr>
            <w:r w:rsidRPr="00F05C28">
              <w:rPr>
                <w:color w:val="000000"/>
              </w:rPr>
              <w:t>White</w:t>
            </w:r>
          </w:p>
        </w:tc>
        <w:tc>
          <w:tcPr>
            <w:tcW w:w="0" w:type="auto"/>
            <w:tcBorders>
              <w:top w:val="nil"/>
              <w:left w:val="nil"/>
              <w:bottom w:val="nil"/>
              <w:right w:val="nil"/>
            </w:tcBorders>
            <w:shd w:val="clear" w:color="auto" w:fill="auto"/>
            <w:noWrap/>
            <w:vAlign w:val="bottom"/>
            <w:hideMark/>
          </w:tcPr>
          <w:p w14:paraId="1081D1AF" w14:textId="77777777" w:rsidR="00F05C28" w:rsidRPr="00F05C28" w:rsidRDefault="00F05C28" w:rsidP="00574B5E">
            <w:pPr>
              <w:jc w:val="right"/>
              <w:rPr>
                <w:color w:val="000000"/>
              </w:rPr>
            </w:pPr>
            <w:r w:rsidRPr="00F05C28">
              <w:rPr>
                <w:color w:val="000000"/>
              </w:rPr>
              <w:t>40.54</w:t>
            </w:r>
          </w:p>
        </w:tc>
        <w:tc>
          <w:tcPr>
            <w:tcW w:w="0" w:type="auto"/>
            <w:tcBorders>
              <w:top w:val="nil"/>
              <w:left w:val="nil"/>
              <w:bottom w:val="nil"/>
              <w:right w:val="nil"/>
            </w:tcBorders>
            <w:shd w:val="clear" w:color="auto" w:fill="auto"/>
            <w:noWrap/>
            <w:vAlign w:val="bottom"/>
            <w:hideMark/>
          </w:tcPr>
          <w:p w14:paraId="5F55E882" w14:textId="77777777" w:rsidR="00F05C28" w:rsidRPr="00F05C28" w:rsidRDefault="00F05C28" w:rsidP="00574B5E">
            <w:pPr>
              <w:jc w:val="center"/>
              <w:rPr>
                <w:color w:val="000000"/>
              </w:rPr>
            </w:pPr>
            <w:r w:rsidRPr="00F05C28">
              <w:rPr>
                <w:color w:val="000000"/>
              </w:rPr>
              <w:t>6.73</w:t>
            </w:r>
          </w:p>
        </w:tc>
        <w:tc>
          <w:tcPr>
            <w:tcW w:w="0" w:type="auto"/>
            <w:tcBorders>
              <w:top w:val="nil"/>
              <w:left w:val="nil"/>
              <w:bottom w:val="nil"/>
              <w:right w:val="nil"/>
            </w:tcBorders>
            <w:shd w:val="clear" w:color="auto" w:fill="auto"/>
            <w:noWrap/>
            <w:vAlign w:val="bottom"/>
            <w:hideMark/>
          </w:tcPr>
          <w:p w14:paraId="7DC5BD6E" w14:textId="77777777" w:rsidR="00F05C28" w:rsidRPr="00F05C28" w:rsidRDefault="00F05C28" w:rsidP="00574B5E">
            <w:pPr>
              <w:rPr>
                <w:color w:val="000000"/>
              </w:rPr>
            </w:pPr>
            <w:r w:rsidRPr="00F05C28">
              <w:rPr>
                <w:color w:val="000000"/>
              </w:rPr>
              <w:t xml:space="preserve">   1,178 </w:t>
            </w:r>
          </w:p>
        </w:tc>
      </w:tr>
      <w:tr w:rsidR="00F05C28" w:rsidRPr="00F05C28" w14:paraId="11A50D4A" w14:textId="77777777" w:rsidTr="00574B5E">
        <w:trPr>
          <w:trHeight w:val="288"/>
        </w:trPr>
        <w:tc>
          <w:tcPr>
            <w:tcW w:w="0" w:type="auto"/>
            <w:vMerge/>
            <w:tcBorders>
              <w:top w:val="nil"/>
              <w:left w:val="nil"/>
              <w:bottom w:val="single" w:sz="4" w:space="0" w:color="000000"/>
              <w:right w:val="nil"/>
            </w:tcBorders>
            <w:vAlign w:val="center"/>
            <w:hideMark/>
          </w:tcPr>
          <w:p w14:paraId="16741D24"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7F8EAC44" w14:textId="77777777" w:rsidR="00F05C28" w:rsidRPr="00F05C28" w:rsidRDefault="00F05C28" w:rsidP="00574B5E">
            <w:pPr>
              <w:rPr>
                <w:color w:val="000000"/>
              </w:rPr>
            </w:pPr>
            <w:r w:rsidRPr="00F05C28">
              <w:rPr>
                <w:color w:val="000000"/>
              </w:rPr>
              <w:t>Latinx</w:t>
            </w:r>
          </w:p>
        </w:tc>
        <w:tc>
          <w:tcPr>
            <w:tcW w:w="0" w:type="auto"/>
            <w:tcBorders>
              <w:top w:val="nil"/>
              <w:left w:val="nil"/>
              <w:bottom w:val="nil"/>
              <w:right w:val="nil"/>
            </w:tcBorders>
            <w:shd w:val="clear" w:color="auto" w:fill="auto"/>
            <w:noWrap/>
            <w:vAlign w:val="bottom"/>
            <w:hideMark/>
          </w:tcPr>
          <w:p w14:paraId="1F73A3C4" w14:textId="77777777" w:rsidR="00F05C28" w:rsidRPr="00F05C28" w:rsidRDefault="00F05C28" w:rsidP="00574B5E">
            <w:pPr>
              <w:jc w:val="right"/>
              <w:rPr>
                <w:color w:val="000000"/>
              </w:rPr>
            </w:pPr>
            <w:r w:rsidRPr="00F05C28">
              <w:rPr>
                <w:color w:val="000000"/>
              </w:rPr>
              <w:t>41.13</w:t>
            </w:r>
          </w:p>
        </w:tc>
        <w:tc>
          <w:tcPr>
            <w:tcW w:w="0" w:type="auto"/>
            <w:tcBorders>
              <w:top w:val="nil"/>
              <w:left w:val="nil"/>
              <w:bottom w:val="nil"/>
              <w:right w:val="nil"/>
            </w:tcBorders>
            <w:shd w:val="clear" w:color="auto" w:fill="auto"/>
            <w:noWrap/>
            <w:vAlign w:val="bottom"/>
            <w:hideMark/>
          </w:tcPr>
          <w:p w14:paraId="325E61CF" w14:textId="77777777" w:rsidR="00F05C28" w:rsidRPr="00F05C28" w:rsidRDefault="00F05C28" w:rsidP="00574B5E">
            <w:pPr>
              <w:jc w:val="center"/>
              <w:rPr>
                <w:color w:val="000000"/>
              </w:rPr>
            </w:pPr>
            <w:r w:rsidRPr="00F05C28">
              <w:rPr>
                <w:color w:val="000000"/>
              </w:rPr>
              <w:t>6.17</w:t>
            </w:r>
          </w:p>
        </w:tc>
        <w:tc>
          <w:tcPr>
            <w:tcW w:w="0" w:type="auto"/>
            <w:tcBorders>
              <w:top w:val="nil"/>
              <w:left w:val="nil"/>
              <w:bottom w:val="nil"/>
              <w:right w:val="nil"/>
            </w:tcBorders>
            <w:shd w:val="clear" w:color="auto" w:fill="auto"/>
            <w:noWrap/>
            <w:vAlign w:val="bottom"/>
            <w:hideMark/>
          </w:tcPr>
          <w:p w14:paraId="69DB003D" w14:textId="77777777" w:rsidR="00F05C28" w:rsidRPr="00F05C28" w:rsidRDefault="00F05C28" w:rsidP="00574B5E">
            <w:pPr>
              <w:rPr>
                <w:color w:val="000000"/>
              </w:rPr>
            </w:pPr>
            <w:r w:rsidRPr="00F05C28">
              <w:rPr>
                <w:color w:val="000000"/>
              </w:rPr>
              <w:t xml:space="preserve">        32 </w:t>
            </w:r>
          </w:p>
        </w:tc>
      </w:tr>
      <w:tr w:rsidR="00F05C28" w:rsidRPr="00F05C28" w14:paraId="7DD8F5E7" w14:textId="77777777" w:rsidTr="00574B5E">
        <w:trPr>
          <w:trHeight w:val="288"/>
        </w:trPr>
        <w:tc>
          <w:tcPr>
            <w:tcW w:w="0" w:type="auto"/>
            <w:vMerge/>
            <w:tcBorders>
              <w:top w:val="nil"/>
              <w:left w:val="nil"/>
              <w:bottom w:val="single" w:sz="4" w:space="0" w:color="000000"/>
              <w:right w:val="nil"/>
            </w:tcBorders>
            <w:vAlign w:val="center"/>
            <w:hideMark/>
          </w:tcPr>
          <w:p w14:paraId="03FB7D4B"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62025C91" w14:textId="77777777" w:rsidR="00F05C28" w:rsidRPr="00F05C28" w:rsidRDefault="00F05C28" w:rsidP="00574B5E">
            <w:pPr>
              <w:rPr>
                <w:color w:val="000000"/>
              </w:rPr>
            </w:pPr>
            <w:r w:rsidRPr="00F05C28">
              <w:rPr>
                <w:color w:val="000000"/>
              </w:rPr>
              <w:t>Multiracial</w:t>
            </w:r>
          </w:p>
        </w:tc>
        <w:tc>
          <w:tcPr>
            <w:tcW w:w="0" w:type="auto"/>
            <w:tcBorders>
              <w:top w:val="nil"/>
              <w:left w:val="nil"/>
              <w:bottom w:val="nil"/>
              <w:right w:val="nil"/>
            </w:tcBorders>
            <w:shd w:val="clear" w:color="auto" w:fill="auto"/>
            <w:noWrap/>
            <w:vAlign w:val="bottom"/>
            <w:hideMark/>
          </w:tcPr>
          <w:p w14:paraId="0FA61AF8" w14:textId="77777777" w:rsidR="00F05C28" w:rsidRPr="00F05C28" w:rsidRDefault="00F05C28" w:rsidP="00574B5E">
            <w:pPr>
              <w:jc w:val="right"/>
              <w:rPr>
                <w:color w:val="000000"/>
              </w:rPr>
            </w:pPr>
            <w:r w:rsidRPr="00F05C28">
              <w:rPr>
                <w:color w:val="000000"/>
              </w:rPr>
              <w:t>41.04</w:t>
            </w:r>
          </w:p>
        </w:tc>
        <w:tc>
          <w:tcPr>
            <w:tcW w:w="0" w:type="auto"/>
            <w:tcBorders>
              <w:top w:val="nil"/>
              <w:left w:val="nil"/>
              <w:bottom w:val="nil"/>
              <w:right w:val="nil"/>
            </w:tcBorders>
            <w:shd w:val="clear" w:color="auto" w:fill="auto"/>
            <w:noWrap/>
            <w:vAlign w:val="bottom"/>
            <w:hideMark/>
          </w:tcPr>
          <w:p w14:paraId="72654BF8" w14:textId="77777777" w:rsidR="00F05C28" w:rsidRPr="00F05C28" w:rsidRDefault="00F05C28" w:rsidP="00574B5E">
            <w:pPr>
              <w:jc w:val="center"/>
              <w:rPr>
                <w:color w:val="000000"/>
              </w:rPr>
            </w:pPr>
            <w:r w:rsidRPr="00F05C28">
              <w:rPr>
                <w:color w:val="000000"/>
              </w:rPr>
              <w:t>5.33</w:t>
            </w:r>
          </w:p>
        </w:tc>
        <w:tc>
          <w:tcPr>
            <w:tcW w:w="0" w:type="auto"/>
            <w:tcBorders>
              <w:top w:val="nil"/>
              <w:left w:val="nil"/>
              <w:bottom w:val="nil"/>
              <w:right w:val="nil"/>
            </w:tcBorders>
            <w:shd w:val="clear" w:color="auto" w:fill="auto"/>
            <w:noWrap/>
            <w:vAlign w:val="bottom"/>
            <w:hideMark/>
          </w:tcPr>
          <w:p w14:paraId="33206BEB" w14:textId="77777777" w:rsidR="00F05C28" w:rsidRPr="00F05C28" w:rsidRDefault="00F05C28" w:rsidP="00574B5E">
            <w:pPr>
              <w:rPr>
                <w:color w:val="000000"/>
              </w:rPr>
            </w:pPr>
            <w:r w:rsidRPr="00F05C28">
              <w:rPr>
                <w:color w:val="000000"/>
              </w:rPr>
              <w:t xml:space="preserve">        23 </w:t>
            </w:r>
          </w:p>
        </w:tc>
      </w:tr>
      <w:tr w:rsidR="00F05C28" w:rsidRPr="00F05C28" w14:paraId="24A717FF" w14:textId="77777777" w:rsidTr="00574B5E">
        <w:trPr>
          <w:trHeight w:val="288"/>
        </w:trPr>
        <w:tc>
          <w:tcPr>
            <w:tcW w:w="0" w:type="auto"/>
            <w:vMerge/>
            <w:tcBorders>
              <w:top w:val="nil"/>
              <w:left w:val="nil"/>
              <w:bottom w:val="single" w:sz="4" w:space="0" w:color="000000"/>
              <w:right w:val="nil"/>
            </w:tcBorders>
            <w:vAlign w:val="center"/>
            <w:hideMark/>
          </w:tcPr>
          <w:p w14:paraId="075E8F77" w14:textId="77777777" w:rsidR="00F05C28" w:rsidRPr="00F05C28" w:rsidRDefault="00F05C28" w:rsidP="00574B5E">
            <w:pPr>
              <w:rPr>
                <w:color w:val="000000"/>
              </w:rPr>
            </w:pPr>
          </w:p>
        </w:tc>
        <w:tc>
          <w:tcPr>
            <w:tcW w:w="0" w:type="auto"/>
            <w:tcBorders>
              <w:top w:val="nil"/>
              <w:left w:val="nil"/>
              <w:bottom w:val="nil"/>
              <w:right w:val="nil"/>
            </w:tcBorders>
            <w:shd w:val="clear" w:color="auto" w:fill="auto"/>
            <w:vAlign w:val="bottom"/>
            <w:hideMark/>
          </w:tcPr>
          <w:p w14:paraId="51B2751D" w14:textId="77777777" w:rsidR="00F05C28" w:rsidRPr="00F05C28" w:rsidRDefault="00F05C28" w:rsidP="00574B5E">
            <w:pPr>
              <w:rPr>
                <w:color w:val="000000"/>
              </w:rPr>
            </w:pPr>
            <w:r w:rsidRPr="00F05C28">
              <w:rPr>
                <w:color w:val="000000"/>
              </w:rPr>
              <w:t>Unknown</w:t>
            </w:r>
          </w:p>
        </w:tc>
        <w:tc>
          <w:tcPr>
            <w:tcW w:w="0" w:type="auto"/>
            <w:tcBorders>
              <w:top w:val="nil"/>
              <w:left w:val="nil"/>
              <w:bottom w:val="nil"/>
              <w:right w:val="nil"/>
            </w:tcBorders>
            <w:shd w:val="clear" w:color="auto" w:fill="auto"/>
            <w:noWrap/>
            <w:vAlign w:val="bottom"/>
            <w:hideMark/>
          </w:tcPr>
          <w:p w14:paraId="4643ABCE" w14:textId="77777777" w:rsidR="00F05C28" w:rsidRPr="00F05C28" w:rsidRDefault="00F05C28" w:rsidP="00574B5E">
            <w:pPr>
              <w:jc w:val="right"/>
              <w:rPr>
                <w:color w:val="000000"/>
              </w:rPr>
            </w:pPr>
            <w:r w:rsidRPr="00F05C28">
              <w:rPr>
                <w:color w:val="000000"/>
              </w:rPr>
              <w:t>45.00</w:t>
            </w:r>
          </w:p>
        </w:tc>
        <w:tc>
          <w:tcPr>
            <w:tcW w:w="0" w:type="auto"/>
            <w:tcBorders>
              <w:top w:val="nil"/>
              <w:left w:val="nil"/>
              <w:bottom w:val="nil"/>
              <w:right w:val="nil"/>
            </w:tcBorders>
            <w:shd w:val="clear" w:color="auto" w:fill="auto"/>
            <w:noWrap/>
            <w:vAlign w:val="bottom"/>
            <w:hideMark/>
          </w:tcPr>
          <w:p w14:paraId="2D22E89C" w14:textId="77777777" w:rsidR="00F05C28" w:rsidRPr="00F05C28" w:rsidRDefault="00F05C28" w:rsidP="00574B5E">
            <w:pPr>
              <w:jc w:val="center"/>
              <w:rPr>
                <w:color w:val="000000"/>
              </w:rPr>
            </w:pPr>
            <w:r w:rsidRPr="00F05C28">
              <w:rPr>
                <w:color w:val="000000"/>
              </w:rPr>
              <w:t>8.72</w:t>
            </w:r>
          </w:p>
        </w:tc>
        <w:tc>
          <w:tcPr>
            <w:tcW w:w="0" w:type="auto"/>
            <w:tcBorders>
              <w:top w:val="nil"/>
              <w:left w:val="nil"/>
              <w:bottom w:val="nil"/>
              <w:right w:val="nil"/>
            </w:tcBorders>
            <w:shd w:val="clear" w:color="auto" w:fill="auto"/>
            <w:noWrap/>
            <w:vAlign w:val="bottom"/>
            <w:hideMark/>
          </w:tcPr>
          <w:p w14:paraId="2F427C4B" w14:textId="77777777" w:rsidR="00F05C28" w:rsidRPr="00F05C28" w:rsidRDefault="00F05C28" w:rsidP="00574B5E">
            <w:pPr>
              <w:rPr>
                <w:color w:val="000000"/>
              </w:rPr>
            </w:pPr>
            <w:r w:rsidRPr="00F05C28">
              <w:rPr>
                <w:color w:val="000000"/>
              </w:rPr>
              <w:t xml:space="preserve">          3 </w:t>
            </w:r>
          </w:p>
        </w:tc>
      </w:tr>
      <w:tr w:rsidR="00F05C28" w:rsidRPr="00F05C28" w14:paraId="27163EB0" w14:textId="77777777" w:rsidTr="00574B5E">
        <w:trPr>
          <w:trHeight w:val="288"/>
        </w:trPr>
        <w:tc>
          <w:tcPr>
            <w:tcW w:w="0" w:type="auto"/>
            <w:vMerge/>
            <w:tcBorders>
              <w:top w:val="nil"/>
              <w:left w:val="nil"/>
              <w:bottom w:val="single" w:sz="4" w:space="0" w:color="000000"/>
              <w:right w:val="nil"/>
            </w:tcBorders>
            <w:vAlign w:val="center"/>
            <w:hideMark/>
          </w:tcPr>
          <w:p w14:paraId="395067CE" w14:textId="77777777" w:rsidR="00F05C28" w:rsidRPr="00F05C28" w:rsidRDefault="00F05C28" w:rsidP="00574B5E">
            <w:pPr>
              <w:rPr>
                <w:color w:val="000000"/>
              </w:rPr>
            </w:pPr>
          </w:p>
        </w:tc>
        <w:tc>
          <w:tcPr>
            <w:tcW w:w="0" w:type="auto"/>
            <w:tcBorders>
              <w:top w:val="nil"/>
              <w:left w:val="nil"/>
              <w:bottom w:val="single" w:sz="4" w:space="0" w:color="auto"/>
              <w:right w:val="nil"/>
            </w:tcBorders>
            <w:shd w:val="clear" w:color="auto" w:fill="auto"/>
            <w:vAlign w:val="bottom"/>
            <w:hideMark/>
          </w:tcPr>
          <w:p w14:paraId="5CAB1F54" w14:textId="77777777" w:rsidR="00F05C28" w:rsidRPr="00F05C28" w:rsidRDefault="00F05C28" w:rsidP="00574B5E">
            <w:pPr>
              <w:rPr>
                <w:color w:val="000000"/>
              </w:rPr>
            </w:pPr>
            <w:r w:rsidRPr="00F05C28">
              <w:rPr>
                <w:color w:val="000000"/>
              </w:rPr>
              <w:t>Total</w:t>
            </w:r>
          </w:p>
        </w:tc>
        <w:tc>
          <w:tcPr>
            <w:tcW w:w="0" w:type="auto"/>
            <w:tcBorders>
              <w:top w:val="nil"/>
              <w:left w:val="nil"/>
              <w:bottom w:val="single" w:sz="4" w:space="0" w:color="auto"/>
              <w:right w:val="nil"/>
            </w:tcBorders>
            <w:shd w:val="clear" w:color="auto" w:fill="auto"/>
            <w:noWrap/>
            <w:vAlign w:val="bottom"/>
            <w:hideMark/>
          </w:tcPr>
          <w:p w14:paraId="2BDDBD06" w14:textId="77777777" w:rsidR="00F05C28" w:rsidRPr="00F05C28" w:rsidRDefault="00F05C28" w:rsidP="00574B5E">
            <w:pPr>
              <w:jc w:val="right"/>
              <w:rPr>
                <w:color w:val="000000"/>
              </w:rPr>
            </w:pPr>
            <w:r w:rsidRPr="00F05C28">
              <w:rPr>
                <w:color w:val="000000"/>
              </w:rPr>
              <w:t>40.71</w:t>
            </w:r>
          </w:p>
        </w:tc>
        <w:tc>
          <w:tcPr>
            <w:tcW w:w="0" w:type="auto"/>
            <w:tcBorders>
              <w:top w:val="nil"/>
              <w:left w:val="nil"/>
              <w:bottom w:val="single" w:sz="4" w:space="0" w:color="auto"/>
              <w:right w:val="nil"/>
            </w:tcBorders>
            <w:shd w:val="clear" w:color="auto" w:fill="auto"/>
            <w:noWrap/>
            <w:vAlign w:val="bottom"/>
            <w:hideMark/>
          </w:tcPr>
          <w:p w14:paraId="74A94B0B" w14:textId="77777777" w:rsidR="00F05C28" w:rsidRPr="00F05C28" w:rsidRDefault="00F05C28" w:rsidP="00574B5E">
            <w:pPr>
              <w:jc w:val="center"/>
              <w:rPr>
                <w:color w:val="000000"/>
              </w:rPr>
            </w:pPr>
            <w:r w:rsidRPr="00F05C28">
              <w:rPr>
                <w:color w:val="000000"/>
              </w:rPr>
              <w:t>6.79</w:t>
            </w:r>
          </w:p>
        </w:tc>
        <w:tc>
          <w:tcPr>
            <w:tcW w:w="0" w:type="auto"/>
            <w:tcBorders>
              <w:top w:val="nil"/>
              <w:left w:val="nil"/>
              <w:bottom w:val="single" w:sz="4" w:space="0" w:color="auto"/>
              <w:right w:val="nil"/>
            </w:tcBorders>
            <w:shd w:val="clear" w:color="auto" w:fill="auto"/>
            <w:noWrap/>
            <w:vAlign w:val="bottom"/>
            <w:hideMark/>
          </w:tcPr>
          <w:p w14:paraId="1DB0EA39" w14:textId="77777777" w:rsidR="00F05C28" w:rsidRPr="00F05C28" w:rsidRDefault="00F05C28" w:rsidP="00574B5E">
            <w:pPr>
              <w:rPr>
                <w:color w:val="000000"/>
              </w:rPr>
            </w:pPr>
            <w:r w:rsidRPr="00F05C28">
              <w:rPr>
                <w:color w:val="000000"/>
              </w:rPr>
              <w:t xml:space="preserve">   1,353 </w:t>
            </w:r>
          </w:p>
        </w:tc>
      </w:tr>
    </w:tbl>
    <w:p w14:paraId="1B6F9F56" w14:textId="77777777" w:rsidR="00F05C28" w:rsidRPr="00F05C28" w:rsidRDefault="00F05C28" w:rsidP="00F05C28">
      <w:pPr>
        <w:spacing w:line="480" w:lineRule="auto"/>
      </w:pPr>
    </w:p>
    <w:tbl>
      <w:tblPr>
        <w:tblW w:w="0" w:type="auto"/>
        <w:tblLook w:val="04A0" w:firstRow="1" w:lastRow="0" w:firstColumn="1" w:lastColumn="0" w:noHBand="0" w:noVBand="1"/>
      </w:tblPr>
      <w:tblGrid>
        <w:gridCol w:w="2598"/>
        <w:gridCol w:w="996"/>
        <w:gridCol w:w="1424"/>
        <w:gridCol w:w="1138"/>
        <w:gridCol w:w="1138"/>
        <w:gridCol w:w="1658"/>
      </w:tblGrid>
      <w:tr w:rsidR="00F05C28" w:rsidRPr="00F05C28" w14:paraId="3FD2A9CF" w14:textId="77777777" w:rsidTr="00574B5E">
        <w:trPr>
          <w:trHeight w:val="320"/>
        </w:trPr>
        <w:tc>
          <w:tcPr>
            <w:tcW w:w="0" w:type="auto"/>
            <w:tcBorders>
              <w:top w:val="nil"/>
              <w:left w:val="nil"/>
              <w:bottom w:val="nil"/>
              <w:right w:val="nil"/>
            </w:tcBorders>
            <w:shd w:val="clear" w:color="auto" w:fill="auto"/>
            <w:noWrap/>
            <w:vAlign w:val="bottom"/>
            <w:hideMark/>
          </w:tcPr>
          <w:p w14:paraId="24405EF7" w14:textId="77777777" w:rsidR="00F05C28" w:rsidRPr="00F05C28" w:rsidRDefault="00F05C28" w:rsidP="00574B5E">
            <w:pPr>
              <w:rPr>
                <w:color w:val="000000"/>
              </w:rPr>
            </w:pPr>
            <w:r w:rsidRPr="00F05C28">
              <w:rPr>
                <w:color w:val="000000"/>
              </w:rPr>
              <w:lastRenderedPageBreak/>
              <w:t>Table 4.3</w:t>
            </w:r>
          </w:p>
        </w:tc>
        <w:tc>
          <w:tcPr>
            <w:tcW w:w="0" w:type="auto"/>
            <w:tcBorders>
              <w:top w:val="nil"/>
              <w:left w:val="nil"/>
              <w:bottom w:val="nil"/>
              <w:right w:val="nil"/>
            </w:tcBorders>
            <w:shd w:val="clear" w:color="auto" w:fill="auto"/>
            <w:noWrap/>
            <w:vAlign w:val="bottom"/>
            <w:hideMark/>
          </w:tcPr>
          <w:p w14:paraId="5487F076" w14:textId="77777777" w:rsidR="00F05C28" w:rsidRPr="00F05C28" w:rsidRDefault="00F05C28" w:rsidP="00574B5E">
            <w:pPr>
              <w:rPr>
                <w:color w:val="000000"/>
              </w:rPr>
            </w:pPr>
          </w:p>
        </w:tc>
        <w:tc>
          <w:tcPr>
            <w:tcW w:w="0" w:type="auto"/>
            <w:tcBorders>
              <w:top w:val="nil"/>
              <w:left w:val="nil"/>
              <w:bottom w:val="nil"/>
              <w:right w:val="nil"/>
            </w:tcBorders>
            <w:shd w:val="clear" w:color="auto" w:fill="auto"/>
            <w:noWrap/>
            <w:vAlign w:val="bottom"/>
            <w:hideMark/>
          </w:tcPr>
          <w:p w14:paraId="7E20CAAF"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4B0CAA63"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3FF179E5"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2DDE2F8B" w14:textId="77777777" w:rsidR="00F05C28" w:rsidRPr="00F05C28" w:rsidRDefault="00F05C28" w:rsidP="00574B5E">
            <w:pPr>
              <w:rPr>
                <w:sz w:val="20"/>
                <w:szCs w:val="20"/>
              </w:rPr>
            </w:pPr>
          </w:p>
        </w:tc>
      </w:tr>
      <w:tr w:rsidR="00F05C28" w:rsidRPr="00F05C28" w14:paraId="35D6F5BB" w14:textId="77777777" w:rsidTr="00574B5E">
        <w:trPr>
          <w:trHeight w:val="320"/>
        </w:trPr>
        <w:tc>
          <w:tcPr>
            <w:tcW w:w="0" w:type="auto"/>
            <w:gridSpan w:val="6"/>
            <w:tcBorders>
              <w:top w:val="nil"/>
              <w:left w:val="nil"/>
              <w:bottom w:val="single" w:sz="4" w:space="0" w:color="auto"/>
              <w:right w:val="nil"/>
            </w:tcBorders>
            <w:shd w:val="clear" w:color="auto" w:fill="auto"/>
            <w:noWrap/>
            <w:vAlign w:val="bottom"/>
            <w:hideMark/>
          </w:tcPr>
          <w:p w14:paraId="0FC93A87" w14:textId="77777777" w:rsidR="00F05C28" w:rsidRPr="00F05C28" w:rsidRDefault="00F05C28" w:rsidP="00574B5E">
            <w:pPr>
              <w:rPr>
                <w:color w:val="000000"/>
              </w:rPr>
            </w:pPr>
            <w:r w:rsidRPr="00F05C28">
              <w:rPr>
                <w:color w:val="000000"/>
              </w:rPr>
              <w:t>ANOVA Summary Table of Social Integration by Graduate Status and Race/Ethnicity</w:t>
            </w:r>
          </w:p>
        </w:tc>
      </w:tr>
      <w:tr w:rsidR="00F05C28" w:rsidRPr="00F05C28" w14:paraId="746AFE76" w14:textId="77777777" w:rsidTr="00574B5E">
        <w:trPr>
          <w:trHeight w:val="320"/>
        </w:trPr>
        <w:tc>
          <w:tcPr>
            <w:tcW w:w="0" w:type="auto"/>
            <w:tcBorders>
              <w:top w:val="nil"/>
              <w:left w:val="nil"/>
              <w:bottom w:val="single" w:sz="4" w:space="0" w:color="auto"/>
              <w:right w:val="nil"/>
            </w:tcBorders>
            <w:shd w:val="clear" w:color="auto" w:fill="auto"/>
            <w:noWrap/>
            <w:vAlign w:val="bottom"/>
            <w:hideMark/>
          </w:tcPr>
          <w:p w14:paraId="129DD29D" w14:textId="77777777" w:rsidR="00F05C28" w:rsidRPr="00F05C28" w:rsidRDefault="00F05C28" w:rsidP="00574B5E">
            <w:pPr>
              <w:rPr>
                <w:color w:val="000000"/>
              </w:rPr>
            </w:pPr>
            <w:r w:rsidRPr="00F05C28">
              <w:rPr>
                <w:color w:val="000000"/>
              </w:rPr>
              <w:t>Source</w:t>
            </w:r>
          </w:p>
        </w:tc>
        <w:tc>
          <w:tcPr>
            <w:tcW w:w="0" w:type="auto"/>
            <w:tcBorders>
              <w:top w:val="nil"/>
              <w:left w:val="nil"/>
              <w:bottom w:val="single" w:sz="4" w:space="0" w:color="auto"/>
              <w:right w:val="nil"/>
            </w:tcBorders>
            <w:shd w:val="clear" w:color="auto" w:fill="auto"/>
            <w:noWrap/>
            <w:vAlign w:val="center"/>
            <w:hideMark/>
          </w:tcPr>
          <w:p w14:paraId="4BA5960B" w14:textId="77777777" w:rsidR="00F05C28" w:rsidRPr="00F05C28" w:rsidRDefault="00F05C28" w:rsidP="00574B5E">
            <w:pPr>
              <w:rPr>
                <w:color w:val="000000"/>
              </w:rPr>
            </w:pPr>
            <w:r w:rsidRPr="00F05C28">
              <w:rPr>
                <w:color w:val="000000"/>
              </w:rPr>
              <w:t>df</w:t>
            </w:r>
          </w:p>
        </w:tc>
        <w:tc>
          <w:tcPr>
            <w:tcW w:w="0" w:type="auto"/>
            <w:tcBorders>
              <w:top w:val="nil"/>
              <w:left w:val="nil"/>
              <w:bottom w:val="single" w:sz="4" w:space="0" w:color="auto"/>
              <w:right w:val="nil"/>
            </w:tcBorders>
            <w:shd w:val="clear" w:color="auto" w:fill="auto"/>
            <w:noWrap/>
            <w:vAlign w:val="center"/>
            <w:hideMark/>
          </w:tcPr>
          <w:p w14:paraId="2A7A0900" w14:textId="77777777" w:rsidR="00F05C28" w:rsidRPr="00F05C28" w:rsidRDefault="00F05C28" w:rsidP="00574B5E">
            <w:pPr>
              <w:rPr>
                <w:color w:val="000000"/>
              </w:rPr>
            </w:pPr>
            <w:r w:rsidRPr="00F05C28">
              <w:rPr>
                <w:color w:val="000000"/>
              </w:rPr>
              <w:t>MS</w:t>
            </w:r>
          </w:p>
        </w:tc>
        <w:tc>
          <w:tcPr>
            <w:tcW w:w="0" w:type="auto"/>
            <w:tcBorders>
              <w:top w:val="nil"/>
              <w:left w:val="nil"/>
              <w:bottom w:val="single" w:sz="4" w:space="0" w:color="auto"/>
              <w:right w:val="nil"/>
            </w:tcBorders>
            <w:shd w:val="clear" w:color="auto" w:fill="auto"/>
            <w:noWrap/>
            <w:vAlign w:val="center"/>
            <w:hideMark/>
          </w:tcPr>
          <w:p w14:paraId="26B81925" w14:textId="77777777" w:rsidR="00F05C28" w:rsidRPr="00F05C28" w:rsidRDefault="00F05C28" w:rsidP="00574B5E">
            <w:pPr>
              <w:rPr>
                <w:color w:val="000000"/>
              </w:rPr>
            </w:pPr>
            <w:r w:rsidRPr="00F05C28">
              <w:rPr>
                <w:color w:val="000000"/>
              </w:rPr>
              <w:t>F</w:t>
            </w:r>
          </w:p>
        </w:tc>
        <w:tc>
          <w:tcPr>
            <w:tcW w:w="0" w:type="auto"/>
            <w:tcBorders>
              <w:top w:val="nil"/>
              <w:left w:val="nil"/>
              <w:bottom w:val="single" w:sz="4" w:space="0" w:color="auto"/>
              <w:right w:val="nil"/>
            </w:tcBorders>
            <w:shd w:val="clear" w:color="auto" w:fill="auto"/>
            <w:noWrap/>
            <w:vAlign w:val="center"/>
            <w:hideMark/>
          </w:tcPr>
          <w:p w14:paraId="7FA9799A" w14:textId="77777777" w:rsidR="00F05C28" w:rsidRPr="00F05C28" w:rsidRDefault="00F05C28" w:rsidP="00574B5E">
            <w:pPr>
              <w:rPr>
                <w:color w:val="000000"/>
              </w:rPr>
            </w:pPr>
            <w:r w:rsidRPr="00F05C28">
              <w:rPr>
                <w:color w:val="000000"/>
              </w:rPr>
              <w:t>p</w:t>
            </w:r>
          </w:p>
        </w:tc>
        <w:tc>
          <w:tcPr>
            <w:tcW w:w="0" w:type="auto"/>
            <w:tcBorders>
              <w:top w:val="nil"/>
              <w:left w:val="nil"/>
              <w:bottom w:val="single" w:sz="4" w:space="0" w:color="auto"/>
              <w:right w:val="nil"/>
            </w:tcBorders>
            <w:shd w:val="clear" w:color="auto" w:fill="auto"/>
            <w:noWrap/>
            <w:vAlign w:val="center"/>
            <w:hideMark/>
          </w:tcPr>
          <w:p w14:paraId="23AB0EFE" w14:textId="77777777" w:rsidR="00F05C28" w:rsidRPr="00F05C28" w:rsidRDefault="00F05C28" w:rsidP="00574B5E">
            <w:pPr>
              <w:rPr>
                <w:color w:val="000000"/>
              </w:rPr>
            </w:pPr>
            <w:r w:rsidRPr="00F05C28">
              <w:rPr>
                <w:color w:val="000000"/>
              </w:rPr>
              <w:t>Effect Size</w:t>
            </w:r>
          </w:p>
        </w:tc>
      </w:tr>
      <w:tr w:rsidR="00F05C28" w:rsidRPr="00F05C28" w14:paraId="2BE7468E" w14:textId="77777777" w:rsidTr="00574B5E">
        <w:trPr>
          <w:trHeight w:val="320"/>
        </w:trPr>
        <w:tc>
          <w:tcPr>
            <w:tcW w:w="0" w:type="auto"/>
            <w:tcBorders>
              <w:top w:val="nil"/>
              <w:left w:val="nil"/>
              <w:bottom w:val="nil"/>
              <w:right w:val="nil"/>
            </w:tcBorders>
            <w:shd w:val="clear" w:color="auto" w:fill="auto"/>
            <w:noWrap/>
            <w:vAlign w:val="bottom"/>
            <w:hideMark/>
          </w:tcPr>
          <w:p w14:paraId="47B0ED0D" w14:textId="77777777" w:rsidR="00F05C28" w:rsidRPr="00F05C28" w:rsidRDefault="00F05C28" w:rsidP="00574B5E">
            <w:pPr>
              <w:rPr>
                <w:color w:val="000000"/>
              </w:rPr>
            </w:pPr>
            <w:r w:rsidRPr="00F05C28">
              <w:rPr>
                <w:color w:val="000000"/>
              </w:rPr>
              <w:t>Graduate</w:t>
            </w:r>
          </w:p>
        </w:tc>
        <w:tc>
          <w:tcPr>
            <w:tcW w:w="0" w:type="auto"/>
            <w:tcBorders>
              <w:top w:val="nil"/>
              <w:left w:val="nil"/>
              <w:bottom w:val="nil"/>
              <w:right w:val="nil"/>
            </w:tcBorders>
            <w:shd w:val="clear" w:color="auto" w:fill="auto"/>
            <w:noWrap/>
            <w:vAlign w:val="center"/>
            <w:hideMark/>
          </w:tcPr>
          <w:p w14:paraId="6982F30C" w14:textId="77777777" w:rsidR="00F05C28" w:rsidRPr="00F05C28" w:rsidRDefault="00F05C28" w:rsidP="00574B5E">
            <w:pPr>
              <w:rPr>
                <w:color w:val="000000"/>
              </w:rPr>
            </w:pPr>
            <w:r w:rsidRPr="00F05C28">
              <w:rPr>
                <w:color w:val="000000"/>
              </w:rPr>
              <w:t>1</w:t>
            </w:r>
          </w:p>
        </w:tc>
        <w:tc>
          <w:tcPr>
            <w:tcW w:w="0" w:type="auto"/>
            <w:tcBorders>
              <w:top w:val="nil"/>
              <w:left w:val="nil"/>
              <w:bottom w:val="nil"/>
              <w:right w:val="nil"/>
            </w:tcBorders>
            <w:shd w:val="clear" w:color="auto" w:fill="auto"/>
            <w:noWrap/>
            <w:vAlign w:val="center"/>
            <w:hideMark/>
          </w:tcPr>
          <w:p w14:paraId="5FB2FFB4" w14:textId="77777777" w:rsidR="00F05C28" w:rsidRPr="00F05C28" w:rsidRDefault="00F05C28" w:rsidP="00574B5E">
            <w:pPr>
              <w:rPr>
                <w:color w:val="000000"/>
              </w:rPr>
            </w:pPr>
            <w:r w:rsidRPr="00F05C28">
              <w:rPr>
                <w:color w:val="000000"/>
              </w:rPr>
              <w:t>496.820</w:t>
            </w:r>
          </w:p>
        </w:tc>
        <w:tc>
          <w:tcPr>
            <w:tcW w:w="0" w:type="auto"/>
            <w:tcBorders>
              <w:top w:val="nil"/>
              <w:left w:val="nil"/>
              <w:bottom w:val="nil"/>
              <w:right w:val="nil"/>
            </w:tcBorders>
            <w:shd w:val="clear" w:color="auto" w:fill="auto"/>
            <w:noWrap/>
            <w:vAlign w:val="center"/>
            <w:hideMark/>
          </w:tcPr>
          <w:p w14:paraId="71088F41" w14:textId="77777777" w:rsidR="00F05C28" w:rsidRPr="00F05C28" w:rsidRDefault="00F05C28" w:rsidP="00574B5E">
            <w:pPr>
              <w:rPr>
                <w:color w:val="000000"/>
              </w:rPr>
            </w:pPr>
            <w:r w:rsidRPr="00F05C28">
              <w:rPr>
                <w:color w:val="000000"/>
              </w:rPr>
              <w:t>10.759</w:t>
            </w:r>
          </w:p>
        </w:tc>
        <w:tc>
          <w:tcPr>
            <w:tcW w:w="0" w:type="auto"/>
            <w:tcBorders>
              <w:top w:val="nil"/>
              <w:left w:val="nil"/>
              <w:bottom w:val="nil"/>
              <w:right w:val="nil"/>
            </w:tcBorders>
            <w:shd w:val="clear" w:color="auto" w:fill="auto"/>
            <w:noWrap/>
            <w:vAlign w:val="center"/>
            <w:hideMark/>
          </w:tcPr>
          <w:p w14:paraId="706C9BE8" w14:textId="77777777" w:rsidR="00F05C28" w:rsidRPr="00F05C28" w:rsidRDefault="00F05C28" w:rsidP="00574B5E">
            <w:pPr>
              <w:rPr>
                <w:color w:val="000000"/>
              </w:rPr>
            </w:pPr>
            <w:r w:rsidRPr="00F05C28">
              <w:rPr>
                <w:color w:val="000000"/>
              </w:rPr>
              <w:t>0.001*</w:t>
            </w:r>
          </w:p>
        </w:tc>
        <w:tc>
          <w:tcPr>
            <w:tcW w:w="0" w:type="auto"/>
            <w:tcBorders>
              <w:top w:val="nil"/>
              <w:left w:val="nil"/>
              <w:bottom w:val="nil"/>
              <w:right w:val="nil"/>
            </w:tcBorders>
            <w:shd w:val="clear" w:color="auto" w:fill="auto"/>
            <w:noWrap/>
            <w:vAlign w:val="center"/>
            <w:hideMark/>
          </w:tcPr>
          <w:p w14:paraId="11A617AF" w14:textId="77777777" w:rsidR="00F05C28" w:rsidRPr="00F05C28" w:rsidRDefault="00F05C28" w:rsidP="00574B5E">
            <w:pPr>
              <w:jc w:val="center"/>
              <w:rPr>
                <w:color w:val="000000"/>
              </w:rPr>
            </w:pPr>
            <w:r w:rsidRPr="00F05C28">
              <w:rPr>
                <w:color w:val="000000"/>
              </w:rPr>
              <w:t>0.007</w:t>
            </w:r>
          </w:p>
        </w:tc>
      </w:tr>
      <w:tr w:rsidR="00F05C28" w:rsidRPr="00F05C28" w14:paraId="116B9717" w14:textId="77777777" w:rsidTr="00574B5E">
        <w:trPr>
          <w:trHeight w:val="320"/>
        </w:trPr>
        <w:tc>
          <w:tcPr>
            <w:tcW w:w="0" w:type="auto"/>
            <w:tcBorders>
              <w:top w:val="nil"/>
              <w:left w:val="nil"/>
              <w:bottom w:val="nil"/>
              <w:right w:val="nil"/>
            </w:tcBorders>
            <w:shd w:val="clear" w:color="auto" w:fill="auto"/>
            <w:noWrap/>
            <w:vAlign w:val="bottom"/>
            <w:hideMark/>
          </w:tcPr>
          <w:p w14:paraId="628A6EFB" w14:textId="77777777" w:rsidR="00F05C28" w:rsidRPr="00F05C28" w:rsidRDefault="00F05C28" w:rsidP="00574B5E">
            <w:pPr>
              <w:rPr>
                <w:color w:val="000000"/>
              </w:rPr>
            </w:pPr>
            <w:r w:rsidRPr="00F05C28">
              <w:rPr>
                <w:color w:val="000000"/>
              </w:rPr>
              <w:t>Race</w:t>
            </w:r>
          </w:p>
        </w:tc>
        <w:tc>
          <w:tcPr>
            <w:tcW w:w="0" w:type="auto"/>
            <w:tcBorders>
              <w:top w:val="nil"/>
              <w:left w:val="nil"/>
              <w:bottom w:val="nil"/>
              <w:right w:val="nil"/>
            </w:tcBorders>
            <w:shd w:val="clear" w:color="auto" w:fill="auto"/>
            <w:noWrap/>
            <w:vAlign w:val="center"/>
            <w:hideMark/>
          </w:tcPr>
          <w:p w14:paraId="73D07244" w14:textId="77777777" w:rsidR="00F05C28" w:rsidRPr="00F05C28" w:rsidRDefault="00F05C28" w:rsidP="00574B5E">
            <w:pPr>
              <w:rPr>
                <w:color w:val="000000"/>
              </w:rPr>
            </w:pPr>
            <w:r w:rsidRPr="00F05C28">
              <w:rPr>
                <w:color w:val="000000"/>
              </w:rPr>
              <w:t>6</w:t>
            </w:r>
          </w:p>
        </w:tc>
        <w:tc>
          <w:tcPr>
            <w:tcW w:w="0" w:type="auto"/>
            <w:tcBorders>
              <w:top w:val="nil"/>
              <w:left w:val="nil"/>
              <w:bottom w:val="nil"/>
              <w:right w:val="nil"/>
            </w:tcBorders>
            <w:shd w:val="clear" w:color="auto" w:fill="auto"/>
            <w:noWrap/>
            <w:vAlign w:val="center"/>
            <w:hideMark/>
          </w:tcPr>
          <w:p w14:paraId="1EBC87CD" w14:textId="77777777" w:rsidR="00F05C28" w:rsidRPr="00F05C28" w:rsidRDefault="00F05C28" w:rsidP="00574B5E">
            <w:pPr>
              <w:rPr>
                <w:color w:val="000000"/>
              </w:rPr>
            </w:pPr>
            <w:r w:rsidRPr="00F05C28">
              <w:rPr>
                <w:color w:val="000000"/>
              </w:rPr>
              <w:t>73.197</w:t>
            </w:r>
          </w:p>
        </w:tc>
        <w:tc>
          <w:tcPr>
            <w:tcW w:w="0" w:type="auto"/>
            <w:tcBorders>
              <w:top w:val="nil"/>
              <w:left w:val="nil"/>
              <w:bottom w:val="nil"/>
              <w:right w:val="nil"/>
            </w:tcBorders>
            <w:shd w:val="clear" w:color="auto" w:fill="auto"/>
            <w:noWrap/>
            <w:vAlign w:val="center"/>
            <w:hideMark/>
          </w:tcPr>
          <w:p w14:paraId="41B288EE" w14:textId="77777777" w:rsidR="00F05C28" w:rsidRPr="00F05C28" w:rsidRDefault="00F05C28" w:rsidP="00574B5E">
            <w:pPr>
              <w:rPr>
                <w:color w:val="000000"/>
              </w:rPr>
            </w:pPr>
            <w:r w:rsidRPr="00F05C28">
              <w:rPr>
                <w:color w:val="000000"/>
              </w:rPr>
              <w:t>1.585</w:t>
            </w:r>
          </w:p>
        </w:tc>
        <w:tc>
          <w:tcPr>
            <w:tcW w:w="0" w:type="auto"/>
            <w:tcBorders>
              <w:top w:val="nil"/>
              <w:left w:val="nil"/>
              <w:bottom w:val="nil"/>
              <w:right w:val="nil"/>
            </w:tcBorders>
            <w:shd w:val="clear" w:color="auto" w:fill="auto"/>
            <w:noWrap/>
            <w:vAlign w:val="center"/>
            <w:hideMark/>
          </w:tcPr>
          <w:p w14:paraId="793BFAE8" w14:textId="77777777" w:rsidR="00F05C28" w:rsidRPr="00F05C28" w:rsidRDefault="00F05C28" w:rsidP="00574B5E">
            <w:pPr>
              <w:rPr>
                <w:color w:val="000000"/>
              </w:rPr>
            </w:pPr>
            <w:r w:rsidRPr="00F05C28">
              <w:rPr>
                <w:color w:val="000000"/>
              </w:rPr>
              <w:t>0.148</w:t>
            </w:r>
          </w:p>
        </w:tc>
        <w:tc>
          <w:tcPr>
            <w:tcW w:w="0" w:type="auto"/>
            <w:tcBorders>
              <w:top w:val="nil"/>
              <w:left w:val="nil"/>
              <w:bottom w:val="nil"/>
              <w:right w:val="nil"/>
            </w:tcBorders>
            <w:shd w:val="clear" w:color="auto" w:fill="auto"/>
            <w:noWrap/>
            <w:vAlign w:val="center"/>
            <w:hideMark/>
          </w:tcPr>
          <w:p w14:paraId="0D159E6E" w14:textId="77777777" w:rsidR="00F05C28" w:rsidRPr="00F05C28" w:rsidRDefault="00F05C28" w:rsidP="00574B5E">
            <w:pPr>
              <w:jc w:val="center"/>
              <w:rPr>
                <w:color w:val="000000"/>
              </w:rPr>
            </w:pPr>
            <w:r w:rsidRPr="00F05C28">
              <w:rPr>
                <w:color w:val="000000"/>
              </w:rPr>
              <w:t>0.006</w:t>
            </w:r>
          </w:p>
        </w:tc>
      </w:tr>
      <w:tr w:rsidR="00F05C28" w:rsidRPr="00F05C28" w14:paraId="048045CC" w14:textId="77777777" w:rsidTr="00574B5E">
        <w:trPr>
          <w:trHeight w:val="320"/>
        </w:trPr>
        <w:tc>
          <w:tcPr>
            <w:tcW w:w="0" w:type="auto"/>
            <w:tcBorders>
              <w:top w:val="nil"/>
              <w:left w:val="nil"/>
              <w:bottom w:val="nil"/>
              <w:right w:val="nil"/>
            </w:tcBorders>
            <w:shd w:val="clear" w:color="auto" w:fill="auto"/>
            <w:noWrap/>
            <w:vAlign w:val="bottom"/>
            <w:hideMark/>
          </w:tcPr>
          <w:p w14:paraId="678FF883" w14:textId="77777777" w:rsidR="00F05C28" w:rsidRPr="00F05C28" w:rsidRDefault="00F05C28" w:rsidP="00574B5E">
            <w:pPr>
              <w:rPr>
                <w:color w:val="000000"/>
              </w:rPr>
            </w:pPr>
            <w:r w:rsidRPr="00F05C28">
              <w:rPr>
                <w:color w:val="000000"/>
              </w:rPr>
              <w:t>Graduate * Race</w:t>
            </w:r>
          </w:p>
        </w:tc>
        <w:tc>
          <w:tcPr>
            <w:tcW w:w="0" w:type="auto"/>
            <w:tcBorders>
              <w:top w:val="nil"/>
              <w:left w:val="nil"/>
              <w:bottom w:val="nil"/>
              <w:right w:val="nil"/>
            </w:tcBorders>
            <w:shd w:val="clear" w:color="auto" w:fill="auto"/>
            <w:noWrap/>
            <w:vAlign w:val="center"/>
            <w:hideMark/>
          </w:tcPr>
          <w:p w14:paraId="193DAB69" w14:textId="77777777" w:rsidR="00F05C28" w:rsidRPr="00F05C28" w:rsidRDefault="00F05C28" w:rsidP="00574B5E">
            <w:pPr>
              <w:rPr>
                <w:color w:val="000000"/>
              </w:rPr>
            </w:pPr>
            <w:r w:rsidRPr="00F05C28">
              <w:rPr>
                <w:color w:val="000000"/>
              </w:rPr>
              <w:t>5</w:t>
            </w:r>
          </w:p>
        </w:tc>
        <w:tc>
          <w:tcPr>
            <w:tcW w:w="0" w:type="auto"/>
            <w:tcBorders>
              <w:top w:val="nil"/>
              <w:left w:val="nil"/>
              <w:bottom w:val="nil"/>
              <w:right w:val="nil"/>
            </w:tcBorders>
            <w:shd w:val="clear" w:color="auto" w:fill="auto"/>
            <w:noWrap/>
            <w:vAlign w:val="center"/>
            <w:hideMark/>
          </w:tcPr>
          <w:p w14:paraId="6DE58B3F" w14:textId="77777777" w:rsidR="00F05C28" w:rsidRPr="00F05C28" w:rsidRDefault="00F05C28" w:rsidP="00574B5E">
            <w:pPr>
              <w:rPr>
                <w:color w:val="000000"/>
              </w:rPr>
            </w:pPr>
            <w:r w:rsidRPr="00F05C28">
              <w:rPr>
                <w:color w:val="000000"/>
              </w:rPr>
              <w:t>24.399</w:t>
            </w:r>
          </w:p>
        </w:tc>
        <w:tc>
          <w:tcPr>
            <w:tcW w:w="0" w:type="auto"/>
            <w:tcBorders>
              <w:top w:val="nil"/>
              <w:left w:val="nil"/>
              <w:bottom w:val="nil"/>
              <w:right w:val="nil"/>
            </w:tcBorders>
            <w:shd w:val="clear" w:color="auto" w:fill="auto"/>
            <w:noWrap/>
            <w:vAlign w:val="center"/>
            <w:hideMark/>
          </w:tcPr>
          <w:p w14:paraId="1A1BE142" w14:textId="77777777" w:rsidR="00F05C28" w:rsidRPr="00F05C28" w:rsidRDefault="00F05C28" w:rsidP="00574B5E">
            <w:pPr>
              <w:rPr>
                <w:color w:val="000000"/>
              </w:rPr>
            </w:pPr>
            <w:r w:rsidRPr="00F05C28">
              <w:rPr>
                <w:color w:val="000000"/>
              </w:rPr>
              <w:t>0.528</w:t>
            </w:r>
          </w:p>
        </w:tc>
        <w:tc>
          <w:tcPr>
            <w:tcW w:w="0" w:type="auto"/>
            <w:tcBorders>
              <w:top w:val="nil"/>
              <w:left w:val="nil"/>
              <w:bottom w:val="nil"/>
              <w:right w:val="nil"/>
            </w:tcBorders>
            <w:shd w:val="clear" w:color="auto" w:fill="auto"/>
            <w:noWrap/>
            <w:vAlign w:val="center"/>
            <w:hideMark/>
          </w:tcPr>
          <w:p w14:paraId="3A9D4DB6" w14:textId="77777777" w:rsidR="00F05C28" w:rsidRPr="00F05C28" w:rsidRDefault="00F05C28" w:rsidP="00574B5E">
            <w:pPr>
              <w:rPr>
                <w:color w:val="000000"/>
              </w:rPr>
            </w:pPr>
            <w:r w:rsidRPr="00F05C28">
              <w:rPr>
                <w:color w:val="000000"/>
              </w:rPr>
              <w:t>0.755</w:t>
            </w:r>
          </w:p>
        </w:tc>
        <w:tc>
          <w:tcPr>
            <w:tcW w:w="0" w:type="auto"/>
            <w:tcBorders>
              <w:top w:val="nil"/>
              <w:left w:val="nil"/>
              <w:bottom w:val="nil"/>
              <w:right w:val="nil"/>
            </w:tcBorders>
            <w:shd w:val="clear" w:color="auto" w:fill="auto"/>
            <w:noWrap/>
            <w:vAlign w:val="center"/>
            <w:hideMark/>
          </w:tcPr>
          <w:p w14:paraId="3FBB0374" w14:textId="77777777" w:rsidR="00F05C28" w:rsidRPr="00F05C28" w:rsidRDefault="00F05C28" w:rsidP="00574B5E">
            <w:pPr>
              <w:jc w:val="center"/>
              <w:rPr>
                <w:color w:val="000000"/>
              </w:rPr>
            </w:pPr>
            <w:r w:rsidRPr="00F05C28">
              <w:rPr>
                <w:color w:val="000000"/>
              </w:rPr>
              <w:t>0.002</w:t>
            </w:r>
          </w:p>
        </w:tc>
      </w:tr>
      <w:tr w:rsidR="00F05C28" w:rsidRPr="00F05C28" w14:paraId="67CB8E87" w14:textId="77777777" w:rsidTr="00574B5E">
        <w:trPr>
          <w:trHeight w:val="320"/>
        </w:trPr>
        <w:tc>
          <w:tcPr>
            <w:tcW w:w="0" w:type="auto"/>
            <w:tcBorders>
              <w:top w:val="nil"/>
              <w:left w:val="nil"/>
              <w:bottom w:val="nil"/>
              <w:right w:val="nil"/>
            </w:tcBorders>
            <w:shd w:val="clear" w:color="auto" w:fill="auto"/>
            <w:noWrap/>
            <w:vAlign w:val="bottom"/>
            <w:hideMark/>
          </w:tcPr>
          <w:p w14:paraId="48024F9E" w14:textId="77777777" w:rsidR="00F05C28" w:rsidRPr="00F05C28" w:rsidRDefault="00F05C28" w:rsidP="00574B5E">
            <w:pPr>
              <w:rPr>
                <w:color w:val="000000"/>
              </w:rPr>
            </w:pPr>
            <w:r w:rsidRPr="00F05C28">
              <w:rPr>
                <w:color w:val="000000"/>
              </w:rPr>
              <w:t>Error</w:t>
            </w:r>
          </w:p>
        </w:tc>
        <w:tc>
          <w:tcPr>
            <w:tcW w:w="0" w:type="auto"/>
            <w:tcBorders>
              <w:top w:val="nil"/>
              <w:left w:val="nil"/>
              <w:bottom w:val="nil"/>
              <w:right w:val="nil"/>
            </w:tcBorders>
            <w:shd w:val="clear" w:color="auto" w:fill="auto"/>
            <w:noWrap/>
            <w:vAlign w:val="center"/>
            <w:hideMark/>
          </w:tcPr>
          <w:p w14:paraId="1BB53632" w14:textId="77777777" w:rsidR="00F05C28" w:rsidRPr="00F05C28" w:rsidRDefault="00F05C28" w:rsidP="00574B5E">
            <w:pPr>
              <w:rPr>
                <w:color w:val="000000"/>
              </w:rPr>
            </w:pPr>
            <w:r w:rsidRPr="00F05C28">
              <w:rPr>
                <w:color w:val="000000"/>
              </w:rPr>
              <w:t>1503</w:t>
            </w:r>
          </w:p>
        </w:tc>
        <w:tc>
          <w:tcPr>
            <w:tcW w:w="0" w:type="auto"/>
            <w:tcBorders>
              <w:top w:val="nil"/>
              <w:left w:val="nil"/>
              <w:bottom w:val="nil"/>
              <w:right w:val="nil"/>
            </w:tcBorders>
            <w:shd w:val="clear" w:color="auto" w:fill="auto"/>
            <w:noWrap/>
            <w:vAlign w:val="center"/>
            <w:hideMark/>
          </w:tcPr>
          <w:p w14:paraId="11ECCED2" w14:textId="77777777" w:rsidR="00F05C28" w:rsidRPr="00F05C28" w:rsidRDefault="00F05C28" w:rsidP="00574B5E">
            <w:pPr>
              <w:rPr>
                <w:color w:val="000000"/>
              </w:rPr>
            </w:pPr>
            <w:r w:rsidRPr="00F05C28">
              <w:rPr>
                <w:color w:val="000000"/>
              </w:rPr>
              <w:t>46.178</w:t>
            </w:r>
          </w:p>
        </w:tc>
        <w:tc>
          <w:tcPr>
            <w:tcW w:w="0" w:type="auto"/>
            <w:tcBorders>
              <w:top w:val="nil"/>
              <w:left w:val="nil"/>
              <w:bottom w:val="nil"/>
              <w:right w:val="nil"/>
            </w:tcBorders>
            <w:shd w:val="clear" w:color="auto" w:fill="auto"/>
            <w:noWrap/>
            <w:vAlign w:val="center"/>
            <w:hideMark/>
          </w:tcPr>
          <w:p w14:paraId="44C6F9AC"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center"/>
            <w:hideMark/>
          </w:tcPr>
          <w:p w14:paraId="20651BD8"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center"/>
            <w:hideMark/>
          </w:tcPr>
          <w:p w14:paraId="61E9F792" w14:textId="77777777" w:rsidR="00F05C28" w:rsidRPr="00F05C28" w:rsidRDefault="00F05C28" w:rsidP="00574B5E">
            <w:pPr>
              <w:rPr>
                <w:sz w:val="20"/>
                <w:szCs w:val="20"/>
              </w:rPr>
            </w:pPr>
          </w:p>
        </w:tc>
      </w:tr>
      <w:tr w:rsidR="00F05C28" w:rsidRPr="00F05C28" w14:paraId="17A69A92" w14:textId="77777777" w:rsidTr="00574B5E">
        <w:trPr>
          <w:trHeight w:val="320"/>
        </w:trPr>
        <w:tc>
          <w:tcPr>
            <w:tcW w:w="0" w:type="auto"/>
            <w:tcBorders>
              <w:top w:val="nil"/>
              <w:left w:val="nil"/>
              <w:bottom w:val="single" w:sz="4" w:space="0" w:color="auto"/>
              <w:right w:val="nil"/>
            </w:tcBorders>
            <w:shd w:val="clear" w:color="auto" w:fill="auto"/>
            <w:noWrap/>
            <w:vAlign w:val="bottom"/>
            <w:hideMark/>
          </w:tcPr>
          <w:p w14:paraId="0727BFDE" w14:textId="77777777" w:rsidR="00F05C28" w:rsidRPr="00F05C28" w:rsidRDefault="00F05C28" w:rsidP="00574B5E">
            <w:pPr>
              <w:rPr>
                <w:color w:val="000000"/>
              </w:rPr>
            </w:pPr>
            <w:r w:rsidRPr="00F05C28">
              <w:rPr>
                <w:color w:val="000000"/>
              </w:rPr>
              <w:t>Total</w:t>
            </w:r>
          </w:p>
        </w:tc>
        <w:tc>
          <w:tcPr>
            <w:tcW w:w="0" w:type="auto"/>
            <w:tcBorders>
              <w:top w:val="nil"/>
              <w:left w:val="nil"/>
              <w:bottom w:val="single" w:sz="4" w:space="0" w:color="auto"/>
              <w:right w:val="nil"/>
            </w:tcBorders>
            <w:shd w:val="clear" w:color="auto" w:fill="auto"/>
            <w:noWrap/>
            <w:vAlign w:val="center"/>
            <w:hideMark/>
          </w:tcPr>
          <w:p w14:paraId="1AF84D91" w14:textId="77777777" w:rsidR="00F05C28" w:rsidRPr="00F05C28" w:rsidRDefault="00F05C28" w:rsidP="00574B5E">
            <w:pPr>
              <w:rPr>
                <w:color w:val="000000"/>
              </w:rPr>
            </w:pPr>
            <w:r w:rsidRPr="00F05C28">
              <w:rPr>
                <w:color w:val="000000"/>
              </w:rPr>
              <w:t>1516</w:t>
            </w:r>
          </w:p>
        </w:tc>
        <w:tc>
          <w:tcPr>
            <w:tcW w:w="0" w:type="auto"/>
            <w:tcBorders>
              <w:top w:val="nil"/>
              <w:left w:val="nil"/>
              <w:bottom w:val="single" w:sz="4" w:space="0" w:color="auto"/>
              <w:right w:val="nil"/>
            </w:tcBorders>
            <w:shd w:val="clear" w:color="auto" w:fill="auto"/>
            <w:noWrap/>
            <w:vAlign w:val="center"/>
            <w:hideMark/>
          </w:tcPr>
          <w:p w14:paraId="42C463B4" w14:textId="77777777" w:rsidR="00F05C28" w:rsidRPr="00F05C28" w:rsidRDefault="00F05C28" w:rsidP="00574B5E">
            <w:pPr>
              <w:rPr>
                <w:color w:val="000000"/>
              </w:rPr>
            </w:pPr>
            <w:r w:rsidRPr="00F05C28">
              <w:rPr>
                <w:color w:val="000000"/>
              </w:rPr>
              <w:t> </w:t>
            </w:r>
          </w:p>
        </w:tc>
        <w:tc>
          <w:tcPr>
            <w:tcW w:w="0" w:type="auto"/>
            <w:tcBorders>
              <w:top w:val="nil"/>
              <w:left w:val="nil"/>
              <w:bottom w:val="single" w:sz="4" w:space="0" w:color="auto"/>
              <w:right w:val="nil"/>
            </w:tcBorders>
            <w:shd w:val="clear" w:color="auto" w:fill="auto"/>
            <w:noWrap/>
            <w:vAlign w:val="center"/>
            <w:hideMark/>
          </w:tcPr>
          <w:p w14:paraId="0331DACB" w14:textId="77777777" w:rsidR="00F05C28" w:rsidRPr="00F05C28" w:rsidRDefault="00F05C28" w:rsidP="00574B5E">
            <w:pPr>
              <w:rPr>
                <w:color w:val="000000"/>
              </w:rPr>
            </w:pPr>
            <w:r w:rsidRPr="00F05C28">
              <w:rPr>
                <w:color w:val="000000"/>
              </w:rPr>
              <w:t> </w:t>
            </w:r>
          </w:p>
        </w:tc>
        <w:tc>
          <w:tcPr>
            <w:tcW w:w="0" w:type="auto"/>
            <w:tcBorders>
              <w:top w:val="nil"/>
              <w:left w:val="nil"/>
              <w:bottom w:val="single" w:sz="4" w:space="0" w:color="auto"/>
              <w:right w:val="nil"/>
            </w:tcBorders>
            <w:shd w:val="clear" w:color="auto" w:fill="auto"/>
            <w:noWrap/>
            <w:vAlign w:val="center"/>
            <w:hideMark/>
          </w:tcPr>
          <w:p w14:paraId="2AA34E87" w14:textId="77777777" w:rsidR="00F05C28" w:rsidRPr="00F05C28" w:rsidRDefault="00F05C28" w:rsidP="00574B5E">
            <w:pPr>
              <w:rPr>
                <w:color w:val="000000"/>
              </w:rPr>
            </w:pPr>
            <w:r w:rsidRPr="00F05C28">
              <w:rPr>
                <w:color w:val="000000"/>
              </w:rPr>
              <w:t> </w:t>
            </w:r>
          </w:p>
        </w:tc>
        <w:tc>
          <w:tcPr>
            <w:tcW w:w="0" w:type="auto"/>
            <w:tcBorders>
              <w:top w:val="nil"/>
              <w:left w:val="nil"/>
              <w:bottom w:val="single" w:sz="4" w:space="0" w:color="auto"/>
              <w:right w:val="nil"/>
            </w:tcBorders>
            <w:shd w:val="clear" w:color="auto" w:fill="auto"/>
            <w:noWrap/>
            <w:vAlign w:val="center"/>
            <w:hideMark/>
          </w:tcPr>
          <w:p w14:paraId="56084E09" w14:textId="77777777" w:rsidR="00F05C28" w:rsidRPr="00F05C28" w:rsidRDefault="00F05C28" w:rsidP="00574B5E">
            <w:pPr>
              <w:rPr>
                <w:color w:val="000000"/>
              </w:rPr>
            </w:pPr>
            <w:r w:rsidRPr="00F05C28">
              <w:rPr>
                <w:color w:val="000000"/>
              </w:rPr>
              <w:t> </w:t>
            </w:r>
          </w:p>
        </w:tc>
      </w:tr>
      <w:tr w:rsidR="00F05C28" w:rsidRPr="00F05C28" w14:paraId="1DE12CE9" w14:textId="77777777" w:rsidTr="00574B5E">
        <w:trPr>
          <w:trHeight w:val="320"/>
        </w:trPr>
        <w:tc>
          <w:tcPr>
            <w:tcW w:w="0" w:type="auto"/>
            <w:gridSpan w:val="3"/>
            <w:tcBorders>
              <w:top w:val="nil"/>
              <w:left w:val="nil"/>
              <w:bottom w:val="nil"/>
              <w:right w:val="nil"/>
            </w:tcBorders>
            <w:shd w:val="clear" w:color="auto" w:fill="auto"/>
            <w:noWrap/>
            <w:vAlign w:val="bottom"/>
            <w:hideMark/>
          </w:tcPr>
          <w:p w14:paraId="6D848AB5" w14:textId="77777777" w:rsidR="00F05C28" w:rsidRPr="00F05C28" w:rsidRDefault="00F05C28" w:rsidP="00574B5E">
            <w:pPr>
              <w:rPr>
                <w:color w:val="000000"/>
              </w:rPr>
            </w:pPr>
            <w:r w:rsidRPr="00F05C28">
              <w:rPr>
                <w:color w:val="000000"/>
              </w:rPr>
              <w:t xml:space="preserve">Note. MS = Mean squares, effect size = partial η2. </w:t>
            </w:r>
          </w:p>
        </w:tc>
        <w:tc>
          <w:tcPr>
            <w:tcW w:w="0" w:type="auto"/>
            <w:tcBorders>
              <w:top w:val="nil"/>
              <w:left w:val="nil"/>
              <w:bottom w:val="nil"/>
              <w:right w:val="nil"/>
            </w:tcBorders>
            <w:shd w:val="clear" w:color="auto" w:fill="auto"/>
            <w:noWrap/>
            <w:vAlign w:val="bottom"/>
            <w:hideMark/>
          </w:tcPr>
          <w:p w14:paraId="10CA4063" w14:textId="77777777" w:rsidR="00F05C28" w:rsidRPr="00F05C28" w:rsidRDefault="00F05C28" w:rsidP="00574B5E">
            <w:pPr>
              <w:rPr>
                <w:color w:val="000000"/>
              </w:rPr>
            </w:pPr>
          </w:p>
        </w:tc>
        <w:tc>
          <w:tcPr>
            <w:tcW w:w="0" w:type="auto"/>
            <w:tcBorders>
              <w:top w:val="nil"/>
              <w:left w:val="nil"/>
              <w:bottom w:val="nil"/>
              <w:right w:val="nil"/>
            </w:tcBorders>
            <w:shd w:val="clear" w:color="auto" w:fill="auto"/>
            <w:noWrap/>
            <w:vAlign w:val="bottom"/>
            <w:hideMark/>
          </w:tcPr>
          <w:p w14:paraId="3A14C88B" w14:textId="77777777" w:rsidR="00F05C28" w:rsidRPr="00F05C28" w:rsidRDefault="00F05C28" w:rsidP="00574B5E">
            <w:pPr>
              <w:rPr>
                <w:sz w:val="20"/>
                <w:szCs w:val="20"/>
              </w:rPr>
            </w:pPr>
          </w:p>
        </w:tc>
        <w:tc>
          <w:tcPr>
            <w:tcW w:w="0" w:type="auto"/>
            <w:tcBorders>
              <w:top w:val="nil"/>
              <w:left w:val="nil"/>
              <w:bottom w:val="nil"/>
              <w:right w:val="nil"/>
            </w:tcBorders>
            <w:shd w:val="clear" w:color="auto" w:fill="auto"/>
            <w:noWrap/>
            <w:vAlign w:val="bottom"/>
            <w:hideMark/>
          </w:tcPr>
          <w:p w14:paraId="4A5E4746" w14:textId="77777777" w:rsidR="00F05C28" w:rsidRPr="00F05C28" w:rsidRDefault="00F05C28" w:rsidP="00574B5E">
            <w:pPr>
              <w:rPr>
                <w:sz w:val="20"/>
                <w:szCs w:val="20"/>
              </w:rPr>
            </w:pPr>
          </w:p>
        </w:tc>
      </w:tr>
    </w:tbl>
    <w:p w14:paraId="6284B05F" w14:textId="77777777" w:rsidR="00F05C28" w:rsidRPr="00F05C28" w:rsidRDefault="00F05C28" w:rsidP="00F05C28"/>
    <w:p w14:paraId="176F2287" w14:textId="77777777" w:rsidR="00F05C28" w:rsidRPr="00F05C28" w:rsidRDefault="00F05C28" w:rsidP="00F05C28"/>
    <w:p w14:paraId="1D8C4BBE" w14:textId="77777777" w:rsidR="00F05C28" w:rsidRPr="00F05C28" w:rsidRDefault="00F05C28" w:rsidP="00F05C28"/>
    <w:p w14:paraId="2A42826E" w14:textId="77777777" w:rsidR="00F05C28" w:rsidRPr="00F05C28" w:rsidRDefault="00F05C28" w:rsidP="00F05C28">
      <w:pPr>
        <w:spacing w:line="480" w:lineRule="auto"/>
      </w:pPr>
      <w:r w:rsidRPr="00F05C28">
        <w:t>0.007, indicating an extremely small effect size. The reported effect sizes (</w:t>
      </w:r>
      <w:r w:rsidRPr="00F05C28">
        <w:rPr>
          <w:iCs/>
        </w:rPr>
        <w:t xml:space="preserve">partial η </w:t>
      </w:r>
      <w:r w:rsidRPr="00F05C28">
        <w:rPr>
          <w:iCs/>
          <w:vertAlign w:val="superscript"/>
        </w:rPr>
        <w:t>2</w:t>
      </w:r>
      <w:r w:rsidRPr="00F05C28">
        <w:t xml:space="preserve">) for both independent variables, graduation status and race/ethnicity, determined each variable’s strength of interaction with social integration was extremely small.   </w:t>
      </w:r>
    </w:p>
    <w:p w14:paraId="54927799" w14:textId="77777777" w:rsidR="00F05C28" w:rsidRPr="00F05C28" w:rsidRDefault="00F05C28" w:rsidP="00F05C28">
      <w:pPr>
        <w:spacing w:line="480" w:lineRule="auto"/>
        <w:ind w:firstLine="720"/>
        <w:rPr>
          <w:iCs/>
        </w:rPr>
      </w:pPr>
      <w:r w:rsidRPr="00F05C28">
        <w:rPr>
          <w:iCs/>
        </w:rPr>
        <w:t xml:space="preserve">Given the insignificant interaction effect found in Table 4.3, the mean difference in social integration by graduation status needed to be examined for African American and Latinx students separately. Thus, two additional two sample t-tests were conducted.  The first t-test analyzed the difference between the average social integration composites scores of the 56 African American graduates (M = 42.80, SD = 8.04) compared to the 16 African American dropouts (M = 40.81, SD = 4.25).  The assumption of normality and homogeneity of variance were tested before the analysis.  The normality assumption was met with a skewness coefficient of -.263 overall, and -.391 for African American students.  The assumption of homogeneity of variance was violated based on the </w:t>
      </w:r>
      <w:proofErr w:type="spellStart"/>
      <w:r w:rsidRPr="00F05C28">
        <w:t>Levene’s</w:t>
      </w:r>
      <w:proofErr w:type="spellEnd"/>
      <w:r w:rsidRPr="00F05C28">
        <w:t xml:space="preserve"> Test of Equality of Variances, p = .032, and equal variance was not assumed.  The t-test results revealed a statistically insignificant different between the social integration of African Americans students, </w:t>
      </w:r>
      <w:proofErr w:type="gramStart"/>
      <w:r w:rsidRPr="00F05C28">
        <w:t>t(</w:t>
      </w:r>
      <w:proofErr w:type="gramEnd"/>
      <w:r w:rsidRPr="00F05C28">
        <w:t xml:space="preserve">47.821) = 1.318, p = .194. These results indicated there was no significant difference in the scaled measurements of social integration of African American graduates and African American dropouts. </w:t>
      </w:r>
    </w:p>
    <w:p w14:paraId="120306EB" w14:textId="77777777" w:rsidR="00F05C28" w:rsidRPr="00F05C28" w:rsidRDefault="00F05C28" w:rsidP="00F05C28">
      <w:pPr>
        <w:spacing w:line="480" w:lineRule="auto"/>
        <w:ind w:firstLine="720"/>
      </w:pPr>
      <w:r w:rsidRPr="00F05C28">
        <w:lastRenderedPageBreak/>
        <w:t xml:space="preserve">The next two sampled t-test measured the difference in the average social integration composite scores of the 32 Latinx graduates (M = 41.25, SD = 6.17) compared to the eight Latinx dropouts (M = 35.88, SD = 7.08).  The assumption of normality was met with the skewness coefficient of -.021 overall, and .065 for Latinx students.  The assumption of homogeneity of variance was met based on the </w:t>
      </w:r>
      <w:proofErr w:type="spellStart"/>
      <w:r w:rsidRPr="00F05C28">
        <w:t>Levene’s</w:t>
      </w:r>
      <w:proofErr w:type="spellEnd"/>
      <w:r w:rsidRPr="00F05C28">
        <w:t xml:space="preserve"> Test of Equality of Variances, p = .757.  The t-test comparing the social integration of Latinx students was statistically significant, </w:t>
      </w:r>
      <w:proofErr w:type="gramStart"/>
      <w:r w:rsidRPr="00F05C28">
        <w:t>t(</w:t>
      </w:r>
      <w:proofErr w:type="gramEnd"/>
      <w:r w:rsidRPr="00F05C28">
        <w:t>38) = 2.093, p = .043.  The reported effect size (</w:t>
      </w:r>
      <w:r w:rsidRPr="00F05C28">
        <w:rPr>
          <w:iCs/>
        </w:rPr>
        <w:t>Cohen’s d</w:t>
      </w:r>
      <w:r w:rsidRPr="00F05C28">
        <w:t xml:space="preserve">) determined the variable’s strength of interaction with social integration was large.  Overall, these results indicated there was a large significant difference in the scaled measurements of social integration of Latinx graduates and Latinx dropouts. </w:t>
      </w:r>
    </w:p>
    <w:p w14:paraId="192D3326" w14:textId="77777777" w:rsidR="00F05C28" w:rsidRPr="00F05C28" w:rsidRDefault="00F05C28" w:rsidP="00F05C28">
      <w:pPr>
        <w:spacing w:line="480" w:lineRule="auto"/>
      </w:pPr>
      <w:r w:rsidRPr="00F05C28">
        <w:rPr>
          <w:i/>
          <w:iCs/>
        </w:rPr>
        <w:t>Research Question 3: Does social integration predict graduation among African and Latinx students?</w:t>
      </w:r>
      <w:r w:rsidRPr="00F05C28">
        <w:t xml:space="preserve"> </w:t>
      </w:r>
    </w:p>
    <w:p w14:paraId="7610011C" w14:textId="77777777" w:rsidR="00F05C28" w:rsidRPr="00F05C28" w:rsidRDefault="00F05C28" w:rsidP="00F05C28">
      <w:pPr>
        <w:spacing w:line="480" w:lineRule="auto"/>
        <w:ind w:firstLine="720"/>
        <w:rPr>
          <w:b/>
          <w:bCs/>
          <w:iCs/>
        </w:rPr>
      </w:pPr>
      <w:r w:rsidRPr="00F05C28">
        <w:t>A logistic regression was used to identify the predictability of retention to graduation</w:t>
      </w:r>
    </w:p>
    <w:p w14:paraId="5F0773E0" w14:textId="77777777" w:rsidR="00F05C28" w:rsidRPr="00F05C28" w:rsidRDefault="00F05C28" w:rsidP="00F05C28">
      <w:pPr>
        <w:spacing w:line="480" w:lineRule="auto"/>
      </w:pPr>
      <w:r w:rsidRPr="00F05C28">
        <w:t>based on social integration and student demographic information. This analysis also incorporated additional demographic background information, including class level, nationality, enrollment status, transfer status, residential status, and parent’s highest level of education, to see if those factors might also be predictors of student graduation. The assumptions of Goodness-of-fit and multicollinearity were tested prior to analysis. Goodness-of-fit for this model was tested using the Hosmer-</w:t>
      </w:r>
      <w:proofErr w:type="spellStart"/>
      <w:r w:rsidRPr="00F05C28">
        <w:t>Lemeshow</w:t>
      </w:r>
      <w:proofErr w:type="spellEnd"/>
      <w:r w:rsidRPr="00F05C28">
        <w:t xml:space="preserve"> test. The test resulted in a p-value of .241, indicating that the model adequately fit the data. Variance Inflation Factors (VIFs) were calculated to test the assumption of multicollinearity. The Variance Inflation Factors (VIFs) are given in Table 4.4 showing all VIF values were between 1 and 5, which indicated the assumption of multicollinearity was met. </w:t>
      </w:r>
    </w:p>
    <w:p w14:paraId="3BF53703" w14:textId="77777777" w:rsidR="00F05C28" w:rsidRPr="00F05C28" w:rsidRDefault="00F05C28" w:rsidP="00F05C28">
      <w:pPr>
        <w:spacing w:line="480" w:lineRule="auto"/>
      </w:pPr>
    </w:p>
    <w:tbl>
      <w:tblPr>
        <w:tblW w:w="5375" w:type="dxa"/>
        <w:tblLook w:val="04A0" w:firstRow="1" w:lastRow="0" w:firstColumn="1" w:lastColumn="0" w:noHBand="0" w:noVBand="1"/>
      </w:tblPr>
      <w:tblGrid>
        <w:gridCol w:w="4619"/>
        <w:gridCol w:w="756"/>
      </w:tblGrid>
      <w:tr w:rsidR="00F05C28" w:rsidRPr="00F05C28" w14:paraId="0B0F0E10" w14:textId="77777777" w:rsidTr="00574B5E">
        <w:trPr>
          <w:trHeight w:val="288"/>
        </w:trPr>
        <w:tc>
          <w:tcPr>
            <w:tcW w:w="5375" w:type="dxa"/>
            <w:gridSpan w:val="2"/>
            <w:tcBorders>
              <w:top w:val="nil"/>
              <w:left w:val="nil"/>
              <w:bottom w:val="nil"/>
              <w:right w:val="nil"/>
            </w:tcBorders>
            <w:shd w:val="clear" w:color="auto" w:fill="auto"/>
            <w:noWrap/>
            <w:vAlign w:val="bottom"/>
            <w:hideMark/>
          </w:tcPr>
          <w:p w14:paraId="494C3160" w14:textId="77777777" w:rsidR="00F05C28" w:rsidRPr="00F05C28" w:rsidRDefault="00F05C28" w:rsidP="00574B5E">
            <w:pPr>
              <w:rPr>
                <w:color w:val="000000"/>
              </w:rPr>
            </w:pPr>
            <w:r w:rsidRPr="00F05C28">
              <w:rPr>
                <w:color w:val="000000"/>
              </w:rPr>
              <w:lastRenderedPageBreak/>
              <w:t>Table 4.4</w:t>
            </w:r>
          </w:p>
        </w:tc>
      </w:tr>
      <w:tr w:rsidR="00F05C28" w:rsidRPr="00F05C28" w14:paraId="6D4C4637" w14:textId="77777777" w:rsidTr="00574B5E">
        <w:trPr>
          <w:trHeight w:val="288"/>
        </w:trPr>
        <w:tc>
          <w:tcPr>
            <w:tcW w:w="5375" w:type="dxa"/>
            <w:gridSpan w:val="2"/>
            <w:tcBorders>
              <w:top w:val="nil"/>
              <w:left w:val="nil"/>
              <w:bottom w:val="single" w:sz="4" w:space="0" w:color="auto"/>
              <w:right w:val="nil"/>
            </w:tcBorders>
            <w:shd w:val="clear" w:color="auto" w:fill="auto"/>
            <w:noWrap/>
            <w:vAlign w:val="bottom"/>
            <w:hideMark/>
          </w:tcPr>
          <w:p w14:paraId="5B9B3BA6" w14:textId="77777777" w:rsidR="00F05C28" w:rsidRPr="00F05C28" w:rsidRDefault="00F05C28" w:rsidP="00574B5E">
            <w:pPr>
              <w:rPr>
                <w:color w:val="000000"/>
              </w:rPr>
            </w:pPr>
            <w:r w:rsidRPr="00F05C28">
              <w:rPr>
                <w:color w:val="000000"/>
              </w:rPr>
              <w:t>Collinearity Testing using Variance Inflation Factors</w:t>
            </w:r>
          </w:p>
        </w:tc>
      </w:tr>
      <w:tr w:rsidR="00F05C28" w:rsidRPr="00F05C28" w14:paraId="1DFD3FBD" w14:textId="77777777" w:rsidTr="00574B5E">
        <w:trPr>
          <w:trHeight w:val="288"/>
        </w:trPr>
        <w:tc>
          <w:tcPr>
            <w:tcW w:w="4619" w:type="dxa"/>
            <w:tcBorders>
              <w:top w:val="nil"/>
              <w:left w:val="nil"/>
              <w:bottom w:val="single" w:sz="4" w:space="0" w:color="auto"/>
              <w:right w:val="nil"/>
            </w:tcBorders>
            <w:shd w:val="clear" w:color="auto" w:fill="auto"/>
            <w:noWrap/>
            <w:vAlign w:val="bottom"/>
            <w:hideMark/>
          </w:tcPr>
          <w:p w14:paraId="222E8FF0" w14:textId="77777777" w:rsidR="00F05C28" w:rsidRPr="00F05C28" w:rsidRDefault="00F05C28" w:rsidP="00574B5E">
            <w:pPr>
              <w:rPr>
                <w:color w:val="000000"/>
              </w:rPr>
            </w:pPr>
            <w:r w:rsidRPr="00F05C28">
              <w:rPr>
                <w:color w:val="000000"/>
              </w:rPr>
              <w:t>Independent Variables</w:t>
            </w:r>
          </w:p>
        </w:tc>
        <w:tc>
          <w:tcPr>
            <w:tcW w:w="756" w:type="dxa"/>
            <w:tcBorders>
              <w:top w:val="nil"/>
              <w:left w:val="nil"/>
              <w:bottom w:val="single" w:sz="4" w:space="0" w:color="auto"/>
              <w:right w:val="nil"/>
            </w:tcBorders>
            <w:shd w:val="clear" w:color="auto" w:fill="auto"/>
            <w:noWrap/>
            <w:vAlign w:val="bottom"/>
            <w:hideMark/>
          </w:tcPr>
          <w:p w14:paraId="6F54A9A6" w14:textId="77777777" w:rsidR="00F05C28" w:rsidRPr="00F05C28" w:rsidRDefault="00F05C28" w:rsidP="00574B5E">
            <w:pPr>
              <w:jc w:val="center"/>
              <w:rPr>
                <w:color w:val="000000"/>
              </w:rPr>
            </w:pPr>
            <w:r w:rsidRPr="00F05C28">
              <w:rPr>
                <w:color w:val="000000"/>
              </w:rPr>
              <w:t>VIFs</w:t>
            </w:r>
          </w:p>
        </w:tc>
      </w:tr>
      <w:tr w:rsidR="00F05C28" w:rsidRPr="00F05C28" w14:paraId="0B2BDB50" w14:textId="77777777" w:rsidTr="00574B5E">
        <w:trPr>
          <w:trHeight w:val="288"/>
        </w:trPr>
        <w:tc>
          <w:tcPr>
            <w:tcW w:w="4619" w:type="dxa"/>
            <w:tcBorders>
              <w:top w:val="nil"/>
              <w:left w:val="nil"/>
              <w:bottom w:val="nil"/>
              <w:right w:val="nil"/>
            </w:tcBorders>
            <w:shd w:val="clear" w:color="auto" w:fill="auto"/>
            <w:noWrap/>
            <w:hideMark/>
          </w:tcPr>
          <w:p w14:paraId="17830802" w14:textId="77777777" w:rsidR="00F05C28" w:rsidRPr="00F05C28" w:rsidRDefault="00F05C28" w:rsidP="00574B5E">
            <w:pPr>
              <w:jc w:val="center"/>
              <w:rPr>
                <w:b/>
                <w:bCs/>
                <w:color w:val="000000"/>
              </w:rPr>
            </w:pPr>
            <w:r w:rsidRPr="00F05C28">
              <w:rPr>
                <w:b/>
                <w:bCs/>
                <w:color w:val="000000"/>
              </w:rPr>
              <w:t>Gender</w:t>
            </w:r>
          </w:p>
        </w:tc>
        <w:tc>
          <w:tcPr>
            <w:tcW w:w="756" w:type="dxa"/>
            <w:tcBorders>
              <w:top w:val="nil"/>
              <w:left w:val="nil"/>
              <w:bottom w:val="nil"/>
              <w:right w:val="nil"/>
            </w:tcBorders>
            <w:shd w:val="clear" w:color="auto" w:fill="auto"/>
            <w:noWrap/>
            <w:vAlign w:val="bottom"/>
            <w:hideMark/>
          </w:tcPr>
          <w:p w14:paraId="18D7001B" w14:textId="77777777" w:rsidR="00F05C28" w:rsidRPr="00F05C28" w:rsidRDefault="00F05C28" w:rsidP="00574B5E">
            <w:pPr>
              <w:jc w:val="center"/>
              <w:rPr>
                <w:b/>
                <w:bCs/>
                <w:color w:val="000000"/>
              </w:rPr>
            </w:pPr>
          </w:p>
        </w:tc>
      </w:tr>
      <w:tr w:rsidR="00F05C28" w:rsidRPr="00F05C28" w14:paraId="22212BDD" w14:textId="77777777" w:rsidTr="00574B5E">
        <w:trPr>
          <w:trHeight w:val="288"/>
        </w:trPr>
        <w:tc>
          <w:tcPr>
            <w:tcW w:w="4619" w:type="dxa"/>
            <w:tcBorders>
              <w:top w:val="nil"/>
              <w:left w:val="nil"/>
              <w:bottom w:val="nil"/>
              <w:right w:val="nil"/>
            </w:tcBorders>
            <w:shd w:val="clear" w:color="auto" w:fill="auto"/>
            <w:noWrap/>
            <w:vAlign w:val="bottom"/>
            <w:hideMark/>
          </w:tcPr>
          <w:p w14:paraId="2C8934D3" w14:textId="77777777" w:rsidR="00F05C28" w:rsidRPr="00F05C28" w:rsidRDefault="00F05C28" w:rsidP="00574B5E">
            <w:pPr>
              <w:rPr>
                <w:color w:val="000000"/>
              </w:rPr>
            </w:pPr>
            <w:r w:rsidRPr="00F05C28">
              <w:rPr>
                <w:color w:val="000000"/>
              </w:rPr>
              <w:t>Female</w:t>
            </w:r>
          </w:p>
        </w:tc>
        <w:tc>
          <w:tcPr>
            <w:tcW w:w="756" w:type="dxa"/>
            <w:tcBorders>
              <w:top w:val="nil"/>
              <w:left w:val="nil"/>
              <w:bottom w:val="nil"/>
              <w:right w:val="nil"/>
            </w:tcBorders>
            <w:shd w:val="clear" w:color="auto" w:fill="auto"/>
            <w:noWrap/>
            <w:vAlign w:val="bottom"/>
            <w:hideMark/>
          </w:tcPr>
          <w:p w14:paraId="26BC554D" w14:textId="77777777" w:rsidR="00F05C28" w:rsidRPr="00F05C28" w:rsidRDefault="00F05C28" w:rsidP="00574B5E">
            <w:pPr>
              <w:jc w:val="right"/>
              <w:rPr>
                <w:color w:val="000000"/>
              </w:rPr>
            </w:pPr>
            <w:r w:rsidRPr="00F05C28">
              <w:rPr>
                <w:color w:val="000000"/>
              </w:rPr>
              <w:t>1.025</w:t>
            </w:r>
          </w:p>
        </w:tc>
      </w:tr>
      <w:tr w:rsidR="00F05C28" w:rsidRPr="00F05C28" w14:paraId="2BC1C025" w14:textId="77777777" w:rsidTr="00574B5E">
        <w:trPr>
          <w:cantSplit/>
          <w:trHeight w:val="288"/>
        </w:trPr>
        <w:tc>
          <w:tcPr>
            <w:tcW w:w="4619" w:type="dxa"/>
            <w:tcBorders>
              <w:top w:val="nil"/>
              <w:left w:val="nil"/>
              <w:bottom w:val="nil"/>
              <w:right w:val="nil"/>
            </w:tcBorders>
            <w:shd w:val="clear" w:color="auto" w:fill="auto"/>
            <w:noWrap/>
            <w:hideMark/>
          </w:tcPr>
          <w:p w14:paraId="6D9C7C4C" w14:textId="77777777" w:rsidR="00F05C28" w:rsidRPr="00F05C28" w:rsidRDefault="00F05C28" w:rsidP="00574B5E">
            <w:pPr>
              <w:jc w:val="center"/>
              <w:rPr>
                <w:b/>
                <w:bCs/>
                <w:color w:val="000000"/>
              </w:rPr>
            </w:pPr>
            <w:r w:rsidRPr="00F05C28">
              <w:rPr>
                <w:b/>
                <w:bCs/>
                <w:color w:val="000000"/>
              </w:rPr>
              <w:t>Class Level</w:t>
            </w:r>
          </w:p>
        </w:tc>
        <w:tc>
          <w:tcPr>
            <w:tcW w:w="756" w:type="dxa"/>
            <w:tcBorders>
              <w:top w:val="nil"/>
              <w:left w:val="nil"/>
              <w:bottom w:val="nil"/>
              <w:right w:val="nil"/>
            </w:tcBorders>
            <w:shd w:val="clear" w:color="auto" w:fill="auto"/>
            <w:noWrap/>
            <w:vAlign w:val="bottom"/>
            <w:hideMark/>
          </w:tcPr>
          <w:p w14:paraId="27596699" w14:textId="77777777" w:rsidR="00F05C28" w:rsidRPr="00F05C28" w:rsidRDefault="00F05C28" w:rsidP="00574B5E">
            <w:pPr>
              <w:jc w:val="center"/>
              <w:rPr>
                <w:b/>
                <w:bCs/>
                <w:color w:val="000000"/>
              </w:rPr>
            </w:pPr>
          </w:p>
        </w:tc>
      </w:tr>
      <w:tr w:rsidR="00F05C28" w:rsidRPr="00F05C28" w14:paraId="6F0DCD1F" w14:textId="77777777" w:rsidTr="00574B5E">
        <w:trPr>
          <w:cantSplit/>
          <w:trHeight w:val="288"/>
        </w:trPr>
        <w:tc>
          <w:tcPr>
            <w:tcW w:w="4619" w:type="dxa"/>
            <w:tcBorders>
              <w:top w:val="nil"/>
              <w:left w:val="nil"/>
              <w:bottom w:val="nil"/>
              <w:right w:val="nil"/>
            </w:tcBorders>
            <w:shd w:val="clear" w:color="auto" w:fill="auto"/>
            <w:noWrap/>
            <w:vAlign w:val="bottom"/>
            <w:hideMark/>
          </w:tcPr>
          <w:p w14:paraId="42F506A3" w14:textId="77777777" w:rsidR="00F05C28" w:rsidRPr="00F05C28" w:rsidRDefault="00F05C28" w:rsidP="00574B5E">
            <w:pPr>
              <w:rPr>
                <w:color w:val="000000"/>
              </w:rPr>
            </w:pPr>
            <w:r w:rsidRPr="00F05C28">
              <w:rPr>
                <w:color w:val="000000"/>
              </w:rPr>
              <w:t>Freshmen</w:t>
            </w:r>
          </w:p>
        </w:tc>
        <w:tc>
          <w:tcPr>
            <w:tcW w:w="756" w:type="dxa"/>
            <w:tcBorders>
              <w:top w:val="nil"/>
              <w:left w:val="nil"/>
              <w:bottom w:val="nil"/>
              <w:right w:val="nil"/>
            </w:tcBorders>
            <w:shd w:val="clear" w:color="auto" w:fill="auto"/>
            <w:noWrap/>
            <w:vAlign w:val="bottom"/>
            <w:hideMark/>
          </w:tcPr>
          <w:p w14:paraId="4D0C61B9" w14:textId="77777777" w:rsidR="00F05C28" w:rsidRPr="00F05C28" w:rsidRDefault="00F05C28" w:rsidP="00574B5E">
            <w:pPr>
              <w:jc w:val="right"/>
              <w:rPr>
                <w:color w:val="000000"/>
              </w:rPr>
            </w:pPr>
            <w:r w:rsidRPr="00F05C28">
              <w:rPr>
                <w:color w:val="000000"/>
              </w:rPr>
              <w:t>2.153</w:t>
            </w:r>
          </w:p>
        </w:tc>
      </w:tr>
      <w:tr w:rsidR="00F05C28" w:rsidRPr="00F05C28" w14:paraId="554253DF" w14:textId="77777777" w:rsidTr="00574B5E">
        <w:trPr>
          <w:trHeight w:val="288"/>
        </w:trPr>
        <w:tc>
          <w:tcPr>
            <w:tcW w:w="4619" w:type="dxa"/>
            <w:tcBorders>
              <w:top w:val="nil"/>
              <w:left w:val="nil"/>
              <w:bottom w:val="nil"/>
              <w:right w:val="nil"/>
            </w:tcBorders>
            <w:shd w:val="clear" w:color="auto" w:fill="auto"/>
            <w:noWrap/>
            <w:hideMark/>
          </w:tcPr>
          <w:p w14:paraId="7F831312" w14:textId="77777777" w:rsidR="00F05C28" w:rsidRPr="00F05C28" w:rsidRDefault="00F05C28" w:rsidP="00574B5E">
            <w:pPr>
              <w:jc w:val="center"/>
              <w:rPr>
                <w:b/>
                <w:bCs/>
                <w:color w:val="000000"/>
              </w:rPr>
            </w:pPr>
            <w:r w:rsidRPr="00F05C28">
              <w:rPr>
                <w:b/>
                <w:bCs/>
                <w:color w:val="000000"/>
              </w:rPr>
              <w:t>Race/Ethnicity</w:t>
            </w:r>
          </w:p>
        </w:tc>
        <w:tc>
          <w:tcPr>
            <w:tcW w:w="756" w:type="dxa"/>
            <w:tcBorders>
              <w:top w:val="nil"/>
              <w:left w:val="nil"/>
              <w:bottom w:val="nil"/>
              <w:right w:val="nil"/>
            </w:tcBorders>
            <w:shd w:val="clear" w:color="auto" w:fill="auto"/>
            <w:noWrap/>
            <w:vAlign w:val="bottom"/>
            <w:hideMark/>
          </w:tcPr>
          <w:p w14:paraId="627FA0A2" w14:textId="77777777" w:rsidR="00F05C28" w:rsidRPr="00F05C28" w:rsidRDefault="00F05C28" w:rsidP="00574B5E">
            <w:pPr>
              <w:jc w:val="center"/>
              <w:rPr>
                <w:b/>
                <w:bCs/>
                <w:color w:val="000000"/>
              </w:rPr>
            </w:pPr>
          </w:p>
        </w:tc>
      </w:tr>
      <w:tr w:rsidR="00F05C28" w:rsidRPr="00F05C28" w14:paraId="2D35FB0B" w14:textId="77777777" w:rsidTr="00574B5E">
        <w:trPr>
          <w:trHeight w:val="288"/>
        </w:trPr>
        <w:tc>
          <w:tcPr>
            <w:tcW w:w="4619" w:type="dxa"/>
            <w:tcBorders>
              <w:top w:val="nil"/>
              <w:left w:val="nil"/>
              <w:bottom w:val="nil"/>
              <w:right w:val="nil"/>
            </w:tcBorders>
            <w:shd w:val="clear" w:color="auto" w:fill="auto"/>
            <w:noWrap/>
            <w:hideMark/>
          </w:tcPr>
          <w:p w14:paraId="6C9876DD" w14:textId="77777777" w:rsidR="00F05C28" w:rsidRPr="00F05C28" w:rsidRDefault="00F05C28" w:rsidP="00574B5E">
            <w:pPr>
              <w:rPr>
                <w:color w:val="000000"/>
              </w:rPr>
            </w:pPr>
            <w:r w:rsidRPr="00F05C28">
              <w:rPr>
                <w:color w:val="000000"/>
              </w:rPr>
              <w:t>American Indian/Native American</w:t>
            </w:r>
          </w:p>
        </w:tc>
        <w:tc>
          <w:tcPr>
            <w:tcW w:w="756" w:type="dxa"/>
            <w:tcBorders>
              <w:top w:val="nil"/>
              <w:left w:val="nil"/>
              <w:bottom w:val="nil"/>
              <w:right w:val="nil"/>
            </w:tcBorders>
            <w:shd w:val="clear" w:color="auto" w:fill="auto"/>
            <w:noWrap/>
            <w:vAlign w:val="bottom"/>
            <w:hideMark/>
          </w:tcPr>
          <w:p w14:paraId="3014E8DC" w14:textId="77777777" w:rsidR="00F05C28" w:rsidRPr="00F05C28" w:rsidRDefault="00F05C28" w:rsidP="00574B5E">
            <w:pPr>
              <w:jc w:val="right"/>
              <w:rPr>
                <w:color w:val="000000"/>
              </w:rPr>
            </w:pPr>
            <w:r w:rsidRPr="00F05C28">
              <w:rPr>
                <w:color w:val="000000"/>
              </w:rPr>
              <w:t>1.006</w:t>
            </w:r>
          </w:p>
        </w:tc>
      </w:tr>
      <w:tr w:rsidR="00F05C28" w:rsidRPr="00F05C28" w14:paraId="13DCA147" w14:textId="77777777" w:rsidTr="00574B5E">
        <w:trPr>
          <w:trHeight w:val="288"/>
        </w:trPr>
        <w:tc>
          <w:tcPr>
            <w:tcW w:w="4619" w:type="dxa"/>
            <w:tcBorders>
              <w:top w:val="nil"/>
              <w:left w:val="nil"/>
              <w:bottom w:val="nil"/>
              <w:right w:val="nil"/>
            </w:tcBorders>
            <w:shd w:val="clear" w:color="auto" w:fill="auto"/>
            <w:noWrap/>
            <w:hideMark/>
          </w:tcPr>
          <w:p w14:paraId="0AEC948A" w14:textId="77777777" w:rsidR="00F05C28" w:rsidRPr="00F05C28" w:rsidRDefault="00F05C28" w:rsidP="00574B5E">
            <w:pPr>
              <w:rPr>
                <w:color w:val="000000"/>
              </w:rPr>
            </w:pPr>
            <w:r w:rsidRPr="00F05C28">
              <w:rPr>
                <w:color w:val="000000"/>
              </w:rPr>
              <w:t>Asian/Pacific Islander</w:t>
            </w:r>
          </w:p>
        </w:tc>
        <w:tc>
          <w:tcPr>
            <w:tcW w:w="756" w:type="dxa"/>
            <w:tcBorders>
              <w:top w:val="nil"/>
              <w:left w:val="nil"/>
              <w:bottom w:val="nil"/>
              <w:right w:val="nil"/>
            </w:tcBorders>
            <w:shd w:val="clear" w:color="auto" w:fill="auto"/>
            <w:noWrap/>
            <w:vAlign w:val="bottom"/>
            <w:hideMark/>
          </w:tcPr>
          <w:p w14:paraId="310B26CF" w14:textId="77777777" w:rsidR="00F05C28" w:rsidRPr="00F05C28" w:rsidRDefault="00F05C28" w:rsidP="00574B5E">
            <w:pPr>
              <w:jc w:val="right"/>
              <w:rPr>
                <w:color w:val="000000"/>
              </w:rPr>
            </w:pPr>
            <w:r w:rsidRPr="00F05C28">
              <w:rPr>
                <w:color w:val="000000"/>
              </w:rPr>
              <w:t>1.21</w:t>
            </w:r>
          </w:p>
        </w:tc>
      </w:tr>
      <w:tr w:rsidR="00F05C28" w:rsidRPr="00F05C28" w14:paraId="321D3CF6" w14:textId="77777777" w:rsidTr="00574B5E">
        <w:trPr>
          <w:trHeight w:val="288"/>
        </w:trPr>
        <w:tc>
          <w:tcPr>
            <w:tcW w:w="4619" w:type="dxa"/>
            <w:tcBorders>
              <w:top w:val="nil"/>
              <w:left w:val="nil"/>
              <w:bottom w:val="nil"/>
              <w:right w:val="nil"/>
            </w:tcBorders>
            <w:shd w:val="clear" w:color="auto" w:fill="auto"/>
            <w:noWrap/>
            <w:hideMark/>
          </w:tcPr>
          <w:p w14:paraId="1223DE9D" w14:textId="77777777" w:rsidR="00F05C28" w:rsidRPr="00F05C28" w:rsidRDefault="00F05C28" w:rsidP="00574B5E">
            <w:pPr>
              <w:rPr>
                <w:color w:val="000000"/>
              </w:rPr>
            </w:pPr>
            <w:r w:rsidRPr="00F05C28">
              <w:rPr>
                <w:color w:val="000000"/>
              </w:rPr>
              <w:t>Black/African American</w:t>
            </w:r>
          </w:p>
        </w:tc>
        <w:tc>
          <w:tcPr>
            <w:tcW w:w="756" w:type="dxa"/>
            <w:tcBorders>
              <w:top w:val="nil"/>
              <w:left w:val="nil"/>
              <w:bottom w:val="nil"/>
              <w:right w:val="nil"/>
            </w:tcBorders>
            <w:shd w:val="clear" w:color="auto" w:fill="auto"/>
            <w:noWrap/>
            <w:vAlign w:val="bottom"/>
            <w:hideMark/>
          </w:tcPr>
          <w:p w14:paraId="051FDAE5" w14:textId="77777777" w:rsidR="00F05C28" w:rsidRPr="00F05C28" w:rsidRDefault="00F05C28" w:rsidP="00574B5E">
            <w:pPr>
              <w:jc w:val="right"/>
              <w:rPr>
                <w:color w:val="000000"/>
              </w:rPr>
            </w:pPr>
            <w:r w:rsidRPr="00F05C28">
              <w:rPr>
                <w:color w:val="000000"/>
              </w:rPr>
              <w:t>1.044</w:t>
            </w:r>
          </w:p>
        </w:tc>
      </w:tr>
      <w:tr w:rsidR="00F05C28" w:rsidRPr="00F05C28" w14:paraId="4B7035F9" w14:textId="77777777" w:rsidTr="00574B5E">
        <w:trPr>
          <w:trHeight w:val="288"/>
        </w:trPr>
        <w:tc>
          <w:tcPr>
            <w:tcW w:w="4619" w:type="dxa"/>
            <w:tcBorders>
              <w:top w:val="nil"/>
              <w:left w:val="nil"/>
              <w:bottom w:val="nil"/>
              <w:right w:val="nil"/>
            </w:tcBorders>
            <w:shd w:val="clear" w:color="auto" w:fill="auto"/>
            <w:noWrap/>
            <w:hideMark/>
          </w:tcPr>
          <w:p w14:paraId="26B884EE" w14:textId="77777777" w:rsidR="00F05C28" w:rsidRPr="00F05C28" w:rsidRDefault="00F05C28" w:rsidP="00574B5E">
            <w:pPr>
              <w:rPr>
                <w:color w:val="000000"/>
              </w:rPr>
            </w:pPr>
            <w:r w:rsidRPr="00F05C28">
              <w:rPr>
                <w:color w:val="000000"/>
              </w:rPr>
              <w:t>Latinx</w:t>
            </w:r>
          </w:p>
        </w:tc>
        <w:tc>
          <w:tcPr>
            <w:tcW w:w="756" w:type="dxa"/>
            <w:tcBorders>
              <w:top w:val="nil"/>
              <w:left w:val="nil"/>
              <w:bottom w:val="nil"/>
              <w:right w:val="nil"/>
            </w:tcBorders>
            <w:shd w:val="clear" w:color="auto" w:fill="auto"/>
            <w:noWrap/>
            <w:vAlign w:val="bottom"/>
            <w:hideMark/>
          </w:tcPr>
          <w:p w14:paraId="0FD076F4" w14:textId="77777777" w:rsidR="00F05C28" w:rsidRPr="00F05C28" w:rsidRDefault="00F05C28" w:rsidP="00574B5E">
            <w:pPr>
              <w:jc w:val="right"/>
              <w:rPr>
                <w:color w:val="000000"/>
              </w:rPr>
            </w:pPr>
            <w:r w:rsidRPr="00F05C28">
              <w:rPr>
                <w:color w:val="000000"/>
              </w:rPr>
              <w:t>1.034</w:t>
            </w:r>
          </w:p>
        </w:tc>
      </w:tr>
      <w:tr w:rsidR="00F05C28" w:rsidRPr="00F05C28" w14:paraId="5ABE5BEB" w14:textId="77777777" w:rsidTr="00574B5E">
        <w:trPr>
          <w:trHeight w:val="288"/>
        </w:trPr>
        <w:tc>
          <w:tcPr>
            <w:tcW w:w="4619" w:type="dxa"/>
            <w:tcBorders>
              <w:top w:val="nil"/>
              <w:left w:val="nil"/>
              <w:bottom w:val="nil"/>
              <w:right w:val="nil"/>
            </w:tcBorders>
            <w:shd w:val="clear" w:color="auto" w:fill="auto"/>
            <w:noWrap/>
            <w:hideMark/>
          </w:tcPr>
          <w:p w14:paraId="2AD3684D" w14:textId="77777777" w:rsidR="00F05C28" w:rsidRPr="00F05C28" w:rsidRDefault="00F05C28" w:rsidP="00574B5E">
            <w:pPr>
              <w:rPr>
                <w:color w:val="000000"/>
              </w:rPr>
            </w:pPr>
            <w:r w:rsidRPr="00F05C28">
              <w:rPr>
                <w:color w:val="000000"/>
              </w:rPr>
              <w:t>Multiracial</w:t>
            </w:r>
          </w:p>
        </w:tc>
        <w:tc>
          <w:tcPr>
            <w:tcW w:w="756" w:type="dxa"/>
            <w:tcBorders>
              <w:top w:val="nil"/>
              <w:left w:val="nil"/>
              <w:bottom w:val="nil"/>
              <w:right w:val="nil"/>
            </w:tcBorders>
            <w:shd w:val="clear" w:color="auto" w:fill="auto"/>
            <w:noWrap/>
            <w:vAlign w:val="bottom"/>
            <w:hideMark/>
          </w:tcPr>
          <w:p w14:paraId="0B551975" w14:textId="77777777" w:rsidR="00F05C28" w:rsidRPr="00F05C28" w:rsidRDefault="00F05C28" w:rsidP="00574B5E">
            <w:pPr>
              <w:jc w:val="right"/>
              <w:rPr>
                <w:color w:val="000000"/>
              </w:rPr>
            </w:pPr>
            <w:r w:rsidRPr="00F05C28">
              <w:rPr>
                <w:color w:val="000000"/>
              </w:rPr>
              <w:t>1.019</w:t>
            </w:r>
          </w:p>
        </w:tc>
      </w:tr>
      <w:tr w:rsidR="00F05C28" w:rsidRPr="00F05C28" w14:paraId="2F8FA61C" w14:textId="77777777" w:rsidTr="00574B5E">
        <w:trPr>
          <w:trHeight w:val="288"/>
        </w:trPr>
        <w:tc>
          <w:tcPr>
            <w:tcW w:w="4619" w:type="dxa"/>
            <w:tcBorders>
              <w:top w:val="nil"/>
              <w:left w:val="nil"/>
              <w:bottom w:val="nil"/>
              <w:right w:val="nil"/>
            </w:tcBorders>
            <w:shd w:val="clear" w:color="auto" w:fill="auto"/>
            <w:noWrap/>
            <w:hideMark/>
          </w:tcPr>
          <w:p w14:paraId="53D92BF9" w14:textId="77777777" w:rsidR="00F05C28" w:rsidRPr="00F05C28" w:rsidRDefault="00F05C28" w:rsidP="00574B5E">
            <w:pPr>
              <w:rPr>
                <w:color w:val="000000"/>
              </w:rPr>
            </w:pPr>
            <w:r w:rsidRPr="00F05C28">
              <w:rPr>
                <w:color w:val="000000"/>
              </w:rPr>
              <w:t>Decline to state</w:t>
            </w:r>
          </w:p>
        </w:tc>
        <w:tc>
          <w:tcPr>
            <w:tcW w:w="756" w:type="dxa"/>
            <w:tcBorders>
              <w:top w:val="nil"/>
              <w:left w:val="nil"/>
              <w:bottom w:val="nil"/>
              <w:right w:val="nil"/>
            </w:tcBorders>
            <w:shd w:val="clear" w:color="auto" w:fill="auto"/>
            <w:noWrap/>
            <w:vAlign w:val="bottom"/>
            <w:hideMark/>
          </w:tcPr>
          <w:p w14:paraId="4D78D4FC" w14:textId="77777777" w:rsidR="00F05C28" w:rsidRPr="00F05C28" w:rsidRDefault="00F05C28" w:rsidP="00574B5E">
            <w:pPr>
              <w:jc w:val="right"/>
              <w:rPr>
                <w:color w:val="000000"/>
              </w:rPr>
            </w:pPr>
            <w:r w:rsidRPr="00F05C28">
              <w:rPr>
                <w:color w:val="000000"/>
              </w:rPr>
              <w:t>1.067</w:t>
            </w:r>
          </w:p>
        </w:tc>
      </w:tr>
      <w:tr w:rsidR="00F05C28" w:rsidRPr="00F05C28" w14:paraId="7271774E" w14:textId="77777777" w:rsidTr="00574B5E">
        <w:trPr>
          <w:trHeight w:val="288"/>
        </w:trPr>
        <w:tc>
          <w:tcPr>
            <w:tcW w:w="4619" w:type="dxa"/>
            <w:tcBorders>
              <w:top w:val="nil"/>
              <w:left w:val="nil"/>
              <w:bottom w:val="nil"/>
              <w:right w:val="nil"/>
            </w:tcBorders>
            <w:shd w:val="clear" w:color="auto" w:fill="auto"/>
            <w:noWrap/>
            <w:hideMark/>
          </w:tcPr>
          <w:p w14:paraId="34E43C7D" w14:textId="77777777" w:rsidR="00F05C28" w:rsidRPr="00F05C28" w:rsidRDefault="00F05C28" w:rsidP="00574B5E">
            <w:pPr>
              <w:jc w:val="center"/>
              <w:rPr>
                <w:b/>
                <w:bCs/>
                <w:color w:val="000000"/>
              </w:rPr>
            </w:pPr>
            <w:r w:rsidRPr="00F05C28">
              <w:rPr>
                <w:b/>
                <w:bCs/>
                <w:color w:val="000000"/>
              </w:rPr>
              <w:t>Nationality</w:t>
            </w:r>
          </w:p>
        </w:tc>
        <w:tc>
          <w:tcPr>
            <w:tcW w:w="756" w:type="dxa"/>
            <w:tcBorders>
              <w:top w:val="nil"/>
              <w:left w:val="nil"/>
              <w:bottom w:val="nil"/>
              <w:right w:val="nil"/>
            </w:tcBorders>
            <w:shd w:val="clear" w:color="auto" w:fill="auto"/>
            <w:noWrap/>
            <w:vAlign w:val="bottom"/>
            <w:hideMark/>
          </w:tcPr>
          <w:p w14:paraId="32F169B8" w14:textId="77777777" w:rsidR="00F05C28" w:rsidRPr="00F05C28" w:rsidRDefault="00F05C28" w:rsidP="00574B5E">
            <w:pPr>
              <w:jc w:val="center"/>
              <w:rPr>
                <w:b/>
                <w:bCs/>
                <w:color w:val="000000"/>
              </w:rPr>
            </w:pPr>
          </w:p>
        </w:tc>
      </w:tr>
      <w:tr w:rsidR="00F05C28" w:rsidRPr="00F05C28" w14:paraId="0A8A4464" w14:textId="77777777" w:rsidTr="00574B5E">
        <w:trPr>
          <w:cantSplit/>
          <w:trHeight w:val="288"/>
        </w:trPr>
        <w:tc>
          <w:tcPr>
            <w:tcW w:w="4619" w:type="dxa"/>
            <w:tcBorders>
              <w:top w:val="nil"/>
              <w:left w:val="nil"/>
              <w:bottom w:val="nil"/>
              <w:right w:val="nil"/>
            </w:tcBorders>
            <w:shd w:val="clear" w:color="auto" w:fill="auto"/>
            <w:noWrap/>
            <w:vAlign w:val="bottom"/>
            <w:hideMark/>
          </w:tcPr>
          <w:p w14:paraId="05FAE5C6" w14:textId="77777777" w:rsidR="00F05C28" w:rsidRPr="00F05C28" w:rsidRDefault="00F05C28" w:rsidP="00574B5E">
            <w:pPr>
              <w:rPr>
                <w:color w:val="000000"/>
              </w:rPr>
            </w:pPr>
            <w:r w:rsidRPr="00F05C28">
              <w:rPr>
                <w:color w:val="000000"/>
              </w:rPr>
              <w:t>International</w:t>
            </w:r>
          </w:p>
        </w:tc>
        <w:tc>
          <w:tcPr>
            <w:tcW w:w="756" w:type="dxa"/>
            <w:tcBorders>
              <w:top w:val="nil"/>
              <w:left w:val="nil"/>
              <w:bottom w:val="nil"/>
              <w:right w:val="nil"/>
            </w:tcBorders>
            <w:shd w:val="clear" w:color="auto" w:fill="auto"/>
            <w:noWrap/>
            <w:vAlign w:val="bottom"/>
            <w:hideMark/>
          </w:tcPr>
          <w:p w14:paraId="054D88EB" w14:textId="77777777" w:rsidR="00F05C28" w:rsidRPr="00F05C28" w:rsidRDefault="00F05C28" w:rsidP="00574B5E">
            <w:pPr>
              <w:jc w:val="right"/>
              <w:rPr>
                <w:color w:val="000000"/>
              </w:rPr>
            </w:pPr>
            <w:r w:rsidRPr="00F05C28">
              <w:rPr>
                <w:color w:val="000000"/>
              </w:rPr>
              <w:t>1.266</w:t>
            </w:r>
          </w:p>
        </w:tc>
      </w:tr>
      <w:tr w:rsidR="00F05C28" w:rsidRPr="00F05C28" w14:paraId="13ECEAB5" w14:textId="77777777" w:rsidTr="00574B5E">
        <w:trPr>
          <w:trHeight w:val="288"/>
        </w:trPr>
        <w:tc>
          <w:tcPr>
            <w:tcW w:w="4619" w:type="dxa"/>
            <w:tcBorders>
              <w:top w:val="nil"/>
              <w:left w:val="nil"/>
              <w:bottom w:val="nil"/>
              <w:right w:val="nil"/>
            </w:tcBorders>
            <w:shd w:val="clear" w:color="auto" w:fill="auto"/>
            <w:noWrap/>
            <w:hideMark/>
          </w:tcPr>
          <w:p w14:paraId="756E5976" w14:textId="77777777" w:rsidR="00F05C28" w:rsidRPr="00F05C28" w:rsidRDefault="00F05C28" w:rsidP="00574B5E">
            <w:pPr>
              <w:jc w:val="center"/>
              <w:rPr>
                <w:b/>
                <w:bCs/>
                <w:color w:val="000000"/>
              </w:rPr>
            </w:pPr>
            <w:r w:rsidRPr="00F05C28">
              <w:rPr>
                <w:b/>
                <w:bCs/>
                <w:color w:val="000000"/>
              </w:rPr>
              <w:t>Transfer Status</w:t>
            </w:r>
          </w:p>
        </w:tc>
        <w:tc>
          <w:tcPr>
            <w:tcW w:w="756" w:type="dxa"/>
            <w:tcBorders>
              <w:top w:val="nil"/>
              <w:left w:val="nil"/>
              <w:bottom w:val="nil"/>
              <w:right w:val="nil"/>
            </w:tcBorders>
            <w:shd w:val="clear" w:color="auto" w:fill="auto"/>
            <w:noWrap/>
            <w:vAlign w:val="bottom"/>
            <w:hideMark/>
          </w:tcPr>
          <w:p w14:paraId="256AF95B" w14:textId="77777777" w:rsidR="00F05C28" w:rsidRPr="00F05C28" w:rsidRDefault="00F05C28" w:rsidP="00574B5E">
            <w:pPr>
              <w:jc w:val="center"/>
              <w:rPr>
                <w:b/>
                <w:bCs/>
                <w:color w:val="000000"/>
              </w:rPr>
            </w:pPr>
          </w:p>
        </w:tc>
      </w:tr>
      <w:tr w:rsidR="00F05C28" w:rsidRPr="00F05C28" w14:paraId="42BD91A1" w14:textId="77777777" w:rsidTr="00574B5E">
        <w:trPr>
          <w:cantSplit/>
          <w:trHeight w:val="288"/>
        </w:trPr>
        <w:tc>
          <w:tcPr>
            <w:tcW w:w="4619" w:type="dxa"/>
            <w:tcBorders>
              <w:top w:val="nil"/>
              <w:left w:val="nil"/>
              <w:bottom w:val="nil"/>
              <w:right w:val="nil"/>
            </w:tcBorders>
            <w:shd w:val="clear" w:color="auto" w:fill="auto"/>
            <w:noWrap/>
            <w:vAlign w:val="bottom"/>
            <w:hideMark/>
          </w:tcPr>
          <w:p w14:paraId="02F4E2A5" w14:textId="77777777" w:rsidR="00F05C28" w:rsidRPr="00F05C28" w:rsidRDefault="00F05C28" w:rsidP="00574B5E">
            <w:pPr>
              <w:rPr>
                <w:color w:val="000000"/>
              </w:rPr>
            </w:pPr>
            <w:r w:rsidRPr="00F05C28">
              <w:rPr>
                <w:color w:val="000000"/>
              </w:rPr>
              <w:t>Transfer</w:t>
            </w:r>
          </w:p>
        </w:tc>
        <w:tc>
          <w:tcPr>
            <w:tcW w:w="756" w:type="dxa"/>
            <w:tcBorders>
              <w:top w:val="nil"/>
              <w:left w:val="nil"/>
              <w:bottom w:val="nil"/>
              <w:right w:val="nil"/>
            </w:tcBorders>
            <w:shd w:val="clear" w:color="auto" w:fill="auto"/>
            <w:noWrap/>
            <w:vAlign w:val="bottom"/>
            <w:hideMark/>
          </w:tcPr>
          <w:p w14:paraId="07A792F6" w14:textId="77777777" w:rsidR="00F05C28" w:rsidRPr="00F05C28" w:rsidRDefault="00F05C28" w:rsidP="00574B5E">
            <w:pPr>
              <w:jc w:val="right"/>
              <w:rPr>
                <w:color w:val="000000"/>
              </w:rPr>
            </w:pPr>
            <w:r w:rsidRPr="00F05C28">
              <w:rPr>
                <w:color w:val="000000"/>
              </w:rPr>
              <w:t>1.249</w:t>
            </w:r>
          </w:p>
        </w:tc>
      </w:tr>
      <w:tr w:rsidR="00F05C28" w:rsidRPr="00F05C28" w14:paraId="1FDE9434" w14:textId="77777777" w:rsidTr="00574B5E">
        <w:trPr>
          <w:trHeight w:val="288"/>
        </w:trPr>
        <w:tc>
          <w:tcPr>
            <w:tcW w:w="4619" w:type="dxa"/>
            <w:tcBorders>
              <w:top w:val="nil"/>
              <w:left w:val="nil"/>
              <w:bottom w:val="nil"/>
              <w:right w:val="nil"/>
            </w:tcBorders>
            <w:shd w:val="clear" w:color="auto" w:fill="auto"/>
            <w:noWrap/>
            <w:hideMark/>
          </w:tcPr>
          <w:p w14:paraId="7D88A90A" w14:textId="77777777" w:rsidR="00F05C28" w:rsidRPr="00F05C28" w:rsidRDefault="00F05C28" w:rsidP="00574B5E">
            <w:pPr>
              <w:jc w:val="center"/>
              <w:rPr>
                <w:b/>
                <w:bCs/>
                <w:color w:val="000000"/>
              </w:rPr>
            </w:pPr>
            <w:r w:rsidRPr="00F05C28">
              <w:rPr>
                <w:b/>
                <w:bCs/>
                <w:color w:val="000000"/>
              </w:rPr>
              <w:t>Enrollment Status</w:t>
            </w:r>
          </w:p>
        </w:tc>
        <w:tc>
          <w:tcPr>
            <w:tcW w:w="756" w:type="dxa"/>
            <w:tcBorders>
              <w:top w:val="nil"/>
              <w:left w:val="nil"/>
              <w:bottom w:val="nil"/>
              <w:right w:val="nil"/>
            </w:tcBorders>
            <w:shd w:val="clear" w:color="auto" w:fill="auto"/>
            <w:noWrap/>
            <w:vAlign w:val="bottom"/>
            <w:hideMark/>
          </w:tcPr>
          <w:p w14:paraId="7EC9D433" w14:textId="77777777" w:rsidR="00F05C28" w:rsidRPr="00F05C28" w:rsidRDefault="00F05C28" w:rsidP="00574B5E">
            <w:pPr>
              <w:jc w:val="center"/>
              <w:rPr>
                <w:b/>
                <w:bCs/>
                <w:color w:val="000000"/>
              </w:rPr>
            </w:pPr>
          </w:p>
        </w:tc>
      </w:tr>
      <w:tr w:rsidR="00F05C28" w:rsidRPr="00F05C28" w14:paraId="26123196" w14:textId="77777777" w:rsidTr="00574B5E">
        <w:trPr>
          <w:trHeight w:val="288"/>
        </w:trPr>
        <w:tc>
          <w:tcPr>
            <w:tcW w:w="4619" w:type="dxa"/>
            <w:tcBorders>
              <w:top w:val="nil"/>
              <w:left w:val="nil"/>
              <w:bottom w:val="nil"/>
              <w:right w:val="nil"/>
            </w:tcBorders>
            <w:shd w:val="clear" w:color="auto" w:fill="auto"/>
            <w:noWrap/>
            <w:hideMark/>
          </w:tcPr>
          <w:p w14:paraId="38E8431E" w14:textId="77777777" w:rsidR="00F05C28" w:rsidRPr="00F05C28" w:rsidRDefault="00F05C28" w:rsidP="00574B5E">
            <w:pPr>
              <w:rPr>
                <w:color w:val="000000"/>
              </w:rPr>
            </w:pPr>
            <w:r w:rsidRPr="00F05C28">
              <w:rPr>
                <w:color w:val="000000"/>
              </w:rPr>
              <w:t>Part-time</w:t>
            </w:r>
          </w:p>
        </w:tc>
        <w:tc>
          <w:tcPr>
            <w:tcW w:w="756" w:type="dxa"/>
            <w:tcBorders>
              <w:top w:val="nil"/>
              <w:left w:val="nil"/>
              <w:bottom w:val="nil"/>
              <w:right w:val="nil"/>
            </w:tcBorders>
            <w:shd w:val="clear" w:color="auto" w:fill="auto"/>
            <w:noWrap/>
            <w:vAlign w:val="bottom"/>
            <w:hideMark/>
          </w:tcPr>
          <w:p w14:paraId="4163A087" w14:textId="77777777" w:rsidR="00F05C28" w:rsidRPr="00F05C28" w:rsidRDefault="00F05C28" w:rsidP="00574B5E">
            <w:pPr>
              <w:jc w:val="right"/>
              <w:rPr>
                <w:color w:val="000000"/>
              </w:rPr>
            </w:pPr>
            <w:r w:rsidRPr="00F05C28">
              <w:rPr>
                <w:color w:val="000000"/>
              </w:rPr>
              <w:t>1.124</w:t>
            </w:r>
          </w:p>
        </w:tc>
      </w:tr>
      <w:tr w:rsidR="00F05C28" w:rsidRPr="00F05C28" w14:paraId="6B010B17" w14:textId="77777777" w:rsidTr="00574B5E">
        <w:trPr>
          <w:trHeight w:val="288"/>
        </w:trPr>
        <w:tc>
          <w:tcPr>
            <w:tcW w:w="4619" w:type="dxa"/>
            <w:tcBorders>
              <w:top w:val="nil"/>
              <w:left w:val="nil"/>
              <w:bottom w:val="nil"/>
              <w:right w:val="nil"/>
            </w:tcBorders>
            <w:shd w:val="clear" w:color="auto" w:fill="auto"/>
            <w:noWrap/>
            <w:hideMark/>
          </w:tcPr>
          <w:p w14:paraId="23051977" w14:textId="77777777" w:rsidR="00F05C28" w:rsidRPr="00F05C28" w:rsidRDefault="00F05C28" w:rsidP="00574B5E">
            <w:pPr>
              <w:jc w:val="center"/>
              <w:rPr>
                <w:b/>
                <w:bCs/>
                <w:color w:val="000000"/>
              </w:rPr>
            </w:pPr>
            <w:r w:rsidRPr="00F05C28">
              <w:rPr>
                <w:b/>
                <w:bCs/>
                <w:color w:val="000000"/>
              </w:rPr>
              <w:t>Residential Status</w:t>
            </w:r>
          </w:p>
        </w:tc>
        <w:tc>
          <w:tcPr>
            <w:tcW w:w="756" w:type="dxa"/>
            <w:tcBorders>
              <w:top w:val="nil"/>
              <w:left w:val="nil"/>
              <w:bottom w:val="nil"/>
              <w:right w:val="nil"/>
            </w:tcBorders>
            <w:shd w:val="clear" w:color="auto" w:fill="auto"/>
            <w:noWrap/>
            <w:vAlign w:val="bottom"/>
            <w:hideMark/>
          </w:tcPr>
          <w:p w14:paraId="15AEB922" w14:textId="77777777" w:rsidR="00F05C28" w:rsidRPr="00F05C28" w:rsidRDefault="00F05C28" w:rsidP="00574B5E">
            <w:pPr>
              <w:jc w:val="center"/>
              <w:rPr>
                <w:b/>
                <w:bCs/>
                <w:color w:val="000000"/>
              </w:rPr>
            </w:pPr>
          </w:p>
        </w:tc>
      </w:tr>
      <w:tr w:rsidR="00F05C28" w:rsidRPr="00F05C28" w14:paraId="186DAB65" w14:textId="77777777" w:rsidTr="00574B5E">
        <w:trPr>
          <w:trHeight w:val="288"/>
        </w:trPr>
        <w:tc>
          <w:tcPr>
            <w:tcW w:w="4619" w:type="dxa"/>
            <w:tcBorders>
              <w:top w:val="nil"/>
              <w:left w:val="nil"/>
              <w:bottom w:val="nil"/>
              <w:right w:val="nil"/>
            </w:tcBorders>
            <w:shd w:val="clear" w:color="auto" w:fill="auto"/>
            <w:noWrap/>
            <w:hideMark/>
          </w:tcPr>
          <w:p w14:paraId="221364F9" w14:textId="77777777" w:rsidR="00F05C28" w:rsidRPr="00F05C28" w:rsidRDefault="00F05C28" w:rsidP="00574B5E">
            <w:pPr>
              <w:rPr>
                <w:color w:val="000000"/>
              </w:rPr>
            </w:pPr>
            <w:r w:rsidRPr="00F05C28">
              <w:rPr>
                <w:color w:val="000000"/>
              </w:rPr>
              <w:t>Commuter</w:t>
            </w:r>
          </w:p>
        </w:tc>
        <w:tc>
          <w:tcPr>
            <w:tcW w:w="756" w:type="dxa"/>
            <w:tcBorders>
              <w:top w:val="nil"/>
              <w:left w:val="nil"/>
              <w:bottom w:val="nil"/>
              <w:right w:val="nil"/>
            </w:tcBorders>
            <w:shd w:val="clear" w:color="auto" w:fill="auto"/>
            <w:noWrap/>
            <w:vAlign w:val="bottom"/>
            <w:hideMark/>
          </w:tcPr>
          <w:p w14:paraId="5D15626C" w14:textId="77777777" w:rsidR="00F05C28" w:rsidRPr="00F05C28" w:rsidRDefault="00F05C28" w:rsidP="00574B5E">
            <w:pPr>
              <w:jc w:val="right"/>
              <w:rPr>
                <w:color w:val="000000"/>
              </w:rPr>
            </w:pPr>
            <w:r w:rsidRPr="00F05C28">
              <w:rPr>
                <w:color w:val="000000"/>
              </w:rPr>
              <w:t>2.26</w:t>
            </w:r>
          </w:p>
        </w:tc>
      </w:tr>
      <w:tr w:rsidR="00F05C28" w:rsidRPr="00F05C28" w14:paraId="3278097B" w14:textId="77777777" w:rsidTr="00574B5E">
        <w:trPr>
          <w:trHeight w:val="288"/>
        </w:trPr>
        <w:tc>
          <w:tcPr>
            <w:tcW w:w="4619" w:type="dxa"/>
            <w:tcBorders>
              <w:top w:val="nil"/>
              <w:left w:val="nil"/>
              <w:bottom w:val="nil"/>
              <w:right w:val="nil"/>
            </w:tcBorders>
            <w:shd w:val="clear" w:color="auto" w:fill="auto"/>
            <w:noWrap/>
            <w:hideMark/>
          </w:tcPr>
          <w:p w14:paraId="4254F338" w14:textId="77777777" w:rsidR="00F05C28" w:rsidRPr="00F05C28" w:rsidRDefault="00F05C28" w:rsidP="00574B5E">
            <w:pPr>
              <w:rPr>
                <w:color w:val="000000"/>
              </w:rPr>
            </w:pPr>
            <w:r w:rsidRPr="00F05C28">
              <w:rPr>
                <w:color w:val="000000"/>
              </w:rPr>
              <w:t>Fraternity</w:t>
            </w:r>
          </w:p>
        </w:tc>
        <w:tc>
          <w:tcPr>
            <w:tcW w:w="756" w:type="dxa"/>
            <w:tcBorders>
              <w:top w:val="nil"/>
              <w:left w:val="nil"/>
              <w:bottom w:val="nil"/>
              <w:right w:val="nil"/>
            </w:tcBorders>
            <w:shd w:val="clear" w:color="auto" w:fill="auto"/>
            <w:noWrap/>
            <w:vAlign w:val="bottom"/>
            <w:hideMark/>
          </w:tcPr>
          <w:p w14:paraId="500387A8" w14:textId="77777777" w:rsidR="00F05C28" w:rsidRPr="00F05C28" w:rsidRDefault="00F05C28" w:rsidP="00574B5E">
            <w:pPr>
              <w:jc w:val="right"/>
              <w:rPr>
                <w:color w:val="000000"/>
              </w:rPr>
            </w:pPr>
            <w:r w:rsidRPr="00F05C28">
              <w:rPr>
                <w:color w:val="000000"/>
              </w:rPr>
              <w:t>1.07</w:t>
            </w:r>
          </w:p>
        </w:tc>
      </w:tr>
      <w:tr w:rsidR="00F05C28" w:rsidRPr="00F05C28" w14:paraId="5DE5B63F" w14:textId="77777777" w:rsidTr="00574B5E">
        <w:trPr>
          <w:trHeight w:val="288"/>
        </w:trPr>
        <w:tc>
          <w:tcPr>
            <w:tcW w:w="4619" w:type="dxa"/>
            <w:tcBorders>
              <w:top w:val="nil"/>
              <w:left w:val="nil"/>
              <w:bottom w:val="nil"/>
              <w:right w:val="nil"/>
            </w:tcBorders>
            <w:shd w:val="clear" w:color="auto" w:fill="auto"/>
            <w:noWrap/>
            <w:hideMark/>
          </w:tcPr>
          <w:p w14:paraId="4210782B" w14:textId="77777777" w:rsidR="00F05C28" w:rsidRPr="00F05C28" w:rsidRDefault="00F05C28" w:rsidP="00574B5E">
            <w:pPr>
              <w:rPr>
                <w:color w:val="000000"/>
              </w:rPr>
            </w:pPr>
            <w:r w:rsidRPr="00F05C28">
              <w:rPr>
                <w:color w:val="000000"/>
              </w:rPr>
              <w:t>Unknown</w:t>
            </w:r>
          </w:p>
        </w:tc>
        <w:tc>
          <w:tcPr>
            <w:tcW w:w="756" w:type="dxa"/>
            <w:tcBorders>
              <w:top w:val="nil"/>
              <w:left w:val="nil"/>
              <w:bottom w:val="nil"/>
              <w:right w:val="nil"/>
            </w:tcBorders>
            <w:shd w:val="clear" w:color="auto" w:fill="auto"/>
            <w:noWrap/>
            <w:vAlign w:val="bottom"/>
            <w:hideMark/>
          </w:tcPr>
          <w:p w14:paraId="0CDEE436" w14:textId="77777777" w:rsidR="00F05C28" w:rsidRPr="00F05C28" w:rsidRDefault="00F05C28" w:rsidP="00574B5E">
            <w:pPr>
              <w:jc w:val="right"/>
              <w:rPr>
                <w:color w:val="000000"/>
              </w:rPr>
            </w:pPr>
            <w:r w:rsidRPr="00F05C28">
              <w:rPr>
                <w:color w:val="000000"/>
              </w:rPr>
              <w:t>1.279</w:t>
            </w:r>
          </w:p>
        </w:tc>
      </w:tr>
      <w:tr w:rsidR="00F05C28" w:rsidRPr="00F05C28" w14:paraId="4BD8E5B9" w14:textId="77777777" w:rsidTr="00574B5E">
        <w:trPr>
          <w:trHeight w:val="288"/>
        </w:trPr>
        <w:tc>
          <w:tcPr>
            <w:tcW w:w="4619" w:type="dxa"/>
            <w:tcBorders>
              <w:top w:val="nil"/>
              <w:left w:val="nil"/>
              <w:bottom w:val="nil"/>
              <w:right w:val="nil"/>
            </w:tcBorders>
            <w:shd w:val="clear" w:color="auto" w:fill="auto"/>
            <w:noWrap/>
            <w:hideMark/>
          </w:tcPr>
          <w:p w14:paraId="508D656E" w14:textId="77777777" w:rsidR="00F05C28" w:rsidRPr="00F05C28" w:rsidRDefault="00F05C28" w:rsidP="00574B5E">
            <w:pPr>
              <w:jc w:val="center"/>
              <w:rPr>
                <w:b/>
                <w:bCs/>
                <w:color w:val="000000"/>
              </w:rPr>
            </w:pPr>
            <w:r w:rsidRPr="00F05C28">
              <w:rPr>
                <w:b/>
                <w:bCs/>
                <w:color w:val="000000"/>
              </w:rPr>
              <w:t>Parents' Education</w:t>
            </w:r>
          </w:p>
        </w:tc>
        <w:tc>
          <w:tcPr>
            <w:tcW w:w="756" w:type="dxa"/>
            <w:tcBorders>
              <w:top w:val="nil"/>
              <w:left w:val="nil"/>
              <w:bottom w:val="nil"/>
              <w:right w:val="nil"/>
            </w:tcBorders>
            <w:shd w:val="clear" w:color="auto" w:fill="auto"/>
            <w:noWrap/>
            <w:vAlign w:val="bottom"/>
            <w:hideMark/>
          </w:tcPr>
          <w:p w14:paraId="5B78FEEE" w14:textId="77777777" w:rsidR="00F05C28" w:rsidRPr="00F05C28" w:rsidRDefault="00F05C28" w:rsidP="00574B5E">
            <w:pPr>
              <w:jc w:val="center"/>
              <w:rPr>
                <w:b/>
                <w:bCs/>
                <w:color w:val="000000"/>
              </w:rPr>
            </w:pPr>
          </w:p>
        </w:tc>
      </w:tr>
      <w:tr w:rsidR="00F05C28" w:rsidRPr="00F05C28" w14:paraId="40070151" w14:textId="77777777" w:rsidTr="00574B5E">
        <w:trPr>
          <w:trHeight w:val="288"/>
        </w:trPr>
        <w:tc>
          <w:tcPr>
            <w:tcW w:w="4619" w:type="dxa"/>
            <w:tcBorders>
              <w:top w:val="nil"/>
              <w:left w:val="nil"/>
              <w:bottom w:val="nil"/>
              <w:right w:val="nil"/>
            </w:tcBorders>
            <w:shd w:val="clear" w:color="auto" w:fill="auto"/>
            <w:noWrap/>
            <w:hideMark/>
          </w:tcPr>
          <w:p w14:paraId="5AF1CE4F" w14:textId="77777777" w:rsidR="00F05C28" w:rsidRPr="00F05C28" w:rsidRDefault="00F05C28" w:rsidP="00574B5E">
            <w:pPr>
              <w:rPr>
                <w:color w:val="000000"/>
              </w:rPr>
            </w:pPr>
            <w:r w:rsidRPr="00F05C28">
              <w:rPr>
                <w:color w:val="000000"/>
              </w:rPr>
              <w:t>Below high school</w:t>
            </w:r>
          </w:p>
        </w:tc>
        <w:tc>
          <w:tcPr>
            <w:tcW w:w="756" w:type="dxa"/>
            <w:tcBorders>
              <w:top w:val="nil"/>
              <w:left w:val="nil"/>
              <w:bottom w:val="nil"/>
              <w:right w:val="nil"/>
            </w:tcBorders>
            <w:shd w:val="clear" w:color="auto" w:fill="auto"/>
            <w:noWrap/>
            <w:vAlign w:val="bottom"/>
            <w:hideMark/>
          </w:tcPr>
          <w:p w14:paraId="0984A051" w14:textId="77777777" w:rsidR="00F05C28" w:rsidRPr="00F05C28" w:rsidRDefault="00F05C28" w:rsidP="00574B5E">
            <w:pPr>
              <w:jc w:val="right"/>
              <w:rPr>
                <w:color w:val="000000"/>
              </w:rPr>
            </w:pPr>
            <w:r w:rsidRPr="00F05C28">
              <w:rPr>
                <w:color w:val="000000"/>
              </w:rPr>
              <w:t>1.077</w:t>
            </w:r>
          </w:p>
        </w:tc>
      </w:tr>
      <w:tr w:rsidR="00F05C28" w:rsidRPr="00F05C28" w14:paraId="2609124C" w14:textId="77777777" w:rsidTr="00574B5E">
        <w:trPr>
          <w:trHeight w:val="288"/>
        </w:trPr>
        <w:tc>
          <w:tcPr>
            <w:tcW w:w="4619" w:type="dxa"/>
            <w:tcBorders>
              <w:top w:val="nil"/>
              <w:left w:val="nil"/>
              <w:bottom w:val="nil"/>
              <w:right w:val="nil"/>
            </w:tcBorders>
            <w:shd w:val="clear" w:color="auto" w:fill="auto"/>
            <w:noWrap/>
            <w:hideMark/>
          </w:tcPr>
          <w:p w14:paraId="67CA5B9D" w14:textId="77777777" w:rsidR="00F05C28" w:rsidRPr="00F05C28" w:rsidRDefault="00F05C28" w:rsidP="00574B5E">
            <w:pPr>
              <w:rPr>
                <w:color w:val="000000"/>
              </w:rPr>
            </w:pPr>
            <w:r w:rsidRPr="00F05C28">
              <w:rPr>
                <w:color w:val="000000"/>
              </w:rPr>
              <w:t>High school diploma/GED</w:t>
            </w:r>
          </w:p>
        </w:tc>
        <w:tc>
          <w:tcPr>
            <w:tcW w:w="756" w:type="dxa"/>
            <w:tcBorders>
              <w:top w:val="nil"/>
              <w:left w:val="nil"/>
              <w:bottom w:val="nil"/>
              <w:right w:val="nil"/>
            </w:tcBorders>
            <w:shd w:val="clear" w:color="auto" w:fill="auto"/>
            <w:noWrap/>
            <w:vAlign w:val="bottom"/>
            <w:hideMark/>
          </w:tcPr>
          <w:p w14:paraId="5929720C" w14:textId="77777777" w:rsidR="00F05C28" w:rsidRPr="00F05C28" w:rsidRDefault="00F05C28" w:rsidP="00574B5E">
            <w:pPr>
              <w:jc w:val="right"/>
              <w:rPr>
                <w:color w:val="000000"/>
              </w:rPr>
            </w:pPr>
            <w:r w:rsidRPr="00F05C28">
              <w:rPr>
                <w:color w:val="000000"/>
              </w:rPr>
              <w:t>1.245</w:t>
            </w:r>
          </w:p>
        </w:tc>
      </w:tr>
      <w:tr w:rsidR="00F05C28" w:rsidRPr="00F05C28" w14:paraId="43642A46" w14:textId="77777777" w:rsidTr="00574B5E">
        <w:trPr>
          <w:trHeight w:val="288"/>
        </w:trPr>
        <w:tc>
          <w:tcPr>
            <w:tcW w:w="4619" w:type="dxa"/>
            <w:tcBorders>
              <w:top w:val="nil"/>
              <w:left w:val="nil"/>
              <w:bottom w:val="nil"/>
              <w:right w:val="nil"/>
            </w:tcBorders>
            <w:shd w:val="clear" w:color="auto" w:fill="auto"/>
            <w:noWrap/>
            <w:vAlign w:val="bottom"/>
            <w:hideMark/>
          </w:tcPr>
          <w:p w14:paraId="450FC294" w14:textId="77777777" w:rsidR="00F05C28" w:rsidRPr="00F05C28" w:rsidRDefault="00F05C28" w:rsidP="00574B5E">
            <w:pPr>
              <w:rPr>
                <w:color w:val="000000"/>
              </w:rPr>
            </w:pPr>
            <w:r w:rsidRPr="00F05C28">
              <w:rPr>
                <w:color w:val="000000"/>
              </w:rPr>
              <w:t>Some college</w:t>
            </w:r>
          </w:p>
        </w:tc>
        <w:tc>
          <w:tcPr>
            <w:tcW w:w="756" w:type="dxa"/>
            <w:tcBorders>
              <w:top w:val="nil"/>
              <w:left w:val="nil"/>
              <w:bottom w:val="nil"/>
              <w:right w:val="nil"/>
            </w:tcBorders>
            <w:shd w:val="clear" w:color="auto" w:fill="auto"/>
            <w:noWrap/>
            <w:vAlign w:val="bottom"/>
            <w:hideMark/>
          </w:tcPr>
          <w:p w14:paraId="08A880DC" w14:textId="77777777" w:rsidR="00F05C28" w:rsidRPr="00F05C28" w:rsidRDefault="00F05C28" w:rsidP="00574B5E">
            <w:pPr>
              <w:jc w:val="right"/>
              <w:rPr>
                <w:color w:val="000000"/>
              </w:rPr>
            </w:pPr>
            <w:r w:rsidRPr="00F05C28">
              <w:rPr>
                <w:color w:val="000000"/>
              </w:rPr>
              <w:t>1.208</w:t>
            </w:r>
          </w:p>
        </w:tc>
      </w:tr>
      <w:tr w:rsidR="00F05C28" w:rsidRPr="00F05C28" w14:paraId="44A311B3" w14:textId="77777777" w:rsidTr="00574B5E">
        <w:trPr>
          <w:trHeight w:val="288"/>
        </w:trPr>
        <w:tc>
          <w:tcPr>
            <w:tcW w:w="4619" w:type="dxa"/>
            <w:tcBorders>
              <w:top w:val="nil"/>
              <w:left w:val="nil"/>
              <w:bottom w:val="nil"/>
              <w:right w:val="nil"/>
            </w:tcBorders>
            <w:shd w:val="clear" w:color="auto" w:fill="auto"/>
            <w:noWrap/>
            <w:vAlign w:val="bottom"/>
            <w:hideMark/>
          </w:tcPr>
          <w:p w14:paraId="74B69BAA" w14:textId="77777777" w:rsidR="00F05C28" w:rsidRPr="00F05C28" w:rsidRDefault="00F05C28" w:rsidP="00574B5E">
            <w:pPr>
              <w:rPr>
                <w:color w:val="000000"/>
              </w:rPr>
            </w:pPr>
            <w:r w:rsidRPr="00F05C28">
              <w:rPr>
                <w:color w:val="000000"/>
              </w:rPr>
              <w:t>Associates</w:t>
            </w:r>
          </w:p>
        </w:tc>
        <w:tc>
          <w:tcPr>
            <w:tcW w:w="756" w:type="dxa"/>
            <w:tcBorders>
              <w:top w:val="nil"/>
              <w:left w:val="nil"/>
              <w:bottom w:val="nil"/>
              <w:right w:val="nil"/>
            </w:tcBorders>
            <w:shd w:val="clear" w:color="auto" w:fill="auto"/>
            <w:noWrap/>
            <w:vAlign w:val="bottom"/>
            <w:hideMark/>
          </w:tcPr>
          <w:p w14:paraId="1C7EB99A" w14:textId="77777777" w:rsidR="00F05C28" w:rsidRPr="00F05C28" w:rsidRDefault="00F05C28" w:rsidP="00574B5E">
            <w:pPr>
              <w:jc w:val="right"/>
              <w:rPr>
                <w:color w:val="000000"/>
              </w:rPr>
            </w:pPr>
            <w:r w:rsidRPr="00F05C28">
              <w:rPr>
                <w:color w:val="000000"/>
              </w:rPr>
              <w:t>1.141</w:t>
            </w:r>
          </w:p>
        </w:tc>
      </w:tr>
      <w:tr w:rsidR="00F05C28" w:rsidRPr="00F05C28" w14:paraId="483D834C" w14:textId="77777777" w:rsidTr="00574B5E">
        <w:trPr>
          <w:trHeight w:val="288"/>
        </w:trPr>
        <w:tc>
          <w:tcPr>
            <w:tcW w:w="4619" w:type="dxa"/>
            <w:tcBorders>
              <w:top w:val="nil"/>
              <w:left w:val="nil"/>
              <w:right w:val="nil"/>
            </w:tcBorders>
            <w:shd w:val="clear" w:color="auto" w:fill="auto"/>
            <w:noWrap/>
            <w:vAlign w:val="bottom"/>
            <w:hideMark/>
          </w:tcPr>
          <w:p w14:paraId="3EEAE82E" w14:textId="77777777" w:rsidR="00F05C28" w:rsidRPr="00F05C28" w:rsidRDefault="00F05C28" w:rsidP="00574B5E">
            <w:pPr>
              <w:rPr>
                <w:color w:val="000000"/>
              </w:rPr>
            </w:pPr>
            <w:r w:rsidRPr="00F05C28">
              <w:rPr>
                <w:color w:val="000000"/>
              </w:rPr>
              <w:t>Masters</w:t>
            </w:r>
          </w:p>
        </w:tc>
        <w:tc>
          <w:tcPr>
            <w:tcW w:w="756" w:type="dxa"/>
            <w:tcBorders>
              <w:top w:val="nil"/>
              <w:left w:val="nil"/>
              <w:right w:val="nil"/>
            </w:tcBorders>
            <w:shd w:val="clear" w:color="auto" w:fill="auto"/>
            <w:noWrap/>
            <w:vAlign w:val="bottom"/>
            <w:hideMark/>
          </w:tcPr>
          <w:p w14:paraId="54D9F29E" w14:textId="77777777" w:rsidR="00F05C28" w:rsidRPr="00F05C28" w:rsidRDefault="00F05C28" w:rsidP="00574B5E">
            <w:pPr>
              <w:jc w:val="right"/>
              <w:rPr>
                <w:color w:val="000000"/>
              </w:rPr>
            </w:pPr>
            <w:r w:rsidRPr="00F05C28">
              <w:rPr>
                <w:color w:val="000000"/>
              </w:rPr>
              <w:t>1.317</w:t>
            </w:r>
          </w:p>
        </w:tc>
      </w:tr>
      <w:tr w:rsidR="00F05C28" w:rsidRPr="00F05C28" w14:paraId="0BF69AD0" w14:textId="77777777" w:rsidTr="00574B5E">
        <w:trPr>
          <w:trHeight w:val="288"/>
        </w:trPr>
        <w:tc>
          <w:tcPr>
            <w:tcW w:w="4619" w:type="dxa"/>
            <w:tcBorders>
              <w:top w:val="nil"/>
              <w:left w:val="nil"/>
              <w:bottom w:val="single" w:sz="4" w:space="0" w:color="auto"/>
              <w:right w:val="nil"/>
            </w:tcBorders>
            <w:shd w:val="clear" w:color="auto" w:fill="auto"/>
            <w:noWrap/>
            <w:vAlign w:val="bottom"/>
            <w:hideMark/>
          </w:tcPr>
          <w:p w14:paraId="7AE2C3A9" w14:textId="77777777" w:rsidR="00F05C28" w:rsidRPr="00F05C28" w:rsidRDefault="00F05C28" w:rsidP="00574B5E">
            <w:pPr>
              <w:rPr>
                <w:color w:val="000000"/>
              </w:rPr>
            </w:pPr>
            <w:r w:rsidRPr="00F05C28">
              <w:rPr>
                <w:color w:val="000000"/>
              </w:rPr>
              <w:t>Unknown</w:t>
            </w:r>
          </w:p>
        </w:tc>
        <w:tc>
          <w:tcPr>
            <w:tcW w:w="756" w:type="dxa"/>
            <w:tcBorders>
              <w:top w:val="nil"/>
              <w:left w:val="nil"/>
              <w:bottom w:val="single" w:sz="4" w:space="0" w:color="auto"/>
              <w:right w:val="nil"/>
            </w:tcBorders>
            <w:shd w:val="clear" w:color="auto" w:fill="auto"/>
            <w:noWrap/>
            <w:vAlign w:val="bottom"/>
            <w:hideMark/>
          </w:tcPr>
          <w:p w14:paraId="68792E6B" w14:textId="77777777" w:rsidR="00F05C28" w:rsidRPr="00F05C28" w:rsidRDefault="00F05C28" w:rsidP="00574B5E">
            <w:pPr>
              <w:jc w:val="right"/>
              <w:rPr>
                <w:color w:val="000000"/>
              </w:rPr>
            </w:pPr>
            <w:r w:rsidRPr="00F05C28">
              <w:rPr>
                <w:color w:val="000000"/>
              </w:rPr>
              <w:t>1.343</w:t>
            </w:r>
          </w:p>
        </w:tc>
      </w:tr>
    </w:tbl>
    <w:p w14:paraId="0E9DCC2C" w14:textId="77777777" w:rsidR="00F05C28" w:rsidRPr="00F05C28" w:rsidRDefault="00F05C28" w:rsidP="00F05C28">
      <w:pPr>
        <w:spacing w:line="480" w:lineRule="auto"/>
      </w:pPr>
    </w:p>
    <w:p w14:paraId="56AE66B6" w14:textId="77777777" w:rsidR="00F05C28" w:rsidRPr="00F05C28" w:rsidRDefault="00F05C28" w:rsidP="00F05C28">
      <w:pPr>
        <w:spacing w:line="480" w:lineRule="auto"/>
        <w:ind w:firstLine="720"/>
      </w:pPr>
      <w:r w:rsidRPr="00F05C28">
        <w:t xml:space="preserve">Logistic regression calculates an odds ratio that explains the odds of an event occurring compared to that of the reference groups.  An odds ratio less than 1 indicates a decreased likelihood of an event occurring, while an odds ratio greater than 1 indicates an increased likelihood of an event occurring (Healy, 2006; </w:t>
      </w:r>
      <w:proofErr w:type="spellStart"/>
      <w:r w:rsidRPr="00F05C28">
        <w:t>Pampel</w:t>
      </w:r>
      <w:proofErr w:type="spellEnd"/>
      <w:r w:rsidRPr="00F05C28">
        <w:t>, 2000).  A percentage change is often calculated from the odds ratio, (Odds Ratio – 1) * 100, to assist in the interpretation of logistic regression results (</w:t>
      </w:r>
      <w:proofErr w:type="spellStart"/>
      <w:r w:rsidRPr="00F05C28">
        <w:t>Pampel</w:t>
      </w:r>
      <w:proofErr w:type="spellEnd"/>
      <w:r w:rsidRPr="00F05C28">
        <w:t xml:space="preserve">, 2000).  The independent variable reference groups utilized for this </w:t>
      </w:r>
      <w:r w:rsidRPr="00F05C28">
        <w:lastRenderedPageBreak/>
        <w:t xml:space="preserve">question were male (Gender), Senior (Class Level), Caucasian (Race/Ethnicity), domestic (Nationality), first-time (Transfer Status), full-time (Enrollment Status), on-campus (Residential Status), and parents with a bachelor’s degree as their educational attainment level (Parent’s Education). As shown below, the logistic regression yielded significant results in the areas of class level, race/ethnicity, transfer status, enrollment status, and parent’s educational attainment. For each unit increase in social integration composite score, students were 7 percent more likely to graduate.  The odds ratio indicated that Freshmen were 89 percent less likely to graduate than senior students.  Black/African Americans were 56 percent less likely to graduate than their Caucasian peers.  Statistically significant results for the transfer status variable indicated transfer students are 53 percent less likely to graduate than student who started their educational career at the institution as a first-year first-time student.  Statistically significant results for the enrollment status variable indicated that part-time students were 85 percent less likely to graduate than full-time students.  Students with parents whose highest educational attainment level was a high school diploma or GED were 54 percent less likely to graduate and students with parent who completed some college were 58 percent less likely to graduate than students whose parents completed a </w:t>
      </w:r>
      <w:proofErr w:type="gramStart"/>
      <w:r w:rsidRPr="00F05C28">
        <w:t>Bachelor’s</w:t>
      </w:r>
      <w:proofErr w:type="gramEnd"/>
      <w:r w:rsidRPr="00F05C28">
        <w:t xml:space="preserve"> degree. A summary of the findings for research question three are listed in Table 4.5.   </w:t>
      </w:r>
    </w:p>
    <w:p w14:paraId="7BA72CD4" w14:textId="77777777" w:rsidR="00F05C28" w:rsidRPr="00F05C28" w:rsidRDefault="00F05C28" w:rsidP="00F05C28">
      <w:pPr>
        <w:spacing w:line="480" w:lineRule="auto"/>
        <w:ind w:firstLine="720"/>
      </w:pPr>
      <w:r w:rsidRPr="00F05C28">
        <w:t>In summary, based on the logistic regression results, higher social integration composite scores resulted in a higher likelihood of graduation. Although African American students were significantly less likely to graduate,</w:t>
      </w:r>
      <w:r w:rsidRPr="00F05C28">
        <w:rPr>
          <w:noProof/>
        </w:rPr>
        <w:t xml:space="preserve"> the findings suggest that </w:t>
      </w:r>
      <w:r w:rsidRPr="00F05C28">
        <w:t>higher social integration composite scores would likely lead to increased odds of graduation for African American students.  Even though the results for the Latinx students were found to be statically insignificant, we can conclude that higher social integration composite scores for all students would likely lead to</w:t>
      </w:r>
    </w:p>
    <w:tbl>
      <w:tblPr>
        <w:tblW w:w="5000" w:type="pct"/>
        <w:tblLook w:val="04A0" w:firstRow="1" w:lastRow="0" w:firstColumn="1" w:lastColumn="0" w:noHBand="0" w:noVBand="1"/>
      </w:tblPr>
      <w:tblGrid>
        <w:gridCol w:w="4466"/>
        <w:gridCol w:w="929"/>
        <w:gridCol w:w="929"/>
        <w:gridCol w:w="1960"/>
        <w:gridCol w:w="1076"/>
      </w:tblGrid>
      <w:tr w:rsidR="00F05C28" w:rsidRPr="00F05C28" w14:paraId="75B04EF3" w14:textId="77777777" w:rsidTr="00574B5E">
        <w:trPr>
          <w:trHeight w:val="288"/>
        </w:trPr>
        <w:tc>
          <w:tcPr>
            <w:tcW w:w="5000" w:type="pct"/>
            <w:gridSpan w:val="5"/>
            <w:tcBorders>
              <w:top w:val="nil"/>
              <w:left w:val="nil"/>
              <w:bottom w:val="nil"/>
              <w:right w:val="nil"/>
            </w:tcBorders>
            <w:shd w:val="clear" w:color="auto" w:fill="auto"/>
            <w:noWrap/>
            <w:vAlign w:val="bottom"/>
            <w:hideMark/>
          </w:tcPr>
          <w:p w14:paraId="576FC39D" w14:textId="77777777" w:rsidR="00F05C28" w:rsidRPr="00F05C28" w:rsidRDefault="00F05C28" w:rsidP="00574B5E">
            <w:pPr>
              <w:rPr>
                <w:color w:val="000000"/>
              </w:rPr>
            </w:pPr>
            <w:r w:rsidRPr="00F05C28">
              <w:rPr>
                <w:color w:val="000000"/>
              </w:rPr>
              <w:lastRenderedPageBreak/>
              <w:t>Table 4.5</w:t>
            </w:r>
          </w:p>
        </w:tc>
      </w:tr>
      <w:tr w:rsidR="00F05C28" w:rsidRPr="00F05C28" w14:paraId="1348323A" w14:textId="77777777" w:rsidTr="00574B5E">
        <w:trPr>
          <w:trHeight w:val="288"/>
        </w:trPr>
        <w:tc>
          <w:tcPr>
            <w:tcW w:w="5000" w:type="pct"/>
            <w:gridSpan w:val="5"/>
            <w:tcBorders>
              <w:top w:val="nil"/>
              <w:left w:val="nil"/>
              <w:bottom w:val="single" w:sz="4" w:space="0" w:color="auto"/>
              <w:right w:val="nil"/>
            </w:tcBorders>
            <w:shd w:val="clear" w:color="auto" w:fill="auto"/>
            <w:noWrap/>
            <w:vAlign w:val="bottom"/>
            <w:hideMark/>
          </w:tcPr>
          <w:p w14:paraId="07D1B638" w14:textId="77777777" w:rsidR="00F05C28" w:rsidRPr="00F05C28" w:rsidRDefault="00F05C28" w:rsidP="00574B5E">
            <w:pPr>
              <w:rPr>
                <w:color w:val="000000"/>
              </w:rPr>
            </w:pPr>
            <w:r w:rsidRPr="00F05C28">
              <w:rPr>
                <w:color w:val="000000"/>
              </w:rPr>
              <w:t>Logistic Regression Coefficients and Odds Ratio</w:t>
            </w:r>
          </w:p>
        </w:tc>
      </w:tr>
      <w:tr w:rsidR="00F05C28" w:rsidRPr="00F05C28" w14:paraId="73D0E256" w14:textId="77777777" w:rsidTr="00574B5E">
        <w:trPr>
          <w:trHeight w:val="288"/>
        </w:trPr>
        <w:tc>
          <w:tcPr>
            <w:tcW w:w="2386" w:type="pct"/>
            <w:tcBorders>
              <w:top w:val="nil"/>
              <w:left w:val="nil"/>
              <w:bottom w:val="single" w:sz="4" w:space="0" w:color="auto"/>
              <w:right w:val="nil"/>
            </w:tcBorders>
            <w:shd w:val="clear" w:color="auto" w:fill="auto"/>
            <w:noWrap/>
            <w:vAlign w:val="bottom"/>
            <w:hideMark/>
          </w:tcPr>
          <w:p w14:paraId="53BB912B" w14:textId="77777777" w:rsidR="00F05C28" w:rsidRPr="00F05C28" w:rsidRDefault="00F05C28" w:rsidP="00574B5E">
            <w:pPr>
              <w:rPr>
                <w:color w:val="000000"/>
              </w:rPr>
            </w:pPr>
            <w:r w:rsidRPr="00F05C28">
              <w:rPr>
                <w:color w:val="000000"/>
              </w:rPr>
              <w:t> </w:t>
            </w:r>
          </w:p>
        </w:tc>
        <w:tc>
          <w:tcPr>
            <w:tcW w:w="496" w:type="pct"/>
            <w:tcBorders>
              <w:top w:val="nil"/>
              <w:left w:val="nil"/>
              <w:bottom w:val="single" w:sz="4" w:space="0" w:color="auto"/>
              <w:right w:val="nil"/>
            </w:tcBorders>
            <w:shd w:val="clear" w:color="auto" w:fill="auto"/>
            <w:noWrap/>
            <w:vAlign w:val="bottom"/>
            <w:hideMark/>
          </w:tcPr>
          <w:p w14:paraId="5DBCFE01" w14:textId="77777777" w:rsidR="00F05C28" w:rsidRPr="00F05C28" w:rsidRDefault="00F05C28" w:rsidP="00574B5E">
            <w:pPr>
              <w:jc w:val="center"/>
              <w:rPr>
                <w:color w:val="000000"/>
              </w:rPr>
            </w:pPr>
            <w:r w:rsidRPr="00F05C28">
              <w:rPr>
                <w:color w:val="000000"/>
              </w:rPr>
              <w:t>B</w:t>
            </w:r>
          </w:p>
        </w:tc>
        <w:tc>
          <w:tcPr>
            <w:tcW w:w="496" w:type="pct"/>
            <w:tcBorders>
              <w:top w:val="nil"/>
              <w:left w:val="nil"/>
              <w:bottom w:val="single" w:sz="4" w:space="0" w:color="auto"/>
              <w:right w:val="nil"/>
            </w:tcBorders>
            <w:shd w:val="clear" w:color="auto" w:fill="auto"/>
            <w:noWrap/>
            <w:vAlign w:val="bottom"/>
            <w:hideMark/>
          </w:tcPr>
          <w:p w14:paraId="36694EF8" w14:textId="77777777" w:rsidR="00F05C28" w:rsidRPr="00F05C28" w:rsidRDefault="00F05C28" w:rsidP="00574B5E">
            <w:pPr>
              <w:jc w:val="center"/>
              <w:rPr>
                <w:color w:val="000000"/>
              </w:rPr>
            </w:pPr>
            <w:r w:rsidRPr="00F05C28">
              <w:rPr>
                <w:color w:val="000000"/>
              </w:rPr>
              <w:t>Wald</w:t>
            </w:r>
          </w:p>
        </w:tc>
        <w:tc>
          <w:tcPr>
            <w:tcW w:w="1047" w:type="pct"/>
            <w:tcBorders>
              <w:top w:val="nil"/>
              <w:left w:val="nil"/>
              <w:bottom w:val="single" w:sz="4" w:space="0" w:color="auto"/>
              <w:right w:val="nil"/>
            </w:tcBorders>
            <w:shd w:val="clear" w:color="auto" w:fill="auto"/>
            <w:noWrap/>
            <w:vAlign w:val="bottom"/>
            <w:hideMark/>
          </w:tcPr>
          <w:p w14:paraId="01075B6F" w14:textId="77777777" w:rsidR="00F05C28" w:rsidRPr="00F05C28" w:rsidRDefault="00F05C28" w:rsidP="00574B5E">
            <w:pPr>
              <w:jc w:val="right"/>
              <w:rPr>
                <w:color w:val="000000"/>
              </w:rPr>
            </w:pPr>
            <w:r w:rsidRPr="00F05C28">
              <w:rPr>
                <w:color w:val="000000"/>
              </w:rPr>
              <w:t>Exp(B)</w:t>
            </w:r>
          </w:p>
        </w:tc>
        <w:tc>
          <w:tcPr>
            <w:tcW w:w="575" w:type="pct"/>
            <w:tcBorders>
              <w:top w:val="nil"/>
              <w:left w:val="nil"/>
              <w:bottom w:val="single" w:sz="4" w:space="0" w:color="auto"/>
              <w:right w:val="nil"/>
            </w:tcBorders>
            <w:shd w:val="clear" w:color="auto" w:fill="auto"/>
            <w:noWrap/>
            <w:vAlign w:val="bottom"/>
            <w:hideMark/>
          </w:tcPr>
          <w:p w14:paraId="124B74EA" w14:textId="77777777" w:rsidR="00F05C28" w:rsidRPr="00F05C28" w:rsidRDefault="00F05C28" w:rsidP="00574B5E">
            <w:pPr>
              <w:jc w:val="center"/>
              <w:rPr>
                <w:color w:val="000000"/>
              </w:rPr>
            </w:pPr>
            <w:r w:rsidRPr="00F05C28">
              <w:rPr>
                <w:color w:val="000000"/>
              </w:rPr>
              <w:t>P</w:t>
            </w:r>
          </w:p>
        </w:tc>
      </w:tr>
      <w:tr w:rsidR="00F05C28" w:rsidRPr="00F05C28" w14:paraId="50867983" w14:textId="77777777" w:rsidTr="00574B5E">
        <w:trPr>
          <w:trHeight w:val="288"/>
        </w:trPr>
        <w:tc>
          <w:tcPr>
            <w:tcW w:w="2386" w:type="pct"/>
            <w:tcBorders>
              <w:top w:val="nil"/>
              <w:left w:val="nil"/>
              <w:bottom w:val="nil"/>
              <w:right w:val="nil"/>
            </w:tcBorders>
            <w:shd w:val="clear" w:color="auto" w:fill="auto"/>
            <w:noWrap/>
            <w:hideMark/>
          </w:tcPr>
          <w:p w14:paraId="2F8804D4" w14:textId="77777777" w:rsidR="00F05C28" w:rsidRPr="00F05C28" w:rsidRDefault="00F05C28" w:rsidP="00574B5E">
            <w:pPr>
              <w:rPr>
                <w:color w:val="000000"/>
              </w:rPr>
            </w:pPr>
            <w:r w:rsidRPr="00F05C28">
              <w:rPr>
                <w:color w:val="000000"/>
              </w:rPr>
              <w:t>Social Integration Composite Score</w:t>
            </w:r>
          </w:p>
        </w:tc>
        <w:tc>
          <w:tcPr>
            <w:tcW w:w="496" w:type="pct"/>
            <w:tcBorders>
              <w:top w:val="nil"/>
              <w:left w:val="nil"/>
              <w:bottom w:val="nil"/>
              <w:right w:val="nil"/>
            </w:tcBorders>
            <w:shd w:val="clear" w:color="auto" w:fill="auto"/>
            <w:vAlign w:val="bottom"/>
            <w:hideMark/>
          </w:tcPr>
          <w:p w14:paraId="102DF363" w14:textId="77777777" w:rsidR="00F05C28" w:rsidRPr="00F05C28" w:rsidRDefault="00F05C28" w:rsidP="00574B5E">
            <w:pPr>
              <w:jc w:val="right"/>
              <w:rPr>
                <w:color w:val="000000"/>
              </w:rPr>
            </w:pPr>
            <w:r w:rsidRPr="00F05C28">
              <w:rPr>
                <w:color w:val="000000"/>
              </w:rPr>
              <w:t>0.07</w:t>
            </w:r>
          </w:p>
        </w:tc>
        <w:tc>
          <w:tcPr>
            <w:tcW w:w="496" w:type="pct"/>
            <w:tcBorders>
              <w:top w:val="nil"/>
              <w:left w:val="nil"/>
              <w:bottom w:val="nil"/>
              <w:right w:val="nil"/>
            </w:tcBorders>
            <w:shd w:val="clear" w:color="auto" w:fill="auto"/>
            <w:noWrap/>
            <w:vAlign w:val="bottom"/>
            <w:hideMark/>
          </w:tcPr>
          <w:p w14:paraId="4DDEE38C" w14:textId="77777777" w:rsidR="00F05C28" w:rsidRPr="00F05C28" w:rsidRDefault="00F05C28" w:rsidP="00574B5E">
            <w:pPr>
              <w:jc w:val="right"/>
              <w:rPr>
                <w:color w:val="000000"/>
              </w:rPr>
            </w:pPr>
            <w:r w:rsidRPr="00F05C28">
              <w:rPr>
                <w:color w:val="000000"/>
              </w:rPr>
              <w:t>27.60</w:t>
            </w:r>
          </w:p>
        </w:tc>
        <w:tc>
          <w:tcPr>
            <w:tcW w:w="1047" w:type="pct"/>
            <w:tcBorders>
              <w:top w:val="nil"/>
              <w:left w:val="nil"/>
              <w:bottom w:val="nil"/>
              <w:right w:val="nil"/>
            </w:tcBorders>
            <w:shd w:val="clear" w:color="auto" w:fill="auto"/>
            <w:noWrap/>
            <w:vAlign w:val="bottom"/>
            <w:hideMark/>
          </w:tcPr>
          <w:p w14:paraId="7ACC4FBE" w14:textId="77777777" w:rsidR="00F05C28" w:rsidRPr="00F05C28" w:rsidRDefault="00F05C28" w:rsidP="00574B5E">
            <w:pPr>
              <w:jc w:val="right"/>
              <w:rPr>
                <w:color w:val="000000"/>
              </w:rPr>
            </w:pPr>
            <w:r w:rsidRPr="00F05C28">
              <w:rPr>
                <w:color w:val="000000"/>
              </w:rPr>
              <w:t>1.08</w:t>
            </w:r>
          </w:p>
        </w:tc>
        <w:tc>
          <w:tcPr>
            <w:tcW w:w="575" w:type="pct"/>
            <w:tcBorders>
              <w:top w:val="nil"/>
              <w:left w:val="nil"/>
              <w:bottom w:val="nil"/>
              <w:right w:val="nil"/>
            </w:tcBorders>
            <w:shd w:val="clear" w:color="auto" w:fill="auto"/>
            <w:noWrap/>
            <w:vAlign w:val="bottom"/>
            <w:hideMark/>
          </w:tcPr>
          <w:p w14:paraId="0B1C1CB8" w14:textId="77777777" w:rsidR="00F05C28" w:rsidRPr="00F05C28" w:rsidRDefault="00F05C28" w:rsidP="00574B5E">
            <w:pPr>
              <w:jc w:val="right"/>
              <w:rPr>
                <w:color w:val="000000"/>
              </w:rPr>
            </w:pPr>
            <w:r w:rsidRPr="00F05C28">
              <w:rPr>
                <w:color w:val="000000"/>
              </w:rPr>
              <w:t>0.00*</w:t>
            </w:r>
          </w:p>
        </w:tc>
      </w:tr>
      <w:tr w:rsidR="00F05C28" w:rsidRPr="00F05C28" w14:paraId="2A38E115" w14:textId="77777777" w:rsidTr="00574B5E">
        <w:trPr>
          <w:trHeight w:val="288"/>
        </w:trPr>
        <w:tc>
          <w:tcPr>
            <w:tcW w:w="2386" w:type="pct"/>
            <w:tcBorders>
              <w:top w:val="nil"/>
              <w:left w:val="nil"/>
              <w:bottom w:val="nil"/>
              <w:right w:val="nil"/>
            </w:tcBorders>
            <w:shd w:val="clear" w:color="auto" w:fill="auto"/>
            <w:noWrap/>
            <w:hideMark/>
          </w:tcPr>
          <w:p w14:paraId="51F0790B" w14:textId="77777777" w:rsidR="00F05C28" w:rsidRPr="00F05C28" w:rsidRDefault="00F05C28" w:rsidP="00574B5E">
            <w:pPr>
              <w:jc w:val="center"/>
              <w:rPr>
                <w:b/>
                <w:bCs/>
                <w:color w:val="000000"/>
              </w:rPr>
            </w:pPr>
            <w:r w:rsidRPr="00F05C28">
              <w:rPr>
                <w:b/>
                <w:bCs/>
                <w:color w:val="000000"/>
              </w:rPr>
              <w:t>Gender</w:t>
            </w:r>
          </w:p>
        </w:tc>
        <w:tc>
          <w:tcPr>
            <w:tcW w:w="496" w:type="pct"/>
            <w:tcBorders>
              <w:top w:val="nil"/>
              <w:left w:val="nil"/>
              <w:bottom w:val="nil"/>
              <w:right w:val="nil"/>
            </w:tcBorders>
            <w:shd w:val="clear" w:color="auto" w:fill="auto"/>
            <w:vAlign w:val="bottom"/>
            <w:hideMark/>
          </w:tcPr>
          <w:p w14:paraId="11608EC3"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40519AAB"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15A76512"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51DD19F0" w14:textId="77777777" w:rsidR="00F05C28" w:rsidRPr="00F05C28" w:rsidRDefault="00F05C28" w:rsidP="00574B5E"/>
        </w:tc>
      </w:tr>
      <w:tr w:rsidR="00F05C28" w:rsidRPr="00F05C28" w14:paraId="6090A4BC" w14:textId="77777777" w:rsidTr="00574B5E">
        <w:trPr>
          <w:trHeight w:val="288"/>
        </w:trPr>
        <w:tc>
          <w:tcPr>
            <w:tcW w:w="2386" w:type="pct"/>
            <w:tcBorders>
              <w:top w:val="nil"/>
              <w:left w:val="nil"/>
              <w:bottom w:val="nil"/>
              <w:right w:val="nil"/>
            </w:tcBorders>
            <w:shd w:val="clear" w:color="auto" w:fill="auto"/>
            <w:noWrap/>
            <w:hideMark/>
          </w:tcPr>
          <w:p w14:paraId="631FB4C0" w14:textId="77777777" w:rsidR="00F05C28" w:rsidRPr="00F05C28" w:rsidRDefault="00F05C28" w:rsidP="00574B5E">
            <w:pPr>
              <w:rPr>
                <w:color w:val="000000"/>
              </w:rPr>
            </w:pPr>
            <w:r w:rsidRPr="00F05C28">
              <w:rPr>
                <w:color w:val="000000"/>
              </w:rPr>
              <w:t>Female</w:t>
            </w:r>
          </w:p>
        </w:tc>
        <w:tc>
          <w:tcPr>
            <w:tcW w:w="496" w:type="pct"/>
            <w:tcBorders>
              <w:top w:val="nil"/>
              <w:left w:val="nil"/>
              <w:bottom w:val="nil"/>
              <w:right w:val="nil"/>
            </w:tcBorders>
            <w:shd w:val="clear" w:color="auto" w:fill="auto"/>
            <w:vAlign w:val="bottom"/>
            <w:hideMark/>
          </w:tcPr>
          <w:p w14:paraId="52660696" w14:textId="77777777" w:rsidR="00F05C28" w:rsidRPr="00F05C28" w:rsidRDefault="00F05C28" w:rsidP="00574B5E">
            <w:pPr>
              <w:jc w:val="right"/>
              <w:rPr>
                <w:color w:val="000000"/>
              </w:rPr>
            </w:pPr>
            <w:r w:rsidRPr="00F05C28">
              <w:rPr>
                <w:color w:val="000000"/>
              </w:rPr>
              <w:t>0.20</w:t>
            </w:r>
          </w:p>
        </w:tc>
        <w:tc>
          <w:tcPr>
            <w:tcW w:w="496" w:type="pct"/>
            <w:tcBorders>
              <w:top w:val="nil"/>
              <w:left w:val="nil"/>
              <w:bottom w:val="nil"/>
              <w:right w:val="nil"/>
            </w:tcBorders>
            <w:shd w:val="clear" w:color="auto" w:fill="auto"/>
            <w:noWrap/>
            <w:vAlign w:val="bottom"/>
            <w:hideMark/>
          </w:tcPr>
          <w:p w14:paraId="2F17845B" w14:textId="77777777" w:rsidR="00F05C28" w:rsidRPr="00F05C28" w:rsidRDefault="00F05C28" w:rsidP="00574B5E">
            <w:pPr>
              <w:jc w:val="right"/>
              <w:rPr>
                <w:color w:val="000000"/>
              </w:rPr>
            </w:pPr>
            <w:r w:rsidRPr="00F05C28">
              <w:rPr>
                <w:color w:val="000000"/>
              </w:rPr>
              <w:t>2.58</w:t>
            </w:r>
          </w:p>
        </w:tc>
        <w:tc>
          <w:tcPr>
            <w:tcW w:w="1047" w:type="pct"/>
            <w:tcBorders>
              <w:top w:val="nil"/>
              <w:left w:val="nil"/>
              <w:bottom w:val="nil"/>
              <w:right w:val="nil"/>
            </w:tcBorders>
            <w:shd w:val="clear" w:color="auto" w:fill="auto"/>
            <w:noWrap/>
            <w:vAlign w:val="bottom"/>
            <w:hideMark/>
          </w:tcPr>
          <w:p w14:paraId="343D650F" w14:textId="77777777" w:rsidR="00F05C28" w:rsidRPr="00F05C28" w:rsidRDefault="00F05C28" w:rsidP="00574B5E">
            <w:pPr>
              <w:jc w:val="right"/>
              <w:rPr>
                <w:color w:val="000000"/>
              </w:rPr>
            </w:pPr>
            <w:r w:rsidRPr="00F05C28">
              <w:rPr>
                <w:color w:val="000000"/>
              </w:rPr>
              <w:t>1.35</w:t>
            </w:r>
          </w:p>
        </w:tc>
        <w:tc>
          <w:tcPr>
            <w:tcW w:w="575" w:type="pct"/>
            <w:tcBorders>
              <w:top w:val="nil"/>
              <w:left w:val="nil"/>
              <w:bottom w:val="nil"/>
              <w:right w:val="nil"/>
            </w:tcBorders>
            <w:shd w:val="clear" w:color="auto" w:fill="auto"/>
            <w:noWrap/>
            <w:vAlign w:val="bottom"/>
            <w:hideMark/>
          </w:tcPr>
          <w:p w14:paraId="325ACDA9" w14:textId="77777777" w:rsidR="00F05C28" w:rsidRPr="00F05C28" w:rsidRDefault="00F05C28" w:rsidP="00574B5E">
            <w:pPr>
              <w:jc w:val="right"/>
              <w:rPr>
                <w:color w:val="000000"/>
              </w:rPr>
            </w:pPr>
            <w:r w:rsidRPr="00F05C28">
              <w:rPr>
                <w:color w:val="000000"/>
              </w:rPr>
              <w:t>0.28</w:t>
            </w:r>
          </w:p>
        </w:tc>
      </w:tr>
      <w:tr w:rsidR="00F05C28" w:rsidRPr="00F05C28" w14:paraId="30910104" w14:textId="77777777" w:rsidTr="00574B5E">
        <w:trPr>
          <w:trHeight w:val="288"/>
        </w:trPr>
        <w:tc>
          <w:tcPr>
            <w:tcW w:w="2386" w:type="pct"/>
            <w:tcBorders>
              <w:top w:val="nil"/>
              <w:left w:val="nil"/>
              <w:bottom w:val="nil"/>
              <w:right w:val="nil"/>
            </w:tcBorders>
            <w:shd w:val="clear" w:color="auto" w:fill="auto"/>
            <w:noWrap/>
            <w:hideMark/>
          </w:tcPr>
          <w:p w14:paraId="280CA00F" w14:textId="77777777" w:rsidR="00F05C28" w:rsidRPr="00F05C28" w:rsidRDefault="00F05C28" w:rsidP="00574B5E">
            <w:pPr>
              <w:jc w:val="center"/>
              <w:rPr>
                <w:b/>
                <w:bCs/>
                <w:color w:val="000000"/>
              </w:rPr>
            </w:pPr>
            <w:r w:rsidRPr="00F05C28">
              <w:rPr>
                <w:b/>
                <w:bCs/>
                <w:color w:val="000000"/>
              </w:rPr>
              <w:t>Class Level</w:t>
            </w:r>
          </w:p>
        </w:tc>
        <w:tc>
          <w:tcPr>
            <w:tcW w:w="496" w:type="pct"/>
            <w:tcBorders>
              <w:top w:val="nil"/>
              <w:left w:val="nil"/>
              <w:bottom w:val="nil"/>
              <w:right w:val="nil"/>
            </w:tcBorders>
            <w:shd w:val="clear" w:color="auto" w:fill="auto"/>
            <w:vAlign w:val="bottom"/>
            <w:hideMark/>
          </w:tcPr>
          <w:p w14:paraId="0765182C"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4C5D16B7"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2A3D564E"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0E24B06D" w14:textId="77777777" w:rsidR="00F05C28" w:rsidRPr="00F05C28" w:rsidRDefault="00F05C28" w:rsidP="00574B5E"/>
        </w:tc>
      </w:tr>
      <w:tr w:rsidR="00F05C28" w:rsidRPr="00F05C28" w14:paraId="35D15B79" w14:textId="77777777" w:rsidTr="00574B5E">
        <w:trPr>
          <w:trHeight w:val="288"/>
        </w:trPr>
        <w:tc>
          <w:tcPr>
            <w:tcW w:w="2386" w:type="pct"/>
            <w:tcBorders>
              <w:top w:val="nil"/>
              <w:left w:val="nil"/>
              <w:bottom w:val="nil"/>
              <w:right w:val="nil"/>
            </w:tcBorders>
            <w:shd w:val="clear" w:color="auto" w:fill="auto"/>
            <w:noWrap/>
            <w:hideMark/>
          </w:tcPr>
          <w:p w14:paraId="45E0D1DE" w14:textId="77777777" w:rsidR="00F05C28" w:rsidRPr="00F05C28" w:rsidRDefault="00F05C28" w:rsidP="00574B5E">
            <w:pPr>
              <w:rPr>
                <w:color w:val="000000"/>
              </w:rPr>
            </w:pPr>
            <w:r w:rsidRPr="00F05C28">
              <w:rPr>
                <w:color w:val="000000"/>
              </w:rPr>
              <w:t>Freshmen</w:t>
            </w:r>
          </w:p>
        </w:tc>
        <w:tc>
          <w:tcPr>
            <w:tcW w:w="496" w:type="pct"/>
            <w:tcBorders>
              <w:top w:val="nil"/>
              <w:left w:val="nil"/>
              <w:bottom w:val="nil"/>
              <w:right w:val="nil"/>
            </w:tcBorders>
            <w:shd w:val="clear" w:color="auto" w:fill="auto"/>
            <w:vAlign w:val="bottom"/>
            <w:hideMark/>
          </w:tcPr>
          <w:p w14:paraId="5CDFFC33" w14:textId="77777777" w:rsidR="00F05C28" w:rsidRPr="00F05C28" w:rsidRDefault="00F05C28" w:rsidP="00574B5E">
            <w:pPr>
              <w:jc w:val="right"/>
              <w:rPr>
                <w:color w:val="000000"/>
              </w:rPr>
            </w:pPr>
            <w:r w:rsidRPr="00F05C28">
              <w:rPr>
                <w:color w:val="000000"/>
              </w:rPr>
              <w:t>-2.22</w:t>
            </w:r>
          </w:p>
        </w:tc>
        <w:tc>
          <w:tcPr>
            <w:tcW w:w="496" w:type="pct"/>
            <w:tcBorders>
              <w:top w:val="nil"/>
              <w:left w:val="nil"/>
              <w:bottom w:val="nil"/>
              <w:right w:val="nil"/>
            </w:tcBorders>
            <w:shd w:val="clear" w:color="auto" w:fill="auto"/>
            <w:noWrap/>
            <w:vAlign w:val="bottom"/>
            <w:hideMark/>
          </w:tcPr>
          <w:p w14:paraId="17DB2678" w14:textId="77777777" w:rsidR="00F05C28" w:rsidRPr="00F05C28" w:rsidRDefault="00F05C28" w:rsidP="00574B5E">
            <w:pPr>
              <w:jc w:val="right"/>
              <w:rPr>
                <w:color w:val="000000"/>
              </w:rPr>
            </w:pPr>
            <w:r w:rsidRPr="00F05C28">
              <w:rPr>
                <w:color w:val="000000"/>
              </w:rPr>
              <w:t>55.55</w:t>
            </w:r>
          </w:p>
        </w:tc>
        <w:tc>
          <w:tcPr>
            <w:tcW w:w="1047" w:type="pct"/>
            <w:tcBorders>
              <w:top w:val="nil"/>
              <w:left w:val="nil"/>
              <w:bottom w:val="nil"/>
              <w:right w:val="nil"/>
            </w:tcBorders>
            <w:shd w:val="clear" w:color="auto" w:fill="auto"/>
            <w:noWrap/>
            <w:vAlign w:val="bottom"/>
            <w:hideMark/>
          </w:tcPr>
          <w:p w14:paraId="4D5F7953" w14:textId="77777777" w:rsidR="00F05C28" w:rsidRPr="00F05C28" w:rsidRDefault="00F05C28" w:rsidP="00574B5E">
            <w:pPr>
              <w:jc w:val="right"/>
              <w:rPr>
                <w:color w:val="000000"/>
              </w:rPr>
            </w:pPr>
            <w:r w:rsidRPr="00F05C28">
              <w:rPr>
                <w:color w:val="000000"/>
              </w:rPr>
              <w:t>0.11</w:t>
            </w:r>
          </w:p>
        </w:tc>
        <w:tc>
          <w:tcPr>
            <w:tcW w:w="575" w:type="pct"/>
            <w:tcBorders>
              <w:top w:val="nil"/>
              <w:left w:val="nil"/>
              <w:bottom w:val="nil"/>
              <w:right w:val="nil"/>
            </w:tcBorders>
            <w:shd w:val="clear" w:color="auto" w:fill="auto"/>
            <w:noWrap/>
            <w:vAlign w:val="bottom"/>
            <w:hideMark/>
          </w:tcPr>
          <w:p w14:paraId="62BE33AD" w14:textId="77777777" w:rsidR="00F05C28" w:rsidRPr="00F05C28" w:rsidRDefault="00F05C28" w:rsidP="00574B5E">
            <w:pPr>
              <w:jc w:val="right"/>
              <w:rPr>
                <w:color w:val="000000"/>
              </w:rPr>
            </w:pPr>
            <w:r w:rsidRPr="00F05C28">
              <w:rPr>
                <w:color w:val="000000"/>
              </w:rPr>
              <w:t>0.00*</w:t>
            </w:r>
          </w:p>
        </w:tc>
      </w:tr>
      <w:tr w:rsidR="00F05C28" w:rsidRPr="00F05C28" w14:paraId="0FBCBADB" w14:textId="77777777" w:rsidTr="00574B5E">
        <w:trPr>
          <w:trHeight w:val="288"/>
        </w:trPr>
        <w:tc>
          <w:tcPr>
            <w:tcW w:w="2386" w:type="pct"/>
            <w:tcBorders>
              <w:top w:val="nil"/>
              <w:left w:val="nil"/>
              <w:bottom w:val="nil"/>
              <w:right w:val="nil"/>
            </w:tcBorders>
            <w:shd w:val="clear" w:color="auto" w:fill="auto"/>
            <w:noWrap/>
            <w:hideMark/>
          </w:tcPr>
          <w:p w14:paraId="3BAF12D0" w14:textId="77777777" w:rsidR="00F05C28" w:rsidRPr="00F05C28" w:rsidRDefault="00F05C28" w:rsidP="00574B5E">
            <w:pPr>
              <w:jc w:val="center"/>
              <w:rPr>
                <w:b/>
                <w:bCs/>
                <w:color w:val="000000"/>
              </w:rPr>
            </w:pPr>
            <w:r w:rsidRPr="00F05C28">
              <w:rPr>
                <w:b/>
                <w:bCs/>
                <w:color w:val="000000"/>
              </w:rPr>
              <w:t>Race/Ethnicity</w:t>
            </w:r>
          </w:p>
        </w:tc>
        <w:tc>
          <w:tcPr>
            <w:tcW w:w="496" w:type="pct"/>
            <w:tcBorders>
              <w:top w:val="nil"/>
              <w:left w:val="nil"/>
              <w:bottom w:val="nil"/>
              <w:right w:val="nil"/>
            </w:tcBorders>
            <w:shd w:val="clear" w:color="auto" w:fill="auto"/>
            <w:vAlign w:val="bottom"/>
            <w:hideMark/>
          </w:tcPr>
          <w:p w14:paraId="467197F1"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0EDEE55A"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18115749"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6C4E37BA" w14:textId="77777777" w:rsidR="00F05C28" w:rsidRPr="00F05C28" w:rsidRDefault="00F05C28" w:rsidP="00574B5E"/>
        </w:tc>
      </w:tr>
      <w:tr w:rsidR="00F05C28" w:rsidRPr="00F05C28" w14:paraId="0FC1C6B1" w14:textId="77777777" w:rsidTr="00574B5E">
        <w:trPr>
          <w:trHeight w:val="288"/>
        </w:trPr>
        <w:tc>
          <w:tcPr>
            <w:tcW w:w="2386" w:type="pct"/>
            <w:tcBorders>
              <w:top w:val="nil"/>
              <w:left w:val="nil"/>
              <w:bottom w:val="nil"/>
              <w:right w:val="nil"/>
            </w:tcBorders>
            <w:shd w:val="clear" w:color="auto" w:fill="auto"/>
            <w:noWrap/>
            <w:hideMark/>
          </w:tcPr>
          <w:p w14:paraId="565926C5" w14:textId="77777777" w:rsidR="00F05C28" w:rsidRPr="00F05C28" w:rsidRDefault="00F05C28" w:rsidP="00574B5E">
            <w:pPr>
              <w:rPr>
                <w:color w:val="000000"/>
              </w:rPr>
            </w:pPr>
            <w:r w:rsidRPr="00F05C28">
              <w:rPr>
                <w:color w:val="000000"/>
              </w:rPr>
              <w:t>American Indian/Native American</w:t>
            </w:r>
          </w:p>
        </w:tc>
        <w:tc>
          <w:tcPr>
            <w:tcW w:w="496" w:type="pct"/>
            <w:tcBorders>
              <w:top w:val="nil"/>
              <w:left w:val="nil"/>
              <w:bottom w:val="nil"/>
              <w:right w:val="nil"/>
            </w:tcBorders>
            <w:shd w:val="clear" w:color="auto" w:fill="auto"/>
            <w:vAlign w:val="bottom"/>
            <w:hideMark/>
          </w:tcPr>
          <w:p w14:paraId="35312AC9" w14:textId="77777777" w:rsidR="00F05C28" w:rsidRPr="00F05C28" w:rsidRDefault="00F05C28" w:rsidP="00574B5E">
            <w:pPr>
              <w:jc w:val="right"/>
              <w:rPr>
                <w:color w:val="000000"/>
              </w:rPr>
            </w:pPr>
            <w:r w:rsidRPr="00F05C28">
              <w:rPr>
                <w:color w:val="000000"/>
              </w:rPr>
              <w:t>-1.62</w:t>
            </w:r>
          </w:p>
        </w:tc>
        <w:tc>
          <w:tcPr>
            <w:tcW w:w="496" w:type="pct"/>
            <w:tcBorders>
              <w:top w:val="nil"/>
              <w:left w:val="nil"/>
              <w:bottom w:val="nil"/>
              <w:right w:val="nil"/>
            </w:tcBorders>
            <w:shd w:val="clear" w:color="auto" w:fill="auto"/>
            <w:noWrap/>
            <w:vAlign w:val="bottom"/>
            <w:hideMark/>
          </w:tcPr>
          <w:p w14:paraId="3A4324FB" w14:textId="77777777" w:rsidR="00F05C28" w:rsidRPr="00F05C28" w:rsidRDefault="00F05C28" w:rsidP="00574B5E">
            <w:pPr>
              <w:jc w:val="right"/>
              <w:rPr>
                <w:color w:val="000000"/>
              </w:rPr>
            </w:pPr>
            <w:r w:rsidRPr="00F05C28">
              <w:rPr>
                <w:color w:val="000000"/>
              </w:rPr>
              <w:t>2.59</w:t>
            </w:r>
          </w:p>
        </w:tc>
        <w:tc>
          <w:tcPr>
            <w:tcW w:w="1047" w:type="pct"/>
            <w:tcBorders>
              <w:top w:val="nil"/>
              <w:left w:val="nil"/>
              <w:bottom w:val="nil"/>
              <w:right w:val="nil"/>
            </w:tcBorders>
            <w:shd w:val="clear" w:color="auto" w:fill="auto"/>
            <w:noWrap/>
            <w:vAlign w:val="bottom"/>
            <w:hideMark/>
          </w:tcPr>
          <w:p w14:paraId="3CEE815B" w14:textId="77777777" w:rsidR="00F05C28" w:rsidRPr="00F05C28" w:rsidRDefault="00F05C28" w:rsidP="00574B5E">
            <w:pPr>
              <w:jc w:val="right"/>
              <w:rPr>
                <w:color w:val="000000"/>
              </w:rPr>
            </w:pPr>
            <w:r w:rsidRPr="00F05C28">
              <w:rPr>
                <w:color w:val="000000"/>
              </w:rPr>
              <w:t>0.20</w:t>
            </w:r>
          </w:p>
        </w:tc>
        <w:tc>
          <w:tcPr>
            <w:tcW w:w="575" w:type="pct"/>
            <w:tcBorders>
              <w:top w:val="nil"/>
              <w:left w:val="nil"/>
              <w:bottom w:val="nil"/>
              <w:right w:val="nil"/>
            </w:tcBorders>
            <w:shd w:val="clear" w:color="auto" w:fill="auto"/>
            <w:noWrap/>
            <w:vAlign w:val="bottom"/>
            <w:hideMark/>
          </w:tcPr>
          <w:p w14:paraId="24E56789" w14:textId="77777777" w:rsidR="00F05C28" w:rsidRPr="00F05C28" w:rsidRDefault="00F05C28" w:rsidP="00574B5E">
            <w:pPr>
              <w:jc w:val="right"/>
              <w:rPr>
                <w:color w:val="000000"/>
              </w:rPr>
            </w:pPr>
            <w:r w:rsidRPr="00F05C28">
              <w:rPr>
                <w:color w:val="000000"/>
              </w:rPr>
              <w:t>0.11</w:t>
            </w:r>
          </w:p>
        </w:tc>
      </w:tr>
      <w:tr w:rsidR="00F05C28" w:rsidRPr="00F05C28" w14:paraId="3BECC11D" w14:textId="77777777" w:rsidTr="00574B5E">
        <w:trPr>
          <w:trHeight w:val="288"/>
        </w:trPr>
        <w:tc>
          <w:tcPr>
            <w:tcW w:w="2386" w:type="pct"/>
            <w:tcBorders>
              <w:top w:val="nil"/>
              <w:left w:val="nil"/>
              <w:bottom w:val="nil"/>
              <w:right w:val="nil"/>
            </w:tcBorders>
            <w:shd w:val="clear" w:color="auto" w:fill="auto"/>
            <w:noWrap/>
            <w:hideMark/>
          </w:tcPr>
          <w:p w14:paraId="17F03890" w14:textId="77777777" w:rsidR="00F05C28" w:rsidRPr="00F05C28" w:rsidRDefault="00F05C28" w:rsidP="00574B5E">
            <w:pPr>
              <w:rPr>
                <w:color w:val="000000"/>
              </w:rPr>
            </w:pPr>
            <w:r w:rsidRPr="00F05C28">
              <w:rPr>
                <w:color w:val="000000"/>
              </w:rPr>
              <w:t>Asian/Pacific Islander</w:t>
            </w:r>
          </w:p>
        </w:tc>
        <w:tc>
          <w:tcPr>
            <w:tcW w:w="496" w:type="pct"/>
            <w:tcBorders>
              <w:top w:val="nil"/>
              <w:left w:val="nil"/>
              <w:bottom w:val="nil"/>
              <w:right w:val="nil"/>
            </w:tcBorders>
            <w:shd w:val="clear" w:color="auto" w:fill="auto"/>
            <w:vAlign w:val="bottom"/>
            <w:hideMark/>
          </w:tcPr>
          <w:p w14:paraId="75B6B1FE" w14:textId="77777777" w:rsidR="00F05C28" w:rsidRPr="00F05C28" w:rsidRDefault="00F05C28" w:rsidP="00574B5E">
            <w:pPr>
              <w:jc w:val="right"/>
              <w:rPr>
                <w:color w:val="000000"/>
              </w:rPr>
            </w:pPr>
            <w:r w:rsidRPr="00F05C28">
              <w:rPr>
                <w:color w:val="000000"/>
              </w:rPr>
              <w:t>1.08</w:t>
            </w:r>
          </w:p>
        </w:tc>
        <w:tc>
          <w:tcPr>
            <w:tcW w:w="496" w:type="pct"/>
            <w:tcBorders>
              <w:top w:val="nil"/>
              <w:left w:val="nil"/>
              <w:bottom w:val="nil"/>
              <w:right w:val="nil"/>
            </w:tcBorders>
            <w:shd w:val="clear" w:color="auto" w:fill="auto"/>
            <w:noWrap/>
            <w:vAlign w:val="bottom"/>
            <w:hideMark/>
          </w:tcPr>
          <w:p w14:paraId="7CD75AA0" w14:textId="77777777" w:rsidR="00F05C28" w:rsidRPr="00F05C28" w:rsidRDefault="00F05C28" w:rsidP="00574B5E">
            <w:pPr>
              <w:jc w:val="right"/>
              <w:rPr>
                <w:color w:val="000000"/>
              </w:rPr>
            </w:pPr>
            <w:r w:rsidRPr="00F05C28">
              <w:rPr>
                <w:color w:val="000000"/>
              </w:rPr>
              <w:t>2.69</w:t>
            </w:r>
          </w:p>
        </w:tc>
        <w:tc>
          <w:tcPr>
            <w:tcW w:w="1047" w:type="pct"/>
            <w:tcBorders>
              <w:top w:val="nil"/>
              <w:left w:val="nil"/>
              <w:bottom w:val="nil"/>
              <w:right w:val="nil"/>
            </w:tcBorders>
            <w:shd w:val="clear" w:color="auto" w:fill="auto"/>
            <w:noWrap/>
            <w:vAlign w:val="bottom"/>
            <w:hideMark/>
          </w:tcPr>
          <w:p w14:paraId="6CBCA7FB" w14:textId="77777777" w:rsidR="00F05C28" w:rsidRPr="00F05C28" w:rsidRDefault="00F05C28" w:rsidP="00574B5E">
            <w:pPr>
              <w:jc w:val="right"/>
              <w:rPr>
                <w:color w:val="000000"/>
              </w:rPr>
            </w:pPr>
            <w:r w:rsidRPr="00F05C28">
              <w:rPr>
                <w:color w:val="000000"/>
              </w:rPr>
              <w:t>2.95</w:t>
            </w:r>
          </w:p>
        </w:tc>
        <w:tc>
          <w:tcPr>
            <w:tcW w:w="575" w:type="pct"/>
            <w:tcBorders>
              <w:top w:val="nil"/>
              <w:left w:val="nil"/>
              <w:bottom w:val="nil"/>
              <w:right w:val="nil"/>
            </w:tcBorders>
            <w:shd w:val="clear" w:color="auto" w:fill="auto"/>
            <w:noWrap/>
            <w:vAlign w:val="bottom"/>
            <w:hideMark/>
          </w:tcPr>
          <w:p w14:paraId="1C852BC4" w14:textId="77777777" w:rsidR="00F05C28" w:rsidRPr="00F05C28" w:rsidRDefault="00F05C28" w:rsidP="00574B5E">
            <w:pPr>
              <w:jc w:val="right"/>
              <w:rPr>
                <w:color w:val="000000"/>
              </w:rPr>
            </w:pPr>
            <w:r w:rsidRPr="00F05C28">
              <w:rPr>
                <w:color w:val="000000"/>
              </w:rPr>
              <w:t>0.10</w:t>
            </w:r>
          </w:p>
        </w:tc>
      </w:tr>
      <w:tr w:rsidR="00F05C28" w:rsidRPr="00F05C28" w14:paraId="5866620E" w14:textId="77777777" w:rsidTr="00574B5E">
        <w:trPr>
          <w:trHeight w:val="288"/>
        </w:trPr>
        <w:tc>
          <w:tcPr>
            <w:tcW w:w="2386" w:type="pct"/>
            <w:tcBorders>
              <w:top w:val="nil"/>
              <w:left w:val="nil"/>
              <w:bottom w:val="nil"/>
              <w:right w:val="nil"/>
            </w:tcBorders>
            <w:shd w:val="clear" w:color="auto" w:fill="auto"/>
            <w:noWrap/>
            <w:hideMark/>
          </w:tcPr>
          <w:p w14:paraId="04B9573F" w14:textId="77777777" w:rsidR="00F05C28" w:rsidRPr="00F05C28" w:rsidRDefault="00F05C28" w:rsidP="00574B5E">
            <w:pPr>
              <w:rPr>
                <w:color w:val="000000"/>
              </w:rPr>
            </w:pPr>
            <w:r w:rsidRPr="00F05C28">
              <w:rPr>
                <w:color w:val="000000"/>
              </w:rPr>
              <w:t>Black/African American</w:t>
            </w:r>
          </w:p>
        </w:tc>
        <w:tc>
          <w:tcPr>
            <w:tcW w:w="496" w:type="pct"/>
            <w:tcBorders>
              <w:top w:val="nil"/>
              <w:left w:val="nil"/>
              <w:bottom w:val="nil"/>
              <w:right w:val="nil"/>
            </w:tcBorders>
            <w:shd w:val="clear" w:color="auto" w:fill="auto"/>
            <w:vAlign w:val="bottom"/>
            <w:hideMark/>
          </w:tcPr>
          <w:p w14:paraId="5554B9F7" w14:textId="77777777" w:rsidR="00F05C28" w:rsidRPr="00F05C28" w:rsidRDefault="00F05C28" w:rsidP="00574B5E">
            <w:pPr>
              <w:jc w:val="right"/>
              <w:rPr>
                <w:color w:val="000000"/>
              </w:rPr>
            </w:pPr>
            <w:r w:rsidRPr="00F05C28">
              <w:rPr>
                <w:color w:val="000000"/>
              </w:rPr>
              <w:t>-0.83</w:t>
            </w:r>
          </w:p>
        </w:tc>
        <w:tc>
          <w:tcPr>
            <w:tcW w:w="496" w:type="pct"/>
            <w:tcBorders>
              <w:top w:val="nil"/>
              <w:left w:val="nil"/>
              <w:bottom w:val="nil"/>
              <w:right w:val="nil"/>
            </w:tcBorders>
            <w:shd w:val="clear" w:color="auto" w:fill="auto"/>
            <w:noWrap/>
            <w:vAlign w:val="bottom"/>
            <w:hideMark/>
          </w:tcPr>
          <w:p w14:paraId="2E6F2DC5" w14:textId="77777777" w:rsidR="00F05C28" w:rsidRPr="00F05C28" w:rsidRDefault="00F05C28" w:rsidP="00574B5E">
            <w:pPr>
              <w:jc w:val="right"/>
              <w:rPr>
                <w:color w:val="000000"/>
              </w:rPr>
            </w:pPr>
            <w:r w:rsidRPr="00F05C28">
              <w:rPr>
                <w:color w:val="000000"/>
              </w:rPr>
              <w:t>6.11</w:t>
            </w:r>
          </w:p>
        </w:tc>
        <w:tc>
          <w:tcPr>
            <w:tcW w:w="1047" w:type="pct"/>
            <w:tcBorders>
              <w:top w:val="nil"/>
              <w:left w:val="nil"/>
              <w:bottom w:val="nil"/>
              <w:right w:val="nil"/>
            </w:tcBorders>
            <w:shd w:val="clear" w:color="auto" w:fill="auto"/>
            <w:noWrap/>
            <w:vAlign w:val="bottom"/>
            <w:hideMark/>
          </w:tcPr>
          <w:p w14:paraId="7A3BADC3" w14:textId="77777777" w:rsidR="00F05C28" w:rsidRPr="00F05C28" w:rsidRDefault="00F05C28" w:rsidP="00574B5E">
            <w:pPr>
              <w:jc w:val="right"/>
              <w:rPr>
                <w:color w:val="000000"/>
              </w:rPr>
            </w:pPr>
            <w:r w:rsidRPr="00F05C28">
              <w:rPr>
                <w:color w:val="000000"/>
              </w:rPr>
              <w:t>0.44</w:t>
            </w:r>
          </w:p>
        </w:tc>
        <w:tc>
          <w:tcPr>
            <w:tcW w:w="575" w:type="pct"/>
            <w:tcBorders>
              <w:top w:val="nil"/>
              <w:left w:val="nil"/>
              <w:bottom w:val="nil"/>
              <w:right w:val="nil"/>
            </w:tcBorders>
            <w:shd w:val="clear" w:color="auto" w:fill="auto"/>
            <w:noWrap/>
            <w:vAlign w:val="bottom"/>
            <w:hideMark/>
          </w:tcPr>
          <w:p w14:paraId="5E8611D1" w14:textId="77777777" w:rsidR="00F05C28" w:rsidRPr="00F05C28" w:rsidRDefault="00F05C28" w:rsidP="00574B5E">
            <w:pPr>
              <w:jc w:val="right"/>
              <w:rPr>
                <w:color w:val="000000"/>
              </w:rPr>
            </w:pPr>
            <w:r w:rsidRPr="00F05C28">
              <w:rPr>
                <w:color w:val="000000"/>
              </w:rPr>
              <w:t>0.01*</w:t>
            </w:r>
          </w:p>
        </w:tc>
      </w:tr>
      <w:tr w:rsidR="00F05C28" w:rsidRPr="00F05C28" w14:paraId="651E56BD" w14:textId="77777777" w:rsidTr="00574B5E">
        <w:trPr>
          <w:trHeight w:val="288"/>
        </w:trPr>
        <w:tc>
          <w:tcPr>
            <w:tcW w:w="2386" w:type="pct"/>
            <w:tcBorders>
              <w:top w:val="nil"/>
              <w:left w:val="nil"/>
              <w:bottom w:val="nil"/>
              <w:right w:val="nil"/>
            </w:tcBorders>
            <w:shd w:val="clear" w:color="auto" w:fill="auto"/>
            <w:noWrap/>
            <w:hideMark/>
          </w:tcPr>
          <w:p w14:paraId="6ACC98D6" w14:textId="77777777" w:rsidR="00F05C28" w:rsidRPr="00F05C28" w:rsidRDefault="00F05C28" w:rsidP="00574B5E">
            <w:pPr>
              <w:rPr>
                <w:color w:val="000000"/>
              </w:rPr>
            </w:pPr>
            <w:r w:rsidRPr="00F05C28">
              <w:rPr>
                <w:color w:val="000000"/>
              </w:rPr>
              <w:t>Latinx</w:t>
            </w:r>
          </w:p>
        </w:tc>
        <w:tc>
          <w:tcPr>
            <w:tcW w:w="496" w:type="pct"/>
            <w:tcBorders>
              <w:top w:val="nil"/>
              <w:left w:val="nil"/>
              <w:bottom w:val="nil"/>
              <w:right w:val="nil"/>
            </w:tcBorders>
            <w:shd w:val="clear" w:color="auto" w:fill="auto"/>
            <w:vAlign w:val="bottom"/>
            <w:hideMark/>
          </w:tcPr>
          <w:p w14:paraId="46103D35" w14:textId="77777777" w:rsidR="00F05C28" w:rsidRPr="00F05C28" w:rsidRDefault="00F05C28" w:rsidP="00574B5E">
            <w:pPr>
              <w:jc w:val="right"/>
              <w:rPr>
                <w:color w:val="000000"/>
              </w:rPr>
            </w:pPr>
            <w:r w:rsidRPr="00F05C28">
              <w:rPr>
                <w:color w:val="000000"/>
              </w:rPr>
              <w:t>-0.86</w:t>
            </w:r>
          </w:p>
        </w:tc>
        <w:tc>
          <w:tcPr>
            <w:tcW w:w="496" w:type="pct"/>
            <w:tcBorders>
              <w:top w:val="nil"/>
              <w:left w:val="nil"/>
              <w:bottom w:val="nil"/>
              <w:right w:val="nil"/>
            </w:tcBorders>
            <w:shd w:val="clear" w:color="auto" w:fill="auto"/>
            <w:noWrap/>
            <w:vAlign w:val="bottom"/>
            <w:hideMark/>
          </w:tcPr>
          <w:p w14:paraId="7808F0A5" w14:textId="77777777" w:rsidR="00F05C28" w:rsidRPr="00F05C28" w:rsidRDefault="00F05C28" w:rsidP="00574B5E">
            <w:pPr>
              <w:jc w:val="right"/>
              <w:rPr>
                <w:color w:val="000000"/>
              </w:rPr>
            </w:pPr>
            <w:r w:rsidRPr="00F05C28">
              <w:rPr>
                <w:color w:val="000000"/>
              </w:rPr>
              <w:t>3.53</w:t>
            </w:r>
          </w:p>
        </w:tc>
        <w:tc>
          <w:tcPr>
            <w:tcW w:w="1047" w:type="pct"/>
            <w:tcBorders>
              <w:top w:val="nil"/>
              <w:left w:val="nil"/>
              <w:bottom w:val="nil"/>
              <w:right w:val="nil"/>
            </w:tcBorders>
            <w:shd w:val="clear" w:color="auto" w:fill="auto"/>
            <w:noWrap/>
            <w:vAlign w:val="bottom"/>
            <w:hideMark/>
          </w:tcPr>
          <w:p w14:paraId="0A04D458" w14:textId="77777777" w:rsidR="00F05C28" w:rsidRPr="00F05C28" w:rsidRDefault="00F05C28" w:rsidP="00574B5E">
            <w:pPr>
              <w:jc w:val="right"/>
              <w:rPr>
                <w:color w:val="000000"/>
              </w:rPr>
            </w:pPr>
            <w:r w:rsidRPr="00F05C28">
              <w:rPr>
                <w:color w:val="000000"/>
              </w:rPr>
              <w:t>0.42</w:t>
            </w:r>
          </w:p>
        </w:tc>
        <w:tc>
          <w:tcPr>
            <w:tcW w:w="575" w:type="pct"/>
            <w:tcBorders>
              <w:top w:val="nil"/>
              <w:left w:val="nil"/>
              <w:bottom w:val="nil"/>
              <w:right w:val="nil"/>
            </w:tcBorders>
            <w:shd w:val="clear" w:color="auto" w:fill="auto"/>
            <w:noWrap/>
            <w:vAlign w:val="bottom"/>
            <w:hideMark/>
          </w:tcPr>
          <w:p w14:paraId="7652E4BE" w14:textId="77777777" w:rsidR="00F05C28" w:rsidRPr="00F05C28" w:rsidRDefault="00F05C28" w:rsidP="00574B5E">
            <w:pPr>
              <w:jc w:val="right"/>
              <w:rPr>
                <w:color w:val="000000"/>
              </w:rPr>
            </w:pPr>
            <w:r w:rsidRPr="00F05C28">
              <w:rPr>
                <w:color w:val="000000"/>
              </w:rPr>
              <w:t>0.06</w:t>
            </w:r>
          </w:p>
        </w:tc>
      </w:tr>
      <w:tr w:rsidR="00F05C28" w:rsidRPr="00F05C28" w14:paraId="21C18C57" w14:textId="77777777" w:rsidTr="00574B5E">
        <w:trPr>
          <w:trHeight w:val="288"/>
        </w:trPr>
        <w:tc>
          <w:tcPr>
            <w:tcW w:w="2386" w:type="pct"/>
            <w:tcBorders>
              <w:top w:val="nil"/>
              <w:left w:val="nil"/>
              <w:bottom w:val="nil"/>
              <w:right w:val="nil"/>
            </w:tcBorders>
            <w:shd w:val="clear" w:color="auto" w:fill="auto"/>
            <w:noWrap/>
            <w:hideMark/>
          </w:tcPr>
          <w:p w14:paraId="57F28B77" w14:textId="77777777" w:rsidR="00F05C28" w:rsidRPr="00F05C28" w:rsidRDefault="00F05C28" w:rsidP="00574B5E">
            <w:pPr>
              <w:rPr>
                <w:color w:val="000000"/>
              </w:rPr>
            </w:pPr>
            <w:r w:rsidRPr="00F05C28">
              <w:rPr>
                <w:color w:val="000000"/>
              </w:rPr>
              <w:t>Multiracial</w:t>
            </w:r>
          </w:p>
        </w:tc>
        <w:tc>
          <w:tcPr>
            <w:tcW w:w="496" w:type="pct"/>
            <w:tcBorders>
              <w:top w:val="nil"/>
              <w:left w:val="nil"/>
              <w:bottom w:val="nil"/>
              <w:right w:val="nil"/>
            </w:tcBorders>
            <w:shd w:val="clear" w:color="auto" w:fill="auto"/>
            <w:vAlign w:val="bottom"/>
            <w:hideMark/>
          </w:tcPr>
          <w:p w14:paraId="0EDD4946" w14:textId="77777777" w:rsidR="00F05C28" w:rsidRPr="00F05C28" w:rsidRDefault="00F05C28" w:rsidP="00574B5E">
            <w:pPr>
              <w:jc w:val="right"/>
              <w:rPr>
                <w:color w:val="000000"/>
              </w:rPr>
            </w:pPr>
            <w:r w:rsidRPr="00F05C28">
              <w:rPr>
                <w:color w:val="000000"/>
              </w:rPr>
              <w:t>-0.08</w:t>
            </w:r>
          </w:p>
        </w:tc>
        <w:tc>
          <w:tcPr>
            <w:tcW w:w="496" w:type="pct"/>
            <w:tcBorders>
              <w:top w:val="nil"/>
              <w:left w:val="nil"/>
              <w:bottom w:val="nil"/>
              <w:right w:val="nil"/>
            </w:tcBorders>
            <w:shd w:val="clear" w:color="auto" w:fill="auto"/>
            <w:noWrap/>
            <w:vAlign w:val="bottom"/>
            <w:hideMark/>
          </w:tcPr>
          <w:p w14:paraId="5A50AB44" w14:textId="77777777" w:rsidR="00F05C28" w:rsidRPr="00F05C28" w:rsidRDefault="00F05C28" w:rsidP="00574B5E">
            <w:pPr>
              <w:jc w:val="right"/>
              <w:rPr>
                <w:color w:val="000000"/>
              </w:rPr>
            </w:pPr>
            <w:r w:rsidRPr="00F05C28">
              <w:rPr>
                <w:color w:val="000000"/>
              </w:rPr>
              <w:t>0.02</w:t>
            </w:r>
          </w:p>
        </w:tc>
        <w:tc>
          <w:tcPr>
            <w:tcW w:w="1047" w:type="pct"/>
            <w:tcBorders>
              <w:top w:val="nil"/>
              <w:left w:val="nil"/>
              <w:bottom w:val="nil"/>
              <w:right w:val="nil"/>
            </w:tcBorders>
            <w:shd w:val="clear" w:color="auto" w:fill="auto"/>
            <w:noWrap/>
            <w:vAlign w:val="bottom"/>
            <w:hideMark/>
          </w:tcPr>
          <w:p w14:paraId="63C72951" w14:textId="77777777" w:rsidR="00F05C28" w:rsidRPr="00F05C28" w:rsidRDefault="00F05C28" w:rsidP="00574B5E">
            <w:pPr>
              <w:jc w:val="right"/>
              <w:rPr>
                <w:color w:val="000000"/>
              </w:rPr>
            </w:pPr>
            <w:r w:rsidRPr="00F05C28">
              <w:rPr>
                <w:color w:val="000000"/>
              </w:rPr>
              <w:t>0.93</w:t>
            </w:r>
          </w:p>
        </w:tc>
        <w:tc>
          <w:tcPr>
            <w:tcW w:w="575" w:type="pct"/>
            <w:tcBorders>
              <w:top w:val="nil"/>
              <w:left w:val="nil"/>
              <w:bottom w:val="nil"/>
              <w:right w:val="nil"/>
            </w:tcBorders>
            <w:shd w:val="clear" w:color="auto" w:fill="auto"/>
            <w:noWrap/>
            <w:vAlign w:val="bottom"/>
            <w:hideMark/>
          </w:tcPr>
          <w:p w14:paraId="6A88EB8E" w14:textId="77777777" w:rsidR="00F05C28" w:rsidRPr="00F05C28" w:rsidRDefault="00F05C28" w:rsidP="00574B5E">
            <w:pPr>
              <w:jc w:val="right"/>
              <w:rPr>
                <w:color w:val="000000"/>
              </w:rPr>
            </w:pPr>
            <w:r w:rsidRPr="00F05C28">
              <w:rPr>
                <w:color w:val="000000"/>
              </w:rPr>
              <w:t>0.89</w:t>
            </w:r>
          </w:p>
        </w:tc>
      </w:tr>
      <w:tr w:rsidR="00F05C28" w:rsidRPr="00F05C28" w14:paraId="36957B73" w14:textId="77777777" w:rsidTr="00574B5E">
        <w:trPr>
          <w:trHeight w:val="288"/>
        </w:trPr>
        <w:tc>
          <w:tcPr>
            <w:tcW w:w="2386" w:type="pct"/>
            <w:tcBorders>
              <w:top w:val="nil"/>
              <w:left w:val="nil"/>
              <w:bottom w:val="nil"/>
              <w:right w:val="nil"/>
            </w:tcBorders>
            <w:shd w:val="clear" w:color="auto" w:fill="auto"/>
            <w:noWrap/>
            <w:hideMark/>
          </w:tcPr>
          <w:p w14:paraId="1931B2B6" w14:textId="77777777" w:rsidR="00F05C28" w:rsidRPr="00F05C28" w:rsidRDefault="00F05C28" w:rsidP="00574B5E">
            <w:pPr>
              <w:rPr>
                <w:color w:val="000000"/>
              </w:rPr>
            </w:pPr>
            <w:r w:rsidRPr="00F05C28">
              <w:rPr>
                <w:color w:val="000000"/>
              </w:rPr>
              <w:t>Decline to state</w:t>
            </w:r>
          </w:p>
        </w:tc>
        <w:tc>
          <w:tcPr>
            <w:tcW w:w="496" w:type="pct"/>
            <w:tcBorders>
              <w:top w:val="nil"/>
              <w:left w:val="nil"/>
              <w:bottom w:val="nil"/>
              <w:right w:val="nil"/>
            </w:tcBorders>
            <w:shd w:val="clear" w:color="auto" w:fill="auto"/>
            <w:vAlign w:val="bottom"/>
            <w:hideMark/>
          </w:tcPr>
          <w:p w14:paraId="22A1A013" w14:textId="77777777" w:rsidR="00F05C28" w:rsidRPr="00F05C28" w:rsidRDefault="00F05C28" w:rsidP="00574B5E">
            <w:pPr>
              <w:jc w:val="right"/>
              <w:rPr>
                <w:color w:val="000000"/>
              </w:rPr>
            </w:pPr>
            <w:r w:rsidRPr="00F05C28">
              <w:rPr>
                <w:color w:val="000000"/>
              </w:rPr>
              <w:t>18.85</w:t>
            </w:r>
          </w:p>
        </w:tc>
        <w:tc>
          <w:tcPr>
            <w:tcW w:w="496" w:type="pct"/>
            <w:tcBorders>
              <w:top w:val="nil"/>
              <w:left w:val="nil"/>
              <w:bottom w:val="nil"/>
              <w:right w:val="nil"/>
            </w:tcBorders>
            <w:shd w:val="clear" w:color="auto" w:fill="auto"/>
            <w:noWrap/>
            <w:vAlign w:val="bottom"/>
            <w:hideMark/>
          </w:tcPr>
          <w:p w14:paraId="2D86B5F8" w14:textId="77777777" w:rsidR="00F05C28" w:rsidRPr="00F05C28" w:rsidRDefault="00F05C28" w:rsidP="00574B5E">
            <w:pPr>
              <w:jc w:val="right"/>
              <w:rPr>
                <w:color w:val="000000"/>
              </w:rPr>
            </w:pPr>
            <w:r w:rsidRPr="00F05C28">
              <w:rPr>
                <w:color w:val="000000"/>
              </w:rPr>
              <w:t>0.00</w:t>
            </w:r>
          </w:p>
        </w:tc>
        <w:tc>
          <w:tcPr>
            <w:tcW w:w="1047" w:type="pct"/>
            <w:tcBorders>
              <w:top w:val="nil"/>
              <w:left w:val="nil"/>
              <w:bottom w:val="nil"/>
              <w:right w:val="nil"/>
            </w:tcBorders>
            <w:shd w:val="clear" w:color="auto" w:fill="auto"/>
            <w:noWrap/>
            <w:vAlign w:val="bottom"/>
            <w:hideMark/>
          </w:tcPr>
          <w:p w14:paraId="23FFC65C" w14:textId="77777777" w:rsidR="00F05C28" w:rsidRPr="00F05C28" w:rsidRDefault="00F05C28" w:rsidP="00574B5E">
            <w:pPr>
              <w:jc w:val="right"/>
              <w:rPr>
                <w:color w:val="000000"/>
              </w:rPr>
            </w:pPr>
            <w:r w:rsidRPr="00F05C28">
              <w:rPr>
                <w:color w:val="000000"/>
              </w:rPr>
              <w:t>154221586.70</w:t>
            </w:r>
          </w:p>
        </w:tc>
        <w:tc>
          <w:tcPr>
            <w:tcW w:w="575" w:type="pct"/>
            <w:tcBorders>
              <w:top w:val="nil"/>
              <w:left w:val="nil"/>
              <w:bottom w:val="nil"/>
              <w:right w:val="nil"/>
            </w:tcBorders>
            <w:shd w:val="clear" w:color="auto" w:fill="auto"/>
            <w:noWrap/>
            <w:vAlign w:val="bottom"/>
            <w:hideMark/>
          </w:tcPr>
          <w:p w14:paraId="2669740A" w14:textId="77777777" w:rsidR="00F05C28" w:rsidRPr="00F05C28" w:rsidRDefault="00F05C28" w:rsidP="00574B5E">
            <w:pPr>
              <w:jc w:val="right"/>
              <w:rPr>
                <w:color w:val="000000"/>
              </w:rPr>
            </w:pPr>
            <w:r w:rsidRPr="00F05C28">
              <w:rPr>
                <w:color w:val="000000"/>
              </w:rPr>
              <w:t>1.00</w:t>
            </w:r>
          </w:p>
        </w:tc>
      </w:tr>
      <w:tr w:rsidR="00F05C28" w:rsidRPr="00F05C28" w14:paraId="170B54E5" w14:textId="77777777" w:rsidTr="00574B5E">
        <w:trPr>
          <w:trHeight w:val="288"/>
        </w:trPr>
        <w:tc>
          <w:tcPr>
            <w:tcW w:w="2386" w:type="pct"/>
            <w:tcBorders>
              <w:top w:val="nil"/>
              <w:left w:val="nil"/>
              <w:bottom w:val="nil"/>
              <w:right w:val="nil"/>
            </w:tcBorders>
            <w:shd w:val="clear" w:color="auto" w:fill="auto"/>
            <w:noWrap/>
            <w:hideMark/>
          </w:tcPr>
          <w:p w14:paraId="1FADC01F" w14:textId="77777777" w:rsidR="00F05C28" w:rsidRPr="00F05C28" w:rsidRDefault="00F05C28" w:rsidP="00574B5E">
            <w:pPr>
              <w:jc w:val="center"/>
              <w:rPr>
                <w:b/>
                <w:bCs/>
                <w:color w:val="000000"/>
              </w:rPr>
            </w:pPr>
            <w:r w:rsidRPr="00F05C28">
              <w:rPr>
                <w:b/>
                <w:bCs/>
                <w:color w:val="000000"/>
              </w:rPr>
              <w:t>Nationality</w:t>
            </w:r>
          </w:p>
        </w:tc>
        <w:tc>
          <w:tcPr>
            <w:tcW w:w="496" w:type="pct"/>
            <w:tcBorders>
              <w:top w:val="nil"/>
              <w:left w:val="nil"/>
              <w:bottom w:val="nil"/>
              <w:right w:val="nil"/>
            </w:tcBorders>
            <w:shd w:val="clear" w:color="auto" w:fill="auto"/>
            <w:vAlign w:val="bottom"/>
            <w:hideMark/>
          </w:tcPr>
          <w:p w14:paraId="67B03AD4"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6ECDC17C"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6684B685"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0C5AEB8E" w14:textId="77777777" w:rsidR="00F05C28" w:rsidRPr="00F05C28" w:rsidRDefault="00F05C28" w:rsidP="00574B5E"/>
        </w:tc>
      </w:tr>
      <w:tr w:rsidR="00F05C28" w:rsidRPr="00F05C28" w14:paraId="02D40928" w14:textId="77777777" w:rsidTr="00574B5E">
        <w:trPr>
          <w:trHeight w:val="288"/>
        </w:trPr>
        <w:tc>
          <w:tcPr>
            <w:tcW w:w="2386" w:type="pct"/>
            <w:tcBorders>
              <w:top w:val="nil"/>
              <w:left w:val="nil"/>
              <w:bottom w:val="nil"/>
              <w:right w:val="nil"/>
            </w:tcBorders>
            <w:shd w:val="clear" w:color="auto" w:fill="auto"/>
            <w:noWrap/>
            <w:hideMark/>
          </w:tcPr>
          <w:p w14:paraId="28C49269" w14:textId="77777777" w:rsidR="00F05C28" w:rsidRPr="00F05C28" w:rsidRDefault="00F05C28" w:rsidP="00574B5E">
            <w:pPr>
              <w:rPr>
                <w:color w:val="000000"/>
              </w:rPr>
            </w:pPr>
            <w:r w:rsidRPr="00F05C28">
              <w:rPr>
                <w:color w:val="000000"/>
              </w:rPr>
              <w:t>International</w:t>
            </w:r>
          </w:p>
        </w:tc>
        <w:tc>
          <w:tcPr>
            <w:tcW w:w="496" w:type="pct"/>
            <w:tcBorders>
              <w:top w:val="nil"/>
              <w:left w:val="nil"/>
              <w:bottom w:val="nil"/>
              <w:right w:val="nil"/>
            </w:tcBorders>
            <w:shd w:val="clear" w:color="auto" w:fill="auto"/>
            <w:vAlign w:val="bottom"/>
            <w:hideMark/>
          </w:tcPr>
          <w:p w14:paraId="183188FC" w14:textId="77777777" w:rsidR="00F05C28" w:rsidRPr="00F05C28" w:rsidRDefault="00F05C28" w:rsidP="00574B5E">
            <w:pPr>
              <w:jc w:val="right"/>
              <w:rPr>
                <w:color w:val="000000"/>
              </w:rPr>
            </w:pPr>
            <w:r w:rsidRPr="00F05C28">
              <w:rPr>
                <w:color w:val="000000"/>
              </w:rPr>
              <w:t>-0.21</w:t>
            </w:r>
          </w:p>
        </w:tc>
        <w:tc>
          <w:tcPr>
            <w:tcW w:w="496" w:type="pct"/>
            <w:tcBorders>
              <w:top w:val="nil"/>
              <w:left w:val="nil"/>
              <w:bottom w:val="nil"/>
              <w:right w:val="nil"/>
            </w:tcBorders>
            <w:shd w:val="clear" w:color="auto" w:fill="auto"/>
            <w:noWrap/>
            <w:vAlign w:val="bottom"/>
            <w:hideMark/>
          </w:tcPr>
          <w:p w14:paraId="3F60DFEC" w14:textId="77777777" w:rsidR="00F05C28" w:rsidRPr="00F05C28" w:rsidRDefault="00F05C28" w:rsidP="00574B5E">
            <w:pPr>
              <w:jc w:val="right"/>
              <w:rPr>
                <w:color w:val="000000"/>
              </w:rPr>
            </w:pPr>
            <w:r w:rsidRPr="00F05C28">
              <w:rPr>
                <w:color w:val="000000"/>
              </w:rPr>
              <w:t>0.06</w:t>
            </w:r>
          </w:p>
        </w:tc>
        <w:tc>
          <w:tcPr>
            <w:tcW w:w="1047" w:type="pct"/>
            <w:tcBorders>
              <w:top w:val="nil"/>
              <w:left w:val="nil"/>
              <w:bottom w:val="nil"/>
              <w:right w:val="nil"/>
            </w:tcBorders>
            <w:shd w:val="clear" w:color="auto" w:fill="auto"/>
            <w:noWrap/>
            <w:vAlign w:val="bottom"/>
            <w:hideMark/>
          </w:tcPr>
          <w:p w14:paraId="027B394E" w14:textId="77777777" w:rsidR="00F05C28" w:rsidRPr="00F05C28" w:rsidRDefault="00F05C28" w:rsidP="00574B5E">
            <w:pPr>
              <w:jc w:val="right"/>
              <w:rPr>
                <w:color w:val="000000"/>
              </w:rPr>
            </w:pPr>
            <w:r w:rsidRPr="00F05C28">
              <w:rPr>
                <w:color w:val="000000"/>
              </w:rPr>
              <w:t>0.81</w:t>
            </w:r>
          </w:p>
        </w:tc>
        <w:tc>
          <w:tcPr>
            <w:tcW w:w="575" w:type="pct"/>
            <w:tcBorders>
              <w:top w:val="nil"/>
              <w:left w:val="nil"/>
              <w:bottom w:val="nil"/>
              <w:right w:val="nil"/>
            </w:tcBorders>
            <w:shd w:val="clear" w:color="auto" w:fill="auto"/>
            <w:noWrap/>
            <w:vAlign w:val="bottom"/>
            <w:hideMark/>
          </w:tcPr>
          <w:p w14:paraId="4C520D46" w14:textId="77777777" w:rsidR="00F05C28" w:rsidRPr="00F05C28" w:rsidRDefault="00F05C28" w:rsidP="00574B5E">
            <w:pPr>
              <w:jc w:val="right"/>
              <w:rPr>
                <w:color w:val="000000"/>
              </w:rPr>
            </w:pPr>
            <w:r w:rsidRPr="00F05C28">
              <w:rPr>
                <w:color w:val="000000"/>
              </w:rPr>
              <w:t>0.80</w:t>
            </w:r>
          </w:p>
        </w:tc>
      </w:tr>
      <w:tr w:rsidR="00F05C28" w:rsidRPr="00F05C28" w14:paraId="4A0CCAD6" w14:textId="77777777" w:rsidTr="00574B5E">
        <w:trPr>
          <w:trHeight w:val="288"/>
        </w:trPr>
        <w:tc>
          <w:tcPr>
            <w:tcW w:w="2386" w:type="pct"/>
            <w:tcBorders>
              <w:top w:val="nil"/>
              <w:left w:val="nil"/>
              <w:bottom w:val="nil"/>
              <w:right w:val="nil"/>
            </w:tcBorders>
            <w:shd w:val="clear" w:color="auto" w:fill="auto"/>
            <w:noWrap/>
            <w:hideMark/>
          </w:tcPr>
          <w:p w14:paraId="1B6FFC08" w14:textId="77777777" w:rsidR="00F05C28" w:rsidRPr="00F05C28" w:rsidRDefault="00F05C28" w:rsidP="00574B5E">
            <w:pPr>
              <w:jc w:val="center"/>
              <w:rPr>
                <w:b/>
                <w:bCs/>
                <w:color w:val="000000"/>
              </w:rPr>
            </w:pPr>
            <w:r w:rsidRPr="00F05C28">
              <w:rPr>
                <w:b/>
                <w:bCs/>
                <w:color w:val="000000"/>
              </w:rPr>
              <w:t>Transfer Status</w:t>
            </w:r>
          </w:p>
        </w:tc>
        <w:tc>
          <w:tcPr>
            <w:tcW w:w="496" w:type="pct"/>
            <w:tcBorders>
              <w:top w:val="nil"/>
              <w:left w:val="nil"/>
              <w:bottom w:val="nil"/>
              <w:right w:val="nil"/>
            </w:tcBorders>
            <w:shd w:val="clear" w:color="auto" w:fill="auto"/>
            <w:vAlign w:val="bottom"/>
            <w:hideMark/>
          </w:tcPr>
          <w:p w14:paraId="322470BD"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3B05C51F"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67681485"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1EE81F7D" w14:textId="77777777" w:rsidR="00F05C28" w:rsidRPr="00F05C28" w:rsidRDefault="00F05C28" w:rsidP="00574B5E"/>
        </w:tc>
      </w:tr>
      <w:tr w:rsidR="00F05C28" w:rsidRPr="00F05C28" w14:paraId="0ECC34BE" w14:textId="77777777" w:rsidTr="00574B5E">
        <w:trPr>
          <w:trHeight w:val="288"/>
        </w:trPr>
        <w:tc>
          <w:tcPr>
            <w:tcW w:w="2386" w:type="pct"/>
            <w:tcBorders>
              <w:top w:val="nil"/>
              <w:left w:val="nil"/>
              <w:bottom w:val="nil"/>
              <w:right w:val="nil"/>
            </w:tcBorders>
            <w:shd w:val="clear" w:color="auto" w:fill="auto"/>
            <w:noWrap/>
            <w:hideMark/>
          </w:tcPr>
          <w:p w14:paraId="67CE5812" w14:textId="77777777" w:rsidR="00F05C28" w:rsidRPr="00F05C28" w:rsidRDefault="00F05C28" w:rsidP="00574B5E">
            <w:pPr>
              <w:rPr>
                <w:color w:val="000000"/>
              </w:rPr>
            </w:pPr>
            <w:r w:rsidRPr="00F05C28">
              <w:rPr>
                <w:color w:val="000000"/>
              </w:rPr>
              <w:t>Transfer</w:t>
            </w:r>
          </w:p>
        </w:tc>
        <w:tc>
          <w:tcPr>
            <w:tcW w:w="496" w:type="pct"/>
            <w:tcBorders>
              <w:top w:val="nil"/>
              <w:left w:val="nil"/>
              <w:bottom w:val="nil"/>
              <w:right w:val="nil"/>
            </w:tcBorders>
            <w:shd w:val="clear" w:color="auto" w:fill="auto"/>
            <w:vAlign w:val="bottom"/>
            <w:hideMark/>
          </w:tcPr>
          <w:p w14:paraId="72158CB1" w14:textId="77777777" w:rsidR="00F05C28" w:rsidRPr="00F05C28" w:rsidRDefault="00F05C28" w:rsidP="00574B5E">
            <w:pPr>
              <w:jc w:val="right"/>
              <w:rPr>
                <w:color w:val="000000"/>
              </w:rPr>
            </w:pPr>
            <w:r w:rsidRPr="00F05C28">
              <w:rPr>
                <w:color w:val="000000"/>
              </w:rPr>
              <w:t>-0.75</w:t>
            </w:r>
          </w:p>
        </w:tc>
        <w:tc>
          <w:tcPr>
            <w:tcW w:w="496" w:type="pct"/>
            <w:tcBorders>
              <w:top w:val="nil"/>
              <w:left w:val="nil"/>
              <w:bottom w:val="nil"/>
              <w:right w:val="nil"/>
            </w:tcBorders>
            <w:shd w:val="clear" w:color="auto" w:fill="auto"/>
            <w:noWrap/>
            <w:vAlign w:val="bottom"/>
            <w:hideMark/>
          </w:tcPr>
          <w:p w14:paraId="3FC3608E" w14:textId="77777777" w:rsidR="00F05C28" w:rsidRPr="00F05C28" w:rsidRDefault="00F05C28" w:rsidP="00574B5E">
            <w:pPr>
              <w:jc w:val="right"/>
              <w:rPr>
                <w:color w:val="000000"/>
              </w:rPr>
            </w:pPr>
            <w:r w:rsidRPr="00F05C28">
              <w:rPr>
                <w:color w:val="000000"/>
              </w:rPr>
              <w:t>8.04</w:t>
            </w:r>
          </w:p>
        </w:tc>
        <w:tc>
          <w:tcPr>
            <w:tcW w:w="1047" w:type="pct"/>
            <w:tcBorders>
              <w:top w:val="nil"/>
              <w:left w:val="nil"/>
              <w:bottom w:val="nil"/>
              <w:right w:val="nil"/>
            </w:tcBorders>
            <w:shd w:val="clear" w:color="auto" w:fill="auto"/>
            <w:noWrap/>
            <w:vAlign w:val="bottom"/>
            <w:hideMark/>
          </w:tcPr>
          <w:p w14:paraId="455C03F9" w14:textId="77777777" w:rsidR="00F05C28" w:rsidRPr="00F05C28" w:rsidRDefault="00F05C28" w:rsidP="00574B5E">
            <w:pPr>
              <w:jc w:val="right"/>
              <w:rPr>
                <w:color w:val="000000"/>
              </w:rPr>
            </w:pPr>
            <w:r w:rsidRPr="00F05C28">
              <w:rPr>
                <w:color w:val="000000"/>
              </w:rPr>
              <w:t>0.47</w:t>
            </w:r>
          </w:p>
        </w:tc>
        <w:tc>
          <w:tcPr>
            <w:tcW w:w="575" w:type="pct"/>
            <w:tcBorders>
              <w:top w:val="nil"/>
              <w:left w:val="nil"/>
              <w:bottom w:val="nil"/>
              <w:right w:val="nil"/>
            </w:tcBorders>
            <w:shd w:val="clear" w:color="auto" w:fill="auto"/>
            <w:noWrap/>
            <w:vAlign w:val="bottom"/>
            <w:hideMark/>
          </w:tcPr>
          <w:p w14:paraId="76113FDF" w14:textId="77777777" w:rsidR="00F05C28" w:rsidRPr="00F05C28" w:rsidRDefault="00F05C28" w:rsidP="00574B5E">
            <w:pPr>
              <w:jc w:val="right"/>
              <w:rPr>
                <w:color w:val="000000"/>
              </w:rPr>
            </w:pPr>
            <w:r w:rsidRPr="00F05C28">
              <w:rPr>
                <w:color w:val="000000"/>
              </w:rPr>
              <w:t>0.01*</w:t>
            </w:r>
          </w:p>
        </w:tc>
      </w:tr>
      <w:tr w:rsidR="00F05C28" w:rsidRPr="00F05C28" w14:paraId="64BD6A01" w14:textId="77777777" w:rsidTr="00574B5E">
        <w:trPr>
          <w:trHeight w:val="288"/>
        </w:trPr>
        <w:tc>
          <w:tcPr>
            <w:tcW w:w="2386" w:type="pct"/>
            <w:tcBorders>
              <w:top w:val="nil"/>
              <w:left w:val="nil"/>
              <w:bottom w:val="nil"/>
              <w:right w:val="nil"/>
            </w:tcBorders>
            <w:shd w:val="clear" w:color="auto" w:fill="auto"/>
            <w:noWrap/>
            <w:hideMark/>
          </w:tcPr>
          <w:p w14:paraId="4B1011B3" w14:textId="77777777" w:rsidR="00F05C28" w:rsidRPr="00F05C28" w:rsidRDefault="00F05C28" w:rsidP="00574B5E">
            <w:pPr>
              <w:jc w:val="center"/>
              <w:rPr>
                <w:b/>
                <w:bCs/>
                <w:color w:val="000000"/>
              </w:rPr>
            </w:pPr>
            <w:r w:rsidRPr="00F05C28">
              <w:rPr>
                <w:b/>
                <w:bCs/>
                <w:color w:val="000000"/>
              </w:rPr>
              <w:t>Enrollment Status</w:t>
            </w:r>
          </w:p>
        </w:tc>
        <w:tc>
          <w:tcPr>
            <w:tcW w:w="496" w:type="pct"/>
            <w:tcBorders>
              <w:top w:val="nil"/>
              <w:left w:val="nil"/>
              <w:bottom w:val="nil"/>
              <w:right w:val="nil"/>
            </w:tcBorders>
            <w:shd w:val="clear" w:color="auto" w:fill="auto"/>
            <w:vAlign w:val="bottom"/>
            <w:hideMark/>
          </w:tcPr>
          <w:p w14:paraId="4283CE1A"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55869FA0"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28A69159"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1922BD1B" w14:textId="77777777" w:rsidR="00F05C28" w:rsidRPr="00F05C28" w:rsidRDefault="00F05C28" w:rsidP="00574B5E"/>
        </w:tc>
      </w:tr>
      <w:tr w:rsidR="00F05C28" w:rsidRPr="00F05C28" w14:paraId="4FDD8AAB" w14:textId="77777777" w:rsidTr="00574B5E">
        <w:trPr>
          <w:trHeight w:val="288"/>
        </w:trPr>
        <w:tc>
          <w:tcPr>
            <w:tcW w:w="2386" w:type="pct"/>
            <w:tcBorders>
              <w:top w:val="nil"/>
              <w:left w:val="nil"/>
              <w:bottom w:val="nil"/>
              <w:right w:val="nil"/>
            </w:tcBorders>
            <w:shd w:val="clear" w:color="auto" w:fill="auto"/>
            <w:noWrap/>
            <w:hideMark/>
          </w:tcPr>
          <w:p w14:paraId="5198A737" w14:textId="77777777" w:rsidR="00F05C28" w:rsidRPr="00F05C28" w:rsidRDefault="00F05C28" w:rsidP="00574B5E">
            <w:pPr>
              <w:rPr>
                <w:color w:val="000000"/>
              </w:rPr>
            </w:pPr>
            <w:r w:rsidRPr="00F05C28">
              <w:rPr>
                <w:color w:val="000000"/>
              </w:rPr>
              <w:t>Part-time</w:t>
            </w:r>
          </w:p>
        </w:tc>
        <w:tc>
          <w:tcPr>
            <w:tcW w:w="496" w:type="pct"/>
            <w:tcBorders>
              <w:top w:val="nil"/>
              <w:left w:val="nil"/>
              <w:bottom w:val="nil"/>
              <w:right w:val="nil"/>
            </w:tcBorders>
            <w:shd w:val="clear" w:color="auto" w:fill="auto"/>
            <w:vAlign w:val="bottom"/>
            <w:hideMark/>
          </w:tcPr>
          <w:p w14:paraId="6853D6AC" w14:textId="77777777" w:rsidR="00F05C28" w:rsidRPr="00F05C28" w:rsidRDefault="00F05C28" w:rsidP="00574B5E">
            <w:pPr>
              <w:jc w:val="right"/>
              <w:rPr>
                <w:color w:val="000000"/>
              </w:rPr>
            </w:pPr>
            <w:r w:rsidRPr="00F05C28">
              <w:rPr>
                <w:color w:val="000000"/>
              </w:rPr>
              <w:t>-1.91</w:t>
            </w:r>
          </w:p>
        </w:tc>
        <w:tc>
          <w:tcPr>
            <w:tcW w:w="496" w:type="pct"/>
            <w:tcBorders>
              <w:top w:val="nil"/>
              <w:left w:val="nil"/>
              <w:bottom w:val="nil"/>
              <w:right w:val="nil"/>
            </w:tcBorders>
            <w:shd w:val="clear" w:color="auto" w:fill="auto"/>
            <w:noWrap/>
            <w:vAlign w:val="bottom"/>
            <w:hideMark/>
          </w:tcPr>
          <w:p w14:paraId="735F81B0" w14:textId="77777777" w:rsidR="00F05C28" w:rsidRPr="00F05C28" w:rsidRDefault="00F05C28" w:rsidP="00574B5E">
            <w:pPr>
              <w:jc w:val="right"/>
              <w:rPr>
                <w:color w:val="000000"/>
              </w:rPr>
            </w:pPr>
            <w:r w:rsidRPr="00F05C28">
              <w:rPr>
                <w:color w:val="000000"/>
              </w:rPr>
              <w:t>30.03</w:t>
            </w:r>
          </w:p>
        </w:tc>
        <w:tc>
          <w:tcPr>
            <w:tcW w:w="1047" w:type="pct"/>
            <w:tcBorders>
              <w:top w:val="nil"/>
              <w:left w:val="nil"/>
              <w:bottom w:val="nil"/>
              <w:right w:val="nil"/>
            </w:tcBorders>
            <w:shd w:val="clear" w:color="auto" w:fill="auto"/>
            <w:noWrap/>
            <w:vAlign w:val="bottom"/>
            <w:hideMark/>
          </w:tcPr>
          <w:p w14:paraId="31FF2AC9" w14:textId="77777777" w:rsidR="00F05C28" w:rsidRPr="00F05C28" w:rsidRDefault="00F05C28" w:rsidP="00574B5E">
            <w:pPr>
              <w:jc w:val="right"/>
              <w:rPr>
                <w:color w:val="000000"/>
              </w:rPr>
            </w:pPr>
            <w:r w:rsidRPr="00F05C28">
              <w:rPr>
                <w:color w:val="000000"/>
              </w:rPr>
              <w:t>0.15</w:t>
            </w:r>
          </w:p>
        </w:tc>
        <w:tc>
          <w:tcPr>
            <w:tcW w:w="575" w:type="pct"/>
            <w:tcBorders>
              <w:top w:val="nil"/>
              <w:left w:val="nil"/>
              <w:bottom w:val="nil"/>
              <w:right w:val="nil"/>
            </w:tcBorders>
            <w:shd w:val="clear" w:color="auto" w:fill="auto"/>
            <w:noWrap/>
            <w:vAlign w:val="bottom"/>
            <w:hideMark/>
          </w:tcPr>
          <w:p w14:paraId="25191F96" w14:textId="77777777" w:rsidR="00F05C28" w:rsidRPr="00F05C28" w:rsidRDefault="00F05C28" w:rsidP="00574B5E">
            <w:pPr>
              <w:jc w:val="right"/>
              <w:rPr>
                <w:color w:val="000000"/>
              </w:rPr>
            </w:pPr>
            <w:r w:rsidRPr="00F05C28">
              <w:rPr>
                <w:color w:val="000000"/>
              </w:rPr>
              <w:t>0.00*</w:t>
            </w:r>
          </w:p>
        </w:tc>
      </w:tr>
      <w:tr w:rsidR="00F05C28" w:rsidRPr="00F05C28" w14:paraId="05F74EB8" w14:textId="77777777" w:rsidTr="00574B5E">
        <w:trPr>
          <w:trHeight w:val="288"/>
        </w:trPr>
        <w:tc>
          <w:tcPr>
            <w:tcW w:w="2386" w:type="pct"/>
            <w:tcBorders>
              <w:top w:val="nil"/>
              <w:left w:val="nil"/>
              <w:bottom w:val="nil"/>
              <w:right w:val="nil"/>
            </w:tcBorders>
            <w:shd w:val="clear" w:color="auto" w:fill="auto"/>
            <w:noWrap/>
            <w:hideMark/>
          </w:tcPr>
          <w:p w14:paraId="011D9F69" w14:textId="77777777" w:rsidR="00F05C28" w:rsidRPr="00F05C28" w:rsidRDefault="00F05C28" w:rsidP="00574B5E">
            <w:pPr>
              <w:jc w:val="center"/>
              <w:rPr>
                <w:b/>
                <w:bCs/>
                <w:color w:val="000000"/>
              </w:rPr>
            </w:pPr>
            <w:r w:rsidRPr="00F05C28">
              <w:rPr>
                <w:b/>
                <w:bCs/>
                <w:color w:val="000000"/>
              </w:rPr>
              <w:t>Residential Status</w:t>
            </w:r>
          </w:p>
        </w:tc>
        <w:tc>
          <w:tcPr>
            <w:tcW w:w="496" w:type="pct"/>
            <w:tcBorders>
              <w:top w:val="nil"/>
              <w:left w:val="nil"/>
              <w:bottom w:val="nil"/>
              <w:right w:val="nil"/>
            </w:tcBorders>
            <w:shd w:val="clear" w:color="auto" w:fill="auto"/>
            <w:vAlign w:val="bottom"/>
            <w:hideMark/>
          </w:tcPr>
          <w:p w14:paraId="68793817"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0D69A5FF"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2911EC33"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2F9F1BB9" w14:textId="77777777" w:rsidR="00F05C28" w:rsidRPr="00F05C28" w:rsidRDefault="00F05C28" w:rsidP="00574B5E"/>
        </w:tc>
      </w:tr>
      <w:tr w:rsidR="00F05C28" w:rsidRPr="00F05C28" w14:paraId="394403C5" w14:textId="77777777" w:rsidTr="00574B5E">
        <w:trPr>
          <w:trHeight w:val="288"/>
        </w:trPr>
        <w:tc>
          <w:tcPr>
            <w:tcW w:w="2386" w:type="pct"/>
            <w:tcBorders>
              <w:top w:val="nil"/>
              <w:left w:val="nil"/>
              <w:bottom w:val="nil"/>
              <w:right w:val="nil"/>
            </w:tcBorders>
            <w:shd w:val="clear" w:color="auto" w:fill="auto"/>
            <w:noWrap/>
            <w:hideMark/>
          </w:tcPr>
          <w:p w14:paraId="7B939965" w14:textId="77777777" w:rsidR="00F05C28" w:rsidRPr="00F05C28" w:rsidRDefault="00F05C28" w:rsidP="00574B5E">
            <w:pPr>
              <w:rPr>
                <w:color w:val="000000"/>
              </w:rPr>
            </w:pPr>
            <w:r w:rsidRPr="00F05C28">
              <w:rPr>
                <w:color w:val="000000"/>
              </w:rPr>
              <w:t>Commuter</w:t>
            </w:r>
          </w:p>
        </w:tc>
        <w:tc>
          <w:tcPr>
            <w:tcW w:w="496" w:type="pct"/>
            <w:tcBorders>
              <w:top w:val="nil"/>
              <w:left w:val="nil"/>
              <w:bottom w:val="nil"/>
              <w:right w:val="nil"/>
            </w:tcBorders>
            <w:shd w:val="clear" w:color="auto" w:fill="auto"/>
            <w:vAlign w:val="bottom"/>
            <w:hideMark/>
          </w:tcPr>
          <w:p w14:paraId="6870AC81" w14:textId="77777777" w:rsidR="00F05C28" w:rsidRPr="00F05C28" w:rsidRDefault="00F05C28" w:rsidP="00574B5E">
            <w:pPr>
              <w:jc w:val="right"/>
              <w:rPr>
                <w:color w:val="000000"/>
              </w:rPr>
            </w:pPr>
            <w:r w:rsidRPr="00F05C28">
              <w:rPr>
                <w:color w:val="000000"/>
              </w:rPr>
              <w:t>-0.04</w:t>
            </w:r>
          </w:p>
        </w:tc>
        <w:tc>
          <w:tcPr>
            <w:tcW w:w="496" w:type="pct"/>
            <w:tcBorders>
              <w:top w:val="nil"/>
              <w:left w:val="nil"/>
              <w:bottom w:val="nil"/>
              <w:right w:val="nil"/>
            </w:tcBorders>
            <w:shd w:val="clear" w:color="auto" w:fill="auto"/>
            <w:noWrap/>
            <w:vAlign w:val="bottom"/>
            <w:hideMark/>
          </w:tcPr>
          <w:p w14:paraId="4596B198" w14:textId="77777777" w:rsidR="00F05C28" w:rsidRPr="00F05C28" w:rsidRDefault="00F05C28" w:rsidP="00574B5E">
            <w:pPr>
              <w:jc w:val="right"/>
              <w:rPr>
                <w:color w:val="000000"/>
              </w:rPr>
            </w:pPr>
            <w:r w:rsidRPr="00F05C28">
              <w:rPr>
                <w:color w:val="000000"/>
              </w:rPr>
              <w:t>0.02</w:t>
            </w:r>
          </w:p>
        </w:tc>
        <w:tc>
          <w:tcPr>
            <w:tcW w:w="1047" w:type="pct"/>
            <w:tcBorders>
              <w:top w:val="nil"/>
              <w:left w:val="nil"/>
              <w:bottom w:val="nil"/>
              <w:right w:val="nil"/>
            </w:tcBorders>
            <w:shd w:val="clear" w:color="auto" w:fill="auto"/>
            <w:noWrap/>
            <w:vAlign w:val="bottom"/>
            <w:hideMark/>
          </w:tcPr>
          <w:p w14:paraId="4128012A" w14:textId="77777777" w:rsidR="00F05C28" w:rsidRPr="00F05C28" w:rsidRDefault="00F05C28" w:rsidP="00574B5E">
            <w:pPr>
              <w:jc w:val="right"/>
              <w:rPr>
                <w:color w:val="000000"/>
              </w:rPr>
            </w:pPr>
            <w:r w:rsidRPr="00F05C28">
              <w:rPr>
                <w:color w:val="000000"/>
              </w:rPr>
              <w:t>0.96</w:t>
            </w:r>
          </w:p>
        </w:tc>
        <w:tc>
          <w:tcPr>
            <w:tcW w:w="575" w:type="pct"/>
            <w:tcBorders>
              <w:top w:val="nil"/>
              <w:left w:val="nil"/>
              <w:bottom w:val="nil"/>
              <w:right w:val="nil"/>
            </w:tcBorders>
            <w:shd w:val="clear" w:color="auto" w:fill="auto"/>
            <w:noWrap/>
            <w:vAlign w:val="bottom"/>
            <w:hideMark/>
          </w:tcPr>
          <w:p w14:paraId="36C18625" w14:textId="77777777" w:rsidR="00F05C28" w:rsidRPr="00F05C28" w:rsidRDefault="00F05C28" w:rsidP="00574B5E">
            <w:pPr>
              <w:jc w:val="right"/>
              <w:rPr>
                <w:color w:val="000000"/>
              </w:rPr>
            </w:pPr>
            <w:r w:rsidRPr="00F05C28">
              <w:rPr>
                <w:color w:val="000000"/>
              </w:rPr>
              <w:t>0.88</w:t>
            </w:r>
          </w:p>
        </w:tc>
      </w:tr>
      <w:tr w:rsidR="00F05C28" w:rsidRPr="00F05C28" w14:paraId="10FB1897" w14:textId="77777777" w:rsidTr="00574B5E">
        <w:trPr>
          <w:trHeight w:val="288"/>
        </w:trPr>
        <w:tc>
          <w:tcPr>
            <w:tcW w:w="2386" w:type="pct"/>
            <w:tcBorders>
              <w:top w:val="nil"/>
              <w:left w:val="nil"/>
              <w:bottom w:val="nil"/>
              <w:right w:val="nil"/>
            </w:tcBorders>
            <w:shd w:val="clear" w:color="auto" w:fill="auto"/>
            <w:noWrap/>
            <w:hideMark/>
          </w:tcPr>
          <w:p w14:paraId="01517D9A" w14:textId="77777777" w:rsidR="00F05C28" w:rsidRPr="00F05C28" w:rsidRDefault="00F05C28" w:rsidP="00574B5E">
            <w:pPr>
              <w:rPr>
                <w:color w:val="000000"/>
              </w:rPr>
            </w:pPr>
            <w:r w:rsidRPr="00F05C28">
              <w:rPr>
                <w:color w:val="000000"/>
              </w:rPr>
              <w:t>Fraternity</w:t>
            </w:r>
          </w:p>
        </w:tc>
        <w:tc>
          <w:tcPr>
            <w:tcW w:w="496" w:type="pct"/>
            <w:tcBorders>
              <w:top w:val="nil"/>
              <w:left w:val="nil"/>
              <w:bottom w:val="nil"/>
              <w:right w:val="nil"/>
            </w:tcBorders>
            <w:shd w:val="clear" w:color="auto" w:fill="auto"/>
            <w:vAlign w:val="bottom"/>
            <w:hideMark/>
          </w:tcPr>
          <w:p w14:paraId="2E4C390A" w14:textId="77777777" w:rsidR="00F05C28" w:rsidRPr="00F05C28" w:rsidRDefault="00F05C28" w:rsidP="00574B5E">
            <w:pPr>
              <w:jc w:val="right"/>
              <w:rPr>
                <w:color w:val="000000"/>
              </w:rPr>
            </w:pPr>
            <w:r w:rsidRPr="00F05C28">
              <w:rPr>
                <w:color w:val="000000"/>
              </w:rPr>
              <w:t>17.06</w:t>
            </w:r>
          </w:p>
        </w:tc>
        <w:tc>
          <w:tcPr>
            <w:tcW w:w="496" w:type="pct"/>
            <w:tcBorders>
              <w:top w:val="nil"/>
              <w:left w:val="nil"/>
              <w:bottom w:val="nil"/>
              <w:right w:val="nil"/>
            </w:tcBorders>
            <w:shd w:val="clear" w:color="auto" w:fill="auto"/>
            <w:noWrap/>
            <w:vAlign w:val="bottom"/>
            <w:hideMark/>
          </w:tcPr>
          <w:p w14:paraId="3D350209" w14:textId="77777777" w:rsidR="00F05C28" w:rsidRPr="00F05C28" w:rsidRDefault="00F05C28" w:rsidP="00574B5E">
            <w:pPr>
              <w:jc w:val="right"/>
              <w:rPr>
                <w:color w:val="000000"/>
              </w:rPr>
            </w:pPr>
            <w:r w:rsidRPr="00F05C28">
              <w:rPr>
                <w:color w:val="000000"/>
              </w:rPr>
              <w:t>0.00</w:t>
            </w:r>
          </w:p>
        </w:tc>
        <w:tc>
          <w:tcPr>
            <w:tcW w:w="1047" w:type="pct"/>
            <w:tcBorders>
              <w:top w:val="nil"/>
              <w:left w:val="nil"/>
              <w:bottom w:val="nil"/>
              <w:right w:val="nil"/>
            </w:tcBorders>
            <w:shd w:val="clear" w:color="auto" w:fill="auto"/>
            <w:noWrap/>
            <w:vAlign w:val="bottom"/>
            <w:hideMark/>
          </w:tcPr>
          <w:p w14:paraId="359BEA99" w14:textId="77777777" w:rsidR="00F05C28" w:rsidRPr="00F05C28" w:rsidRDefault="00F05C28" w:rsidP="00574B5E">
            <w:pPr>
              <w:jc w:val="right"/>
              <w:rPr>
                <w:color w:val="000000"/>
              </w:rPr>
            </w:pPr>
            <w:r w:rsidRPr="00F05C28">
              <w:rPr>
                <w:color w:val="000000"/>
              </w:rPr>
              <w:t>25641311.37</w:t>
            </w:r>
          </w:p>
        </w:tc>
        <w:tc>
          <w:tcPr>
            <w:tcW w:w="575" w:type="pct"/>
            <w:tcBorders>
              <w:top w:val="nil"/>
              <w:left w:val="nil"/>
              <w:bottom w:val="nil"/>
              <w:right w:val="nil"/>
            </w:tcBorders>
            <w:shd w:val="clear" w:color="auto" w:fill="auto"/>
            <w:noWrap/>
            <w:vAlign w:val="bottom"/>
            <w:hideMark/>
          </w:tcPr>
          <w:p w14:paraId="3983D124" w14:textId="77777777" w:rsidR="00F05C28" w:rsidRPr="00F05C28" w:rsidRDefault="00F05C28" w:rsidP="00574B5E">
            <w:pPr>
              <w:jc w:val="right"/>
              <w:rPr>
                <w:color w:val="000000"/>
              </w:rPr>
            </w:pPr>
            <w:r w:rsidRPr="00F05C28">
              <w:rPr>
                <w:color w:val="000000"/>
              </w:rPr>
              <w:t>1.00</w:t>
            </w:r>
          </w:p>
        </w:tc>
      </w:tr>
      <w:tr w:rsidR="00F05C28" w:rsidRPr="00F05C28" w14:paraId="72369A58" w14:textId="77777777" w:rsidTr="00574B5E">
        <w:trPr>
          <w:trHeight w:val="288"/>
        </w:trPr>
        <w:tc>
          <w:tcPr>
            <w:tcW w:w="2386" w:type="pct"/>
            <w:tcBorders>
              <w:top w:val="nil"/>
              <w:left w:val="nil"/>
              <w:bottom w:val="nil"/>
              <w:right w:val="nil"/>
            </w:tcBorders>
            <w:shd w:val="clear" w:color="auto" w:fill="auto"/>
            <w:noWrap/>
            <w:hideMark/>
          </w:tcPr>
          <w:p w14:paraId="0BEB096A" w14:textId="77777777" w:rsidR="00F05C28" w:rsidRPr="00F05C28" w:rsidRDefault="00F05C28" w:rsidP="00574B5E">
            <w:pPr>
              <w:rPr>
                <w:color w:val="000000"/>
              </w:rPr>
            </w:pPr>
            <w:r w:rsidRPr="00F05C28">
              <w:rPr>
                <w:color w:val="000000"/>
              </w:rPr>
              <w:t>Unknown</w:t>
            </w:r>
          </w:p>
        </w:tc>
        <w:tc>
          <w:tcPr>
            <w:tcW w:w="496" w:type="pct"/>
            <w:tcBorders>
              <w:top w:val="nil"/>
              <w:left w:val="nil"/>
              <w:bottom w:val="nil"/>
              <w:right w:val="nil"/>
            </w:tcBorders>
            <w:shd w:val="clear" w:color="auto" w:fill="auto"/>
            <w:vAlign w:val="bottom"/>
            <w:hideMark/>
          </w:tcPr>
          <w:p w14:paraId="52D4CF98" w14:textId="77777777" w:rsidR="00F05C28" w:rsidRPr="00F05C28" w:rsidRDefault="00F05C28" w:rsidP="00574B5E">
            <w:pPr>
              <w:jc w:val="right"/>
              <w:rPr>
                <w:color w:val="000000"/>
              </w:rPr>
            </w:pPr>
            <w:r w:rsidRPr="00F05C28">
              <w:rPr>
                <w:color w:val="000000"/>
              </w:rPr>
              <w:t>-0.12</w:t>
            </w:r>
          </w:p>
        </w:tc>
        <w:tc>
          <w:tcPr>
            <w:tcW w:w="496" w:type="pct"/>
            <w:tcBorders>
              <w:top w:val="nil"/>
              <w:left w:val="nil"/>
              <w:bottom w:val="nil"/>
              <w:right w:val="nil"/>
            </w:tcBorders>
            <w:shd w:val="clear" w:color="auto" w:fill="auto"/>
            <w:noWrap/>
            <w:vAlign w:val="bottom"/>
            <w:hideMark/>
          </w:tcPr>
          <w:p w14:paraId="492CDAE0" w14:textId="77777777" w:rsidR="00F05C28" w:rsidRPr="00F05C28" w:rsidRDefault="00F05C28" w:rsidP="00574B5E">
            <w:pPr>
              <w:jc w:val="right"/>
              <w:rPr>
                <w:color w:val="000000"/>
              </w:rPr>
            </w:pPr>
            <w:r w:rsidRPr="00F05C28">
              <w:rPr>
                <w:color w:val="000000"/>
              </w:rPr>
              <w:t>0.06</w:t>
            </w:r>
          </w:p>
        </w:tc>
        <w:tc>
          <w:tcPr>
            <w:tcW w:w="1047" w:type="pct"/>
            <w:tcBorders>
              <w:top w:val="nil"/>
              <w:left w:val="nil"/>
              <w:bottom w:val="nil"/>
              <w:right w:val="nil"/>
            </w:tcBorders>
            <w:shd w:val="clear" w:color="auto" w:fill="auto"/>
            <w:noWrap/>
            <w:vAlign w:val="bottom"/>
            <w:hideMark/>
          </w:tcPr>
          <w:p w14:paraId="58D5A95A" w14:textId="77777777" w:rsidR="00F05C28" w:rsidRPr="00F05C28" w:rsidRDefault="00F05C28" w:rsidP="00574B5E">
            <w:pPr>
              <w:jc w:val="right"/>
              <w:rPr>
                <w:color w:val="000000"/>
              </w:rPr>
            </w:pPr>
            <w:r w:rsidRPr="00F05C28">
              <w:rPr>
                <w:color w:val="000000"/>
              </w:rPr>
              <w:t>0.88</w:t>
            </w:r>
          </w:p>
        </w:tc>
        <w:tc>
          <w:tcPr>
            <w:tcW w:w="575" w:type="pct"/>
            <w:tcBorders>
              <w:top w:val="nil"/>
              <w:left w:val="nil"/>
              <w:bottom w:val="nil"/>
              <w:right w:val="nil"/>
            </w:tcBorders>
            <w:shd w:val="clear" w:color="auto" w:fill="auto"/>
            <w:noWrap/>
            <w:vAlign w:val="bottom"/>
            <w:hideMark/>
          </w:tcPr>
          <w:p w14:paraId="17CEC3B4" w14:textId="77777777" w:rsidR="00F05C28" w:rsidRPr="00F05C28" w:rsidRDefault="00F05C28" w:rsidP="00574B5E">
            <w:pPr>
              <w:jc w:val="right"/>
              <w:rPr>
                <w:color w:val="000000"/>
              </w:rPr>
            </w:pPr>
            <w:r w:rsidRPr="00F05C28">
              <w:rPr>
                <w:color w:val="000000"/>
              </w:rPr>
              <w:t>0.80</w:t>
            </w:r>
          </w:p>
        </w:tc>
      </w:tr>
      <w:tr w:rsidR="00F05C28" w:rsidRPr="00F05C28" w14:paraId="52332600" w14:textId="77777777" w:rsidTr="00574B5E">
        <w:trPr>
          <w:trHeight w:val="288"/>
        </w:trPr>
        <w:tc>
          <w:tcPr>
            <w:tcW w:w="2386" w:type="pct"/>
            <w:tcBorders>
              <w:top w:val="nil"/>
              <w:left w:val="nil"/>
              <w:bottom w:val="nil"/>
              <w:right w:val="nil"/>
            </w:tcBorders>
            <w:shd w:val="clear" w:color="auto" w:fill="auto"/>
            <w:noWrap/>
            <w:hideMark/>
          </w:tcPr>
          <w:p w14:paraId="33CC0686" w14:textId="77777777" w:rsidR="00F05C28" w:rsidRPr="00F05C28" w:rsidRDefault="00F05C28" w:rsidP="00574B5E">
            <w:pPr>
              <w:jc w:val="center"/>
              <w:rPr>
                <w:b/>
                <w:bCs/>
                <w:color w:val="000000"/>
              </w:rPr>
            </w:pPr>
            <w:r w:rsidRPr="00F05C28">
              <w:rPr>
                <w:b/>
                <w:bCs/>
                <w:color w:val="000000"/>
              </w:rPr>
              <w:t>Parents' Education</w:t>
            </w:r>
          </w:p>
        </w:tc>
        <w:tc>
          <w:tcPr>
            <w:tcW w:w="496" w:type="pct"/>
            <w:tcBorders>
              <w:top w:val="nil"/>
              <w:left w:val="nil"/>
              <w:bottom w:val="nil"/>
              <w:right w:val="nil"/>
            </w:tcBorders>
            <w:shd w:val="clear" w:color="auto" w:fill="auto"/>
            <w:vAlign w:val="bottom"/>
            <w:hideMark/>
          </w:tcPr>
          <w:p w14:paraId="35231387" w14:textId="77777777" w:rsidR="00F05C28" w:rsidRPr="00F05C28" w:rsidRDefault="00F05C28" w:rsidP="00574B5E">
            <w:pPr>
              <w:jc w:val="center"/>
              <w:rPr>
                <w:b/>
                <w:bCs/>
                <w:color w:val="000000"/>
              </w:rPr>
            </w:pPr>
          </w:p>
        </w:tc>
        <w:tc>
          <w:tcPr>
            <w:tcW w:w="496" w:type="pct"/>
            <w:tcBorders>
              <w:top w:val="nil"/>
              <w:left w:val="nil"/>
              <w:bottom w:val="nil"/>
              <w:right w:val="nil"/>
            </w:tcBorders>
            <w:shd w:val="clear" w:color="auto" w:fill="auto"/>
            <w:noWrap/>
            <w:vAlign w:val="bottom"/>
            <w:hideMark/>
          </w:tcPr>
          <w:p w14:paraId="1DB0FB83" w14:textId="77777777" w:rsidR="00F05C28" w:rsidRPr="00F05C28" w:rsidRDefault="00F05C28" w:rsidP="00574B5E"/>
        </w:tc>
        <w:tc>
          <w:tcPr>
            <w:tcW w:w="1047" w:type="pct"/>
            <w:tcBorders>
              <w:top w:val="nil"/>
              <w:left w:val="nil"/>
              <w:bottom w:val="nil"/>
              <w:right w:val="nil"/>
            </w:tcBorders>
            <w:shd w:val="clear" w:color="auto" w:fill="auto"/>
            <w:noWrap/>
            <w:vAlign w:val="bottom"/>
            <w:hideMark/>
          </w:tcPr>
          <w:p w14:paraId="29AD7F6C" w14:textId="77777777" w:rsidR="00F05C28" w:rsidRPr="00F05C28" w:rsidRDefault="00F05C28" w:rsidP="00574B5E"/>
        </w:tc>
        <w:tc>
          <w:tcPr>
            <w:tcW w:w="575" w:type="pct"/>
            <w:tcBorders>
              <w:top w:val="nil"/>
              <w:left w:val="nil"/>
              <w:bottom w:val="nil"/>
              <w:right w:val="nil"/>
            </w:tcBorders>
            <w:shd w:val="clear" w:color="auto" w:fill="auto"/>
            <w:noWrap/>
            <w:vAlign w:val="bottom"/>
            <w:hideMark/>
          </w:tcPr>
          <w:p w14:paraId="7FFE19DD" w14:textId="77777777" w:rsidR="00F05C28" w:rsidRPr="00F05C28" w:rsidRDefault="00F05C28" w:rsidP="00574B5E"/>
        </w:tc>
      </w:tr>
      <w:tr w:rsidR="00F05C28" w:rsidRPr="00F05C28" w14:paraId="54AF3072" w14:textId="77777777" w:rsidTr="00574B5E">
        <w:trPr>
          <w:trHeight w:val="288"/>
        </w:trPr>
        <w:tc>
          <w:tcPr>
            <w:tcW w:w="2386" w:type="pct"/>
            <w:tcBorders>
              <w:top w:val="nil"/>
              <w:left w:val="nil"/>
              <w:bottom w:val="nil"/>
              <w:right w:val="nil"/>
            </w:tcBorders>
            <w:shd w:val="clear" w:color="auto" w:fill="auto"/>
            <w:noWrap/>
            <w:vAlign w:val="bottom"/>
            <w:hideMark/>
          </w:tcPr>
          <w:p w14:paraId="0F45AB70" w14:textId="77777777" w:rsidR="00F05C28" w:rsidRPr="00F05C28" w:rsidRDefault="00F05C28" w:rsidP="00574B5E">
            <w:pPr>
              <w:rPr>
                <w:color w:val="000000"/>
              </w:rPr>
            </w:pPr>
            <w:r w:rsidRPr="00F05C28">
              <w:rPr>
                <w:color w:val="000000"/>
              </w:rPr>
              <w:t>Below high school</w:t>
            </w:r>
          </w:p>
        </w:tc>
        <w:tc>
          <w:tcPr>
            <w:tcW w:w="496" w:type="pct"/>
            <w:tcBorders>
              <w:top w:val="nil"/>
              <w:left w:val="nil"/>
              <w:bottom w:val="nil"/>
              <w:right w:val="nil"/>
            </w:tcBorders>
            <w:shd w:val="clear" w:color="auto" w:fill="auto"/>
            <w:vAlign w:val="bottom"/>
            <w:hideMark/>
          </w:tcPr>
          <w:p w14:paraId="7ECEAE91" w14:textId="77777777" w:rsidR="00F05C28" w:rsidRPr="00F05C28" w:rsidRDefault="00F05C28" w:rsidP="00574B5E">
            <w:pPr>
              <w:jc w:val="right"/>
              <w:rPr>
                <w:color w:val="000000"/>
              </w:rPr>
            </w:pPr>
            <w:r w:rsidRPr="00F05C28">
              <w:rPr>
                <w:color w:val="000000"/>
              </w:rPr>
              <w:t>-0.44</w:t>
            </w:r>
          </w:p>
        </w:tc>
        <w:tc>
          <w:tcPr>
            <w:tcW w:w="496" w:type="pct"/>
            <w:tcBorders>
              <w:top w:val="nil"/>
              <w:left w:val="nil"/>
              <w:bottom w:val="nil"/>
              <w:right w:val="nil"/>
            </w:tcBorders>
            <w:shd w:val="clear" w:color="auto" w:fill="auto"/>
            <w:noWrap/>
            <w:vAlign w:val="bottom"/>
            <w:hideMark/>
          </w:tcPr>
          <w:p w14:paraId="5A0BEA6F" w14:textId="77777777" w:rsidR="00F05C28" w:rsidRPr="00F05C28" w:rsidRDefault="00F05C28" w:rsidP="00574B5E">
            <w:pPr>
              <w:jc w:val="right"/>
              <w:rPr>
                <w:color w:val="000000"/>
              </w:rPr>
            </w:pPr>
            <w:r w:rsidRPr="00F05C28">
              <w:rPr>
                <w:color w:val="000000"/>
              </w:rPr>
              <w:t>0.55</w:t>
            </w:r>
          </w:p>
        </w:tc>
        <w:tc>
          <w:tcPr>
            <w:tcW w:w="1047" w:type="pct"/>
            <w:tcBorders>
              <w:top w:val="nil"/>
              <w:left w:val="nil"/>
              <w:bottom w:val="nil"/>
              <w:right w:val="nil"/>
            </w:tcBorders>
            <w:shd w:val="clear" w:color="auto" w:fill="auto"/>
            <w:noWrap/>
            <w:vAlign w:val="bottom"/>
            <w:hideMark/>
          </w:tcPr>
          <w:p w14:paraId="162D849C" w14:textId="77777777" w:rsidR="00F05C28" w:rsidRPr="00F05C28" w:rsidRDefault="00F05C28" w:rsidP="00574B5E">
            <w:pPr>
              <w:jc w:val="right"/>
              <w:rPr>
                <w:color w:val="000000"/>
              </w:rPr>
            </w:pPr>
            <w:r w:rsidRPr="00F05C28">
              <w:rPr>
                <w:color w:val="000000"/>
              </w:rPr>
              <w:t>0.65</w:t>
            </w:r>
          </w:p>
        </w:tc>
        <w:tc>
          <w:tcPr>
            <w:tcW w:w="575" w:type="pct"/>
            <w:tcBorders>
              <w:top w:val="nil"/>
              <w:left w:val="nil"/>
              <w:bottom w:val="nil"/>
              <w:right w:val="nil"/>
            </w:tcBorders>
            <w:shd w:val="clear" w:color="auto" w:fill="auto"/>
            <w:noWrap/>
            <w:vAlign w:val="bottom"/>
            <w:hideMark/>
          </w:tcPr>
          <w:p w14:paraId="6B4517CE" w14:textId="77777777" w:rsidR="00F05C28" w:rsidRPr="00F05C28" w:rsidRDefault="00F05C28" w:rsidP="00574B5E">
            <w:pPr>
              <w:jc w:val="right"/>
              <w:rPr>
                <w:color w:val="000000"/>
              </w:rPr>
            </w:pPr>
            <w:r w:rsidRPr="00F05C28">
              <w:rPr>
                <w:color w:val="000000"/>
              </w:rPr>
              <w:t>0.46</w:t>
            </w:r>
          </w:p>
        </w:tc>
      </w:tr>
      <w:tr w:rsidR="00F05C28" w:rsidRPr="00F05C28" w14:paraId="2D50025C" w14:textId="77777777" w:rsidTr="00574B5E">
        <w:trPr>
          <w:trHeight w:val="288"/>
        </w:trPr>
        <w:tc>
          <w:tcPr>
            <w:tcW w:w="2386" w:type="pct"/>
            <w:tcBorders>
              <w:top w:val="nil"/>
              <w:left w:val="nil"/>
              <w:bottom w:val="nil"/>
              <w:right w:val="nil"/>
            </w:tcBorders>
            <w:shd w:val="clear" w:color="auto" w:fill="auto"/>
            <w:noWrap/>
            <w:vAlign w:val="bottom"/>
            <w:hideMark/>
          </w:tcPr>
          <w:p w14:paraId="5FE273EF" w14:textId="77777777" w:rsidR="00F05C28" w:rsidRPr="00F05C28" w:rsidRDefault="00F05C28" w:rsidP="00574B5E">
            <w:pPr>
              <w:rPr>
                <w:color w:val="000000"/>
              </w:rPr>
            </w:pPr>
            <w:r w:rsidRPr="00F05C28">
              <w:rPr>
                <w:color w:val="000000"/>
              </w:rPr>
              <w:t>High school diploma/GED</w:t>
            </w:r>
          </w:p>
        </w:tc>
        <w:tc>
          <w:tcPr>
            <w:tcW w:w="496" w:type="pct"/>
            <w:tcBorders>
              <w:top w:val="nil"/>
              <w:left w:val="nil"/>
              <w:bottom w:val="nil"/>
              <w:right w:val="nil"/>
            </w:tcBorders>
            <w:shd w:val="clear" w:color="auto" w:fill="auto"/>
            <w:vAlign w:val="bottom"/>
            <w:hideMark/>
          </w:tcPr>
          <w:p w14:paraId="0D866E98" w14:textId="77777777" w:rsidR="00F05C28" w:rsidRPr="00F05C28" w:rsidRDefault="00F05C28" w:rsidP="00574B5E">
            <w:pPr>
              <w:jc w:val="right"/>
              <w:rPr>
                <w:color w:val="000000"/>
              </w:rPr>
            </w:pPr>
            <w:r w:rsidRPr="00F05C28">
              <w:rPr>
                <w:color w:val="000000"/>
              </w:rPr>
              <w:t>-0.78</w:t>
            </w:r>
          </w:p>
        </w:tc>
        <w:tc>
          <w:tcPr>
            <w:tcW w:w="496" w:type="pct"/>
            <w:tcBorders>
              <w:top w:val="nil"/>
              <w:left w:val="nil"/>
              <w:bottom w:val="nil"/>
              <w:right w:val="nil"/>
            </w:tcBorders>
            <w:shd w:val="clear" w:color="auto" w:fill="auto"/>
            <w:noWrap/>
            <w:vAlign w:val="bottom"/>
            <w:hideMark/>
          </w:tcPr>
          <w:p w14:paraId="794D7DBB" w14:textId="77777777" w:rsidR="00F05C28" w:rsidRPr="00F05C28" w:rsidRDefault="00F05C28" w:rsidP="00574B5E">
            <w:pPr>
              <w:jc w:val="right"/>
              <w:rPr>
                <w:color w:val="000000"/>
              </w:rPr>
            </w:pPr>
            <w:r w:rsidRPr="00F05C28">
              <w:rPr>
                <w:color w:val="000000"/>
              </w:rPr>
              <w:t>7.78</w:t>
            </w:r>
          </w:p>
        </w:tc>
        <w:tc>
          <w:tcPr>
            <w:tcW w:w="1047" w:type="pct"/>
            <w:tcBorders>
              <w:top w:val="nil"/>
              <w:left w:val="nil"/>
              <w:bottom w:val="nil"/>
              <w:right w:val="nil"/>
            </w:tcBorders>
            <w:shd w:val="clear" w:color="auto" w:fill="auto"/>
            <w:noWrap/>
            <w:vAlign w:val="bottom"/>
            <w:hideMark/>
          </w:tcPr>
          <w:p w14:paraId="2CDD57D6" w14:textId="77777777" w:rsidR="00F05C28" w:rsidRPr="00F05C28" w:rsidRDefault="00F05C28" w:rsidP="00574B5E">
            <w:pPr>
              <w:jc w:val="right"/>
              <w:rPr>
                <w:color w:val="000000"/>
              </w:rPr>
            </w:pPr>
            <w:r w:rsidRPr="00F05C28">
              <w:rPr>
                <w:color w:val="000000"/>
              </w:rPr>
              <w:t>0.46</w:t>
            </w:r>
          </w:p>
        </w:tc>
        <w:tc>
          <w:tcPr>
            <w:tcW w:w="575" w:type="pct"/>
            <w:tcBorders>
              <w:top w:val="nil"/>
              <w:left w:val="nil"/>
              <w:bottom w:val="nil"/>
              <w:right w:val="nil"/>
            </w:tcBorders>
            <w:shd w:val="clear" w:color="auto" w:fill="auto"/>
            <w:noWrap/>
            <w:vAlign w:val="bottom"/>
            <w:hideMark/>
          </w:tcPr>
          <w:p w14:paraId="427F6B9B" w14:textId="77777777" w:rsidR="00F05C28" w:rsidRPr="00F05C28" w:rsidRDefault="00F05C28" w:rsidP="00574B5E">
            <w:pPr>
              <w:jc w:val="right"/>
              <w:rPr>
                <w:color w:val="000000"/>
              </w:rPr>
            </w:pPr>
            <w:r w:rsidRPr="00F05C28">
              <w:rPr>
                <w:color w:val="000000"/>
              </w:rPr>
              <w:t>0.01*</w:t>
            </w:r>
          </w:p>
        </w:tc>
      </w:tr>
      <w:tr w:rsidR="00F05C28" w:rsidRPr="00F05C28" w14:paraId="4268C60E" w14:textId="77777777" w:rsidTr="00574B5E">
        <w:trPr>
          <w:trHeight w:val="288"/>
        </w:trPr>
        <w:tc>
          <w:tcPr>
            <w:tcW w:w="2386" w:type="pct"/>
            <w:tcBorders>
              <w:top w:val="nil"/>
              <w:left w:val="nil"/>
              <w:bottom w:val="nil"/>
              <w:right w:val="nil"/>
            </w:tcBorders>
            <w:shd w:val="clear" w:color="auto" w:fill="auto"/>
            <w:noWrap/>
            <w:vAlign w:val="bottom"/>
            <w:hideMark/>
          </w:tcPr>
          <w:p w14:paraId="71775038" w14:textId="77777777" w:rsidR="00F05C28" w:rsidRPr="00F05C28" w:rsidRDefault="00F05C28" w:rsidP="00574B5E">
            <w:pPr>
              <w:rPr>
                <w:color w:val="000000"/>
              </w:rPr>
            </w:pPr>
            <w:r w:rsidRPr="00F05C28">
              <w:rPr>
                <w:color w:val="000000"/>
              </w:rPr>
              <w:t>Some college</w:t>
            </w:r>
          </w:p>
        </w:tc>
        <w:tc>
          <w:tcPr>
            <w:tcW w:w="496" w:type="pct"/>
            <w:tcBorders>
              <w:top w:val="nil"/>
              <w:left w:val="nil"/>
              <w:bottom w:val="nil"/>
              <w:right w:val="nil"/>
            </w:tcBorders>
            <w:shd w:val="clear" w:color="auto" w:fill="auto"/>
            <w:noWrap/>
            <w:vAlign w:val="bottom"/>
            <w:hideMark/>
          </w:tcPr>
          <w:p w14:paraId="094D7B85" w14:textId="77777777" w:rsidR="00F05C28" w:rsidRPr="00F05C28" w:rsidRDefault="00F05C28" w:rsidP="00574B5E">
            <w:pPr>
              <w:jc w:val="right"/>
              <w:rPr>
                <w:color w:val="000000"/>
              </w:rPr>
            </w:pPr>
            <w:r w:rsidRPr="00F05C28">
              <w:rPr>
                <w:color w:val="000000"/>
              </w:rPr>
              <w:t>-0.88</w:t>
            </w:r>
          </w:p>
        </w:tc>
        <w:tc>
          <w:tcPr>
            <w:tcW w:w="496" w:type="pct"/>
            <w:tcBorders>
              <w:top w:val="nil"/>
              <w:left w:val="nil"/>
              <w:bottom w:val="nil"/>
              <w:right w:val="nil"/>
            </w:tcBorders>
            <w:shd w:val="clear" w:color="auto" w:fill="auto"/>
            <w:noWrap/>
            <w:vAlign w:val="bottom"/>
            <w:hideMark/>
          </w:tcPr>
          <w:p w14:paraId="7C884480" w14:textId="77777777" w:rsidR="00F05C28" w:rsidRPr="00F05C28" w:rsidRDefault="00F05C28" w:rsidP="00574B5E">
            <w:pPr>
              <w:jc w:val="right"/>
              <w:rPr>
                <w:color w:val="000000"/>
              </w:rPr>
            </w:pPr>
            <w:r w:rsidRPr="00F05C28">
              <w:rPr>
                <w:color w:val="000000"/>
              </w:rPr>
              <w:t>9.767</w:t>
            </w:r>
          </w:p>
        </w:tc>
        <w:tc>
          <w:tcPr>
            <w:tcW w:w="1047" w:type="pct"/>
            <w:tcBorders>
              <w:top w:val="nil"/>
              <w:left w:val="nil"/>
              <w:bottom w:val="nil"/>
              <w:right w:val="nil"/>
            </w:tcBorders>
            <w:shd w:val="clear" w:color="auto" w:fill="auto"/>
            <w:noWrap/>
            <w:vAlign w:val="bottom"/>
            <w:hideMark/>
          </w:tcPr>
          <w:p w14:paraId="12B8E2A1" w14:textId="77777777" w:rsidR="00F05C28" w:rsidRPr="00F05C28" w:rsidRDefault="00F05C28" w:rsidP="00574B5E">
            <w:pPr>
              <w:jc w:val="right"/>
              <w:rPr>
                <w:color w:val="000000"/>
              </w:rPr>
            </w:pPr>
            <w:r w:rsidRPr="00F05C28">
              <w:rPr>
                <w:color w:val="000000"/>
              </w:rPr>
              <w:t>0.42</w:t>
            </w:r>
          </w:p>
        </w:tc>
        <w:tc>
          <w:tcPr>
            <w:tcW w:w="575" w:type="pct"/>
            <w:tcBorders>
              <w:top w:val="nil"/>
              <w:left w:val="nil"/>
              <w:bottom w:val="nil"/>
              <w:right w:val="nil"/>
            </w:tcBorders>
            <w:shd w:val="clear" w:color="auto" w:fill="auto"/>
            <w:noWrap/>
            <w:vAlign w:val="bottom"/>
            <w:hideMark/>
          </w:tcPr>
          <w:p w14:paraId="59DB0557" w14:textId="77777777" w:rsidR="00F05C28" w:rsidRPr="00F05C28" w:rsidRDefault="00F05C28" w:rsidP="00574B5E">
            <w:pPr>
              <w:jc w:val="right"/>
              <w:rPr>
                <w:color w:val="000000"/>
              </w:rPr>
            </w:pPr>
            <w:r w:rsidRPr="00F05C28">
              <w:rPr>
                <w:color w:val="000000"/>
              </w:rPr>
              <w:t>0.002*</w:t>
            </w:r>
          </w:p>
        </w:tc>
      </w:tr>
      <w:tr w:rsidR="00F05C28" w:rsidRPr="00F05C28" w14:paraId="4DEFABAD" w14:textId="77777777" w:rsidTr="00574B5E">
        <w:trPr>
          <w:trHeight w:val="288"/>
        </w:trPr>
        <w:tc>
          <w:tcPr>
            <w:tcW w:w="2386" w:type="pct"/>
            <w:tcBorders>
              <w:top w:val="nil"/>
              <w:left w:val="nil"/>
              <w:bottom w:val="nil"/>
              <w:right w:val="nil"/>
            </w:tcBorders>
            <w:shd w:val="clear" w:color="auto" w:fill="auto"/>
            <w:noWrap/>
            <w:vAlign w:val="bottom"/>
            <w:hideMark/>
          </w:tcPr>
          <w:p w14:paraId="4882CCB2" w14:textId="77777777" w:rsidR="00F05C28" w:rsidRPr="00F05C28" w:rsidRDefault="00F05C28" w:rsidP="00574B5E">
            <w:pPr>
              <w:rPr>
                <w:color w:val="000000"/>
              </w:rPr>
            </w:pPr>
            <w:r w:rsidRPr="00F05C28">
              <w:rPr>
                <w:color w:val="000000"/>
              </w:rPr>
              <w:t>Associates</w:t>
            </w:r>
          </w:p>
        </w:tc>
        <w:tc>
          <w:tcPr>
            <w:tcW w:w="496" w:type="pct"/>
            <w:tcBorders>
              <w:top w:val="nil"/>
              <w:left w:val="nil"/>
              <w:bottom w:val="nil"/>
              <w:right w:val="nil"/>
            </w:tcBorders>
            <w:shd w:val="clear" w:color="auto" w:fill="auto"/>
            <w:noWrap/>
            <w:vAlign w:val="bottom"/>
            <w:hideMark/>
          </w:tcPr>
          <w:p w14:paraId="5CF398B0" w14:textId="77777777" w:rsidR="00F05C28" w:rsidRPr="00F05C28" w:rsidRDefault="00F05C28" w:rsidP="00574B5E">
            <w:pPr>
              <w:jc w:val="right"/>
              <w:rPr>
                <w:color w:val="000000"/>
              </w:rPr>
            </w:pPr>
            <w:r w:rsidRPr="00F05C28">
              <w:rPr>
                <w:color w:val="000000"/>
              </w:rPr>
              <w:t>-0.61</w:t>
            </w:r>
          </w:p>
        </w:tc>
        <w:tc>
          <w:tcPr>
            <w:tcW w:w="496" w:type="pct"/>
            <w:tcBorders>
              <w:top w:val="nil"/>
              <w:left w:val="nil"/>
              <w:bottom w:val="nil"/>
              <w:right w:val="nil"/>
            </w:tcBorders>
            <w:shd w:val="clear" w:color="auto" w:fill="auto"/>
            <w:noWrap/>
            <w:vAlign w:val="bottom"/>
            <w:hideMark/>
          </w:tcPr>
          <w:p w14:paraId="0835717B" w14:textId="77777777" w:rsidR="00F05C28" w:rsidRPr="00F05C28" w:rsidRDefault="00F05C28" w:rsidP="00574B5E">
            <w:pPr>
              <w:jc w:val="right"/>
              <w:rPr>
                <w:color w:val="000000"/>
              </w:rPr>
            </w:pPr>
            <w:r w:rsidRPr="00F05C28">
              <w:rPr>
                <w:color w:val="000000"/>
              </w:rPr>
              <w:t>3.188</w:t>
            </w:r>
          </w:p>
        </w:tc>
        <w:tc>
          <w:tcPr>
            <w:tcW w:w="1047" w:type="pct"/>
            <w:tcBorders>
              <w:top w:val="nil"/>
              <w:left w:val="nil"/>
              <w:bottom w:val="nil"/>
              <w:right w:val="nil"/>
            </w:tcBorders>
            <w:shd w:val="clear" w:color="auto" w:fill="auto"/>
            <w:noWrap/>
            <w:vAlign w:val="bottom"/>
            <w:hideMark/>
          </w:tcPr>
          <w:p w14:paraId="054F317C" w14:textId="77777777" w:rsidR="00F05C28" w:rsidRPr="00F05C28" w:rsidRDefault="00F05C28" w:rsidP="00574B5E">
            <w:pPr>
              <w:jc w:val="right"/>
              <w:rPr>
                <w:color w:val="000000"/>
              </w:rPr>
            </w:pPr>
            <w:r w:rsidRPr="00F05C28">
              <w:rPr>
                <w:color w:val="000000"/>
              </w:rPr>
              <w:t>0.54</w:t>
            </w:r>
          </w:p>
        </w:tc>
        <w:tc>
          <w:tcPr>
            <w:tcW w:w="575" w:type="pct"/>
            <w:tcBorders>
              <w:top w:val="nil"/>
              <w:left w:val="nil"/>
              <w:bottom w:val="nil"/>
              <w:right w:val="nil"/>
            </w:tcBorders>
            <w:shd w:val="clear" w:color="auto" w:fill="auto"/>
            <w:noWrap/>
            <w:vAlign w:val="bottom"/>
            <w:hideMark/>
          </w:tcPr>
          <w:p w14:paraId="4A2A258F" w14:textId="77777777" w:rsidR="00F05C28" w:rsidRPr="00F05C28" w:rsidRDefault="00F05C28" w:rsidP="00574B5E">
            <w:pPr>
              <w:jc w:val="right"/>
              <w:rPr>
                <w:color w:val="000000"/>
              </w:rPr>
            </w:pPr>
            <w:r w:rsidRPr="00F05C28">
              <w:rPr>
                <w:color w:val="000000"/>
              </w:rPr>
              <w:t>0.074</w:t>
            </w:r>
          </w:p>
        </w:tc>
      </w:tr>
      <w:tr w:rsidR="00F05C28" w:rsidRPr="00F05C28" w14:paraId="5901E33D" w14:textId="77777777" w:rsidTr="00574B5E">
        <w:trPr>
          <w:trHeight w:val="288"/>
        </w:trPr>
        <w:tc>
          <w:tcPr>
            <w:tcW w:w="2386" w:type="pct"/>
            <w:tcBorders>
              <w:top w:val="nil"/>
              <w:left w:val="nil"/>
              <w:right w:val="nil"/>
            </w:tcBorders>
            <w:shd w:val="clear" w:color="auto" w:fill="auto"/>
            <w:noWrap/>
            <w:vAlign w:val="bottom"/>
            <w:hideMark/>
          </w:tcPr>
          <w:p w14:paraId="7E99E5AF" w14:textId="77777777" w:rsidR="00F05C28" w:rsidRPr="00F05C28" w:rsidRDefault="00F05C28" w:rsidP="00574B5E">
            <w:pPr>
              <w:rPr>
                <w:color w:val="000000"/>
              </w:rPr>
            </w:pPr>
            <w:r w:rsidRPr="00F05C28">
              <w:rPr>
                <w:color w:val="000000"/>
              </w:rPr>
              <w:t>Masters</w:t>
            </w:r>
          </w:p>
        </w:tc>
        <w:tc>
          <w:tcPr>
            <w:tcW w:w="496" w:type="pct"/>
            <w:tcBorders>
              <w:top w:val="nil"/>
              <w:left w:val="nil"/>
              <w:right w:val="nil"/>
            </w:tcBorders>
            <w:shd w:val="clear" w:color="auto" w:fill="auto"/>
            <w:noWrap/>
            <w:vAlign w:val="bottom"/>
            <w:hideMark/>
          </w:tcPr>
          <w:p w14:paraId="710D629B" w14:textId="77777777" w:rsidR="00F05C28" w:rsidRPr="00F05C28" w:rsidRDefault="00F05C28" w:rsidP="00574B5E">
            <w:pPr>
              <w:jc w:val="right"/>
              <w:rPr>
                <w:color w:val="000000"/>
              </w:rPr>
            </w:pPr>
            <w:r w:rsidRPr="00F05C28">
              <w:rPr>
                <w:color w:val="000000"/>
              </w:rPr>
              <w:t>0.00</w:t>
            </w:r>
          </w:p>
        </w:tc>
        <w:tc>
          <w:tcPr>
            <w:tcW w:w="496" w:type="pct"/>
            <w:tcBorders>
              <w:top w:val="nil"/>
              <w:left w:val="nil"/>
              <w:right w:val="nil"/>
            </w:tcBorders>
            <w:shd w:val="clear" w:color="auto" w:fill="auto"/>
            <w:noWrap/>
            <w:vAlign w:val="bottom"/>
            <w:hideMark/>
          </w:tcPr>
          <w:p w14:paraId="298CD436" w14:textId="77777777" w:rsidR="00F05C28" w:rsidRPr="00F05C28" w:rsidRDefault="00F05C28" w:rsidP="00574B5E">
            <w:pPr>
              <w:jc w:val="right"/>
              <w:rPr>
                <w:color w:val="000000"/>
              </w:rPr>
            </w:pPr>
            <w:r w:rsidRPr="00F05C28">
              <w:rPr>
                <w:color w:val="000000"/>
              </w:rPr>
              <w:t>0</w:t>
            </w:r>
          </w:p>
        </w:tc>
        <w:tc>
          <w:tcPr>
            <w:tcW w:w="1047" w:type="pct"/>
            <w:tcBorders>
              <w:top w:val="nil"/>
              <w:left w:val="nil"/>
              <w:right w:val="nil"/>
            </w:tcBorders>
            <w:shd w:val="clear" w:color="auto" w:fill="auto"/>
            <w:noWrap/>
            <w:vAlign w:val="bottom"/>
            <w:hideMark/>
          </w:tcPr>
          <w:p w14:paraId="1AB5F7DB" w14:textId="77777777" w:rsidR="00F05C28" w:rsidRPr="00F05C28" w:rsidRDefault="00F05C28" w:rsidP="00574B5E">
            <w:pPr>
              <w:jc w:val="right"/>
              <w:rPr>
                <w:color w:val="000000"/>
              </w:rPr>
            </w:pPr>
            <w:r w:rsidRPr="00F05C28">
              <w:rPr>
                <w:color w:val="000000"/>
              </w:rPr>
              <w:t>1.00</w:t>
            </w:r>
          </w:p>
        </w:tc>
        <w:tc>
          <w:tcPr>
            <w:tcW w:w="575" w:type="pct"/>
            <w:tcBorders>
              <w:top w:val="nil"/>
              <w:left w:val="nil"/>
              <w:right w:val="nil"/>
            </w:tcBorders>
            <w:shd w:val="clear" w:color="auto" w:fill="auto"/>
            <w:noWrap/>
            <w:vAlign w:val="bottom"/>
            <w:hideMark/>
          </w:tcPr>
          <w:p w14:paraId="51F25709" w14:textId="77777777" w:rsidR="00F05C28" w:rsidRPr="00F05C28" w:rsidRDefault="00F05C28" w:rsidP="00574B5E">
            <w:pPr>
              <w:jc w:val="right"/>
              <w:rPr>
                <w:color w:val="000000"/>
              </w:rPr>
            </w:pPr>
            <w:r w:rsidRPr="00F05C28">
              <w:rPr>
                <w:color w:val="000000"/>
              </w:rPr>
              <w:t>0.999</w:t>
            </w:r>
          </w:p>
        </w:tc>
      </w:tr>
      <w:tr w:rsidR="00F05C28" w:rsidRPr="00F05C28" w14:paraId="4DDE9489" w14:textId="77777777" w:rsidTr="00574B5E">
        <w:trPr>
          <w:trHeight w:val="288"/>
        </w:trPr>
        <w:tc>
          <w:tcPr>
            <w:tcW w:w="2386" w:type="pct"/>
            <w:tcBorders>
              <w:top w:val="nil"/>
              <w:left w:val="nil"/>
              <w:bottom w:val="single" w:sz="4" w:space="0" w:color="auto"/>
              <w:right w:val="nil"/>
            </w:tcBorders>
            <w:shd w:val="clear" w:color="auto" w:fill="auto"/>
            <w:noWrap/>
            <w:vAlign w:val="bottom"/>
            <w:hideMark/>
          </w:tcPr>
          <w:p w14:paraId="38777560" w14:textId="77777777" w:rsidR="00F05C28" w:rsidRPr="00F05C28" w:rsidRDefault="00F05C28" w:rsidP="00574B5E">
            <w:pPr>
              <w:rPr>
                <w:color w:val="000000"/>
              </w:rPr>
            </w:pPr>
            <w:r w:rsidRPr="00F05C28">
              <w:rPr>
                <w:color w:val="000000"/>
              </w:rPr>
              <w:t>Unknown</w:t>
            </w:r>
          </w:p>
        </w:tc>
        <w:tc>
          <w:tcPr>
            <w:tcW w:w="496" w:type="pct"/>
            <w:tcBorders>
              <w:top w:val="nil"/>
              <w:left w:val="nil"/>
              <w:bottom w:val="single" w:sz="4" w:space="0" w:color="auto"/>
              <w:right w:val="nil"/>
            </w:tcBorders>
            <w:shd w:val="clear" w:color="auto" w:fill="auto"/>
            <w:noWrap/>
            <w:vAlign w:val="bottom"/>
            <w:hideMark/>
          </w:tcPr>
          <w:p w14:paraId="59DEB206" w14:textId="77777777" w:rsidR="00F05C28" w:rsidRPr="00F05C28" w:rsidRDefault="00F05C28" w:rsidP="00574B5E">
            <w:pPr>
              <w:jc w:val="right"/>
              <w:rPr>
                <w:color w:val="000000"/>
              </w:rPr>
            </w:pPr>
            <w:r w:rsidRPr="00F05C28">
              <w:rPr>
                <w:color w:val="000000"/>
              </w:rPr>
              <w:t>-0.04</w:t>
            </w:r>
          </w:p>
        </w:tc>
        <w:tc>
          <w:tcPr>
            <w:tcW w:w="496" w:type="pct"/>
            <w:tcBorders>
              <w:top w:val="nil"/>
              <w:left w:val="nil"/>
              <w:bottom w:val="single" w:sz="4" w:space="0" w:color="auto"/>
              <w:right w:val="nil"/>
            </w:tcBorders>
            <w:shd w:val="clear" w:color="auto" w:fill="auto"/>
            <w:noWrap/>
            <w:vAlign w:val="bottom"/>
            <w:hideMark/>
          </w:tcPr>
          <w:p w14:paraId="4F607B54" w14:textId="77777777" w:rsidR="00F05C28" w:rsidRPr="00F05C28" w:rsidRDefault="00F05C28" w:rsidP="00574B5E">
            <w:pPr>
              <w:jc w:val="right"/>
              <w:rPr>
                <w:color w:val="000000"/>
              </w:rPr>
            </w:pPr>
            <w:r w:rsidRPr="00F05C28">
              <w:rPr>
                <w:color w:val="000000"/>
              </w:rPr>
              <w:t>0.014</w:t>
            </w:r>
          </w:p>
        </w:tc>
        <w:tc>
          <w:tcPr>
            <w:tcW w:w="1047" w:type="pct"/>
            <w:tcBorders>
              <w:top w:val="nil"/>
              <w:left w:val="nil"/>
              <w:bottom w:val="single" w:sz="4" w:space="0" w:color="auto"/>
              <w:right w:val="nil"/>
            </w:tcBorders>
            <w:shd w:val="clear" w:color="auto" w:fill="auto"/>
            <w:noWrap/>
            <w:vAlign w:val="bottom"/>
            <w:hideMark/>
          </w:tcPr>
          <w:p w14:paraId="4368159D" w14:textId="77777777" w:rsidR="00F05C28" w:rsidRPr="00F05C28" w:rsidRDefault="00F05C28" w:rsidP="00574B5E">
            <w:pPr>
              <w:jc w:val="right"/>
              <w:rPr>
                <w:color w:val="000000"/>
              </w:rPr>
            </w:pPr>
            <w:r w:rsidRPr="00F05C28">
              <w:rPr>
                <w:color w:val="000000"/>
              </w:rPr>
              <w:t>0.96</w:t>
            </w:r>
          </w:p>
        </w:tc>
        <w:tc>
          <w:tcPr>
            <w:tcW w:w="575" w:type="pct"/>
            <w:tcBorders>
              <w:top w:val="nil"/>
              <w:left w:val="nil"/>
              <w:bottom w:val="single" w:sz="4" w:space="0" w:color="auto"/>
              <w:right w:val="nil"/>
            </w:tcBorders>
            <w:shd w:val="clear" w:color="auto" w:fill="auto"/>
            <w:noWrap/>
            <w:vAlign w:val="bottom"/>
            <w:hideMark/>
          </w:tcPr>
          <w:p w14:paraId="0B12088C" w14:textId="77777777" w:rsidR="00F05C28" w:rsidRPr="00F05C28" w:rsidRDefault="00F05C28" w:rsidP="00574B5E">
            <w:pPr>
              <w:jc w:val="right"/>
              <w:rPr>
                <w:color w:val="000000"/>
              </w:rPr>
            </w:pPr>
            <w:r w:rsidRPr="00F05C28">
              <w:rPr>
                <w:color w:val="000000"/>
              </w:rPr>
              <w:t>0.906</w:t>
            </w:r>
          </w:p>
        </w:tc>
      </w:tr>
    </w:tbl>
    <w:p w14:paraId="6EF53604" w14:textId="77777777" w:rsidR="00F05C28" w:rsidRPr="00F05C28" w:rsidRDefault="00F05C28" w:rsidP="00F05C28">
      <w:pPr>
        <w:spacing w:line="480" w:lineRule="auto"/>
      </w:pPr>
    </w:p>
    <w:p w14:paraId="50262705" w14:textId="77777777" w:rsidR="00F05C28" w:rsidRPr="00F05C28" w:rsidRDefault="00F05C28" w:rsidP="00F05C28">
      <w:pPr>
        <w:spacing w:line="480" w:lineRule="auto"/>
      </w:pPr>
      <w:r w:rsidRPr="00F05C28">
        <w:t xml:space="preserve">increased odds of graduation for Latinx students as well. </w:t>
      </w:r>
      <w:r w:rsidRPr="00F05C28">
        <w:rPr>
          <w:noProof/>
        </w:rPr>
        <w:t xml:space="preserve">In terms of the research question, then, </w:t>
      </w:r>
      <w:r w:rsidRPr="00F05C28">
        <w:t>social integration appears to be a predictor of African American and Latinx graduation.</w:t>
      </w:r>
    </w:p>
    <w:p w14:paraId="62B3D67D" w14:textId="77777777" w:rsidR="00F05C28" w:rsidRPr="00F05C28" w:rsidRDefault="00F05C28" w:rsidP="00F05C28">
      <w:pPr>
        <w:spacing w:line="480" w:lineRule="auto"/>
        <w:rPr>
          <w:b/>
          <w:bCs/>
        </w:rPr>
      </w:pPr>
      <w:r w:rsidRPr="00F05C28">
        <w:rPr>
          <w:b/>
          <w:bCs/>
        </w:rPr>
        <w:t>Summary</w:t>
      </w:r>
    </w:p>
    <w:p w14:paraId="283853ED" w14:textId="77777777" w:rsidR="00F05C28" w:rsidRPr="00F05C28" w:rsidRDefault="00F05C28" w:rsidP="00F05C28">
      <w:pPr>
        <w:spacing w:line="480" w:lineRule="auto"/>
        <w:ind w:firstLine="720"/>
        <w:rPr>
          <w:iCs/>
        </w:rPr>
      </w:pPr>
      <w:r w:rsidRPr="00F05C28">
        <w:t xml:space="preserve">Chapter 4 presented findings from the study of 1,516 participants of the 2011 NSSE at South-Eastern State University. The results from research question one indicated that there was </w:t>
      </w:r>
      <w:r w:rsidRPr="00F05C28">
        <w:lastRenderedPageBreak/>
        <w:t xml:space="preserve">no significant difference in scaled measurement of social integration of first year (freshmen) and senior level students. </w:t>
      </w:r>
      <w:r w:rsidRPr="00F05C28">
        <w:rPr>
          <w:iCs/>
        </w:rPr>
        <w:t>The results from research question two revealed that there was a significant</w:t>
      </w:r>
    </w:p>
    <w:p w14:paraId="13F86EC3" w14:textId="77777777" w:rsidR="00F05C28" w:rsidRPr="00F05C28" w:rsidRDefault="00F05C28" w:rsidP="00F05C28">
      <w:pPr>
        <w:spacing w:line="480" w:lineRule="auto"/>
      </w:pPr>
      <w:r w:rsidRPr="00F05C28">
        <w:rPr>
          <w:iCs/>
        </w:rPr>
        <w:t>difference in the scaled measurement of social integration of graduates and dropouts and African</w:t>
      </w:r>
    </w:p>
    <w:p w14:paraId="3CBDE324" w14:textId="77777777" w:rsidR="00F05C28" w:rsidRPr="00F05C28" w:rsidRDefault="00F05C28" w:rsidP="00F05C28">
      <w:pPr>
        <w:spacing w:line="480" w:lineRule="auto"/>
        <w:rPr>
          <w:noProof/>
        </w:rPr>
      </w:pPr>
      <w:r w:rsidRPr="00F05C28">
        <w:rPr>
          <w:iCs/>
        </w:rPr>
        <w:t xml:space="preserve">American students. </w:t>
      </w:r>
      <w:r w:rsidRPr="00F05C28">
        <w:t xml:space="preserve">Results from research question three highlighted the statistically significant relationship between social integration as a predictor of graduation for African American and Latinx student populations.  </w:t>
      </w:r>
      <w:r w:rsidRPr="00F05C28">
        <w:rPr>
          <w:noProof/>
        </w:rPr>
        <w:t>In chapter 5, the findings  of the study will be presented along with a discussion of those findings. In addition, implications of the study and recommendations for future research are presented.</w:t>
      </w:r>
    </w:p>
    <w:p w14:paraId="5BBFADAC" w14:textId="77777777" w:rsidR="00F05C28" w:rsidRPr="00F05C28" w:rsidRDefault="00F05C28" w:rsidP="00F05C28">
      <w:pPr>
        <w:spacing w:after="160" w:line="259" w:lineRule="auto"/>
        <w:jc w:val="center"/>
        <w:rPr>
          <w:b/>
        </w:rPr>
      </w:pPr>
      <w:r w:rsidRPr="00F05C28">
        <w:br w:type="page"/>
      </w:r>
      <w:r w:rsidRPr="00F05C28">
        <w:rPr>
          <w:b/>
        </w:rPr>
        <w:lastRenderedPageBreak/>
        <w:t>CHAPTER V</w:t>
      </w:r>
    </w:p>
    <w:p w14:paraId="63769844" w14:textId="77777777" w:rsidR="00F05C28" w:rsidRPr="00F05C28" w:rsidRDefault="00F05C28" w:rsidP="00F05C28">
      <w:pPr>
        <w:spacing w:line="480" w:lineRule="auto"/>
        <w:jc w:val="center"/>
        <w:rPr>
          <w:b/>
        </w:rPr>
      </w:pPr>
      <w:r w:rsidRPr="00F05C28">
        <w:rPr>
          <w:b/>
        </w:rPr>
        <w:t>DISCUSSION AND CONCLUSION</w:t>
      </w:r>
    </w:p>
    <w:p w14:paraId="57BC6169" w14:textId="77777777" w:rsidR="00F05C28" w:rsidRPr="00F05C28" w:rsidRDefault="00F05C28" w:rsidP="00F05C28">
      <w:pPr>
        <w:spacing w:line="480" w:lineRule="auto"/>
        <w:jc w:val="center"/>
        <w:rPr>
          <w:b/>
        </w:rPr>
      </w:pPr>
      <w:r w:rsidRPr="00F05C28">
        <w:rPr>
          <w:b/>
        </w:rPr>
        <w:t>Introduction</w:t>
      </w:r>
    </w:p>
    <w:p w14:paraId="70F1EAE2" w14:textId="77777777" w:rsidR="00F05C28" w:rsidRPr="00F05C28" w:rsidRDefault="00F05C28" w:rsidP="00F05C28">
      <w:pPr>
        <w:spacing w:line="480" w:lineRule="auto"/>
        <w:ind w:firstLine="720"/>
      </w:pPr>
      <w:r w:rsidRPr="00F05C28">
        <w:t xml:space="preserve">Chapter five provides a summary of the study, a summary and discussion of the findings, implications for practice, and recommendations for future research.  The summary of the study reviews the need, purpose, research questions, and methodology for this study.  The summary and discussion of the findings includes an explanation of the findings and their relationship to existing research and literature in the field. The implications for practice section </w:t>
      </w:r>
      <w:proofErr w:type="gramStart"/>
      <w:r w:rsidRPr="00F05C28">
        <w:t>provides</w:t>
      </w:r>
      <w:proofErr w:type="gramEnd"/>
      <w:r w:rsidRPr="00F05C28">
        <w:t xml:space="preserve"> an overview of how the results of this study can shape and influence practices, and the chapter concludes with recommendations for future research.</w:t>
      </w:r>
    </w:p>
    <w:p w14:paraId="0BCCD5F8" w14:textId="77777777" w:rsidR="00F05C28" w:rsidRPr="00F05C28" w:rsidRDefault="00F05C28" w:rsidP="00F05C28">
      <w:pPr>
        <w:spacing w:line="480" w:lineRule="auto"/>
        <w:jc w:val="center"/>
        <w:rPr>
          <w:b/>
        </w:rPr>
      </w:pPr>
      <w:r w:rsidRPr="00F05C28">
        <w:rPr>
          <w:b/>
        </w:rPr>
        <w:t>Summary of the Study</w:t>
      </w:r>
    </w:p>
    <w:p w14:paraId="4C3933EE" w14:textId="77777777" w:rsidR="00F05C28" w:rsidRPr="00F05C28" w:rsidRDefault="00F05C28" w:rsidP="00F05C28">
      <w:pPr>
        <w:spacing w:line="480" w:lineRule="auto"/>
        <w:ind w:firstLine="720"/>
      </w:pPr>
      <w:r w:rsidRPr="00F05C28">
        <w:t xml:space="preserve">While college retention to graduation continues to be a problem for institutions of higher education, the gaps in educational achievement are disproportionately larger for the African American and Latinx student populations compared to their Caucasian and Asian peers (Bailey &amp; </w:t>
      </w:r>
      <w:proofErr w:type="spellStart"/>
      <w:r w:rsidRPr="00F05C28">
        <w:t>Dynarski</w:t>
      </w:r>
      <w:proofErr w:type="spellEnd"/>
      <w:r w:rsidRPr="00F05C28">
        <w:t xml:space="preserve">, 2011; Fischer, 2007; </w:t>
      </w:r>
      <w:proofErr w:type="spellStart"/>
      <w:r w:rsidRPr="00F05C28">
        <w:t>Kuh</w:t>
      </w:r>
      <w:proofErr w:type="spellEnd"/>
      <w:r w:rsidRPr="00F05C28">
        <w:t xml:space="preserve">, </w:t>
      </w:r>
      <w:proofErr w:type="spellStart"/>
      <w:r w:rsidRPr="00F05C28">
        <w:t>Cruce</w:t>
      </w:r>
      <w:proofErr w:type="spellEnd"/>
      <w:r w:rsidRPr="00F05C28">
        <w:t xml:space="preserve">, </w:t>
      </w:r>
      <w:proofErr w:type="spellStart"/>
      <w:r w:rsidRPr="00F05C28">
        <w:t>Shoup</w:t>
      </w:r>
      <w:proofErr w:type="spellEnd"/>
      <w:r w:rsidRPr="00F05C28">
        <w:t xml:space="preserve">, Kinzie, &amp; </w:t>
      </w:r>
      <w:proofErr w:type="spellStart"/>
      <w:r w:rsidRPr="00F05C28">
        <w:t>Gonyea</w:t>
      </w:r>
      <w:proofErr w:type="spellEnd"/>
      <w:r w:rsidRPr="00F05C28">
        <w:t xml:space="preserve">, 2008; Morley, 2003; </w:t>
      </w:r>
      <w:proofErr w:type="spellStart"/>
      <w:r w:rsidRPr="00F05C28">
        <w:t>Museus</w:t>
      </w:r>
      <w:proofErr w:type="spellEnd"/>
      <w:r w:rsidRPr="00F05C28">
        <w:t xml:space="preserve"> &amp; Quaye, 2009; Zarate &amp; </w:t>
      </w:r>
      <w:proofErr w:type="spellStart"/>
      <w:r w:rsidRPr="00F05C28">
        <w:t>Burciaga</w:t>
      </w:r>
      <w:proofErr w:type="spellEnd"/>
      <w:r w:rsidRPr="00F05C28">
        <w:t xml:space="preserve">, 2010; Zhan &amp; </w:t>
      </w:r>
      <w:proofErr w:type="spellStart"/>
      <w:r w:rsidRPr="00F05C28">
        <w:t>Sherraden</w:t>
      </w:r>
      <w:proofErr w:type="spellEnd"/>
      <w:r w:rsidRPr="00F05C28">
        <w:t>, 2011).  Although retention disparities for African American and Latinx students continue to be present in higher education, student integration has proven to lead to increased academic success and retention (</w:t>
      </w:r>
      <w:proofErr w:type="spellStart"/>
      <w:r w:rsidRPr="00F05C28">
        <w:t>Astin</w:t>
      </w:r>
      <w:proofErr w:type="spellEnd"/>
      <w:r w:rsidRPr="00F05C28">
        <w:t xml:space="preserve">, 1993; Braxton, </w:t>
      </w:r>
      <w:proofErr w:type="spellStart"/>
      <w:r w:rsidRPr="00F05C28">
        <w:t>Hirschy</w:t>
      </w:r>
      <w:proofErr w:type="spellEnd"/>
      <w:r w:rsidRPr="00F05C28">
        <w:t xml:space="preserve">, &amp; McClendon, 2004; Braxton, Sullivan &amp; Johnson, 1997; </w:t>
      </w:r>
      <w:proofErr w:type="spellStart"/>
      <w:r w:rsidRPr="00F05C28">
        <w:t>Deil</w:t>
      </w:r>
      <w:proofErr w:type="spellEnd"/>
      <w:r w:rsidRPr="00F05C28">
        <w:t xml:space="preserve">-Amen, 2011; </w:t>
      </w:r>
      <w:proofErr w:type="spellStart"/>
      <w:r w:rsidRPr="00F05C28">
        <w:t>Kuh</w:t>
      </w:r>
      <w:proofErr w:type="spellEnd"/>
      <w:r w:rsidRPr="00F05C28">
        <w:t xml:space="preserve">, 2001; </w:t>
      </w:r>
      <w:proofErr w:type="spellStart"/>
      <w:r w:rsidRPr="00F05C28">
        <w:t>Kuh</w:t>
      </w:r>
      <w:proofErr w:type="spellEnd"/>
      <w:r w:rsidRPr="00F05C28">
        <w:t xml:space="preserve"> &amp; Love, 2000; Pascarella &amp; </w:t>
      </w:r>
      <w:proofErr w:type="spellStart"/>
      <w:r w:rsidRPr="00F05C28">
        <w:t>Terenzini</w:t>
      </w:r>
      <w:proofErr w:type="spellEnd"/>
      <w:r w:rsidRPr="00F05C28">
        <w:t xml:space="preserve">, 1980, 1983, 1991, 2005; Reid, 2013; Stage, 1989; </w:t>
      </w:r>
      <w:proofErr w:type="spellStart"/>
      <w:r w:rsidRPr="00F05C28">
        <w:t>Swail</w:t>
      </w:r>
      <w:proofErr w:type="spellEnd"/>
      <w:r w:rsidRPr="00F05C28">
        <w:t>, 2004; Tinto, 1975, 1993, 2006).  Tinto’s Theory of Student Departure (1975, 1993) identified two components of student integration; academic integration and social integration.  Academic integration positively influences student’s commitment to learning and college completion (</w:t>
      </w:r>
      <w:proofErr w:type="spellStart"/>
      <w:r w:rsidRPr="00F05C28">
        <w:t>Kuh</w:t>
      </w:r>
      <w:proofErr w:type="spellEnd"/>
      <w:r w:rsidRPr="00F05C28">
        <w:t xml:space="preserve"> et al., 2008; Tinto 1975, 1993, 2010).  Social integration </w:t>
      </w:r>
      <w:r w:rsidRPr="00F05C28">
        <w:lastRenderedPageBreak/>
        <w:t xml:space="preserve">influences students’ level of institutional commitment and satisfaction with the institution along with their experience and sense of belonging, increasing the likelihood of their persistence to graduation (Braxton et al., 2004; Kraemer, 1997; Strayhorn, 2010, 2012; </w:t>
      </w:r>
      <w:proofErr w:type="spellStart"/>
      <w:r w:rsidRPr="00F05C28">
        <w:t>Rienties</w:t>
      </w:r>
      <w:proofErr w:type="spellEnd"/>
      <w:r w:rsidRPr="00F05C28">
        <w:t xml:space="preserve"> et al., 2012; </w:t>
      </w:r>
      <w:proofErr w:type="spellStart"/>
      <w:r w:rsidRPr="00F05C28">
        <w:t>Severiens</w:t>
      </w:r>
      <w:proofErr w:type="spellEnd"/>
      <w:r w:rsidRPr="00F05C28">
        <w:t xml:space="preserve"> &amp; Wolff, 2008; Tinto, 1975, 2006; Wilcox, Winn, &amp; </w:t>
      </w:r>
      <w:proofErr w:type="spellStart"/>
      <w:r w:rsidRPr="00F05C28">
        <w:t>Fyvie-Gauld</w:t>
      </w:r>
      <w:proofErr w:type="spellEnd"/>
      <w:r w:rsidRPr="00F05C28">
        <w:t>, 2005).  While many studies have focused on the academic and social integration of the general student population, little is known about the relationship between social integration and retention to graduation of African American and Latinx students.  Subsequently, the goal of this study was to better understand the relationship between student background characteristics, and social integration, while also assessing the ability to predict persistence to graduation based on social integration.  The following research questions guided this study:</w:t>
      </w:r>
    </w:p>
    <w:p w14:paraId="498A0B13" w14:textId="77777777" w:rsidR="00F05C28" w:rsidRPr="00F05C28" w:rsidRDefault="00F05C28" w:rsidP="00F05C28">
      <w:pPr>
        <w:spacing w:line="480" w:lineRule="auto"/>
        <w:ind w:left="720"/>
      </w:pPr>
      <w:r w:rsidRPr="00F05C28">
        <w:t>1. Is there a significant difference in the scaled measurement of social integration of first-</w:t>
      </w:r>
    </w:p>
    <w:p w14:paraId="4FD7BB08" w14:textId="77777777" w:rsidR="00F05C28" w:rsidRPr="00F05C28" w:rsidRDefault="00F05C28" w:rsidP="00F05C28">
      <w:pPr>
        <w:spacing w:line="480" w:lineRule="auto"/>
        <w:ind w:left="720"/>
      </w:pPr>
      <w:r w:rsidRPr="00F05C28">
        <w:t>year and senior level students?</w:t>
      </w:r>
    </w:p>
    <w:p w14:paraId="222F07A9" w14:textId="77777777" w:rsidR="00F05C28" w:rsidRPr="00F05C28" w:rsidRDefault="00F05C28" w:rsidP="00F05C28">
      <w:pPr>
        <w:spacing w:line="480" w:lineRule="auto"/>
        <w:ind w:left="720"/>
      </w:pPr>
      <w:r w:rsidRPr="00F05C28">
        <w:t>2. Is there a significant difference in the scaled measurement of social integration for</w:t>
      </w:r>
    </w:p>
    <w:p w14:paraId="0145AB80" w14:textId="77777777" w:rsidR="00F05C28" w:rsidRPr="00F05C28" w:rsidRDefault="00F05C28" w:rsidP="00F05C28">
      <w:pPr>
        <w:spacing w:line="480" w:lineRule="auto"/>
        <w:ind w:left="720"/>
      </w:pPr>
      <w:r w:rsidRPr="00F05C28">
        <w:t>African American and Latinx graduates and dropouts?</w:t>
      </w:r>
    </w:p>
    <w:p w14:paraId="68D0FD74" w14:textId="77777777" w:rsidR="00F05C28" w:rsidRPr="00F05C28" w:rsidRDefault="00F05C28" w:rsidP="00F05C28">
      <w:pPr>
        <w:spacing w:line="480" w:lineRule="auto"/>
        <w:ind w:left="720"/>
      </w:pPr>
      <w:r w:rsidRPr="00F05C28">
        <w:t>3. Does social integration predict graduation among African American and Latinx students?</w:t>
      </w:r>
    </w:p>
    <w:p w14:paraId="34982E93" w14:textId="77777777" w:rsidR="00F05C28" w:rsidRPr="00F05C28" w:rsidRDefault="00F05C28" w:rsidP="00F05C28">
      <w:pPr>
        <w:spacing w:line="480" w:lineRule="auto"/>
      </w:pPr>
      <w:r w:rsidRPr="00F05C28">
        <w:t xml:space="preserve">These research questions were answered analyzing student retention and demographic information and social integration composite scores.  The retention data included each student’s graduation status and the year the student graduated.  The demographic data used in the analysis included race/ethnicity, gender, class level, nationality, transfer status, enrollment status, residential status, and parent’s highest level of education.  The social integration composite score was a calculated aggregate measurement of social integration using 13 NSSE variables, five variables from the Supportive Campus Environment (SCE) benchmark, and eight variables from </w:t>
      </w:r>
      <w:r w:rsidRPr="00F05C28">
        <w:lastRenderedPageBreak/>
        <w:t xml:space="preserve">the Enriching Educational Experiences (EEE) benchmark.  The Supportive Campus Environment (SCE) benchmark focused on the social relationships’ students forged with their peers, faculty, staff, and administrators.  The Enriching Educational Experiences (EEE) NSSE benchmark measured student integration beyond the classroom setting. </w:t>
      </w:r>
    </w:p>
    <w:p w14:paraId="4D3F7DC4" w14:textId="77777777" w:rsidR="00F05C28" w:rsidRPr="00F05C28" w:rsidRDefault="00F05C28" w:rsidP="00F05C28">
      <w:pPr>
        <w:spacing w:line="480" w:lineRule="auto"/>
        <w:ind w:firstLine="720"/>
      </w:pPr>
      <w:r w:rsidRPr="00F05C28">
        <w:t xml:space="preserve">The study analyzed data of students enrolled at South-Eastern State University that participated in the 2011 National Survey of Student Engagement (NSSE).   The original dataset, consisting of 1,742 students, was cleaned and prepared as described in Chapter Four.  The final sample included 1,516 students, 586 first-year students, 927 senior students, 163 dropouts, and 1,353 graduates.  </w:t>
      </w:r>
    </w:p>
    <w:p w14:paraId="17C8A32B" w14:textId="77777777" w:rsidR="00F05C28" w:rsidRPr="00F05C28" w:rsidRDefault="00F05C28" w:rsidP="00F05C28">
      <w:pPr>
        <w:spacing w:line="480" w:lineRule="auto"/>
        <w:ind w:firstLine="720"/>
      </w:pPr>
      <w:r w:rsidRPr="00F05C28">
        <w:t xml:space="preserve">In evaluating the first research question, an independent sample t-test was utilized to determine if there were any differences between first-year students’ and senior level students’ social integration.  The second research question was answered using a series of two-way Analysis of Variance (ANOVA) to test the differences in social integration by race/ethnicity and retention status (graduate or dropout) for both the </w:t>
      </w:r>
      <w:proofErr w:type="gramStart"/>
      <w:r w:rsidRPr="00F05C28">
        <w:t>first-year</w:t>
      </w:r>
      <w:proofErr w:type="gramEnd"/>
      <w:r w:rsidRPr="00F05C28">
        <w:t xml:space="preserve"> and senior level participants.  Logistic regression was used to answer the third research question, identifying the predictability of retention to graduation based on social integration and student demographic information.  </w:t>
      </w:r>
    </w:p>
    <w:p w14:paraId="07286FBB" w14:textId="77777777" w:rsidR="00F05C28" w:rsidRPr="00F05C28" w:rsidRDefault="00F05C28" w:rsidP="00F05C28">
      <w:pPr>
        <w:spacing w:line="480" w:lineRule="auto"/>
        <w:jc w:val="center"/>
        <w:rPr>
          <w:b/>
          <w:bCs/>
        </w:rPr>
      </w:pPr>
      <w:r w:rsidRPr="00F05C28">
        <w:rPr>
          <w:b/>
          <w:bCs/>
        </w:rPr>
        <w:t>Summary of the Findings</w:t>
      </w:r>
    </w:p>
    <w:p w14:paraId="35531ADF" w14:textId="77777777" w:rsidR="00F05C28" w:rsidRPr="00F05C28" w:rsidRDefault="00F05C28" w:rsidP="00F05C28">
      <w:pPr>
        <w:spacing w:line="480" w:lineRule="auto"/>
        <w:ind w:firstLine="720"/>
      </w:pPr>
      <w:r w:rsidRPr="00F05C28">
        <w:t xml:space="preserve">Research question one sought to determine if there was a significant difference in the scaled measurement of social integration of first year and senior level students.  The results of the analysis revealed no significant difference in the social integration of </w:t>
      </w:r>
      <w:proofErr w:type="gramStart"/>
      <w:r w:rsidRPr="00F05C28">
        <w:t>first-year</w:t>
      </w:r>
      <w:proofErr w:type="gramEnd"/>
      <w:r w:rsidRPr="00F05C28">
        <w:t xml:space="preserve"> and senior level students.  Research question two was developed to determine if there was a significant difference in the scaled measurement of social integration for African American and Latinx graduates and dropouts.  The results showed a significant difference in graduates and dropouts </w:t>
      </w:r>
      <w:r w:rsidRPr="00F05C28">
        <w:lastRenderedPageBreak/>
        <w:t>overall, as well as for Latinx graduates and dropouts. No significant difference was found between African American graduates and dropouts.  Research question three sought to determine if social integration could predict graduation for African American and Latinx students.  The results revealed that social integration is a significant factor in predicting graduation for all students, including African American and Latinx students. In summary, this study supported the findings from the literature that indicates the positive impact of social integration on student retention and graduation.</w:t>
      </w:r>
    </w:p>
    <w:p w14:paraId="503AB0DB" w14:textId="77777777" w:rsidR="00F05C28" w:rsidRPr="00F05C28" w:rsidRDefault="00F05C28" w:rsidP="00F05C28">
      <w:pPr>
        <w:spacing w:line="480" w:lineRule="auto"/>
        <w:jc w:val="center"/>
        <w:rPr>
          <w:b/>
        </w:rPr>
      </w:pPr>
      <w:r w:rsidRPr="00F05C28">
        <w:rPr>
          <w:b/>
        </w:rPr>
        <w:t>Discussion of the Findings</w:t>
      </w:r>
    </w:p>
    <w:p w14:paraId="769FA536" w14:textId="77777777" w:rsidR="00F05C28" w:rsidRPr="00F05C28" w:rsidRDefault="00F05C28" w:rsidP="00F05C28">
      <w:pPr>
        <w:spacing w:line="480" w:lineRule="auto"/>
        <w:rPr>
          <w:b/>
          <w:bCs/>
        </w:rPr>
      </w:pPr>
      <w:r w:rsidRPr="00F05C28">
        <w:rPr>
          <w:b/>
          <w:bCs/>
        </w:rPr>
        <w:t>Research Question One</w:t>
      </w:r>
    </w:p>
    <w:p w14:paraId="6591F8C8" w14:textId="77777777" w:rsidR="00F05C28" w:rsidRPr="00F05C28" w:rsidRDefault="00F05C28" w:rsidP="00F05C28">
      <w:pPr>
        <w:spacing w:line="480" w:lineRule="auto"/>
        <w:ind w:firstLine="720"/>
      </w:pPr>
      <w:r w:rsidRPr="00F05C28">
        <w:t xml:space="preserve">Based on the frame of the research question, there was an assumption that senior students would have higher social integration scores due to their continued retention and proximity to graduation.  Presumably, senior students have had more opportunities to engage in activities and develop relationships on campus that fostered social integration and increased the likelihood of persistence and graduation.  While the results from research question one </w:t>
      </w:r>
      <w:proofErr w:type="gramStart"/>
      <w:r w:rsidRPr="00F05C28">
        <w:t>were</w:t>
      </w:r>
      <w:proofErr w:type="gramEnd"/>
      <w:r w:rsidRPr="00F05C28">
        <w:t xml:space="preserve"> consistent with findings of previous research and found no significant difference in the social integration of first-year and senior level students, the results were still not expected (Miller, 2012). The researcher’s assumption that senior level student would have higher levels was based on previous research where higher levels of social integration resulted in the increased likelihood of retention for first year students (Chambers, 2009; Libby, 2006; Shinde, 2010).  The problem with this assumption was it did not account for the fact a majority of the previous studies included homogenous samples based on class level, and/or have not compared first year and senior outside of pairwise samples.  Since a majority (89%) of the first-year students in this study graduated, this could </w:t>
      </w:r>
      <w:r w:rsidRPr="00F05C28">
        <w:lastRenderedPageBreak/>
        <w:t xml:space="preserve">contribute to the higher levels of social integration and lack of difference in the social integration of </w:t>
      </w:r>
      <w:proofErr w:type="gramStart"/>
      <w:r w:rsidRPr="00F05C28">
        <w:t>first-year</w:t>
      </w:r>
      <w:proofErr w:type="gramEnd"/>
      <w:r w:rsidRPr="00F05C28">
        <w:t xml:space="preserve"> and senior level in the test results. </w:t>
      </w:r>
    </w:p>
    <w:p w14:paraId="2C020DB7" w14:textId="77777777" w:rsidR="00F05C28" w:rsidRPr="00F05C28" w:rsidRDefault="00F05C28" w:rsidP="00F05C28">
      <w:pPr>
        <w:spacing w:line="480" w:lineRule="auto"/>
        <w:rPr>
          <w:b/>
          <w:bCs/>
        </w:rPr>
      </w:pPr>
      <w:r w:rsidRPr="00F05C28">
        <w:rPr>
          <w:b/>
          <w:bCs/>
        </w:rPr>
        <w:t>Research Question Two</w:t>
      </w:r>
    </w:p>
    <w:p w14:paraId="65D4DF06" w14:textId="77777777" w:rsidR="00F05C28" w:rsidRPr="00F05C28" w:rsidRDefault="00F05C28" w:rsidP="00F05C28">
      <w:pPr>
        <w:spacing w:line="480" w:lineRule="auto"/>
        <w:ind w:firstLine="720"/>
      </w:pPr>
      <w:r w:rsidRPr="00F05C28">
        <w:t xml:space="preserve">  The results of the analysis that examined the interactions between social integration and race/ethnicity align with the existing research that examined higher social integration and its positive relationship with persistence and retention to graduation (Libby, 2006; Goldstein, Sauer, &amp; O’Donnell, 2012; Shinde, 2010; Stage, 1989; Tinto, 1975, 1993).  While the initial analysis did not yield significant results for race/ethnicity, because previous research highlighted the complexities of identifying the differences and trends in the social integration of students by race/ethnicity, it was imperative to examine African American and Latinx students individually to best answer the research question (Arana, </w:t>
      </w:r>
      <w:proofErr w:type="spellStart"/>
      <w:r w:rsidRPr="00F05C28">
        <w:t>Castañeda</w:t>
      </w:r>
      <w:proofErr w:type="spellEnd"/>
      <w:r w:rsidRPr="00F05C28">
        <w:t xml:space="preserve">-Sound, Blanchard, &amp; Aguilar, 2011; Baker, 2008; </w:t>
      </w:r>
      <w:proofErr w:type="spellStart"/>
      <w:r w:rsidRPr="00F05C28">
        <w:t>Cerna</w:t>
      </w:r>
      <w:proofErr w:type="spellEnd"/>
      <w:r w:rsidRPr="00F05C28">
        <w:t xml:space="preserve">, Pérez, &amp; </w:t>
      </w:r>
      <w:proofErr w:type="spellStart"/>
      <w:r w:rsidRPr="00F05C28">
        <w:t>Sáenz</w:t>
      </w:r>
      <w:proofErr w:type="spellEnd"/>
      <w:r w:rsidRPr="00F05C28">
        <w:t xml:space="preserve">, 2009; </w:t>
      </w:r>
      <w:proofErr w:type="spellStart"/>
      <w:r w:rsidRPr="00F05C28">
        <w:t>Guiffrida</w:t>
      </w:r>
      <w:proofErr w:type="spellEnd"/>
      <w:r w:rsidRPr="00F05C28">
        <w:t xml:space="preserve">, 2006; Hurtado &amp; Carter, 1997; Johnson et al., 2007; Lyon, 2007; </w:t>
      </w:r>
      <w:proofErr w:type="spellStart"/>
      <w:r w:rsidRPr="00F05C28">
        <w:t>McFeeters</w:t>
      </w:r>
      <w:proofErr w:type="spellEnd"/>
      <w:r w:rsidRPr="00F05C28">
        <w:t xml:space="preserve">, 2012; Morley, 2003; Tierney, 1999).  The results of the additional two sample t-tests examined the relationship between social integration and graduation of African American and Latinx students aligned with many other studies that highlighted distinct differences in social integration of African American and Latinx student in relation to retention.  </w:t>
      </w:r>
    </w:p>
    <w:p w14:paraId="327CD634" w14:textId="77777777" w:rsidR="00F05C28" w:rsidRPr="00F05C28" w:rsidRDefault="00F05C28" w:rsidP="00F05C28">
      <w:pPr>
        <w:spacing w:line="480" w:lineRule="auto"/>
        <w:ind w:firstLine="720"/>
      </w:pPr>
      <w:r w:rsidRPr="00F05C28">
        <w:t xml:space="preserve">Despite the fact that the social integration scores of all African American students were higher than their Latinx peers, there was no significant difference in the social integration of African American graduates and African American dropouts.  These results make a case for further examination of specific factors that contribute to the social integration and retention of African American students (Grier-Reed, </w:t>
      </w:r>
      <w:proofErr w:type="spellStart"/>
      <w:r w:rsidRPr="00F05C28">
        <w:t>Arcinue</w:t>
      </w:r>
      <w:proofErr w:type="spellEnd"/>
      <w:r w:rsidRPr="00F05C28">
        <w:t xml:space="preserve">, &amp; Inman, 2016; </w:t>
      </w:r>
      <w:proofErr w:type="spellStart"/>
      <w:r w:rsidRPr="00F05C28">
        <w:t>Guiffrida</w:t>
      </w:r>
      <w:proofErr w:type="spellEnd"/>
      <w:r w:rsidRPr="00F05C28">
        <w:t xml:space="preserve">, 2003).  Aligned with the expectations of the researcher, this study found a significant difference in the social </w:t>
      </w:r>
      <w:r w:rsidRPr="00F05C28">
        <w:lastRenderedPageBreak/>
        <w:t xml:space="preserve">integration of Latinx graduates and Latinx dropouts. Similar to these results, the research explains that Latinx students are retained despite dealing with a multitude of barriers to success and integration, such as financial burdens, first-generation status, language barriers, and familial obligations (Dowd, 2008; Gandara &amp; Contreras, 2009; Nunez, 2009; Nunez &amp; Kim, 2012). </w:t>
      </w:r>
    </w:p>
    <w:p w14:paraId="7A324761" w14:textId="77777777" w:rsidR="00F05C28" w:rsidRPr="00F05C28" w:rsidRDefault="00F05C28" w:rsidP="00F05C28">
      <w:pPr>
        <w:spacing w:line="480" w:lineRule="auto"/>
        <w:ind w:firstLine="720"/>
      </w:pPr>
      <w:r w:rsidRPr="00F05C28">
        <w:t xml:space="preserve">While the results of the study were supported by the literature it wasn’t until the researcher reflectively looked at campus information and demographics of South-Eastern State University that the results made sense.  There </w:t>
      </w:r>
      <w:proofErr w:type="gramStart"/>
      <w:r w:rsidRPr="00F05C28">
        <w:t>are</w:t>
      </w:r>
      <w:proofErr w:type="gramEnd"/>
      <w:r w:rsidRPr="00F05C28">
        <w:t xml:space="preserve"> an abundance of factors that contribute to the difference in social integration of African American and Latinx students, thus, the researcher would argue that resources and population size were the factors that contributed most to the difference in results in this study.  Based on campus resources and opportunities for social integration, there are more culturally specific groups listed that are marketed to African American students than Latinx students, such as student support, programming, and advocacy groups.  Both the African American and Latinx student populations account for a small percentage of the overall sample population making it hard to find significant differences and trends. </w:t>
      </w:r>
    </w:p>
    <w:p w14:paraId="75E940CE" w14:textId="77777777" w:rsidR="00F05C28" w:rsidRPr="00F05C28" w:rsidRDefault="00F05C28" w:rsidP="00F05C28">
      <w:pPr>
        <w:spacing w:line="480" w:lineRule="auto"/>
      </w:pPr>
      <w:r w:rsidRPr="00F05C28">
        <w:tab/>
        <w:t xml:space="preserve">While this question was developed to examine the relationship between social integration and race/ethnicity overall, perhaps a different method of statistical analysis would have provided more robust findings. Fortunately, the experiences within this study can inform and contribute to the success of other studies.  </w:t>
      </w:r>
    </w:p>
    <w:p w14:paraId="106826AF" w14:textId="77777777" w:rsidR="00F05C28" w:rsidRPr="00F05C28" w:rsidRDefault="00F05C28" w:rsidP="00F05C28">
      <w:pPr>
        <w:spacing w:line="480" w:lineRule="auto"/>
        <w:rPr>
          <w:b/>
          <w:bCs/>
        </w:rPr>
      </w:pPr>
      <w:r w:rsidRPr="00F05C28">
        <w:rPr>
          <w:b/>
          <w:bCs/>
        </w:rPr>
        <w:t>Research Question Three</w:t>
      </w:r>
    </w:p>
    <w:p w14:paraId="06A0C731" w14:textId="77777777" w:rsidR="00F05C28" w:rsidRPr="00F05C28" w:rsidRDefault="00F05C28" w:rsidP="00F05C28">
      <w:pPr>
        <w:spacing w:line="480" w:lineRule="auto"/>
        <w:ind w:firstLine="720"/>
      </w:pPr>
      <w:r w:rsidRPr="00F05C28">
        <w:t xml:space="preserve">Research question three sought to determine if social integration could predict graduation for African American and Latinx students. Social integration was found to be a strong predictor of student graduation in this study, a finding that was widely supported throughout educational </w:t>
      </w:r>
      <w:r w:rsidRPr="00F05C28">
        <w:lastRenderedPageBreak/>
        <w:t>and retention research (</w:t>
      </w:r>
      <w:proofErr w:type="spellStart"/>
      <w:r w:rsidRPr="00F05C28">
        <w:t>Astin</w:t>
      </w:r>
      <w:proofErr w:type="spellEnd"/>
      <w:r w:rsidRPr="00F05C28">
        <w:t xml:space="preserve">, 1999; Braxton, </w:t>
      </w:r>
      <w:proofErr w:type="spellStart"/>
      <w:r w:rsidRPr="00F05C28">
        <w:t>Hirschy</w:t>
      </w:r>
      <w:proofErr w:type="spellEnd"/>
      <w:r w:rsidRPr="00F05C28">
        <w:t xml:space="preserve">, &amp; McClendon, 2004; Chambers, 2009; Cox, 2013; </w:t>
      </w:r>
      <w:proofErr w:type="spellStart"/>
      <w:r w:rsidRPr="00F05C28">
        <w:t>Deil</w:t>
      </w:r>
      <w:proofErr w:type="spellEnd"/>
      <w:r w:rsidRPr="00F05C28">
        <w:t xml:space="preserve">-Amen, 2011; Goldstein, Sauer, &amp; O’Donnell, 2012; Libby, 2006; Mallette &amp; Cabrera, 1991; Nora, 1987; Pascarella, 1985; Pascarella &amp; </w:t>
      </w:r>
      <w:proofErr w:type="spellStart"/>
      <w:r w:rsidRPr="00F05C28">
        <w:t>Terenzini</w:t>
      </w:r>
      <w:proofErr w:type="spellEnd"/>
      <w:r w:rsidRPr="00F05C28">
        <w:t xml:space="preserve">, 1980, 1991, 2005; Rendon, 1994; Tinto, 1975, 1993, 2006; Wilcox, Winn, &amp; </w:t>
      </w:r>
      <w:proofErr w:type="spellStart"/>
      <w:r w:rsidRPr="00F05C28">
        <w:t>Fyvie-Gauld</w:t>
      </w:r>
      <w:proofErr w:type="spellEnd"/>
      <w:r w:rsidRPr="00F05C28">
        <w:t xml:space="preserve">, 2005).  In an effort to conduct a more comprehensive study, additional variables were also examined in the analysis of research question three. </w:t>
      </w:r>
    </w:p>
    <w:p w14:paraId="61065E71" w14:textId="77777777" w:rsidR="00F05C28" w:rsidRPr="00F05C28" w:rsidRDefault="00F05C28" w:rsidP="00F05C28">
      <w:pPr>
        <w:spacing w:line="480" w:lineRule="auto"/>
        <w:ind w:firstLine="720"/>
      </w:pPr>
      <w:r w:rsidRPr="00F05C28">
        <w:t>The additional variables explored included gender, nationality, class level, transfer status, enrollment status, residential status, and parents’ highest level of education.  This study and existing research provided inconclusive results about the impact of gender, nationality, and residential status (</w:t>
      </w:r>
      <w:proofErr w:type="spellStart"/>
      <w:r w:rsidRPr="00F05C28">
        <w:t>Crede</w:t>
      </w:r>
      <w:proofErr w:type="spellEnd"/>
      <w:r w:rsidRPr="00F05C28">
        <w:t xml:space="preserve"> &amp; Borrego, 2014; </w:t>
      </w:r>
      <w:proofErr w:type="spellStart"/>
      <w:r w:rsidRPr="00F05C28">
        <w:t>Fass</w:t>
      </w:r>
      <w:proofErr w:type="spellEnd"/>
      <w:r w:rsidRPr="00F05C28">
        <w:t xml:space="preserve">-Holmes &amp; Vaughn, 2014; Kwai, 2010; Pascarella &amp; </w:t>
      </w:r>
      <w:proofErr w:type="spellStart"/>
      <w:r w:rsidRPr="00F05C28">
        <w:t>Terenzini</w:t>
      </w:r>
      <w:proofErr w:type="spellEnd"/>
      <w:r w:rsidRPr="00F05C28">
        <w:t>, 2005).  This study found no statistically significant results in predicting graduation using nationality, gender, or residential status.  The existing research supports the inconclusive results about the impact of gender, nationality, and residential status on retention found in this study (</w:t>
      </w:r>
      <w:proofErr w:type="spellStart"/>
      <w:r w:rsidRPr="00F05C28">
        <w:t>Crede</w:t>
      </w:r>
      <w:proofErr w:type="spellEnd"/>
      <w:r w:rsidRPr="00F05C28">
        <w:t xml:space="preserve"> &amp; Borrego, 2014; </w:t>
      </w:r>
      <w:proofErr w:type="spellStart"/>
      <w:r w:rsidRPr="00F05C28">
        <w:t>Fass</w:t>
      </w:r>
      <w:proofErr w:type="spellEnd"/>
      <w:r w:rsidRPr="00F05C28">
        <w:t xml:space="preserve">-Holmes &amp; Vaughn, 2014; Kwai, 2010; Pascarella &amp; </w:t>
      </w:r>
      <w:proofErr w:type="spellStart"/>
      <w:r w:rsidRPr="00F05C28">
        <w:t>Terenzini</w:t>
      </w:r>
      <w:proofErr w:type="spellEnd"/>
      <w:r w:rsidRPr="00F05C28">
        <w:t xml:space="preserve">, 2005; Shinde, 2010).  Out of these three variables the one expected to be a significant factor in predicting graduation and was not, was residential status.  While there have been no consistent results in the measurement of residential status in terms of graduation, studies like Pascarella and </w:t>
      </w:r>
      <w:proofErr w:type="spellStart"/>
      <w:r w:rsidRPr="00F05C28">
        <w:t>Terenzini</w:t>
      </w:r>
      <w:proofErr w:type="spellEnd"/>
      <w:r w:rsidRPr="00F05C28">
        <w:t xml:space="preserve"> (2005) supported the positive and significant relationship between residential status and persistence.  Strong relationships between graduation and class level, race/ethnicity, transfer status, enrollment status, and parental educational attainment were also found. </w:t>
      </w:r>
    </w:p>
    <w:p w14:paraId="4C62055E" w14:textId="77777777" w:rsidR="00F05C28" w:rsidRPr="00F05C28" w:rsidRDefault="00F05C28" w:rsidP="00F05C28">
      <w:pPr>
        <w:spacing w:line="480" w:lineRule="auto"/>
        <w:ind w:firstLine="720"/>
      </w:pPr>
      <w:r w:rsidRPr="00F05C28">
        <w:t>Similar to the research, this study’s results indicated that Freshmen were less likely to graduate than senior students (</w:t>
      </w:r>
      <w:proofErr w:type="spellStart"/>
      <w:r w:rsidRPr="00F05C28">
        <w:t>Kena</w:t>
      </w:r>
      <w:proofErr w:type="spellEnd"/>
      <w:r w:rsidRPr="00F05C28">
        <w:t xml:space="preserve"> et al., 2016; </w:t>
      </w:r>
      <w:proofErr w:type="spellStart"/>
      <w:r w:rsidRPr="00F05C28">
        <w:t>Mcfarland</w:t>
      </w:r>
      <w:proofErr w:type="spellEnd"/>
      <w:r w:rsidRPr="00F05C28">
        <w:t xml:space="preserve"> et al., 2018; National Student </w:t>
      </w:r>
      <w:r w:rsidRPr="00F05C28">
        <w:lastRenderedPageBreak/>
        <w:t xml:space="preserve">Clearinghouse Research Center, 2018; Pryor et al., 2012; Snyder, de Brey, &amp; </w:t>
      </w:r>
      <w:proofErr w:type="spellStart"/>
      <w:r w:rsidRPr="00F05C28">
        <w:t>Dillow</w:t>
      </w:r>
      <w:proofErr w:type="spellEnd"/>
      <w:r w:rsidRPr="00F05C28">
        <w:t xml:space="preserve">, 2019).  In this study Black/African Americans were less likely to graduate than their Caucasian peers.  Although Latinx students were 58 percent less likely to graduate, this finding was not statistically significant.  The results of this study are representative of the recent educational statistics where only 45.9 percent of African American students and 54.9 percent Latinx students at four-year public institutions graduate within six years (McFarland et al., 2018; National Student Clearinghouse Research Center, 2018; Shapiro et al., 2017).  While social integration has a positive relationship with retention to graduation, underrepresented student populations, such as African American and Latinx student populations, are consistently less likely to be retained and/or graduate (Cox, 2013; McFarland et al., 2018; National Student Clearinghouse Research Center, 2018; Pascarella and </w:t>
      </w:r>
      <w:proofErr w:type="spellStart"/>
      <w:r w:rsidRPr="00F05C28">
        <w:t>Terenzini</w:t>
      </w:r>
      <w:proofErr w:type="spellEnd"/>
      <w:r w:rsidRPr="00F05C28">
        <w:t xml:space="preserve">, 2005; Shapiro et al., 2017; Stage, 1989).  Results also indicated that transfer students were less likely to graduate than student who started their educational career at the institution as a </w:t>
      </w:r>
      <w:proofErr w:type="gramStart"/>
      <w:r w:rsidRPr="00F05C28">
        <w:t>first-time freshmen</w:t>
      </w:r>
      <w:proofErr w:type="gramEnd"/>
      <w:r w:rsidRPr="00F05C28">
        <w:t>.  Recent national statistics found 42 percent of transfers of a 2010 cohort completed their bachelors program compared to the 60 percent of first-time full-time freshmen (Shapiro et al., 2017).  Based on the research it is hard to specifically identify how social integration shapes the retention of transfer students due to a variety factors that shape and hinder their integration experience (</w:t>
      </w:r>
      <w:r w:rsidRPr="00F05C28">
        <w:rPr>
          <w:color w:val="222222"/>
          <w:shd w:val="clear" w:color="auto" w:fill="FFFFFF"/>
        </w:rPr>
        <w:t xml:space="preserve">Duggan &amp; Pickering, 2008; </w:t>
      </w:r>
      <w:r w:rsidRPr="00F05C28">
        <w:t xml:space="preserve">Gao, </w:t>
      </w:r>
      <w:proofErr w:type="spellStart"/>
      <w:r w:rsidRPr="00F05C28">
        <w:t>Hugher</w:t>
      </w:r>
      <w:proofErr w:type="spellEnd"/>
      <w:r w:rsidRPr="00F05C28">
        <w:t xml:space="preserve">, </w:t>
      </w:r>
      <w:proofErr w:type="spellStart"/>
      <w:r w:rsidRPr="00F05C28">
        <w:t>Orear</w:t>
      </w:r>
      <w:proofErr w:type="spellEnd"/>
      <w:r w:rsidRPr="00F05C28">
        <w:t xml:space="preserve">, &amp; Fendley, 2002; </w:t>
      </w:r>
      <w:proofErr w:type="spellStart"/>
      <w:r w:rsidRPr="00F05C28">
        <w:t>Laanan</w:t>
      </w:r>
      <w:proofErr w:type="spellEnd"/>
      <w:r w:rsidRPr="00F05C28">
        <w:t xml:space="preserve">, 2007; Townsend &amp; Wilson, 2009). We can associate this complexity with the decreased likelihood of graduating compared to students that start their post-secondary education at South-Eastern State University. </w:t>
      </w:r>
    </w:p>
    <w:p w14:paraId="6774CBB3" w14:textId="77777777" w:rsidR="00F05C28" w:rsidRPr="00F05C28" w:rsidRDefault="00F05C28" w:rsidP="00F05C28">
      <w:pPr>
        <w:spacing w:line="480" w:lineRule="auto"/>
        <w:ind w:firstLine="720"/>
      </w:pPr>
      <w:r w:rsidRPr="00F05C28">
        <w:t xml:space="preserve">The enrollment status results indicated that part-time students were less likely to graduate than full-time students.  The results of this study regarding the likelihood of graduation is aligned with the recent statistics where only 19.5 percent of part-time students graduate, while 82 percent </w:t>
      </w:r>
      <w:r w:rsidRPr="00F05C28">
        <w:lastRenderedPageBreak/>
        <w:t>of full-time students, and 42 percent of mixed enrollment students graduate (Shapiro et al., 2017; Shapiro et al., 2018)</w:t>
      </w:r>
    </w:p>
    <w:p w14:paraId="06B78918" w14:textId="77777777" w:rsidR="00F05C28" w:rsidRPr="00F05C28" w:rsidRDefault="00F05C28" w:rsidP="00F05C28">
      <w:pPr>
        <w:spacing w:line="480" w:lineRule="auto"/>
        <w:ind w:firstLine="720"/>
      </w:pPr>
      <w:r w:rsidRPr="00F05C28">
        <w:t xml:space="preserve">Students with parents whose highest educational attainment level was a high school diploma or GED were less likely to graduate than students whose parents completed a </w:t>
      </w:r>
      <w:proofErr w:type="gramStart"/>
      <w:r w:rsidRPr="00F05C28">
        <w:t>Bachelor’s</w:t>
      </w:r>
      <w:proofErr w:type="gramEnd"/>
      <w:r w:rsidRPr="00F05C28">
        <w:t xml:space="preserve"> degree.  Additionally, students whose parents completed some college were less likely to graduate than students whose parents completed a </w:t>
      </w:r>
      <w:proofErr w:type="gramStart"/>
      <w:r w:rsidRPr="00F05C28">
        <w:t>Bachelor’s</w:t>
      </w:r>
      <w:proofErr w:type="gramEnd"/>
      <w:r w:rsidRPr="00F05C28">
        <w:t xml:space="preserve"> degree.  Reflected within this study, the research has long proven that students whose parents had not attained a college education have lower odds of academic success in college and ultimately graduation (</w:t>
      </w:r>
      <w:r w:rsidRPr="00F05C28">
        <w:rPr>
          <w:color w:val="222222"/>
          <w:shd w:val="clear" w:color="auto" w:fill="FFFFFF"/>
        </w:rPr>
        <w:t xml:space="preserve">Carter, 2006; Choy, 2001; </w:t>
      </w:r>
      <w:proofErr w:type="spellStart"/>
      <w:r w:rsidRPr="00F05C28">
        <w:rPr>
          <w:color w:val="222222"/>
          <w:shd w:val="clear" w:color="auto" w:fill="FFFFFF"/>
        </w:rPr>
        <w:t>Ishitani</w:t>
      </w:r>
      <w:proofErr w:type="spellEnd"/>
      <w:r w:rsidRPr="00F05C28">
        <w:rPr>
          <w:color w:val="222222"/>
          <w:shd w:val="clear" w:color="auto" w:fill="FFFFFF"/>
        </w:rPr>
        <w:t xml:space="preserve">, 2006; </w:t>
      </w:r>
      <w:proofErr w:type="spellStart"/>
      <w:r w:rsidRPr="00F05C28">
        <w:rPr>
          <w:color w:val="222222"/>
          <w:shd w:val="clear" w:color="auto" w:fill="FFFFFF"/>
        </w:rPr>
        <w:t>Perna</w:t>
      </w:r>
      <w:proofErr w:type="spellEnd"/>
      <w:r w:rsidRPr="00F05C28">
        <w:rPr>
          <w:color w:val="222222"/>
          <w:shd w:val="clear" w:color="auto" w:fill="FFFFFF"/>
        </w:rPr>
        <w:t xml:space="preserve">, 2000; </w:t>
      </w:r>
      <w:proofErr w:type="spellStart"/>
      <w:r w:rsidRPr="00F05C28">
        <w:rPr>
          <w:color w:val="222222"/>
          <w:shd w:val="clear" w:color="auto" w:fill="FFFFFF"/>
        </w:rPr>
        <w:t>Perna</w:t>
      </w:r>
      <w:proofErr w:type="spellEnd"/>
      <w:r w:rsidRPr="00F05C28">
        <w:rPr>
          <w:color w:val="222222"/>
          <w:shd w:val="clear" w:color="auto" w:fill="FFFFFF"/>
        </w:rPr>
        <w:t xml:space="preserve"> &amp; Titus, 2005; Soria &amp; </w:t>
      </w:r>
      <w:proofErr w:type="spellStart"/>
      <w:r w:rsidRPr="00F05C28">
        <w:rPr>
          <w:color w:val="222222"/>
          <w:shd w:val="clear" w:color="auto" w:fill="FFFFFF"/>
        </w:rPr>
        <w:t>Stebleton</w:t>
      </w:r>
      <w:proofErr w:type="spellEnd"/>
      <w:r w:rsidRPr="00F05C28">
        <w:rPr>
          <w:color w:val="222222"/>
          <w:shd w:val="clear" w:color="auto" w:fill="FFFFFF"/>
        </w:rPr>
        <w:t xml:space="preserve">, 2012; Thayer, 2000; Walpole, 2007). </w:t>
      </w:r>
    </w:p>
    <w:p w14:paraId="4A1302E2" w14:textId="77777777" w:rsidR="00F05C28" w:rsidRPr="00F05C28" w:rsidRDefault="00F05C28" w:rsidP="00F05C28">
      <w:pPr>
        <w:spacing w:line="480" w:lineRule="auto"/>
        <w:jc w:val="center"/>
        <w:rPr>
          <w:b/>
        </w:rPr>
      </w:pPr>
      <w:r w:rsidRPr="00F05C28">
        <w:rPr>
          <w:b/>
        </w:rPr>
        <w:t>Implications</w:t>
      </w:r>
    </w:p>
    <w:p w14:paraId="56627589" w14:textId="77777777" w:rsidR="00F05C28" w:rsidRPr="00F05C28" w:rsidRDefault="00F05C28" w:rsidP="00F05C28">
      <w:pPr>
        <w:spacing w:line="480" w:lineRule="auto"/>
        <w:ind w:firstLine="720"/>
        <w:rPr>
          <w:iCs/>
        </w:rPr>
      </w:pPr>
      <w:r w:rsidRPr="00F05C28">
        <w:rPr>
          <w:iCs/>
        </w:rPr>
        <w:t xml:space="preserve">The primary research hoped the findings of this study would promote the development of innovative and traditional practices to best serve the African American and Latinx student populations on campuses across the country.  While the educational attainment gap continues to grow, something needs to be done to increase educational equity and access.  This study and others like it continue to highlight the need for institutions of higher education to focus on the engagement of the whole student. The research shows that engaging the student both within and outside the classroom will improve graduations rates and ultimately start closing the educational gap. </w:t>
      </w:r>
    </w:p>
    <w:p w14:paraId="1A43F605" w14:textId="77777777" w:rsidR="00F05C28" w:rsidRPr="00F05C28" w:rsidRDefault="00F05C28" w:rsidP="00F05C28">
      <w:pPr>
        <w:spacing w:line="480" w:lineRule="auto"/>
        <w:ind w:firstLine="720"/>
      </w:pPr>
      <w:r w:rsidRPr="00F05C28">
        <w:t xml:space="preserve">Colleges and universities need to look at other ways to target marketing for involvement of at-risk student populations.  New ways for colleges and universities to implement practices that foster a culture of social integration for African American and Latinx students are essential to closing the education gap. The findings from this research as well as many others, suggest that </w:t>
      </w:r>
      <w:r w:rsidRPr="00F05C28">
        <w:lastRenderedPageBreak/>
        <w:t xml:space="preserve">social integration may be achieved in different ways for African American and Latinx students (Baker, 2008; Davidson &amp; Wilson, 2013; Glen, 2017; </w:t>
      </w:r>
      <w:proofErr w:type="spellStart"/>
      <w:r w:rsidRPr="00F05C28">
        <w:t>Guiffrida</w:t>
      </w:r>
      <w:proofErr w:type="spellEnd"/>
      <w:r w:rsidRPr="00F05C28">
        <w:t xml:space="preserve">, 2005, 2006; </w:t>
      </w:r>
      <w:proofErr w:type="spellStart"/>
      <w:r w:rsidRPr="00F05C28">
        <w:t>Kuh</w:t>
      </w:r>
      <w:proofErr w:type="spellEnd"/>
      <w:r w:rsidRPr="00F05C28">
        <w:t xml:space="preserve"> &amp; Love, 2000; Moore &amp; </w:t>
      </w:r>
      <w:proofErr w:type="spellStart"/>
      <w:r w:rsidRPr="00F05C28">
        <w:t>Upcraft</w:t>
      </w:r>
      <w:proofErr w:type="spellEnd"/>
      <w:r w:rsidRPr="00F05C28">
        <w:t xml:space="preserve">, 1990; Rendon, </w:t>
      </w:r>
      <w:proofErr w:type="spellStart"/>
      <w:r w:rsidRPr="00F05C28">
        <w:t>Jalomo</w:t>
      </w:r>
      <w:proofErr w:type="spellEnd"/>
      <w:r w:rsidRPr="00F05C28">
        <w:t xml:space="preserve">, &amp; Nora, 2000; </w:t>
      </w:r>
      <w:proofErr w:type="spellStart"/>
      <w:r w:rsidRPr="00F05C28">
        <w:t>Swail</w:t>
      </w:r>
      <w:proofErr w:type="spellEnd"/>
      <w:r w:rsidRPr="00F05C28">
        <w:t xml:space="preserve">, Redd, &amp; </w:t>
      </w:r>
      <w:proofErr w:type="spellStart"/>
      <w:r w:rsidRPr="00F05C28">
        <w:t>Perna</w:t>
      </w:r>
      <w:proofErr w:type="spellEnd"/>
      <w:r w:rsidRPr="00F05C28">
        <w:t xml:space="preserve">, 2003; Tierney, 1999). </w:t>
      </w:r>
    </w:p>
    <w:p w14:paraId="3C41CAD9" w14:textId="77777777" w:rsidR="00F05C28" w:rsidRPr="00F05C28" w:rsidRDefault="00F05C28" w:rsidP="00F05C28">
      <w:pPr>
        <w:spacing w:line="480" w:lineRule="auto"/>
        <w:ind w:firstLine="720"/>
      </w:pPr>
      <w:r w:rsidRPr="00F05C28">
        <w:t xml:space="preserve">Since there are a variety of ways to promote the social integration of African American and Latinx students, institutions should evaluate the programs and services offered to both communities.  The programs and services that are available for African American, such as mentor program, student programming groups, and student advocacy groups, seem to be effectively working as seen in the higher levels of social integration for African American students.  However, there is a need to evaluate and expand upon the programs and services that are offered and contribute to the social integration of Latinx students.  Furthermore, there is a need to develop programs and activities to help students integrate and succeed academically and socially.  Examples of this include surveying students in social experiences that interest them, creating special interest cohort systems to increase student sense of belonging and social integration, and promoting and facilitating more and/or unique opportunities for campus involvement.  Both </w:t>
      </w:r>
      <w:proofErr w:type="spellStart"/>
      <w:r w:rsidRPr="00F05C28">
        <w:t>Guiffrida</w:t>
      </w:r>
      <w:proofErr w:type="spellEnd"/>
      <w:r w:rsidRPr="00F05C28">
        <w:t xml:space="preserve"> (2003) and Nunez (2009) noted the importance of both African American and Latinx students incorporating cultural aspects to the social integration process.  </w:t>
      </w:r>
    </w:p>
    <w:p w14:paraId="430FC70A" w14:textId="77777777" w:rsidR="00F05C28" w:rsidRPr="00F05C28" w:rsidRDefault="00F05C28" w:rsidP="00F05C28">
      <w:pPr>
        <w:ind w:firstLine="720"/>
      </w:pPr>
    </w:p>
    <w:p w14:paraId="4F53AD2A" w14:textId="77777777" w:rsidR="00F05C28" w:rsidRPr="00F05C28" w:rsidRDefault="00F05C28" w:rsidP="00F05C28">
      <w:pPr>
        <w:spacing w:line="480" w:lineRule="auto"/>
        <w:jc w:val="center"/>
        <w:rPr>
          <w:b/>
        </w:rPr>
      </w:pPr>
      <w:r w:rsidRPr="00F05C28">
        <w:rPr>
          <w:b/>
        </w:rPr>
        <w:t>Recommendations for Future Research</w:t>
      </w:r>
    </w:p>
    <w:p w14:paraId="5826F8A0" w14:textId="77777777" w:rsidR="00F05C28" w:rsidRPr="00F05C28" w:rsidRDefault="00F05C28" w:rsidP="00F05C28">
      <w:pPr>
        <w:spacing w:line="480" w:lineRule="auto"/>
        <w:ind w:firstLine="720"/>
      </w:pPr>
      <w:r w:rsidRPr="00F05C28">
        <w:t xml:space="preserve">Many of the studies looking at NSSE data look only at first-year students. The researcher was curious to see if there was a difference in the social integration of freshmen and seniors, since seniors are theoretically closer to graduating.  Future research should look at a paired sample and analyze social integration of students throughout their educational tenure.  This </w:t>
      </w:r>
      <w:r w:rsidRPr="00F05C28">
        <w:lastRenderedPageBreak/>
        <w:t xml:space="preserve">would allow the field to really look at the trends in social integration and the relationship between retention to graduation and social integration. </w:t>
      </w:r>
    </w:p>
    <w:p w14:paraId="6A1D0031" w14:textId="77777777" w:rsidR="00F05C28" w:rsidRPr="00F05C28" w:rsidRDefault="00F05C28" w:rsidP="00F05C28">
      <w:pPr>
        <w:spacing w:line="480" w:lineRule="auto"/>
      </w:pPr>
      <w:r w:rsidRPr="00F05C28">
        <w:tab/>
        <w:t xml:space="preserve">This study looked at one particular public research university in the South-Eastern Region of the United States.  Future research should explore social integration nationwide, regionally based, and based on institutional characteristics (i.e. rural, urban, Historically Black Colleges and Universities, Hispanic Serving Institutions, private, public, for-profit, etc.). </w:t>
      </w:r>
    </w:p>
    <w:p w14:paraId="759D517B" w14:textId="77777777" w:rsidR="00F05C28" w:rsidRPr="00F05C28" w:rsidRDefault="00F05C28" w:rsidP="00F05C28">
      <w:pPr>
        <w:spacing w:line="480" w:lineRule="auto"/>
      </w:pPr>
      <w:r w:rsidRPr="00F05C28">
        <w:tab/>
        <w:t xml:space="preserve">This study highlighted the differences between student populations based on both demographic information and other student characteristics.  At another university, a suggestion to do a mixed methods study, similar to this study, but allowing the researcher to analyze the affective reasoning behind why students indicated what they did would provide insight into implications for future practices. </w:t>
      </w:r>
    </w:p>
    <w:p w14:paraId="2F4BDB4A" w14:textId="77777777" w:rsidR="00F05C28" w:rsidRPr="00F05C28" w:rsidRDefault="00F05C28" w:rsidP="00F05C28">
      <w:pPr>
        <w:spacing w:line="480" w:lineRule="auto"/>
      </w:pPr>
      <w:r w:rsidRPr="00F05C28">
        <w:tab/>
        <w:t xml:space="preserve">The current study highlighted the higher levels of social integration, yet African American students are still less likely to graduate. Future research needs to identify the other factors that contribute to decreased odds of retention to graduation. This could be done in a variety of ways to identify trends among ethnicity specific smaller groups. This might be based on student group participation, the region student originated from, type of institution, socioeconomic status of students, or a combination of all of these. </w:t>
      </w:r>
    </w:p>
    <w:p w14:paraId="0C286640" w14:textId="77777777" w:rsidR="00F05C28" w:rsidRPr="00F05C28" w:rsidRDefault="00F05C28" w:rsidP="00F05C28">
      <w:pPr>
        <w:spacing w:line="480" w:lineRule="auto"/>
        <w:jc w:val="center"/>
        <w:rPr>
          <w:b/>
          <w:bCs/>
        </w:rPr>
      </w:pPr>
      <w:r w:rsidRPr="00F05C28">
        <w:rPr>
          <w:b/>
          <w:bCs/>
        </w:rPr>
        <w:t>Conclusion</w:t>
      </w:r>
    </w:p>
    <w:p w14:paraId="04E759DB" w14:textId="77777777" w:rsidR="00F05C28" w:rsidRPr="00F05C28" w:rsidRDefault="00F05C28" w:rsidP="00F05C28">
      <w:pPr>
        <w:spacing w:line="480" w:lineRule="auto"/>
      </w:pPr>
      <w:r w:rsidRPr="00F05C28">
        <w:tab/>
        <w:t xml:space="preserve">While some </w:t>
      </w:r>
      <w:proofErr w:type="gramStart"/>
      <w:r w:rsidRPr="00F05C28">
        <w:t>students</w:t>
      </w:r>
      <w:proofErr w:type="gramEnd"/>
      <w:r w:rsidRPr="00F05C28">
        <w:t xml:space="preserve"> graduate college regardless of if they have successfully socially integrated into the college or university, the current study and educational research suggest social integration influences the retention and graduation of all students. Institutions of higher education have the ability to grow in addressing the gap in access to resources and lessening the barriers to social integration for both African American and Latinx students. Incorporating </w:t>
      </w:r>
      <w:r w:rsidRPr="00F05C28">
        <w:lastRenderedPageBreak/>
        <w:t xml:space="preserve">inclusive social integration opportunities could prove mutually beneficial for students striving for success and institutions of higher education looking to graduate and better prepare its students.  </w:t>
      </w:r>
    </w:p>
    <w:p w14:paraId="3A6EC74E" w14:textId="77777777" w:rsidR="00F05C28" w:rsidRPr="00F05C28" w:rsidRDefault="00F05C28" w:rsidP="00F05C28">
      <w:pPr>
        <w:jc w:val="center"/>
        <w:rPr>
          <w:b/>
        </w:rPr>
      </w:pPr>
      <w:r w:rsidRPr="00F05C28">
        <w:br w:type="page"/>
      </w:r>
      <w:bookmarkStart w:id="22" w:name="_Toc43791652"/>
      <w:r w:rsidRPr="00F05C28">
        <w:rPr>
          <w:b/>
        </w:rPr>
        <w:lastRenderedPageBreak/>
        <w:t>REFERENCES</w:t>
      </w:r>
      <w:bookmarkEnd w:id="22"/>
    </w:p>
    <w:p w14:paraId="46E0BD46" w14:textId="77777777" w:rsidR="00F05C28" w:rsidRPr="00F05C28" w:rsidRDefault="00F05C28" w:rsidP="00F05C28">
      <w:pPr>
        <w:spacing w:after="160" w:line="259" w:lineRule="auto"/>
      </w:pPr>
      <w:r w:rsidRPr="00F05C28">
        <w:br w:type="page"/>
      </w:r>
    </w:p>
    <w:p w14:paraId="36C9FA46" w14:textId="77777777" w:rsidR="00F05C28" w:rsidRPr="00F05C28" w:rsidRDefault="00F05C28" w:rsidP="00F05C28">
      <w:pPr>
        <w:spacing w:line="480" w:lineRule="auto"/>
        <w:ind w:left="720" w:hanging="720"/>
        <w:contextualSpacing/>
      </w:pPr>
      <w:r w:rsidRPr="00F05C28">
        <w:lastRenderedPageBreak/>
        <w:t xml:space="preserve">Allen, W. (1992). The color of success: </w:t>
      </w:r>
      <w:proofErr w:type="gramStart"/>
      <w:r w:rsidRPr="00F05C28">
        <w:t>African-American</w:t>
      </w:r>
      <w:proofErr w:type="gramEnd"/>
      <w:r w:rsidRPr="00F05C28">
        <w:t xml:space="preserve"> college student outcomes at predominantly White and historically Black public colleges and universities. </w:t>
      </w:r>
      <w:r w:rsidRPr="00F05C28">
        <w:rPr>
          <w:i/>
        </w:rPr>
        <w:t>Harvard Educational Review, 62</w:t>
      </w:r>
      <w:r w:rsidRPr="00F05C28">
        <w:t>(1), 26-45.</w:t>
      </w:r>
    </w:p>
    <w:p w14:paraId="7D933315" w14:textId="77777777" w:rsidR="00F05C28" w:rsidRPr="00F05C28" w:rsidRDefault="00F05C28" w:rsidP="00F05C28">
      <w:pPr>
        <w:spacing w:line="480" w:lineRule="auto"/>
        <w:ind w:left="720" w:hanging="720"/>
        <w:contextualSpacing/>
      </w:pPr>
      <w:r w:rsidRPr="00F05C28">
        <w:t xml:space="preserve">Arana, R., </w:t>
      </w:r>
      <w:proofErr w:type="spellStart"/>
      <w:r w:rsidRPr="00F05C28">
        <w:t>Castañeda</w:t>
      </w:r>
      <w:proofErr w:type="spellEnd"/>
      <w:r w:rsidRPr="00F05C28">
        <w:t xml:space="preserve">-Sound, C., Blanchard, S., &amp; Aguilar, T. E. (2011). Indicators of persistence for Hispanic undergraduate achievement: Toward an ecological model. </w:t>
      </w:r>
      <w:r w:rsidRPr="00F05C28">
        <w:rPr>
          <w:i/>
        </w:rPr>
        <w:t>Journal of Hispanic Higher Education, 10</w:t>
      </w:r>
      <w:r w:rsidRPr="00F05C28">
        <w:t>(3), 237-251.</w:t>
      </w:r>
    </w:p>
    <w:p w14:paraId="131B9CCD" w14:textId="77777777" w:rsidR="00F05C28" w:rsidRPr="00F05C28" w:rsidRDefault="00F05C28" w:rsidP="00F05C28">
      <w:pPr>
        <w:spacing w:line="480" w:lineRule="auto"/>
        <w:ind w:left="720" w:hanging="720"/>
        <w:contextualSpacing/>
      </w:pPr>
      <w:proofErr w:type="spellStart"/>
      <w:r w:rsidRPr="00F05C28">
        <w:t>Arbona</w:t>
      </w:r>
      <w:proofErr w:type="spellEnd"/>
      <w:r w:rsidRPr="00F05C28">
        <w:t xml:space="preserve">, C., &amp; Nora, A. (2007). The influence of academic and environmental factors on Hispanic college degree attainment. </w:t>
      </w:r>
      <w:r w:rsidRPr="00F05C28">
        <w:rPr>
          <w:i/>
        </w:rPr>
        <w:t>The Review of Higher Education, 30</w:t>
      </w:r>
      <w:r w:rsidRPr="00F05C28">
        <w:t>(3), 247-269.</w:t>
      </w:r>
    </w:p>
    <w:p w14:paraId="255B14CE" w14:textId="77777777" w:rsidR="00F05C28" w:rsidRPr="00F05C28" w:rsidRDefault="00F05C28" w:rsidP="00F05C28">
      <w:pPr>
        <w:spacing w:line="480" w:lineRule="auto"/>
        <w:ind w:left="720" w:hanging="720"/>
        <w:contextualSpacing/>
      </w:pPr>
      <w:proofErr w:type="spellStart"/>
      <w:r w:rsidRPr="00F05C28">
        <w:t>Astin</w:t>
      </w:r>
      <w:proofErr w:type="spellEnd"/>
      <w:r w:rsidRPr="00F05C28">
        <w:t>, A. W. (1975). Preventing students from dropping out. San Francisco, Jossey-Bass Publishers.</w:t>
      </w:r>
    </w:p>
    <w:p w14:paraId="3239DC62" w14:textId="77777777" w:rsidR="00F05C28" w:rsidRPr="00F05C28" w:rsidRDefault="00F05C28" w:rsidP="00F05C28">
      <w:pPr>
        <w:spacing w:line="480" w:lineRule="auto"/>
        <w:ind w:left="720" w:hanging="720"/>
        <w:contextualSpacing/>
      </w:pPr>
      <w:proofErr w:type="spellStart"/>
      <w:r w:rsidRPr="00F05C28">
        <w:t>Astin</w:t>
      </w:r>
      <w:proofErr w:type="spellEnd"/>
      <w:r w:rsidRPr="00F05C28">
        <w:t xml:space="preserve">, A. W. (1993). What matters in college: Four critical years </w:t>
      </w:r>
      <w:proofErr w:type="gramStart"/>
      <w:r w:rsidRPr="00F05C28">
        <w:t>revisited.</w:t>
      </w:r>
      <w:proofErr w:type="gramEnd"/>
      <w:r w:rsidRPr="00F05C28">
        <w:t xml:space="preserve"> San Francisco: Jossey-Bass.</w:t>
      </w:r>
    </w:p>
    <w:p w14:paraId="70C86242" w14:textId="77777777" w:rsidR="00F05C28" w:rsidRPr="00F05C28" w:rsidRDefault="00F05C28" w:rsidP="00F05C28">
      <w:pPr>
        <w:spacing w:line="480" w:lineRule="auto"/>
        <w:ind w:left="720" w:hanging="720"/>
        <w:contextualSpacing/>
      </w:pPr>
      <w:proofErr w:type="spellStart"/>
      <w:r w:rsidRPr="00F05C28">
        <w:t>Astin</w:t>
      </w:r>
      <w:proofErr w:type="spellEnd"/>
      <w:r w:rsidRPr="00F05C28">
        <w:t>, A. W. (1999). Student involvement: A developmental theory for higher education. </w:t>
      </w:r>
      <w:r w:rsidRPr="00F05C28">
        <w:rPr>
          <w:i/>
        </w:rPr>
        <w:t>Journal of College Student Development, 40</w:t>
      </w:r>
      <w:r w:rsidRPr="00F05C28">
        <w:t>(5), 518-529.</w:t>
      </w:r>
    </w:p>
    <w:p w14:paraId="526E62D4" w14:textId="77777777" w:rsidR="00F05C28" w:rsidRPr="00F05C28" w:rsidRDefault="00F05C28" w:rsidP="00F05C28">
      <w:pPr>
        <w:spacing w:line="480" w:lineRule="auto"/>
        <w:ind w:left="720" w:hanging="720"/>
        <w:contextualSpacing/>
      </w:pPr>
      <w:proofErr w:type="spellStart"/>
      <w:r w:rsidRPr="00F05C28">
        <w:t>Aud</w:t>
      </w:r>
      <w:proofErr w:type="spellEnd"/>
      <w:r w:rsidRPr="00F05C28">
        <w:t xml:space="preserve">, S., Fox, M., and </w:t>
      </w:r>
      <w:proofErr w:type="spellStart"/>
      <w:r w:rsidRPr="00F05C28">
        <w:t>KewalRamani</w:t>
      </w:r>
      <w:proofErr w:type="spellEnd"/>
      <w:r w:rsidRPr="00F05C28">
        <w:t>, A. (2010). Status and Trends in the Education of Racial and Ethnic Groups (NCES 2010-015). U.S. Department of Education, National Center for Education Statistics. Washington, DC: U.S. Government Printing Office.</w:t>
      </w:r>
    </w:p>
    <w:p w14:paraId="6FD24BBC" w14:textId="77777777" w:rsidR="00F05C28" w:rsidRPr="00F05C28" w:rsidRDefault="00F05C28" w:rsidP="00F05C28">
      <w:pPr>
        <w:spacing w:line="480" w:lineRule="auto"/>
        <w:ind w:left="720" w:hanging="720"/>
        <w:contextualSpacing/>
      </w:pPr>
      <w:proofErr w:type="spellStart"/>
      <w:r w:rsidRPr="00F05C28">
        <w:t>Aud</w:t>
      </w:r>
      <w:proofErr w:type="spellEnd"/>
      <w:r w:rsidRPr="00F05C28">
        <w:t xml:space="preserve">, S., Hussar, W., </w:t>
      </w:r>
      <w:proofErr w:type="spellStart"/>
      <w:r w:rsidRPr="00F05C28">
        <w:t>Kena</w:t>
      </w:r>
      <w:proofErr w:type="spellEnd"/>
      <w:r w:rsidRPr="00F05C28">
        <w:t xml:space="preserve">, G., Bianco, K., Frohlich, L., Kemp, J., </w:t>
      </w:r>
      <w:proofErr w:type="spellStart"/>
      <w:r w:rsidRPr="00F05C28">
        <w:t>Tahan</w:t>
      </w:r>
      <w:proofErr w:type="spellEnd"/>
      <w:r w:rsidRPr="00F05C28">
        <w:t>, K. (2011). The Condition of Education 2011 (NCES 2011-033). U.S. Department of Education, National Center for Education Statistics. Washington, DC: U.S. Government Printing Office.</w:t>
      </w:r>
    </w:p>
    <w:p w14:paraId="71B05AA3" w14:textId="77777777" w:rsidR="00F05C28" w:rsidRPr="00F05C28" w:rsidRDefault="00F05C28" w:rsidP="00F05C28">
      <w:pPr>
        <w:spacing w:line="480" w:lineRule="auto"/>
        <w:ind w:left="720" w:hanging="720"/>
        <w:contextualSpacing/>
      </w:pPr>
    </w:p>
    <w:p w14:paraId="15921C6C" w14:textId="77777777" w:rsidR="00F05C28" w:rsidRPr="00F05C28" w:rsidRDefault="00F05C28" w:rsidP="00F05C28">
      <w:pPr>
        <w:spacing w:line="480" w:lineRule="auto"/>
        <w:ind w:left="720" w:hanging="720"/>
        <w:contextualSpacing/>
      </w:pPr>
    </w:p>
    <w:p w14:paraId="215922CB" w14:textId="77777777" w:rsidR="00F05C28" w:rsidRPr="00F05C28" w:rsidRDefault="00F05C28" w:rsidP="00F05C28">
      <w:pPr>
        <w:spacing w:line="480" w:lineRule="auto"/>
        <w:ind w:left="720" w:hanging="720"/>
        <w:contextualSpacing/>
      </w:pPr>
      <w:proofErr w:type="spellStart"/>
      <w:r w:rsidRPr="00F05C28">
        <w:lastRenderedPageBreak/>
        <w:t>Aud</w:t>
      </w:r>
      <w:proofErr w:type="spellEnd"/>
      <w:r w:rsidRPr="00F05C28">
        <w:t xml:space="preserve">, S., Wilkinson-Flicker, S., </w:t>
      </w:r>
      <w:proofErr w:type="spellStart"/>
      <w:r w:rsidRPr="00F05C28">
        <w:t>Kristapovich</w:t>
      </w:r>
      <w:proofErr w:type="spellEnd"/>
      <w:r w:rsidRPr="00F05C28">
        <w:t>, P., Rathbun, A., Wang, X., and Zhang, J. (2013). The Condition of Education 2013 (NCES 2013-037). U.S. Department of Education, National Center for Education Statistics. Washington, DC. Retrieved from http://nces.ed.gov/pubsearch.</w:t>
      </w:r>
    </w:p>
    <w:p w14:paraId="73988B20" w14:textId="77777777" w:rsidR="00F05C28" w:rsidRPr="00F05C28" w:rsidRDefault="00F05C28" w:rsidP="00F05C28">
      <w:pPr>
        <w:spacing w:line="480" w:lineRule="auto"/>
        <w:ind w:left="720" w:hanging="720"/>
        <w:contextualSpacing/>
      </w:pPr>
      <w:r w:rsidRPr="00F05C28">
        <w:t xml:space="preserve">Baber, L. D. (2012). A qualitative inquiry on the multidimensional racial development among first-year African American college students attending a predominately White institution. </w:t>
      </w:r>
      <w:r w:rsidRPr="00F05C28">
        <w:rPr>
          <w:i/>
        </w:rPr>
        <w:t>The Journal of Negro Education, 81</w:t>
      </w:r>
      <w:r w:rsidRPr="00F05C28">
        <w:t>(1), 67-81.</w:t>
      </w:r>
    </w:p>
    <w:p w14:paraId="3E1E5278" w14:textId="77777777" w:rsidR="00F05C28" w:rsidRPr="00F05C28" w:rsidRDefault="00F05C28" w:rsidP="00F05C28">
      <w:pPr>
        <w:spacing w:line="480" w:lineRule="auto"/>
        <w:ind w:left="720" w:hanging="720"/>
        <w:contextualSpacing/>
      </w:pPr>
      <w:r w:rsidRPr="00F05C28">
        <w:t xml:space="preserve">Bailey, M. J., &amp; </w:t>
      </w:r>
      <w:proofErr w:type="spellStart"/>
      <w:r w:rsidRPr="00F05C28">
        <w:t>Dynarski</w:t>
      </w:r>
      <w:proofErr w:type="spellEnd"/>
      <w:r w:rsidRPr="00F05C28">
        <w:t>, S. M. (2011). Gains and gaps: Changing inequality in US college entry and completion (Working Paper). Retrieved from National Bureau of Economic Research website: https://www.nber.org/papers/w17633.</w:t>
      </w:r>
    </w:p>
    <w:p w14:paraId="2C4EAB93" w14:textId="77777777" w:rsidR="00F05C28" w:rsidRPr="00F05C28" w:rsidRDefault="00F05C28" w:rsidP="00F05C28">
      <w:pPr>
        <w:spacing w:line="480" w:lineRule="auto"/>
        <w:ind w:left="720" w:hanging="720"/>
        <w:contextualSpacing/>
      </w:pPr>
      <w:r w:rsidRPr="00F05C28">
        <w:t xml:space="preserve">Baker, B. A., </w:t>
      </w:r>
      <w:proofErr w:type="spellStart"/>
      <w:r w:rsidRPr="00F05C28">
        <w:t>Caison</w:t>
      </w:r>
      <w:proofErr w:type="spellEnd"/>
      <w:r w:rsidRPr="00F05C28">
        <w:t>, A. L., &amp; Meade, A. W. (2007). Assessing gender-related differential item functioning and predictive validity with the institutional integration scale. </w:t>
      </w:r>
      <w:r w:rsidRPr="00F05C28">
        <w:rPr>
          <w:i/>
        </w:rPr>
        <w:t>Educational and Psychological Measurement, 67</w:t>
      </w:r>
      <w:r w:rsidRPr="00F05C28">
        <w:t>(3), 545-559.</w:t>
      </w:r>
    </w:p>
    <w:p w14:paraId="6118E20B" w14:textId="77777777" w:rsidR="00F05C28" w:rsidRPr="00F05C28" w:rsidRDefault="00F05C28" w:rsidP="00F05C28">
      <w:pPr>
        <w:spacing w:line="480" w:lineRule="auto"/>
        <w:ind w:left="720" w:hanging="720"/>
        <w:contextualSpacing/>
      </w:pPr>
      <w:r w:rsidRPr="00F05C28">
        <w:t xml:space="preserve">Baker, C. N. (2008). Under-represented college students and extracurricular involvement: The effects of various student organizations on academic performance. </w:t>
      </w:r>
      <w:r w:rsidRPr="00F05C28">
        <w:rPr>
          <w:i/>
        </w:rPr>
        <w:t>Social Psychology of Education, 11</w:t>
      </w:r>
      <w:r w:rsidRPr="00F05C28">
        <w:t>(3), 273-298.</w:t>
      </w:r>
    </w:p>
    <w:p w14:paraId="12A4B051" w14:textId="77777777" w:rsidR="00F05C28" w:rsidRPr="00F05C28" w:rsidRDefault="00F05C28" w:rsidP="00F05C28">
      <w:pPr>
        <w:spacing w:line="480" w:lineRule="auto"/>
        <w:ind w:left="720" w:hanging="720"/>
        <w:contextualSpacing/>
      </w:pPr>
      <w:r w:rsidRPr="00F05C28">
        <w:t xml:space="preserve">Baker, C. N., &amp; </w:t>
      </w:r>
      <w:proofErr w:type="spellStart"/>
      <w:r w:rsidRPr="00F05C28">
        <w:t>Robnett</w:t>
      </w:r>
      <w:proofErr w:type="spellEnd"/>
      <w:r w:rsidRPr="00F05C28">
        <w:t xml:space="preserve">, B. (2012). Race, social support and college student retention: A case study. </w:t>
      </w:r>
      <w:r w:rsidRPr="00F05C28">
        <w:rPr>
          <w:i/>
        </w:rPr>
        <w:t>Journal of College Student Development, 53</w:t>
      </w:r>
      <w:r w:rsidRPr="00F05C28">
        <w:t>(2), 325-335.</w:t>
      </w:r>
    </w:p>
    <w:p w14:paraId="530CD19E" w14:textId="77777777" w:rsidR="00F05C28" w:rsidRPr="00F05C28" w:rsidRDefault="00F05C28" w:rsidP="00F05C28">
      <w:pPr>
        <w:spacing w:line="480" w:lineRule="auto"/>
        <w:ind w:left="720" w:hanging="720"/>
        <w:contextualSpacing/>
      </w:pPr>
      <w:r w:rsidRPr="00F05C28">
        <w:t xml:space="preserve">Barnhart, D. (2011). </w:t>
      </w:r>
      <w:r w:rsidRPr="00F05C28">
        <w:rPr>
          <w:i/>
        </w:rPr>
        <w:t xml:space="preserve">The relationship of academic and social integration to </w:t>
      </w:r>
      <w:proofErr w:type="gramStart"/>
      <w:r w:rsidRPr="00F05C28">
        <w:rPr>
          <w:i/>
        </w:rPr>
        <w:t>veterans</w:t>
      </w:r>
      <w:proofErr w:type="gramEnd"/>
      <w:r w:rsidRPr="00F05C28">
        <w:rPr>
          <w:i/>
        </w:rPr>
        <w:t xml:space="preserve"> educational persistence</w:t>
      </w:r>
      <w:r w:rsidRPr="00F05C28">
        <w:t xml:space="preserve"> (Doctoral dissertation). Available from ProQuest Dissertations and Theses </w:t>
      </w:r>
      <w:proofErr w:type="gramStart"/>
      <w:r w:rsidRPr="00F05C28">
        <w:t>database.(</w:t>
      </w:r>
      <w:proofErr w:type="gramEnd"/>
      <w:r w:rsidRPr="00F05C28">
        <w:t>UMI No. 3433027).</w:t>
      </w:r>
    </w:p>
    <w:p w14:paraId="2DD26B19" w14:textId="77777777" w:rsidR="00F05C28" w:rsidRPr="00F05C28" w:rsidRDefault="00F05C28" w:rsidP="00F05C28">
      <w:pPr>
        <w:spacing w:line="480" w:lineRule="auto"/>
        <w:ind w:left="720" w:hanging="720"/>
        <w:contextualSpacing/>
      </w:pPr>
    </w:p>
    <w:p w14:paraId="7C63699B" w14:textId="77777777" w:rsidR="00F05C28" w:rsidRPr="00F05C28" w:rsidRDefault="00F05C28" w:rsidP="00F05C28">
      <w:pPr>
        <w:spacing w:line="480" w:lineRule="auto"/>
        <w:ind w:left="720" w:hanging="720"/>
        <w:contextualSpacing/>
      </w:pPr>
    </w:p>
    <w:p w14:paraId="0CD7631C" w14:textId="77777777" w:rsidR="00F05C28" w:rsidRPr="00F05C28" w:rsidRDefault="00F05C28" w:rsidP="00F05C28">
      <w:pPr>
        <w:spacing w:line="480" w:lineRule="auto"/>
        <w:ind w:left="720" w:hanging="720"/>
        <w:contextualSpacing/>
      </w:pPr>
      <w:r w:rsidRPr="00F05C28">
        <w:lastRenderedPageBreak/>
        <w:t xml:space="preserve">Baum, S., &amp; </w:t>
      </w:r>
      <w:proofErr w:type="spellStart"/>
      <w:r w:rsidRPr="00F05C28">
        <w:t>Payea</w:t>
      </w:r>
      <w:proofErr w:type="spellEnd"/>
      <w:r w:rsidRPr="00F05C28">
        <w:t>, K. (2004). Education pays 2004: The benefits of higher education for individuals and society. New York, NY: The College Board.</w:t>
      </w:r>
    </w:p>
    <w:p w14:paraId="3E01F021" w14:textId="77777777" w:rsidR="00F05C28" w:rsidRPr="00F05C28" w:rsidRDefault="00F05C28" w:rsidP="00F05C28">
      <w:pPr>
        <w:spacing w:line="480" w:lineRule="auto"/>
        <w:ind w:left="720" w:hanging="720"/>
        <w:contextualSpacing/>
      </w:pPr>
      <w:r w:rsidRPr="00F05C28">
        <w:t xml:space="preserve">Baum, S., Ma, J., &amp; </w:t>
      </w:r>
      <w:proofErr w:type="spellStart"/>
      <w:r w:rsidRPr="00F05C28">
        <w:t>Payea</w:t>
      </w:r>
      <w:proofErr w:type="spellEnd"/>
      <w:r w:rsidRPr="00F05C28">
        <w:t>, K. (2013). Education pays 2013: The benefits of higher education for individuals and society. New York, NY: The College Board.</w:t>
      </w:r>
    </w:p>
    <w:p w14:paraId="6B65FC59" w14:textId="77777777" w:rsidR="00F05C28" w:rsidRPr="00F05C28" w:rsidRDefault="00F05C28" w:rsidP="00F05C28">
      <w:pPr>
        <w:spacing w:line="480" w:lineRule="auto"/>
        <w:ind w:left="720" w:hanging="720"/>
        <w:contextualSpacing/>
      </w:pPr>
      <w:r w:rsidRPr="00F05C28">
        <w:t xml:space="preserve">Bean, J. P., &amp; </w:t>
      </w:r>
      <w:proofErr w:type="spellStart"/>
      <w:r w:rsidRPr="00F05C28">
        <w:t>Metzner</w:t>
      </w:r>
      <w:proofErr w:type="spellEnd"/>
      <w:r w:rsidRPr="00F05C28">
        <w:t>, B. S. (1985). A conceptual model of nontraditional undergraduate student attrition. </w:t>
      </w:r>
      <w:r w:rsidRPr="00F05C28">
        <w:rPr>
          <w:i/>
        </w:rPr>
        <w:t>Review of Educational Research, 55</w:t>
      </w:r>
      <w:r w:rsidRPr="00F05C28">
        <w:t>(4), 485-540.</w:t>
      </w:r>
    </w:p>
    <w:p w14:paraId="428EE4C8" w14:textId="77777777" w:rsidR="00F05C28" w:rsidRPr="00F05C28" w:rsidRDefault="00F05C28" w:rsidP="00F05C28">
      <w:pPr>
        <w:spacing w:line="480" w:lineRule="auto"/>
        <w:ind w:left="720" w:hanging="720"/>
        <w:contextualSpacing/>
      </w:pPr>
      <w:r w:rsidRPr="00F05C28">
        <w:t xml:space="preserve">Bonner, F. A., &amp; Bailey, K. W. (2006). Enhancing the academic climate for African American men. In M. J. </w:t>
      </w:r>
      <w:proofErr w:type="spellStart"/>
      <w:r w:rsidRPr="00F05C28">
        <w:t>Cuyjet</w:t>
      </w:r>
      <w:proofErr w:type="spellEnd"/>
      <w:r w:rsidRPr="00F05C28">
        <w:t xml:space="preserve"> (Ed.) </w:t>
      </w:r>
      <w:r w:rsidRPr="00F05C28">
        <w:rPr>
          <w:i/>
        </w:rPr>
        <w:t>African American men in college</w:t>
      </w:r>
      <w:r w:rsidRPr="00F05C28">
        <w:t xml:space="preserve"> (pp. 24-46). Indianapolis, IN: Jossey-Bass, An Imprint of Wiley.</w:t>
      </w:r>
    </w:p>
    <w:p w14:paraId="7EEBAFA2" w14:textId="77777777" w:rsidR="00F05C28" w:rsidRPr="00F05C28" w:rsidRDefault="00F05C28" w:rsidP="00F05C28">
      <w:pPr>
        <w:spacing w:line="480" w:lineRule="auto"/>
        <w:ind w:left="720" w:hanging="720"/>
        <w:contextualSpacing/>
      </w:pPr>
      <w:r w:rsidRPr="00F05C28">
        <w:t xml:space="preserve">Bound, J., </w:t>
      </w:r>
      <w:proofErr w:type="spellStart"/>
      <w:r w:rsidRPr="00F05C28">
        <w:t>Lovenheim</w:t>
      </w:r>
      <w:proofErr w:type="spellEnd"/>
      <w:r w:rsidRPr="00F05C28">
        <w:t>, M. F., &amp; Turner, S. (2010). Increasing time to baccalaureate degree in the United States (Working Paper). Retrieved from National Bureau of Economic Research website: https://www.nber.org/papers/w15892.</w:t>
      </w:r>
    </w:p>
    <w:p w14:paraId="32BDD808" w14:textId="77777777" w:rsidR="00F05C28" w:rsidRPr="00F05C28" w:rsidRDefault="00F05C28" w:rsidP="00F05C28">
      <w:pPr>
        <w:spacing w:line="480" w:lineRule="auto"/>
        <w:ind w:left="720" w:hanging="720"/>
        <w:contextualSpacing/>
      </w:pPr>
      <w:r w:rsidRPr="00F05C28">
        <w:t xml:space="preserve">Bowen, William G, Matthew M. </w:t>
      </w:r>
      <w:proofErr w:type="spellStart"/>
      <w:r w:rsidRPr="00F05C28">
        <w:t>Chingos</w:t>
      </w:r>
      <w:proofErr w:type="spellEnd"/>
      <w:r w:rsidRPr="00F05C28">
        <w:t xml:space="preserve"> &amp; Michael S. McPherson. 2009. Crossing the Finish Line: Completing College at America's Public Universities. Princeton, NJ: Princeton University Press.</w:t>
      </w:r>
    </w:p>
    <w:p w14:paraId="38158040" w14:textId="77777777" w:rsidR="00F05C28" w:rsidRPr="00F05C28" w:rsidRDefault="00F05C28" w:rsidP="00F05C28">
      <w:pPr>
        <w:spacing w:line="480" w:lineRule="auto"/>
        <w:ind w:left="720" w:hanging="720"/>
        <w:contextualSpacing/>
      </w:pPr>
      <w:r w:rsidRPr="00F05C28">
        <w:t xml:space="preserve">Brand, J. E., &amp; </w:t>
      </w:r>
      <w:proofErr w:type="spellStart"/>
      <w:r w:rsidRPr="00F05C28">
        <w:t>Xie</w:t>
      </w:r>
      <w:proofErr w:type="spellEnd"/>
      <w:r w:rsidRPr="00F05C28">
        <w:t>, Y. (2010). Who benefits most from college? Evidence for negative selection in heterogeneous economic returns to higher education. </w:t>
      </w:r>
      <w:r w:rsidRPr="00F05C28">
        <w:rPr>
          <w:i/>
        </w:rPr>
        <w:t>American Sociological Review, 75</w:t>
      </w:r>
      <w:r w:rsidRPr="00F05C28">
        <w:t>(2), 273-302.</w:t>
      </w:r>
    </w:p>
    <w:p w14:paraId="2BE5ECD2" w14:textId="77777777" w:rsidR="00F05C28" w:rsidRPr="00F05C28" w:rsidRDefault="00F05C28" w:rsidP="00F05C28">
      <w:pPr>
        <w:spacing w:line="480" w:lineRule="auto"/>
        <w:ind w:left="720" w:hanging="720"/>
        <w:contextualSpacing/>
      </w:pPr>
      <w:r w:rsidRPr="00F05C28">
        <w:t xml:space="preserve">Braxton, J. M. &amp; </w:t>
      </w:r>
      <w:proofErr w:type="spellStart"/>
      <w:r w:rsidRPr="00F05C28">
        <w:t>Hirschy</w:t>
      </w:r>
      <w:proofErr w:type="spellEnd"/>
      <w:r w:rsidRPr="00F05C28">
        <w:t xml:space="preserve">, A. S. (2004). Reconceptualizing antecedents of social integration in student departure. In M. Yorke &amp; B. </w:t>
      </w:r>
      <w:proofErr w:type="spellStart"/>
      <w:r w:rsidRPr="00F05C28">
        <w:t>Lognden</w:t>
      </w:r>
      <w:proofErr w:type="spellEnd"/>
      <w:r w:rsidRPr="00F05C28">
        <w:t xml:space="preserve"> (Eds.) </w:t>
      </w:r>
      <w:r w:rsidRPr="00F05C28">
        <w:rPr>
          <w:i/>
        </w:rPr>
        <w:t>Retention and Student Success in Higher Education</w:t>
      </w:r>
      <w:r w:rsidRPr="00F05C28">
        <w:t xml:space="preserve"> (pp. 89-102), </w:t>
      </w:r>
      <w:r w:rsidRPr="00F05C28">
        <w:rPr>
          <w:color w:val="222222"/>
          <w:shd w:val="clear" w:color="auto" w:fill="FFFFFF"/>
        </w:rPr>
        <w:t>McGraw-Hill Education (UK)</w:t>
      </w:r>
      <w:r w:rsidRPr="00F05C28">
        <w:t>.</w:t>
      </w:r>
    </w:p>
    <w:p w14:paraId="2EBAF866" w14:textId="77777777" w:rsidR="00F05C28" w:rsidRPr="00F05C28" w:rsidRDefault="00F05C28" w:rsidP="00F05C28">
      <w:pPr>
        <w:spacing w:line="480" w:lineRule="auto"/>
        <w:ind w:left="720" w:hanging="720"/>
        <w:contextualSpacing/>
      </w:pPr>
      <w:r w:rsidRPr="00F05C28">
        <w:lastRenderedPageBreak/>
        <w:t xml:space="preserve">Braxton, J. M., </w:t>
      </w:r>
      <w:proofErr w:type="spellStart"/>
      <w:r w:rsidRPr="00F05C28">
        <w:t>Hirschy</w:t>
      </w:r>
      <w:proofErr w:type="spellEnd"/>
      <w:r w:rsidRPr="00F05C28">
        <w:t>, A. S., &amp; McClendon, S. A. (2004). Understanding and Reducing College Student Departure. ASHE-ERIC Higher Education Report (Volume 30, Issue 3). San Francisco, CA: Jossey-Bass, An Imprint of Wiley.</w:t>
      </w:r>
    </w:p>
    <w:p w14:paraId="55D83F2A" w14:textId="77777777" w:rsidR="00F05C28" w:rsidRPr="00F05C28" w:rsidRDefault="00F05C28" w:rsidP="00F05C28">
      <w:pPr>
        <w:spacing w:line="480" w:lineRule="auto"/>
        <w:ind w:left="720" w:hanging="720"/>
        <w:contextualSpacing/>
      </w:pPr>
      <w:r w:rsidRPr="00F05C28">
        <w:t xml:space="preserve">Braxton, J. M., Shaw Sullivan, A. V., &amp; Johnson, R. M. (1997). Appraising Tinto's theory of college student departure. In J.C. Smart (Ed.), </w:t>
      </w:r>
      <w:r w:rsidRPr="00F05C28">
        <w:rPr>
          <w:i/>
        </w:rPr>
        <w:t>Higher education: Handbook of theory and research</w:t>
      </w:r>
      <w:r w:rsidRPr="00F05C28">
        <w:t xml:space="preserve"> (pp. 107-164), New York, NY: Agathon Press.</w:t>
      </w:r>
    </w:p>
    <w:p w14:paraId="63FC0D7D" w14:textId="77777777" w:rsidR="00F05C28" w:rsidRPr="00F05C28" w:rsidRDefault="00F05C28" w:rsidP="00F05C28">
      <w:pPr>
        <w:spacing w:line="480" w:lineRule="auto"/>
        <w:ind w:left="720" w:hanging="720"/>
        <w:contextualSpacing/>
      </w:pPr>
      <w:r w:rsidRPr="00F05C28">
        <w:t xml:space="preserve">Brock, Thomas. (2010). Young Adults and Higher Education: Barriers and Breakthroughs to Success. </w:t>
      </w:r>
      <w:r w:rsidRPr="00F05C28">
        <w:rPr>
          <w:i/>
        </w:rPr>
        <w:t>The Future of Children</w:t>
      </w:r>
      <w:r w:rsidRPr="00F05C28">
        <w:t>, 20(1). 109-132.</w:t>
      </w:r>
    </w:p>
    <w:p w14:paraId="579E6F71" w14:textId="77777777" w:rsidR="00F05C28" w:rsidRPr="00F05C28" w:rsidRDefault="00F05C28" w:rsidP="00F05C28">
      <w:pPr>
        <w:spacing w:line="480" w:lineRule="auto"/>
        <w:ind w:left="720" w:hanging="720"/>
        <w:contextualSpacing/>
      </w:pPr>
      <w:r w:rsidRPr="00F05C28">
        <w:t>Brown, M. C., &amp; Dancy, E. T. (2010). Predominantly white institutions. </w:t>
      </w:r>
      <w:r w:rsidRPr="00F05C28">
        <w:rPr>
          <w:i/>
        </w:rPr>
        <w:t>Encyclopedia of African American Education</w:t>
      </w:r>
      <w:r w:rsidRPr="00F05C28">
        <w:t>, 1, 523-526.</w:t>
      </w:r>
    </w:p>
    <w:p w14:paraId="742625A1" w14:textId="77777777" w:rsidR="00F05C28" w:rsidRPr="00F05C28" w:rsidRDefault="00F05C28" w:rsidP="00F05C28">
      <w:pPr>
        <w:spacing w:line="480" w:lineRule="auto"/>
        <w:ind w:left="720" w:hanging="720"/>
        <w:contextualSpacing/>
      </w:pPr>
      <w:r w:rsidRPr="00F05C28">
        <w:t xml:space="preserve">Cabrera, A. F., Castaneda, M. B., Nora, A., &amp; </w:t>
      </w:r>
      <w:proofErr w:type="spellStart"/>
      <w:r w:rsidRPr="00F05C28">
        <w:t>Hengstler</w:t>
      </w:r>
      <w:proofErr w:type="spellEnd"/>
      <w:r w:rsidRPr="00F05C28">
        <w:t xml:space="preserve">, D. (1992). The convergence between two theories of college persistence. </w:t>
      </w:r>
      <w:r w:rsidRPr="00F05C28">
        <w:rPr>
          <w:i/>
        </w:rPr>
        <w:t>The Journal of Higher Education, 63</w:t>
      </w:r>
      <w:r w:rsidRPr="00F05C28">
        <w:t>(2), 143-164.</w:t>
      </w:r>
    </w:p>
    <w:p w14:paraId="767E7AAF" w14:textId="77777777" w:rsidR="00F05C28" w:rsidRPr="00F05C28" w:rsidRDefault="00F05C28" w:rsidP="00F05C28">
      <w:pPr>
        <w:spacing w:line="480" w:lineRule="auto"/>
        <w:ind w:left="720" w:hanging="720"/>
        <w:contextualSpacing/>
      </w:pPr>
      <w:r w:rsidRPr="00F05C28">
        <w:t xml:space="preserve">Cabrera, A. F., Nora, A., &amp; Castaneda, M. B. (1993). College persistence: Structural equations modeling test of an integrated model of student retention. </w:t>
      </w:r>
      <w:r w:rsidRPr="00F05C28">
        <w:rPr>
          <w:i/>
        </w:rPr>
        <w:t>The Journal of Higher Education, 64</w:t>
      </w:r>
      <w:r w:rsidRPr="00F05C28">
        <w:t>(2), 123-139.</w:t>
      </w:r>
    </w:p>
    <w:p w14:paraId="6D358CAC" w14:textId="77777777" w:rsidR="00F05C28" w:rsidRPr="00F05C28" w:rsidRDefault="00F05C28" w:rsidP="00F05C28">
      <w:pPr>
        <w:spacing w:line="480" w:lineRule="auto"/>
        <w:ind w:left="720" w:hanging="720"/>
        <w:contextualSpacing/>
      </w:pPr>
      <w:r w:rsidRPr="00F05C28">
        <w:t xml:space="preserve">Cabrera, A. F., Nora, A., </w:t>
      </w:r>
      <w:proofErr w:type="spellStart"/>
      <w:r w:rsidRPr="00F05C28">
        <w:t>Terenzini</w:t>
      </w:r>
      <w:proofErr w:type="spellEnd"/>
      <w:r w:rsidRPr="00F05C28">
        <w:t xml:space="preserve">, P. T., Pascarella, E., &amp; Hagedorn, L. S. (1999). Campus racial climate and the adjustment of students to college: A comparison between White students and </w:t>
      </w:r>
      <w:proofErr w:type="gramStart"/>
      <w:r w:rsidRPr="00F05C28">
        <w:t>African-American</w:t>
      </w:r>
      <w:proofErr w:type="gramEnd"/>
      <w:r w:rsidRPr="00F05C28">
        <w:t xml:space="preserve"> students. </w:t>
      </w:r>
      <w:r w:rsidRPr="00F05C28">
        <w:rPr>
          <w:i/>
        </w:rPr>
        <w:t>The Journal of Higher Education, 70</w:t>
      </w:r>
      <w:r w:rsidRPr="00F05C28">
        <w:t>(2), 134-160.</w:t>
      </w:r>
    </w:p>
    <w:p w14:paraId="3A62A17D" w14:textId="77777777" w:rsidR="00F05C28" w:rsidRPr="00F05C28" w:rsidRDefault="00F05C28" w:rsidP="00F05C28">
      <w:pPr>
        <w:spacing w:line="480" w:lineRule="auto"/>
        <w:ind w:left="720" w:hanging="720"/>
        <w:contextualSpacing/>
      </w:pPr>
      <w:proofErr w:type="spellStart"/>
      <w:r w:rsidRPr="00F05C28">
        <w:t>Cahalan</w:t>
      </w:r>
      <w:proofErr w:type="spellEnd"/>
      <w:r w:rsidRPr="00F05C28">
        <w:t xml:space="preserve">, M., </w:t>
      </w:r>
      <w:proofErr w:type="spellStart"/>
      <w:r w:rsidRPr="00F05C28">
        <w:t>Perna</w:t>
      </w:r>
      <w:proofErr w:type="spellEnd"/>
      <w:r w:rsidRPr="00F05C28">
        <w:t>, L.W., Yamashita, M., Ruiz, R., &amp; Franklin, K. (2019). Indicators of higher education equity in the United States: An historic trend report. Washington, DC:  The Pell Institute of the Council for Opportunity in Education and the Alliance for Higher Education and Democracy.</w:t>
      </w:r>
    </w:p>
    <w:p w14:paraId="74DA0DC0" w14:textId="77777777" w:rsidR="00F05C28" w:rsidRPr="00F05C28" w:rsidRDefault="00F05C28" w:rsidP="00F05C28">
      <w:pPr>
        <w:spacing w:line="480" w:lineRule="auto"/>
        <w:ind w:left="720" w:hanging="720"/>
        <w:contextualSpacing/>
      </w:pPr>
      <w:r w:rsidRPr="00F05C28">
        <w:lastRenderedPageBreak/>
        <w:t>Camara, W. J. (2003). College Persistence, Graduation, and Remediation. Research Summary. RS-09. College Entrance Examination Board.</w:t>
      </w:r>
    </w:p>
    <w:p w14:paraId="6C4E7AAE" w14:textId="77777777" w:rsidR="00F05C28" w:rsidRPr="00F05C28" w:rsidRDefault="00F05C28" w:rsidP="00F05C28">
      <w:pPr>
        <w:spacing w:line="480" w:lineRule="auto"/>
        <w:ind w:left="720" w:hanging="720"/>
        <w:contextualSpacing/>
      </w:pPr>
      <w:r w:rsidRPr="00F05C28">
        <w:t xml:space="preserve">Carnevale, A. P., Cheah, B., &amp; Rose, S. J. (2011). The college </w:t>
      </w:r>
      <w:proofErr w:type="spellStart"/>
      <w:r w:rsidRPr="00F05C28">
        <w:t>pay off</w:t>
      </w:r>
      <w:proofErr w:type="spellEnd"/>
      <w:r w:rsidRPr="00F05C28">
        <w:t>: Education, occupations, lifetime earnings. Washington, DC: Georgetown University Center on Education and the Workforce.</w:t>
      </w:r>
    </w:p>
    <w:p w14:paraId="19C54FD6" w14:textId="77777777" w:rsidR="00F05C28" w:rsidRPr="00F05C28" w:rsidRDefault="00F05C28" w:rsidP="00F05C28">
      <w:pPr>
        <w:spacing w:line="480" w:lineRule="auto"/>
        <w:ind w:left="720" w:hanging="720"/>
        <w:contextualSpacing/>
      </w:pPr>
      <w:r w:rsidRPr="00F05C28">
        <w:t xml:space="preserve">Carnevale, A. P., Smith, N., &amp; </w:t>
      </w:r>
      <w:proofErr w:type="spellStart"/>
      <w:r w:rsidRPr="00F05C28">
        <w:t>Strohl</w:t>
      </w:r>
      <w:proofErr w:type="spellEnd"/>
      <w:r w:rsidRPr="00F05C28">
        <w:t>, J. (2010). Help wanted: Projections of job and education requirements through 2018.  Washington, DC: Georgetown University Center on Education and the Workforce.</w:t>
      </w:r>
    </w:p>
    <w:p w14:paraId="41948A80" w14:textId="77777777" w:rsidR="00F05C28" w:rsidRPr="00F05C28" w:rsidRDefault="00F05C28" w:rsidP="00F05C28">
      <w:pPr>
        <w:spacing w:line="480" w:lineRule="auto"/>
        <w:ind w:left="720" w:hanging="720"/>
        <w:contextualSpacing/>
      </w:pPr>
      <w:r w:rsidRPr="00F05C28">
        <w:t xml:space="preserve">Carter, D. F. (2006). Key issues in the persistence of underrepresented minority students. </w:t>
      </w:r>
      <w:r w:rsidRPr="00F05C28">
        <w:rPr>
          <w:i/>
          <w:iCs/>
        </w:rPr>
        <w:t>New Directions for Institutional Research, 130</w:t>
      </w:r>
      <w:r w:rsidRPr="00F05C28">
        <w:t>, 33 - 46</w:t>
      </w:r>
    </w:p>
    <w:p w14:paraId="7A922E75" w14:textId="77777777" w:rsidR="00F05C28" w:rsidRPr="00F05C28" w:rsidRDefault="00F05C28" w:rsidP="00F05C28">
      <w:pPr>
        <w:spacing w:line="480" w:lineRule="auto"/>
        <w:ind w:left="720" w:hanging="720"/>
        <w:contextualSpacing/>
      </w:pPr>
      <w:r w:rsidRPr="00F05C28">
        <w:t xml:space="preserve">Castellanos, J., &amp; Jones, L. (2003). Latina/o undergraduate experiences in American higher education. In J. Castellanos and L. Jones (Eds.), </w:t>
      </w:r>
      <w:r w:rsidRPr="00F05C28">
        <w:rPr>
          <w:i/>
        </w:rPr>
        <w:t xml:space="preserve">The majority in the minority: Expanding the representation of Latina/o faculty, administrators, and students in higher education </w:t>
      </w:r>
      <w:r w:rsidRPr="00F05C28">
        <w:t>(pp. 1-14). Sterling, Virginia: Stylus.</w:t>
      </w:r>
    </w:p>
    <w:p w14:paraId="550D362A" w14:textId="77777777" w:rsidR="00F05C28" w:rsidRPr="00F05C28" w:rsidRDefault="00F05C28" w:rsidP="00F05C28">
      <w:pPr>
        <w:spacing w:line="480" w:lineRule="auto"/>
        <w:ind w:left="720" w:hanging="720"/>
        <w:contextualSpacing/>
      </w:pPr>
      <w:proofErr w:type="spellStart"/>
      <w:r w:rsidRPr="00F05C28">
        <w:t>Cerna</w:t>
      </w:r>
      <w:proofErr w:type="spellEnd"/>
      <w:r w:rsidRPr="00F05C28">
        <w:t xml:space="preserve">, O. S., Pérez, P. A., &amp; </w:t>
      </w:r>
      <w:proofErr w:type="spellStart"/>
      <w:r w:rsidRPr="00F05C28">
        <w:t>Sáenz</w:t>
      </w:r>
      <w:proofErr w:type="spellEnd"/>
      <w:r w:rsidRPr="00F05C28">
        <w:t xml:space="preserve">, V. (2009). Examining the precollege attributes and values of Latina/o bachelor's degree attainers. </w:t>
      </w:r>
      <w:r w:rsidRPr="00F05C28">
        <w:rPr>
          <w:i/>
        </w:rPr>
        <w:t>Journal of Hispanic Higher Education, 8</w:t>
      </w:r>
      <w:r w:rsidRPr="00F05C28">
        <w:t>(2), 130-157.</w:t>
      </w:r>
    </w:p>
    <w:p w14:paraId="76E3C63E" w14:textId="77777777" w:rsidR="00F05C28" w:rsidRPr="00F05C28" w:rsidRDefault="00F05C28" w:rsidP="00F05C28">
      <w:pPr>
        <w:spacing w:line="480" w:lineRule="auto"/>
        <w:ind w:left="720" w:hanging="720"/>
        <w:contextualSpacing/>
      </w:pPr>
      <w:r w:rsidRPr="00F05C28">
        <w:t xml:space="preserve">Chambers, S. R. (2009). </w:t>
      </w:r>
      <w:r w:rsidRPr="00F05C28">
        <w:rPr>
          <w:i/>
        </w:rPr>
        <w:t>Student engagement: using the NSSE benchmarks to investigate long term persistence</w:t>
      </w:r>
      <w:r w:rsidRPr="00F05C28">
        <w:t xml:space="preserve"> (Doctoral dissertation). Montana State University-Bozeman (College of Education, Health &amp; Human Development), Bozeman, Montana.</w:t>
      </w:r>
    </w:p>
    <w:p w14:paraId="1B392253" w14:textId="77777777" w:rsidR="00F05C28" w:rsidRPr="00F05C28" w:rsidRDefault="00F05C28" w:rsidP="00F05C28">
      <w:pPr>
        <w:spacing w:line="480" w:lineRule="auto"/>
        <w:ind w:left="720" w:hanging="720"/>
        <w:contextualSpacing/>
      </w:pPr>
      <w:r w:rsidRPr="00F05C28">
        <w:t xml:space="preserve">Chapman, D. W., &amp; Pascarella, E. T. (1983). Predictors of academic and social integration of college students. </w:t>
      </w:r>
      <w:r w:rsidRPr="00F05C28">
        <w:rPr>
          <w:i/>
        </w:rPr>
        <w:t>Research in Higher Education, 19</w:t>
      </w:r>
      <w:r w:rsidRPr="00F05C28">
        <w:t>(3), 295-322.</w:t>
      </w:r>
    </w:p>
    <w:p w14:paraId="79E68FE8" w14:textId="77777777" w:rsidR="00F05C28" w:rsidRPr="00F05C28" w:rsidRDefault="00F05C28" w:rsidP="00F05C28">
      <w:pPr>
        <w:spacing w:after="160" w:line="480" w:lineRule="auto"/>
        <w:ind w:left="720" w:hanging="720"/>
        <w:rPr>
          <w:rFonts w:eastAsiaTheme="minorHAnsi"/>
        </w:rPr>
      </w:pPr>
      <w:r w:rsidRPr="00F05C28">
        <w:rPr>
          <w:rFonts w:eastAsiaTheme="minorHAnsi"/>
        </w:rPr>
        <w:lastRenderedPageBreak/>
        <w:t xml:space="preserve">Choy, S. P. (2001). Students whose parents did not go to college: Postsecondary access, persistence, and attainment. </w:t>
      </w:r>
      <w:r w:rsidRPr="00F05C28">
        <w:t>Findings from</w:t>
      </w:r>
      <w:r w:rsidRPr="00F05C28">
        <w:rPr>
          <w:rFonts w:eastAsiaTheme="minorHAnsi"/>
        </w:rPr>
        <w:t xml:space="preserve"> The Condition of Education</w:t>
      </w:r>
      <w:r w:rsidRPr="00F05C28">
        <w:t xml:space="preserve">, </w:t>
      </w:r>
      <w:r w:rsidRPr="00F05C28">
        <w:rPr>
          <w:rFonts w:eastAsiaTheme="minorHAnsi"/>
        </w:rPr>
        <w:t xml:space="preserve">2001, NCES 2001-072, Washington. DC: </w:t>
      </w:r>
      <w:r w:rsidRPr="00F05C28">
        <w:t>U</w:t>
      </w:r>
      <w:r w:rsidRPr="00F05C28">
        <w:rPr>
          <w:rFonts w:eastAsiaTheme="minorHAnsi"/>
        </w:rPr>
        <w:t>.S. Government Printing Office.</w:t>
      </w:r>
    </w:p>
    <w:p w14:paraId="1D2BBB9B" w14:textId="77777777" w:rsidR="00F05C28" w:rsidRPr="00F05C28" w:rsidRDefault="00F05C28" w:rsidP="00F05C28">
      <w:pPr>
        <w:spacing w:line="480" w:lineRule="auto"/>
        <w:ind w:left="720" w:hanging="720"/>
        <w:contextualSpacing/>
      </w:pPr>
      <w:r w:rsidRPr="00F05C28">
        <w:t>Clark, M. H., Middleton, S. C., Nguyen, D., &amp; Zwick, L. K. (2014). Mediating relationships between academic motivation, academic integration and academic performance. </w:t>
      </w:r>
      <w:r w:rsidRPr="00F05C28">
        <w:rPr>
          <w:i/>
        </w:rPr>
        <w:t>Learning and Individual Differences,</w:t>
      </w:r>
      <w:r w:rsidRPr="00F05C28">
        <w:t> </w:t>
      </w:r>
      <w:r w:rsidRPr="00F05C28">
        <w:rPr>
          <w:i/>
        </w:rPr>
        <w:t>33</w:t>
      </w:r>
      <w:r w:rsidRPr="00F05C28">
        <w:t>, 30-38.</w:t>
      </w:r>
    </w:p>
    <w:p w14:paraId="31C8FAC2" w14:textId="77777777" w:rsidR="00F05C28" w:rsidRPr="00F05C28" w:rsidRDefault="00F05C28" w:rsidP="00F05C28">
      <w:pPr>
        <w:spacing w:line="480" w:lineRule="auto"/>
        <w:ind w:left="720" w:hanging="720"/>
        <w:contextualSpacing/>
      </w:pPr>
      <w:r w:rsidRPr="00F05C28">
        <w:t xml:space="preserve">Cox, B. G. (2013). </w:t>
      </w:r>
      <w:r w:rsidRPr="00F05C28">
        <w:rPr>
          <w:i/>
        </w:rPr>
        <w:t>Academic and social integration of the non-traditional college student: Does engagement affect retention</w:t>
      </w:r>
      <w:r w:rsidRPr="00F05C28">
        <w:t xml:space="preserve"> (Doctoral dissertation). University of North Carolina, Charlotte, Charlotte, NC.</w:t>
      </w:r>
    </w:p>
    <w:p w14:paraId="0648A8F7" w14:textId="77777777" w:rsidR="00F05C28" w:rsidRPr="00F05C28" w:rsidRDefault="00F05C28" w:rsidP="00F05C28">
      <w:pPr>
        <w:spacing w:line="480" w:lineRule="auto"/>
        <w:ind w:left="720" w:hanging="720"/>
        <w:contextualSpacing/>
      </w:pPr>
      <w:r w:rsidRPr="00F05C28">
        <w:t>Cramer, D. (2003). Advanced quantitative data analysis. Philadelphia, PA: McGraw-Hill Education (UK).</w:t>
      </w:r>
    </w:p>
    <w:p w14:paraId="2C86BFF5" w14:textId="77777777" w:rsidR="00F05C28" w:rsidRPr="00F05C28" w:rsidRDefault="00F05C28" w:rsidP="00F05C28">
      <w:pPr>
        <w:spacing w:line="480" w:lineRule="auto"/>
        <w:ind w:left="720" w:hanging="720"/>
      </w:pPr>
      <w:proofErr w:type="spellStart"/>
      <w:r w:rsidRPr="00F05C28">
        <w:t>Crede</w:t>
      </w:r>
      <w:proofErr w:type="spellEnd"/>
      <w:r w:rsidRPr="00F05C28">
        <w:t>, E., &amp; Borrego, M. (2014). Understanding retention in US graduate programs by student nationality. </w:t>
      </w:r>
      <w:r w:rsidRPr="00F05C28">
        <w:rPr>
          <w:i/>
          <w:iCs/>
        </w:rPr>
        <w:t>Studies in Higher Education</w:t>
      </w:r>
      <w:r w:rsidRPr="00F05C28">
        <w:t>, </w:t>
      </w:r>
      <w:r w:rsidRPr="00F05C28">
        <w:rPr>
          <w:i/>
          <w:iCs/>
        </w:rPr>
        <w:t>39</w:t>
      </w:r>
      <w:r w:rsidRPr="00F05C28">
        <w:t>(9), 1599-1616.</w:t>
      </w:r>
    </w:p>
    <w:p w14:paraId="487EE4A2" w14:textId="77777777" w:rsidR="00F05C28" w:rsidRPr="00F05C28" w:rsidRDefault="00F05C28" w:rsidP="00F05C28">
      <w:pPr>
        <w:spacing w:line="480" w:lineRule="auto"/>
        <w:ind w:left="720" w:hanging="720"/>
        <w:contextualSpacing/>
      </w:pPr>
      <w:r w:rsidRPr="00F05C28">
        <w:t>Creswell, J. W. (2014). Research design: Qualitative, quantitative, and mixed methods approaches. Thousand Oaks, CA: Sage Publications, Incorporated.</w:t>
      </w:r>
    </w:p>
    <w:p w14:paraId="4715F165" w14:textId="77777777" w:rsidR="00F05C28" w:rsidRPr="00F05C28" w:rsidRDefault="00F05C28" w:rsidP="00F05C28">
      <w:pPr>
        <w:spacing w:line="480" w:lineRule="auto"/>
        <w:ind w:left="720" w:hanging="720"/>
        <w:contextualSpacing/>
      </w:pPr>
      <w:r w:rsidRPr="00F05C28">
        <w:t xml:space="preserve">Daly, M. C., &amp; Bengali, L. (2014). Is it still worth going to </w:t>
      </w:r>
      <w:proofErr w:type="gramStart"/>
      <w:r w:rsidRPr="00F05C28">
        <w:t>college?.</w:t>
      </w:r>
      <w:proofErr w:type="gramEnd"/>
      <w:r w:rsidRPr="00F05C28">
        <w:t> FRBSF Economic Letter, 2014(13).</w:t>
      </w:r>
    </w:p>
    <w:p w14:paraId="2FDA81AA" w14:textId="77777777" w:rsidR="00F05C28" w:rsidRPr="00F05C28" w:rsidRDefault="00F05C28" w:rsidP="00F05C28">
      <w:pPr>
        <w:spacing w:line="480" w:lineRule="auto"/>
        <w:ind w:left="720" w:hanging="720"/>
        <w:contextualSpacing/>
      </w:pPr>
      <w:r w:rsidRPr="00F05C28">
        <w:t xml:space="preserve">Davidson, C., &amp; Wilson, K. (2013). Reassessing Tinto's concepts of social and academic integration in student retention. </w:t>
      </w:r>
      <w:r w:rsidRPr="00F05C28">
        <w:rPr>
          <w:i/>
        </w:rPr>
        <w:t>Journal of College Student Retention: Research, Theory &amp; Practice, 15</w:t>
      </w:r>
      <w:r w:rsidRPr="00F05C28">
        <w:t>(3), 329-346.</w:t>
      </w:r>
    </w:p>
    <w:p w14:paraId="6CAD25A8" w14:textId="77777777" w:rsidR="00F05C28" w:rsidRPr="00F05C28" w:rsidRDefault="00F05C28" w:rsidP="00F05C28">
      <w:pPr>
        <w:spacing w:line="480" w:lineRule="auto"/>
        <w:ind w:left="720" w:hanging="720"/>
        <w:contextualSpacing/>
      </w:pPr>
      <w:r w:rsidRPr="00F05C28">
        <w:t>DeAngelo, L., Franke, R., Hurtado, S., Pryor, J. H., &amp; Tran, S. (2011). Completing college: Assessing graduation rates at four-year institutions. Los Angeles, CA: Higher Education Research Institute, UCLA.</w:t>
      </w:r>
    </w:p>
    <w:p w14:paraId="498A8223" w14:textId="77777777" w:rsidR="00F05C28" w:rsidRPr="00F05C28" w:rsidRDefault="00F05C28" w:rsidP="00F05C28">
      <w:pPr>
        <w:spacing w:line="480" w:lineRule="auto"/>
        <w:ind w:left="720" w:hanging="720"/>
        <w:contextualSpacing/>
      </w:pPr>
      <w:proofErr w:type="spellStart"/>
      <w:r w:rsidRPr="00F05C28">
        <w:lastRenderedPageBreak/>
        <w:t>Deil</w:t>
      </w:r>
      <w:proofErr w:type="spellEnd"/>
      <w:r w:rsidRPr="00F05C28">
        <w:t xml:space="preserve">-Amen, R. (2011). Socio-academic integrative moments: Rethinking academic and social integration among two-year college students in career-related programs. </w:t>
      </w:r>
      <w:r w:rsidRPr="00F05C28">
        <w:rPr>
          <w:i/>
        </w:rPr>
        <w:t>The Journal of Higher Education, 82</w:t>
      </w:r>
      <w:r w:rsidRPr="00F05C28">
        <w:t>(1), 54-91.</w:t>
      </w:r>
    </w:p>
    <w:p w14:paraId="61AF45F7" w14:textId="77777777" w:rsidR="00F05C28" w:rsidRPr="00F05C28" w:rsidRDefault="00F05C28" w:rsidP="00F05C28">
      <w:pPr>
        <w:spacing w:after="160" w:line="480" w:lineRule="auto"/>
        <w:ind w:left="720" w:hanging="720"/>
        <w:rPr>
          <w:rFonts w:eastAsiaTheme="minorHAnsi"/>
        </w:rPr>
      </w:pPr>
      <w:r w:rsidRPr="00F05C28">
        <w:rPr>
          <w:rFonts w:eastAsiaTheme="minorHAnsi"/>
        </w:rPr>
        <w:t xml:space="preserve">Dowd, A. (2008). Dynamic interactions and intersubjectivity: Challenges to causal modeling in studies of college student debt. </w:t>
      </w:r>
      <w:r w:rsidRPr="00F05C28">
        <w:rPr>
          <w:rFonts w:eastAsiaTheme="minorHAnsi"/>
          <w:i/>
          <w:iCs/>
        </w:rPr>
        <w:t>Review of Educational Research, 78</w:t>
      </w:r>
      <w:r w:rsidRPr="00F05C28">
        <w:rPr>
          <w:rFonts w:eastAsiaTheme="minorHAnsi"/>
        </w:rPr>
        <w:t xml:space="preserve">(2), 232–259. </w:t>
      </w:r>
    </w:p>
    <w:p w14:paraId="1C1BF8FD" w14:textId="77777777" w:rsidR="00F05C28" w:rsidRPr="00F05C28" w:rsidRDefault="00F05C28" w:rsidP="00F05C28">
      <w:pPr>
        <w:spacing w:line="480" w:lineRule="auto"/>
        <w:ind w:left="720" w:hanging="720"/>
      </w:pPr>
      <w:r w:rsidRPr="00F05C28">
        <w:rPr>
          <w:color w:val="222222"/>
          <w:shd w:val="clear" w:color="auto" w:fill="FFFFFF"/>
        </w:rPr>
        <w:t>Duggan, M. H., &amp; Pickering, J. W. (2008). Barriers to transfer student academic success and retention. </w:t>
      </w:r>
      <w:r w:rsidRPr="00F05C28">
        <w:rPr>
          <w:i/>
          <w:iCs/>
          <w:color w:val="222222"/>
          <w:shd w:val="clear" w:color="auto" w:fill="FFFFFF"/>
        </w:rPr>
        <w:t>Journal of College Student Retention: Research, Theory &amp; Practice</w:t>
      </w:r>
      <w:r w:rsidRPr="00F05C28">
        <w:rPr>
          <w:color w:val="222222"/>
          <w:shd w:val="clear" w:color="auto" w:fill="FFFFFF"/>
        </w:rPr>
        <w:t>, </w:t>
      </w:r>
      <w:r w:rsidRPr="00F05C28">
        <w:rPr>
          <w:i/>
          <w:iCs/>
          <w:color w:val="222222"/>
          <w:shd w:val="clear" w:color="auto" w:fill="FFFFFF"/>
        </w:rPr>
        <w:t>9</w:t>
      </w:r>
      <w:r w:rsidRPr="00F05C28">
        <w:rPr>
          <w:color w:val="222222"/>
          <w:shd w:val="clear" w:color="auto" w:fill="FFFFFF"/>
        </w:rPr>
        <w:t>(4), 437-459.</w:t>
      </w:r>
    </w:p>
    <w:p w14:paraId="782BB6BB" w14:textId="77777777" w:rsidR="00F05C28" w:rsidRPr="00F05C28" w:rsidRDefault="00F05C28" w:rsidP="00F05C28">
      <w:pPr>
        <w:spacing w:line="480" w:lineRule="auto"/>
        <w:ind w:left="720" w:hanging="720"/>
        <w:contextualSpacing/>
      </w:pPr>
      <w:r w:rsidRPr="00F05C28">
        <w:t xml:space="preserve">Duncan, G. J., &amp; Murnane, R. J. (2014). Growing income inequality threatens American education. </w:t>
      </w:r>
      <w:r w:rsidRPr="00F05C28">
        <w:rPr>
          <w:i/>
        </w:rPr>
        <w:t xml:space="preserve">Phi Delta </w:t>
      </w:r>
      <w:proofErr w:type="spellStart"/>
      <w:r w:rsidRPr="00F05C28">
        <w:rPr>
          <w:i/>
        </w:rPr>
        <w:t>Kappan</w:t>
      </w:r>
      <w:proofErr w:type="spellEnd"/>
      <w:r w:rsidRPr="00F05C28">
        <w:rPr>
          <w:i/>
        </w:rPr>
        <w:t>, 95</w:t>
      </w:r>
      <w:r w:rsidRPr="00F05C28">
        <w:t>(6), 8-14.</w:t>
      </w:r>
    </w:p>
    <w:p w14:paraId="400E264F" w14:textId="77777777" w:rsidR="00F05C28" w:rsidRPr="00F05C28" w:rsidRDefault="00F05C28" w:rsidP="00F05C28">
      <w:pPr>
        <w:spacing w:line="480" w:lineRule="auto"/>
        <w:ind w:left="720" w:hanging="720"/>
        <w:contextualSpacing/>
      </w:pPr>
      <w:r w:rsidRPr="00F05C28">
        <w:t>Durkheim, E. (1961). Suicide: A Study in Sociology (Spaulding, J. &amp; Simpson, G., Trans) New York, NY: The Free Press.</w:t>
      </w:r>
    </w:p>
    <w:p w14:paraId="79E080A2" w14:textId="77777777" w:rsidR="00F05C28" w:rsidRPr="00F05C28" w:rsidRDefault="00F05C28" w:rsidP="00F05C28">
      <w:pPr>
        <w:spacing w:line="480" w:lineRule="auto"/>
        <w:ind w:left="720" w:hanging="720"/>
        <w:contextualSpacing/>
      </w:pPr>
      <w:proofErr w:type="spellStart"/>
      <w:r w:rsidRPr="00F05C28">
        <w:t>Fass</w:t>
      </w:r>
      <w:proofErr w:type="spellEnd"/>
      <w:r w:rsidRPr="00F05C28">
        <w:t xml:space="preserve">-Holmes, B., &amp; Vaughn, A. A. (2014). Are international undergraduates struggling academically? </w:t>
      </w:r>
      <w:r w:rsidRPr="00F05C28">
        <w:rPr>
          <w:i/>
          <w:iCs/>
        </w:rPr>
        <w:t>Journal of International Students, 4</w:t>
      </w:r>
      <w:r w:rsidRPr="00F05C28">
        <w:t>(1), 60–73.</w:t>
      </w:r>
    </w:p>
    <w:p w14:paraId="34B3C22F" w14:textId="77777777" w:rsidR="00F05C28" w:rsidRPr="00F05C28" w:rsidRDefault="00F05C28" w:rsidP="00F05C28">
      <w:pPr>
        <w:spacing w:line="480" w:lineRule="auto"/>
        <w:ind w:left="720" w:hanging="720"/>
        <w:contextualSpacing/>
      </w:pPr>
      <w:r w:rsidRPr="00F05C28">
        <w:t xml:space="preserve">Fischer, E. M. J. (2007). Settling into campus life: Differences by race/ethnicity in college involvement and outcomes. </w:t>
      </w:r>
      <w:r w:rsidRPr="00F05C28">
        <w:rPr>
          <w:i/>
        </w:rPr>
        <w:t>The Journal of Higher Education, 78</w:t>
      </w:r>
      <w:r w:rsidRPr="00F05C28">
        <w:t>(2), 125-161.</w:t>
      </w:r>
    </w:p>
    <w:p w14:paraId="6F2D5E50" w14:textId="77777777" w:rsidR="00F05C28" w:rsidRPr="00F05C28" w:rsidRDefault="00F05C28" w:rsidP="00F05C28">
      <w:pPr>
        <w:spacing w:line="480" w:lineRule="auto"/>
        <w:ind w:left="720" w:hanging="720"/>
        <w:contextualSpacing/>
      </w:pPr>
      <w:r w:rsidRPr="00F05C28">
        <w:t>Flowers, L. A. (2006). Effects of attending a 2-year institution on African American males' academic and social integration in the first year of college. </w:t>
      </w:r>
      <w:r w:rsidRPr="00F05C28">
        <w:rPr>
          <w:i/>
        </w:rPr>
        <w:t>Teachers College Record, 108</w:t>
      </w:r>
      <w:r w:rsidRPr="00F05C28">
        <w:t>(2), 267-286.</w:t>
      </w:r>
    </w:p>
    <w:p w14:paraId="3A8809B7" w14:textId="77777777" w:rsidR="00F05C28" w:rsidRPr="00F05C28" w:rsidRDefault="00F05C28" w:rsidP="00F05C28">
      <w:pPr>
        <w:spacing w:line="480" w:lineRule="auto"/>
        <w:ind w:left="720" w:hanging="720"/>
        <w:contextualSpacing/>
      </w:pPr>
    </w:p>
    <w:p w14:paraId="0FE985A1" w14:textId="77777777" w:rsidR="00F05C28" w:rsidRPr="00F05C28" w:rsidRDefault="00F05C28" w:rsidP="00F05C28">
      <w:pPr>
        <w:spacing w:line="480" w:lineRule="auto"/>
        <w:ind w:left="720" w:hanging="720"/>
        <w:contextualSpacing/>
      </w:pPr>
    </w:p>
    <w:p w14:paraId="0CB8244B" w14:textId="77777777" w:rsidR="00F05C28" w:rsidRPr="00F05C28" w:rsidRDefault="00F05C28" w:rsidP="00F05C28">
      <w:pPr>
        <w:spacing w:line="480" w:lineRule="auto"/>
        <w:ind w:left="720" w:hanging="720"/>
        <w:contextualSpacing/>
      </w:pPr>
    </w:p>
    <w:p w14:paraId="0F550A92" w14:textId="77777777" w:rsidR="00F05C28" w:rsidRPr="00F05C28" w:rsidRDefault="00F05C28" w:rsidP="00F05C28">
      <w:pPr>
        <w:spacing w:line="480" w:lineRule="auto"/>
        <w:ind w:left="720" w:hanging="720"/>
        <w:contextualSpacing/>
      </w:pPr>
      <w:r w:rsidRPr="00F05C28">
        <w:lastRenderedPageBreak/>
        <w:t>Fountain, J. H. (2019). The postsecondary undergraduate population: Student income and demographics (CRS Report No. R45686). Retrieved from Congressional Research Service website: https://www.everycrsreport.com/files/20190412_R45686_539c8fdd2abace1a1c9fd607209b2d1d854c9f23.html.</w:t>
      </w:r>
    </w:p>
    <w:p w14:paraId="4C8334CA" w14:textId="77777777" w:rsidR="00F05C28" w:rsidRPr="00F05C28" w:rsidRDefault="00F05C28" w:rsidP="00F05C28">
      <w:pPr>
        <w:spacing w:line="480" w:lineRule="auto"/>
        <w:ind w:left="720" w:hanging="720"/>
        <w:contextualSpacing/>
      </w:pPr>
      <w:r w:rsidRPr="00F05C28">
        <w:t>Fry, R. (2011). Hispanic college enrollment spikes, narrowing gaps with other groups. Washington, DC: Pew Hispanic Center. Retrieved from http://www.pewhispanic.org/2011/08/25/hispanic-college-enrollment-spikes-narrowing-gaps-with-other-groups/</w:t>
      </w:r>
    </w:p>
    <w:p w14:paraId="608D1A99" w14:textId="77777777" w:rsidR="00F05C28" w:rsidRPr="00F05C28" w:rsidRDefault="00F05C28" w:rsidP="00F05C28">
      <w:pPr>
        <w:spacing w:line="480" w:lineRule="auto"/>
        <w:ind w:left="720" w:hanging="720"/>
        <w:rPr>
          <w:rFonts w:eastAsiaTheme="minorHAnsi"/>
        </w:rPr>
      </w:pPr>
      <w:r w:rsidRPr="00F05C28">
        <w:rPr>
          <w:rFonts w:eastAsiaTheme="minorHAnsi"/>
        </w:rPr>
        <w:t>Gandara, P., &amp; Contreras, F. (2009). The Latino education crisis: The consequences of failed social policies. Cambridge, MA: Harvard University Press.</w:t>
      </w:r>
    </w:p>
    <w:p w14:paraId="20424B08" w14:textId="77777777" w:rsidR="00F05C28" w:rsidRPr="00F05C28" w:rsidRDefault="00F05C28" w:rsidP="00F05C28">
      <w:pPr>
        <w:spacing w:line="480" w:lineRule="auto"/>
        <w:ind w:left="720" w:hanging="720"/>
      </w:pPr>
      <w:r w:rsidRPr="00F05C28">
        <w:t xml:space="preserve">Gao, H., Hughes, W. W., </w:t>
      </w:r>
      <w:proofErr w:type="spellStart"/>
      <w:r w:rsidRPr="00F05C28">
        <w:t>O'Rear</w:t>
      </w:r>
      <w:proofErr w:type="spellEnd"/>
      <w:r w:rsidRPr="00F05C28">
        <w:t xml:space="preserve">, M. R., &amp; Fendley Jr, W. R. (2002, June 3). </w:t>
      </w:r>
      <w:r w:rsidRPr="00F05C28">
        <w:rPr>
          <w:i/>
          <w:iCs/>
        </w:rPr>
        <w:t xml:space="preserve">Developing structural equation models to determine factors contributing to student graduation and retention: Are there differences for native students and transfers? </w:t>
      </w:r>
      <w:r w:rsidRPr="00F05C28">
        <w:t>[Paper presentation]. Annual Research Forum of the Association for Institutional Research, Toronto, Ontario, Canada.</w:t>
      </w:r>
    </w:p>
    <w:p w14:paraId="2A453784" w14:textId="77777777" w:rsidR="00F05C28" w:rsidRPr="00F05C28" w:rsidRDefault="00F05C28" w:rsidP="00F05C28">
      <w:pPr>
        <w:spacing w:line="480" w:lineRule="auto"/>
        <w:ind w:left="720" w:hanging="720"/>
        <w:contextualSpacing/>
      </w:pPr>
      <w:proofErr w:type="spellStart"/>
      <w:r w:rsidRPr="00F05C28">
        <w:t>Gennep</w:t>
      </w:r>
      <w:proofErr w:type="spellEnd"/>
      <w:r w:rsidRPr="00F05C28">
        <w:t xml:space="preserve">, A. V. (1960). The rites of passage. Chicago, IL: The University of Chicago Press. </w:t>
      </w:r>
    </w:p>
    <w:p w14:paraId="3C6F92FA" w14:textId="77777777" w:rsidR="00F05C28" w:rsidRPr="00F05C28" w:rsidRDefault="00F05C28" w:rsidP="00F05C28">
      <w:pPr>
        <w:spacing w:line="480" w:lineRule="auto"/>
        <w:ind w:left="720" w:hanging="720"/>
        <w:contextualSpacing/>
      </w:pPr>
      <w:proofErr w:type="spellStart"/>
      <w:r w:rsidRPr="00F05C28">
        <w:t>Ginder</w:t>
      </w:r>
      <w:proofErr w:type="spellEnd"/>
      <w:r w:rsidRPr="00F05C28">
        <w:t>, S.A., Kelly-Reid, J.E., and Mann, F.B. (2016). Graduation Rates for Selected Cohorts, 2007–12; Student Financial Aid, Academic Year 2014–15; Admissions in Postsecondary Institutions, Fall 2015: First Look (Provisional Data) (NCES 2017-084). U.S. Department of Education. Washington, DC: National Center for Education Statistics. Retrieved from http://nces.ed.gov/pubsearch.</w:t>
      </w:r>
    </w:p>
    <w:p w14:paraId="1F665A5D" w14:textId="77777777" w:rsidR="00F05C28" w:rsidRPr="00F05C28" w:rsidRDefault="00F05C28" w:rsidP="00F05C28">
      <w:pPr>
        <w:spacing w:line="480" w:lineRule="auto"/>
        <w:ind w:left="720" w:hanging="720"/>
        <w:contextualSpacing/>
      </w:pPr>
      <w:r w:rsidRPr="00F05C28">
        <w:lastRenderedPageBreak/>
        <w:t xml:space="preserve">Glenn, D. M. (2017). </w:t>
      </w:r>
      <w:r w:rsidRPr="00F05C28">
        <w:rPr>
          <w:i/>
        </w:rPr>
        <w:t>Persisting through college: The academic and social integration of first-generation college students of color participating in a student engagement program</w:t>
      </w:r>
      <w:r w:rsidRPr="00F05C28">
        <w:t xml:space="preserve"> (Doctoral dissertation). University of St. Francis, Joliet, IL.</w:t>
      </w:r>
    </w:p>
    <w:p w14:paraId="34A55796" w14:textId="77777777" w:rsidR="00F05C28" w:rsidRPr="00F05C28" w:rsidRDefault="00F05C28" w:rsidP="00F05C28">
      <w:pPr>
        <w:spacing w:line="480" w:lineRule="auto"/>
        <w:ind w:left="720" w:hanging="720"/>
        <w:contextualSpacing/>
      </w:pPr>
      <w:r w:rsidRPr="00F05C28">
        <w:t xml:space="preserve">Goldstein, J., Sauer, P., &amp; O'Donnell, J. (2012). Supplemental Instruction, Collegiate Integration and Intent to Persist. </w:t>
      </w:r>
      <w:r w:rsidRPr="00F05C28">
        <w:rPr>
          <w:i/>
        </w:rPr>
        <w:t>The BRC Academy Journal of Education, 2</w:t>
      </w:r>
      <w:r w:rsidRPr="00F05C28">
        <w:t>(1), 1-36.</w:t>
      </w:r>
    </w:p>
    <w:p w14:paraId="461DD901" w14:textId="77777777" w:rsidR="00F05C28" w:rsidRPr="00F05C28" w:rsidRDefault="00F05C28" w:rsidP="00F05C28">
      <w:pPr>
        <w:spacing w:line="480" w:lineRule="auto"/>
        <w:ind w:left="720" w:hanging="720"/>
        <w:contextualSpacing/>
      </w:pPr>
      <w:r w:rsidRPr="00F05C28">
        <w:t xml:space="preserve">González, K. P. (2002). Campus culture and the experiences of Chicano students in a predominantly White university. </w:t>
      </w:r>
      <w:r w:rsidRPr="00F05C28">
        <w:rPr>
          <w:i/>
        </w:rPr>
        <w:t>Urban Education, 37</w:t>
      </w:r>
      <w:r w:rsidRPr="00F05C28">
        <w:t>(2), 193-218.</w:t>
      </w:r>
    </w:p>
    <w:p w14:paraId="021AC818" w14:textId="77777777" w:rsidR="00F05C28" w:rsidRPr="00F05C28" w:rsidRDefault="00F05C28" w:rsidP="00F05C28">
      <w:pPr>
        <w:spacing w:line="480" w:lineRule="auto"/>
        <w:ind w:left="720" w:hanging="720"/>
        <w:contextualSpacing/>
      </w:pPr>
      <w:r w:rsidRPr="00F05C28">
        <w:t xml:space="preserve">Grier-Reed, T., </w:t>
      </w:r>
      <w:proofErr w:type="spellStart"/>
      <w:r w:rsidRPr="00F05C28">
        <w:t>Arcinue</w:t>
      </w:r>
      <w:proofErr w:type="spellEnd"/>
      <w:r w:rsidRPr="00F05C28">
        <w:t xml:space="preserve">, F., &amp; Inman, E. (2016). The African American student network: An intervention for retention. </w:t>
      </w:r>
      <w:r w:rsidRPr="00F05C28">
        <w:rPr>
          <w:i/>
        </w:rPr>
        <w:t>Journal of College Student Retention: Research, Theory &amp; Practice, 18</w:t>
      </w:r>
      <w:r w:rsidRPr="00F05C28">
        <w:t>(2), 183-193.</w:t>
      </w:r>
    </w:p>
    <w:p w14:paraId="587AF431" w14:textId="77777777" w:rsidR="00F05C28" w:rsidRPr="00F05C28" w:rsidRDefault="00F05C28" w:rsidP="00F05C28">
      <w:pPr>
        <w:spacing w:line="480" w:lineRule="auto"/>
        <w:ind w:left="720" w:hanging="720"/>
        <w:contextualSpacing/>
      </w:pPr>
      <w:proofErr w:type="spellStart"/>
      <w:r w:rsidRPr="00F05C28">
        <w:t>Guiffrida</w:t>
      </w:r>
      <w:proofErr w:type="spellEnd"/>
      <w:r w:rsidRPr="00F05C28">
        <w:t xml:space="preserve">, D. A. (2003). African American student organizations as agents of social integration. </w:t>
      </w:r>
      <w:r w:rsidRPr="00F05C28">
        <w:rPr>
          <w:i/>
        </w:rPr>
        <w:t>Journal of College Student Development, 44</w:t>
      </w:r>
      <w:r w:rsidRPr="00F05C28">
        <w:t>(3), 304-319.</w:t>
      </w:r>
    </w:p>
    <w:p w14:paraId="7FF6F3D6" w14:textId="77777777" w:rsidR="00F05C28" w:rsidRPr="00F05C28" w:rsidRDefault="00F05C28" w:rsidP="00F05C28">
      <w:pPr>
        <w:spacing w:line="480" w:lineRule="auto"/>
        <w:ind w:left="720" w:hanging="720"/>
        <w:contextualSpacing/>
      </w:pPr>
      <w:proofErr w:type="spellStart"/>
      <w:r w:rsidRPr="00F05C28">
        <w:t>Guiffrida</w:t>
      </w:r>
      <w:proofErr w:type="spellEnd"/>
      <w:r w:rsidRPr="00F05C28">
        <w:t xml:space="preserve">, D. (2005). To break away or strengthen ties to home: A complex issue for African American college students attending a predominantly White institution. </w:t>
      </w:r>
      <w:r w:rsidRPr="00F05C28">
        <w:rPr>
          <w:i/>
        </w:rPr>
        <w:t>Equity &amp; Excellence in Education, 38</w:t>
      </w:r>
      <w:r w:rsidRPr="00F05C28">
        <w:t>(1), 49-60.</w:t>
      </w:r>
    </w:p>
    <w:p w14:paraId="3FF54923" w14:textId="77777777" w:rsidR="00F05C28" w:rsidRPr="00F05C28" w:rsidRDefault="00F05C28" w:rsidP="00F05C28">
      <w:pPr>
        <w:spacing w:line="480" w:lineRule="auto"/>
        <w:ind w:left="720" w:hanging="720"/>
        <w:contextualSpacing/>
      </w:pPr>
      <w:proofErr w:type="spellStart"/>
      <w:r w:rsidRPr="00F05C28">
        <w:t>Guiffrida</w:t>
      </w:r>
      <w:proofErr w:type="spellEnd"/>
      <w:r w:rsidRPr="00F05C28">
        <w:t xml:space="preserve">, D. A. (2006). Toward a cultural advancement of Tinto's theory. </w:t>
      </w:r>
      <w:r w:rsidRPr="00F05C28">
        <w:rPr>
          <w:i/>
        </w:rPr>
        <w:t>The Review of Higher Education, 29</w:t>
      </w:r>
      <w:r w:rsidRPr="00F05C28">
        <w:t>(4), 451-472.</w:t>
      </w:r>
    </w:p>
    <w:p w14:paraId="400388E0" w14:textId="77777777" w:rsidR="00F05C28" w:rsidRPr="00F05C28" w:rsidRDefault="00F05C28" w:rsidP="00F05C28">
      <w:pPr>
        <w:spacing w:line="480" w:lineRule="auto"/>
        <w:ind w:left="720" w:hanging="720"/>
        <w:contextualSpacing/>
      </w:pPr>
      <w:proofErr w:type="spellStart"/>
      <w:r w:rsidRPr="00F05C28">
        <w:t>Guiffrida</w:t>
      </w:r>
      <w:proofErr w:type="spellEnd"/>
      <w:r w:rsidRPr="00F05C28">
        <w:t xml:space="preserve">, D. A., &amp; </w:t>
      </w:r>
      <w:proofErr w:type="spellStart"/>
      <w:r w:rsidRPr="00F05C28">
        <w:t>Douthit</w:t>
      </w:r>
      <w:proofErr w:type="spellEnd"/>
      <w:r w:rsidRPr="00F05C28">
        <w:t xml:space="preserve">, K. Z. (2010). The Black student experience at predominantly White colleges: Implications for school and college counselors. </w:t>
      </w:r>
      <w:r w:rsidRPr="00F05C28">
        <w:rPr>
          <w:i/>
        </w:rPr>
        <w:t>Journal of Counseling &amp; Development, 88</w:t>
      </w:r>
      <w:r w:rsidRPr="00F05C28">
        <w:t>(3), 311-318.</w:t>
      </w:r>
    </w:p>
    <w:p w14:paraId="62A6C5F3" w14:textId="77777777" w:rsidR="00F05C28" w:rsidRPr="00F05C28" w:rsidRDefault="00F05C28" w:rsidP="00F05C28">
      <w:pPr>
        <w:spacing w:line="480" w:lineRule="auto"/>
        <w:ind w:left="720" w:hanging="720"/>
        <w:contextualSpacing/>
      </w:pPr>
      <w:proofErr w:type="spellStart"/>
      <w:r w:rsidRPr="00F05C28">
        <w:t>Gurin</w:t>
      </w:r>
      <w:proofErr w:type="spellEnd"/>
      <w:r w:rsidRPr="00F05C28">
        <w:t xml:space="preserve">, P., Dey, E., Hurtado, S., &amp; </w:t>
      </w:r>
      <w:proofErr w:type="spellStart"/>
      <w:r w:rsidRPr="00F05C28">
        <w:t>Gurin</w:t>
      </w:r>
      <w:proofErr w:type="spellEnd"/>
      <w:r w:rsidRPr="00F05C28">
        <w:t>, G. (2002). Diversity and higher education: Theory and impact on educational outcomes. </w:t>
      </w:r>
      <w:r w:rsidRPr="00F05C28">
        <w:rPr>
          <w:i/>
        </w:rPr>
        <w:t>Harvard Educational Review, 72</w:t>
      </w:r>
      <w:r w:rsidRPr="00F05C28">
        <w:t>(3), 330-367.</w:t>
      </w:r>
    </w:p>
    <w:p w14:paraId="3304ED8B" w14:textId="77777777" w:rsidR="00F05C28" w:rsidRPr="00F05C28" w:rsidRDefault="00F05C28" w:rsidP="00F05C28">
      <w:pPr>
        <w:spacing w:line="480" w:lineRule="auto"/>
        <w:ind w:left="720" w:hanging="720"/>
        <w:contextualSpacing/>
      </w:pPr>
      <w:r w:rsidRPr="00F05C28">
        <w:lastRenderedPageBreak/>
        <w:t>Hagedorn, L. S. (2005). How to define retention: A new look at an old problem. In A. Seidman (Ed.) </w:t>
      </w:r>
      <w:r w:rsidRPr="00F05C28">
        <w:rPr>
          <w:i/>
        </w:rPr>
        <w:t>College student retention formula for student success (2nd ed.)</w:t>
      </w:r>
      <w:r w:rsidRPr="00F05C28">
        <w:t xml:space="preserve"> (pp.81-100). Lanham, MD: The Rowman &amp; Littlefield Publishing Group, </w:t>
      </w:r>
      <w:proofErr w:type="gramStart"/>
      <w:r w:rsidRPr="00F05C28">
        <w:t>Inc..</w:t>
      </w:r>
      <w:proofErr w:type="gramEnd"/>
    </w:p>
    <w:p w14:paraId="5F19C769" w14:textId="77777777" w:rsidR="00F05C28" w:rsidRPr="00F05C28" w:rsidRDefault="00F05C28" w:rsidP="00F05C28">
      <w:pPr>
        <w:spacing w:line="480" w:lineRule="auto"/>
        <w:ind w:left="720" w:hanging="720"/>
        <w:contextualSpacing/>
      </w:pPr>
      <w:r w:rsidRPr="00F05C28">
        <w:t>Harlow, C. W. (2003). Education and correctional populations. Washington, DC: US Department of Justice, Office of Justice Programs.</w:t>
      </w:r>
    </w:p>
    <w:p w14:paraId="7B03DFC8" w14:textId="77777777" w:rsidR="00F05C28" w:rsidRPr="00F05C28" w:rsidRDefault="00F05C28" w:rsidP="00F05C28">
      <w:pPr>
        <w:spacing w:line="480" w:lineRule="auto"/>
        <w:ind w:left="720" w:hanging="720"/>
        <w:contextualSpacing/>
      </w:pPr>
      <w:r w:rsidRPr="00F05C28">
        <w:t>Harper, S. R., Patton, L. D., &amp; Wooden, O. S. (2009). Access and equity for African American students in higher education: A critical race historical analysis of policy efforts. </w:t>
      </w:r>
      <w:r w:rsidRPr="00F05C28">
        <w:rPr>
          <w:i/>
        </w:rPr>
        <w:t>The Journal of Higher Education, 80</w:t>
      </w:r>
      <w:r w:rsidRPr="00F05C28">
        <w:t>(4), 389-414.</w:t>
      </w:r>
    </w:p>
    <w:p w14:paraId="5EACF749" w14:textId="77777777" w:rsidR="00F05C28" w:rsidRPr="00F05C28" w:rsidRDefault="00F05C28" w:rsidP="00F05C28">
      <w:pPr>
        <w:spacing w:line="480" w:lineRule="auto"/>
        <w:ind w:left="720" w:hanging="720"/>
        <w:contextualSpacing/>
      </w:pPr>
      <w:r w:rsidRPr="00F05C28">
        <w:t>Harrell Jr, F. E. (2001). Regression Modeling Strategies. New York, NY: Springer.</w:t>
      </w:r>
    </w:p>
    <w:p w14:paraId="2C97A0A2" w14:textId="77777777" w:rsidR="00F05C28" w:rsidRPr="00F05C28" w:rsidRDefault="00F05C28" w:rsidP="00F05C28">
      <w:pPr>
        <w:spacing w:line="480" w:lineRule="auto"/>
        <w:ind w:left="720" w:hanging="720"/>
        <w:contextualSpacing/>
      </w:pPr>
      <w:r w:rsidRPr="00F05C28">
        <w:t xml:space="preserve">Hausmann, L. R., Schofield, J. W., &amp; Woods, R. L. (2007). Sense of belonging as a predictor of intentions to persist among African American and White first-year college students. </w:t>
      </w:r>
      <w:r w:rsidRPr="00F05C28">
        <w:rPr>
          <w:i/>
        </w:rPr>
        <w:t>Research in Higher Education, 48</w:t>
      </w:r>
      <w:r w:rsidRPr="00F05C28">
        <w:t>(7), 803-839.</w:t>
      </w:r>
    </w:p>
    <w:p w14:paraId="4FFA3D05" w14:textId="77777777" w:rsidR="00F05C28" w:rsidRPr="00F05C28" w:rsidRDefault="00F05C28" w:rsidP="00F05C28">
      <w:pPr>
        <w:spacing w:line="480" w:lineRule="auto"/>
        <w:ind w:left="720" w:hanging="720"/>
        <w:contextualSpacing/>
      </w:pPr>
      <w:proofErr w:type="spellStart"/>
      <w:r w:rsidRPr="00F05C28">
        <w:t>Haveman</w:t>
      </w:r>
      <w:proofErr w:type="spellEnd"/>
      <w:r w:rsidRPr="00F05C28">
        <w:t xml:space="preserve">, R., &amp; </w:t>
      </w:r>
      <w:proofErr w:type="spellStart"/>
      <w:r w:rsidRPr="00F05C28">
        <w:t>Smeeding</w:t>
      </w:r>
      <w:proofErr w:type="spellEnd"/>
      <w:r w:rsidRPr="00F05C28">
        <w:t>, T. (2006). The role of higher education in social mobility. </w:t>
      </w:r>
      <w:r w:rsidRPr="00F05C28">
        <w:rPr>
          <w:i/>
        </w:rPr>
        <w:t>The Future of children, 16</w:t>
      </w:r>
      <w:r w:rsidRPr="00F05C28">
        <w:t>(2), 125-150.</w:t>
      </w:r>
    </w:p>
    <w:p w14:paraId="4E03BE4F" w14:textId="77777777" w:rsidR="00F05C28" w:rsidRPr="00F05C28" w:rsidRDefault="00F05C28" w:rsidP="00F05C28">
      <w:pPr>
        <w:spacing w:line="480" w:lineRule="auto"/>
        <w:ind w:left="720" w:hanging="720"/>
        <w:contextualSpacing/>
      </w:pPr>
      <w:r w:rsidRPr="00F05C28">
        <w:t xml:space="preserve">Healy, L. M. (2006). Logistic Regression: An Overview. </w:t>
      </w:r>
      <w:r w:rsidRPr="00F05C28">
        <w:rPr>
          <w:i/>
        </w:rPr>
        <w:t>Journal of the American Statistical Association, 73</w:t>
      </w:r>
      <w:r w:rsidRPr="00F05C28">
        <w:t>(364), 1-33.</w:t>
      </w:r>
    </w:p>
    <w:p w14:paraId="00A8C035" w14:textId="77777777" w:rsidR="00F05C28" w:rsidRPr="00F05C28" w:rsidRDefault="00F05C28" w:rsidP="00F05C28">
      <w:pPr>
        <w:spacing w:line="480" w:lineRule="auto"/>
        <w:ind w:left="720" w:hanging="720"/>
        <w:contextualSpacing/>
      </w:pPr>
      <w:r w:rsidRPr="00F05C28">
        <w:t xml:space="preserve">Hernandez, J. C. (2000). Understanding the Retention of Latino College Students. </w:t>
      </w:r>
      <w:r w:rsidRPr="00F05C28">
        <w:rPr>
          <w:i/>
        </w:rPr>
        <w:t>Journal of College Student Development, 41</w:t>
      </w:r>
      <w:r w:rsidRPr="00F05C28">
        <w:t>(6), 575-88.</w:t>
      </w:r>
    </w:p>
    <w:p w14:paraId="64E26D1F" w14:textId="77777777" w:rsidR="00F05C28" w:rsidRPr="00F05C28" w:rsidRDefault="00F05C28" w:rsidP="00F05C28">
      <w:pPr>
        <w:spacing w:line="480" w:lineRule="auto"/>
        <w:ind w:left="720" w:hanging="720"/>
        <w:contextualSpacing/>
      </w:pPr>
      <w:r w:rsidRPr="00F05C28">
        <w:t xml:space="preserve">Hernandez, J. C., &amp; Lopez, M. A. (2004). Leaking pipeline: Issues impacting Latino/a college student retention. </w:t>
      </w:r>
      <w:r w:rsidRPr="00F05C28">
        <w:rPr>
          <w:i/>
        </w:rPr>
        <w:t>Journal of College Student Retention: Research, Theory &amp; Practice, 6</w:t>
      </w:r>
      <w:r w:rsidRPr="00F05C28">
        <w:t>(1), 37-60.</w:t>
      </w:r>
    </w:p>
    <w:p w14:paraId="5D811D1F" w14:textId="77777777" w:rsidR="00F05C28" w:rsidRPr="00F05C28" w:rsidRDefault="00F05C28" w:rsidP="00F05C28">
      <w:pPr>
        <w:spacing w:line="480" w:lineRule="auto"/>
        <w:ind w:left="720" w:hanging="720"/>
        <w:contextualSpacing/>
      </w:pPr>
      <w:r w:rsidRPr="00F05C28">
        <w:t xml:space="preserve">Herndon, M. K., &amp; Hirt, J. B. (2004). Black students and their families: What </w:t>
      </w:r>
      <w:proofErr w:type="gramStart"/>
      <w:r w:rsidRPr="00F05C28">
        <w:t>leads</w:t>
      </w:r>
      <w:proofErr w:type="gramEnd"/>
      <w:r w:rsidRPr="00F05C28">
        <w:t xml:space="preserve"> to success in college. </w:t>
      </w:r>
      <w:r w:rsidRPr="00F05C28">
        <w:rPr>
          <w:i/>
        </w:rPr>
        <w:t>Journal of Black Studies, 34</w:t>
      </w:r>
      <w:r w:rsidRPr="00F05C28">
        <w:t>(4), 489-513.</w:t>
      </w:r>
    </w:p>
    <w:p w14:paraId="3D4711EB" w14:textId="77777777" w:rsidR="00F05C28" w:rsidRPr="00F05C28" w:rsidRDefault="00F05C28" w:rsidP="00F05C28">
      <w:pPr>
        <w:spacing w:line="480" w:lineRule="auto"/>
        <w:ind w:left="720" w:hanging="720"/>
        <w:contextualSpacing/>
      </w:pPr>
      <w:r w:rsidRPr="00F05C28">
        <w:lastRenderedPageBreak/>
        <w:t xml:space="preserve">Hill, K., Hoffman, D., &amp; Rex, T. R. (2005). The value of higher education: Individual and societal benefits. Tempe, AZ: Arizona State University, L. William Seidman Research Institute. </w:t>
      </w:r>
    </w:p>
    <w:p w14:paraId="6A872E2C" w14:textId="77777777" w:rsidR="00F05C28" w:rsidRPr="00F05C28" w:rsidRDefault="00F05C28" w:rsidP="00F05C28">
      <w:pPr>
        <w:spacing w:line="480" w:lineRule="auto"/>
        <w:ind w:left="720" w:hanging="720"/>
        <w:contextualSpacing/>
      </w:pPr>
      <w:r w:rsidRPr="00F05C28">
        <w:t>Holland, N. E., &amp; Farmer-Hinton, R. L. (2009). Leave no schools behind: The importance of a college culture in urban public high schools. </w:t>
      </w:r>
      <w:r w:rsidRPr="00F05C28">
        <w:rPr>
          <w:i/>
        </w:rPr>
        <w:t>The High School Journal, 92</w:t>
      </w:r>
      <w:r w:rsidRPr="00F05C28">
        <w:t>(3), 24-43.</w:t>
      </w:r>
    </w:p>
    <w:p w14:paraId="5F034AF7" w14:textId="77777777" w:rsidR="00F05C28" w:rsidRPr="00F05C28" w:rsidRDefault="00F05C28" w:rsidP="00F05C28">
      <w:pPr>
        <w:spacing w:line="480" w:lineRule="auto"/>
        <w:ind w:left="720" w:hanging="720"/>
        <w:contextualSpacing/>
      </w:pPr>
      <w:r w:rsidRPr="00F05C28">
        <w:t xml:space="preserve">Holmes, S. L., Ebbers, L. H., Robinson, D. C., &amp; Mugenda, A. G. (2000). Validating African American students at predominantly White institutions. </w:t>
      </w:r>
      <w:r w:rsidRPr="00F05C28">
        <w:rPr>
          <w:i/>
        </w:rPr>
        <w:t>Journal of College Student Retention: Research, Theory &amp; Practice, 2</w:t>
      </w:r>
      <w:r w:rsidRPr="00F05C28">
        <w:t>(1), 41-58.</w:t>
      </w:r>
    </w:p>
    <w:p w14:paraId="1C5FBEAC" w14:textId="77777777" w:rsidR="00F05C28" w:rsidRPr="00F05C28" w:rsidRDefault="00F05C28" w:rsidP="00F05C28">
      <w:pPr>
        <w:spacing w:line="480" w:lineRule="auto"/>
        <w:ind w:left="720" w:hanging="720"/>
        <w:contextualSpacing/>
      </w:pPr>
      <w:proofErr w:type="spellStart"/>
      <w:r w:rsidRPr="00F05C28">
        <w:t>Hout</w:t>
      </w:r>
      <w:proofErr w:type="spellEnd"/>
      <w:r w:rsidRPr="00F05C28">
        <w:t>, M. (2012). Social and economic returns to college education in the United States. </w:t>
      </w:r>
      <w:r w:rsidRPr="00F05C28">
        <w:rPr>
          <w:i/>
        </w:rPr>
        <w:t>Annual Review of Sociology, 38</w:t>
      </w:r>
      <w:r w:rsidRPr="00F05C28">
        <w:t>, 379-400.</w:t>
      </w:r>
    </w:p>
    <w:p w14:paraId="20229744" w14:textId="77777777" w:rsidR="00F05C28" w:rsidRPr="00F05C28" w:rsidRDefault="00F05C28" w:rsidP="00F05C28">
      <w:pPr>
        <w:pStyle w:val="NormalWeb"/>
        <w:spacing w:before="0" w:beforeAutospacing="0" w:after="0" w:afterAutospacing="0" w:line="480" w:lineRule="auto"/>
        <w:ind w:left="720" w:hanging="720"/>
      </w:pPr>
      <w:proofErr w:type="spellStart"/>
      <w:r w:rsidRPr="00F05C28">
        <w:t>Huhn</w:t>
      </w:r>
      <w:proofErr w:type="spellEnd"/>
      <w:r w:rsidRPr="00F05C28">
        <w:t xml:space="preserve">, C. (2006). The ‘housing effect’ on first year outcomes. Madison, Wisconsin: University of Wisconsin-Madison, Academic Planning and Analysis. </w:t>
      </w:r>
    </w:p>
    <w:p w14:paraId="6A11C9D1" w14:textId="77777777" w:rsidR="00F05C28" w:rsidRPr="00F05C28" w:rsidRDefault="00F05C28" w:rsidP="00F05C28">
      <w:pPr>
        <w:spacing w:line="480" w:lineRule="auto"/>
        <w:ind w:left="720" w:hanging="720"/>
        <w:contextualSpacing/>
      </w:pPr>
      <w:proofErr w:type="spellStart"/>
      <w:r w:rsidRPr="00F05C28">
        <w:t>Hunn</w:t>
      </w:r>
      <w:proofErr w:type="spellEnd"/>
      <w:r w:rsidRPr="00F05C28">
        <w:t xml:space="preserve">, V. (2014). African American students, retention, and team-based learning: A review of the literature and recommendations for retention at predominately white institutions. </w:t>
      </w:r>
      <w:r w:rsidRPr="00F05C28">
        <w:rPr>
          <w:i/>
        </w:rPr>
        <w:t>Journal of Black Studies, 45</w:t>
      </w:r>
      <w:r w:rsidRPr="00F05C28">
        <w:t>(4), 301-314.</w:t>
      </w:r>
    </w:p>
    <w:p w14:paraId="47784705" w14:textId="77777777" w:rsidR="00F05C28" w:rsidRPr="00F05C28" w:rsidRDefault="00F05C28" w:rsidP="00F05C28">
      <w:pPr>
        <w:spacing w:line="480" w:lineRule="auto"/>
        <w:ind w:left="720" w:hanging="720"/>
        <w:contextualSpacing/>
      </w:pPr>
      <w:r w:rsidRPr="00F05C28">
        <w:t xml:space="preserve">Hurtado, S., &amp; Carter, D. F. (1997). Effects of college transition and perceptions of the campus racial climate on Latino college students' sense of belonging. </w:t>
      </w:r>
      <w:r w:rsidRPr="00F05C28">
        <w:rPr>
          <w:i/>
        </w:rPr>
        <w:t>Sociology of Education</w:t>
      </w:r>
      <w:r w:rsidRPr="00F05C28">
        <w:t>, 324-345.</w:t>
      </w:r>
    </w:p>
    <w:p w14:paraId="6C495A76" w14:textId="77777777" w:rsidR="00F05C28" w:rsidRPr="00F05C28" w:rsidRDefault="00F05C28" w:rsidP="00F05C28">
      <w:pPr>
        <w:spacing w:line="480" w:lineRule="auto"/>
        <w:ind w:left="720" w:hanging="720"/>
        <w:contextualSpacing/>
      </w:pPr>
      <w:proofErr w:type="spellStart"/>
      <w:r w:rsidRPr="00F05C28">
        <w:t>Ishitani</w:t>
      </w:r>
      <w:proofErr w:type="spellEnd"/>
      <w:r w:rsidRPr="00F05C28">
        <w:t xml:space="preserve">, T. T., &amp; </w:t>
      </w:r>
      <w:proofErr w:type="spellStart"/>
      <w:r w:rsidRPr="00F05C28">
        <w:t>DesJardins</w:t>
      </w:r>
      <w:proofErr w:type="spellEnd"/>
      <w:r w:rsidRPr="00F05C28">
        <w:t>, S. L. (2002). A longitudinal investigation of dropout from college in the United States. </w:t>
      </w:r>
      <w:r w:rsidRPr="00F05C28">
        <w:rPr>
          <w:i/>
        </w:rPr>
        <w:t>Journal of College Student Retention: Research, Theory &amp; Practice, 4</w:t>
      </w:r>
      <w:r w:rsidRPr="00F05C28">
        <w:t>(2), 173-201.</w:t>
      </w:r>
    </w:p>
    <w:p w14:paraId="5520644A" w14:textId="77777777" w:rsidR="00F05C28" w:rsidRPr="00F05C28" w:rsidRDefault="00F05C28" w:rsidP="00F05C28">
      <w:pPr>
        <w:pStyle w:val="NormalWeb"/>
        <w:spacing w:before="0" w:beforeAutospacing="0" w:after="0" w:afterAutospacing="0" w:line="480" w:lineRule="auto"/>
        <w:ind w:left="720" w:hanging="720"/>
      </w:pPr>
      <w:proofErr w:type="spellStart"/>
      <w:r w:rsidRPr="00F05C28">
        <w:t>Ishitani</w:t>
      </w:r>
      <w:proofErr w:type="spellEnd"/>
      <w:r w:rsidRPr="00F05C28">
        <w:t>, T. T. (2006). Studying attrition and degree completion behavior among first-generation college students in the United States. </w:t>
      </w:r>
      <w:r w:rsidRPr="00F05C28">
        <w:rPr>
          <w:i/>
          <w:iCs/>
        </w:rPr>
        <w:t>The Journal of Higher Education</w:t>
      </w:r>
      <w:r w:rsidRPr="00F05C28">
        <w:t>, </w:t>
      </w:r>
      <w:r w:rsidRPr="00F05C28">
        <w:rPr>
          <w:i/>
          <w:iCs/>
        </w:rPr>
        <w:t>77</w:t>
      </w:r>
      <w:r w:rsidRPr="00F05C28">
        <w:t>(5), 861-885.</w:t>
      </w:r>
    </w:p>
    <w:p w14:paraId="56B45BCC" w14:textId="77777777" w:rsidR="00F05C28" w:rsidRPr="00F05C28" w:rsidRDefault="00F05C28" w:rsidP="00F05C28">
      <w:pPr>
        <w:spacing w:line="480" w:lineRule="auto"/>
        <w:ind w:left="720" w:hanging="720"/>
        <w:contextualSpacing/>
      </w:pPr>
      <w:proofErr w:type="spellStart"/>
      <w:r w:rsidRPr="00F05C28">
        <w:rPr>
          <w:color w:val="211E1E"/>
        </w:rPr>
        <w:lastRenderedPageBreak/>
        <w:t>Kozeracki</w:t>
      </w:r>
      <w:proofErr w:type="spellEnd"/>
      <w:r w:rsidRPr="00F05C28">
        <w:rPr>
          <w:color w:val="211E1E"/>
        </w:rPr>
        <w:t xml:space="preserve">, C. (2001). Studying transfer students: Designs and methodological challenges. In F. S. </w:t>
      </w:r>
      <w:proofErr w:type="spellStart"/>
      <w:r w:rsidRPr="00F05C28">
        <w:rPr>
          <w:color w:val="211E1E"/>
        </w:rPr>
        <w:t>Laanan</w:t>
      </w:r>
      <w:proofErr w:type="spellEnd"/>
      <w:r w:rsidRPr="00F05C28">
        <w:rPr>
          <w:color w:val="211E1E"/>
        </w:rPr>
        <w:t xml:space="preserve"> (Ed.), </w:t>
      </w:r>
      <w:r w:rsidRPr="00F05C28">
        <w:rPr>
          <w:i/>
          <w:iCs/>
          <w:color w:val="211E1E"/>
        </w:rPr>
        <w:t xml:space="preserve">Transfer students: Trends and issues, No. 114. New Directions for Community College. </w:t>
      </w:r>
      <w:r w:rsidRPr="00F05C28">
        <w:rPr>
          <w:color w:val="211E1E"/>
        </w:rPr>
        <w:t>San Francisco, CA: Jossey-Bass.</w:t>
      </w:r>
    </w:p>
    <w:p w14:paraId="6032970B" w14:textId="77777777" w:rsidR="00F05C28" w:rsidRPr="00F05C28" w:rsidRDefault="00F05C28" w:rsidP="00F05C28">
      <w:pPr>
        <w:spacing w:line="480" w:lineRule="auto"/>
        <w:ind w:left="720" w:hanging="720"/>
        <w:contextualSpacing/>
      </w:pPr>
      <w:r w:rsidRPr="00F05C28">
        <w:t>Jackson, P. (2014). </w:t>
      </w:r>
      <w:r w:rsidRPr="00F05C28">
        <w:rPr>
          <w:i/>
        </w:rPr>
        <w:t>Examining campus and student factors that predicted academic performance and intention to persist for successful African American and Latino students at four-year colleges</w:t>
      </w:r>
      <w:r w:rsidRPr="00F05C28">
        <w:t xml:space="preserve"> (Doctoral dissertation). Retrieved from https://etd.ohiolink.edu/</w:t>
      </w:r>
    </w:p>
    <w:p w14:paraId="0FD97D75" w14:textId="77777777" w:rsidR="00F05C28" w:rsidRPr="00F05C28" w:rsidRDefault="00F05C28" w:rsidP="00F05C28">
      <w:pPr>
        <w:spacing w:line="480" w:lineRule="auto"/>
        <w:ind w:left="720" w:hanging="720"/>
        <w:contextualSpacing/>
      </w:pPr>
      <w:r w:rsidRPr="00F05C28">
        <w:t xml:space="preserve">Jacobs, J., &amp; Archie, T. (2008). Investigating sense of community in first-year college students. </w:t>
      </w:r>
      <w:r w:rsidRPr="00F05C28">
        <w:rPr>
          <w:i/>
        </w:rPr>
        <w:t>Journal of Experiential Education, 30</w:t>
      </w:r>
      <w:r w:rsidRPr="00F05C28">
        <w:t>(3), 282-285.</w:t>
      </w:r>
    </w:p>
    <w:p w14:paraId="25AE99AB" w14:textId="77777777" w:rsidR="00F05C28" w:rsidRPr="00F05C28" w:rsidRDefault="00F05C28" w:rsidP="00F05C28">
      <w:pPr>
        <w:spacing w:line="480" w:lineRule="auto"/>
        <w:ind w:left="720" w:hanging="720"/>
        <w:contextualSpacing/>
      </w:pPr>
      <w:r w:rsidRPr="00F05C28">
        <w:t xml:space="preserve">Johnson, D. R., </w:t>
      </w:r>
      <w:proofErr w:type="spellStart"/>
      <w:r w:rsidRPr="00F05C28">
        <w:t>Soldner</w:t>
      </w:r>
      <w:proofErr w:type="spellEnd"/>
      <w:r w:rsidRPr="00F05C28">
        <w:t xml:space="preserve">, M., Leonard, J. B., Alvarez, P., </w:t>
      </w:r>
      <w:proofErr w:type="spellStart"/>
      <w:r w:rsidRPr="00F05C28">
        <w:t>Inkelas</w:t>
      </w:r>
      <w:proofErr w:type="spellEnd"/>
      <w:r w:rsidRPr="00F05C28">
        <w:t xml:space="preserve">, K. K., Rowan-Kenyon, H. T., &amp; </w:t>
      </w:r>
      <w:proofErr w:type="spellStart"/>
      <w:r w:rsidRPr="00F05C28">
        <w:t>Longerbeam</w:t>
      </w:r>
      <w:proofErr w:type="spellEnd"/>
      <w:r w:rsidRPr="00F05C28">
        <w:t xml:space="preserve">, S. D. (2007). Examining sense of belonging among first-year undergraduates from different racial/ethnic groups. </w:t>
      </w:r>
      <w:r w:rsidRPr="00F05C28">
        <w:rPr>
          <w:i/>
        </w:rPr>
        <w:t>Journal of College Student Development, 48</w:t>
      </w:r>
      <w:r w:rsidRPr="00F05C28">
        <w:t>(5), 525-542.</w:t>
      </w:r>
    </w:p>
    <w:p w14:paraId="3649F662" w14:textId="77777777" w:rsidR="00F05C28" w:rsidRPr="00F05C28" w:rsidRDefault="00F05C28" w:rsidP="00F05C28">
      <w:pPr>
        <w:spacing w:line="480" w:lineRule="auto"/>
        <w:ind w:left="720" w:hanging="720"/>
        <w:contextualSpacing/>
      </w:pPr>
      <w:r w:rsidRPr="00F05C28">
        <w:t>Karp, M. M., Hughes, K. L., &amp; O'Gara, L. (2010). An exploration of Tinto's integration framework for community college students. </w:t>
      </w:r>
      <w:r w:rsidRPr="00F05C28">
        <w:rPr>
          <w:i/>
        </w:rPr>
        <w:t>Journal of College Student Retention: Research, Theory &amp; Practice, 12</w:t>
      </w:r>
      <w:r w:rsidRPr="00F05C28">
        <w:t>(1), 69-86.</w:t>
      </w:r>
    </w:p>
    <w:p w14:paraId="4E7DEF75" w14:textId="77777777" w:rsidR="00F05C28" w:rsidRPr="00F05C28" w:rsidRDefault="00F05C28" w:rsidP="00F05C28">
      <w:pPr>
        <w:spacing w:line="480" w:lineRule="auto"/>
        <w:ind w:left="720" w:hanging="720"/>
        <w:contextualSpacing/>
      </w:pPr>
      <w:proofErr w:type="spellStart"/>
      <w:r w:rsidRPr="00F05C28">
        <w:t>Kena</w:t>
      </w:r>
      <w:proofErr w:type="spellEnd"/>
      <w:r w:rsidRPr="00F05C28">
        <w:t xml:space="preserve">, G., Hussar W., McFarland J., de Brey C., </w:t>
      </w:r>
      <w:proofErr w:type="spellStart"/>
      <w:r w:rsidRPr="00F05C28">
        <w:t>Musu</w:t>
      </w:r>
      <w:proofErr w:type="spellEnd"/>
      <w:r w:rsidRPr="00F05C28">
        <w:t xml:space="preserve">-Gillette, L., Wang, X., Zhang, J., Rathbun, A., Wilkinson-Flicker, S., </w:t>
      </w:r>
      <w:proofErr w:type="spellStart"/>
      <w:r w:rsidRPr="00F05C28">
        <w:t>Diliberti</w:t>
      </w:r>
      <w:proofErr w:type="spellEnd"/>
      <w:r w:rsidRPr="00F05C28">
        <w:t xml:space="preserve"> M., </w:t>
      </w:r>
      <w:proofErr w:type="spellStart"/>
      <w:r w:rsidRPr="00F05C28">
        <w:t>Barmer</w:t>
      </w:r>
      <w:proofErr w:type="spellEnd"/>
      <w:r w:rsidRPr="00F05C28">
        <w:t>, A., Bullock Mann, F., and Dunlop Velez, E. (2016). The Condition of Education 2016 (NCES 2016-144). U.S. Department of Education, National Center for Education Statistics. Washington, DC. Retrieved from http://nces.ed.gov/pubsearch.</w:t>
      </w:r>
    </w:p>
    <w:p w14:paraId="50583DE2" w14:textId="77777777" w:rsidR="00F05C28" w:rsidRPr="00F05C28" w:rsidRDefault="00F05C28" w:rsidP="00F05C28">
      <w:pPr>
        <w:spacing w:line="480" w:lineRule="auto"/>
        <w:ind w:left="720" w:hanging="720"/>
        <w:contextualSpacing/>
      </w:pPr>
      <w:r w:rsidRPr="00F05C28">
        <w:t xml:space="preserve">Kraemer, B. A. (1997). The academic and social integration of Hispanic students into college. </w:t>
      </w:r>
      <w:r w:rsidRPr="00F05C28">
        <w:rPr>
          <w:i/>
        </w:rPr>
        <w:t>The Review of Higher Education, 20</w:t>
      </w:r>
      <w:r w:rsidRPr="00F05C28">
        <w:t>(2), 163-179.</w:t>
      </w:r>
    </w:p>
    <w:p w14:paraId="644AF3E5" w14:textId="77777777" w:rsidR="00F05C28" w:rsidRPr="00F05C28" w:rsidRDefault="00F05C28" w:rsidP="00F05C28">
      <w:pPr>
        <w:spacing w:line="480" w:lineRule="auto"/>
        <w:ind w:left="720" w:hanging="720"/>
        <w:contextualSpacing/>
      </w:pPr>
      <w:proofErr w:type="spellStart"/>
      <w:r w:rsidRPr="00F05C28">
        <w:lastRenderedPageBreak/>
        <w:t>Kubala</w:t>
      </w:r>
      <w:proofErr w:type="spellEnd"/>
      <w:r w:rsidRPr="00F05C28">
        <w:t>, K. B. T. (2000). Academic and social integration of community college students: A case study. </w:t>
      </w:r>
      <w:r w:rsidRPr="00F05C28">
        <w:rPr>
          <w:i/>
        </w:rPr>
        <w:t>Community College Journal of Research &amp; Practice, 24</w:t>
      </w:r>
      <w:r w:rsidRPr="00F05C28">
        <w:t>(7), 567-576.</w:t>
      </w:r>
    </w:p>
    <w:p w14:paraId="2A7B8E81" w14:textId="77777777" w:rsidR="00F05C28" w:rsidRPr="00F05C28" w:rsidRDefault="00F05C28" w:rsidP="00F05C28">
      <w:pPr>
        <w:spacing w:line="480" w:lineRule="auto"/>
        <w:ind w:left="720" w:hanging="720"/>
        <w:contextualSpacing/>
      </w:pPr>
      <w:proofErr w:type="spellStart"/>
      <w:r w:rsidRPr="00F05C28">
        <w:t>Kuh</w:t>
      </w:r>
      <w:proofErr w:type="spellEnd"/>
      <w:r w:rsidRPr="00F05C28">
        <w:t>, G. D. (2001). Assessing what really matters to student learning inside the national survey of student engagement. </w:t>
      </w:r>
      <w:r w:rsidRPr="00F05C28">
        <w:rPr>
          <w:i/>
        </w:rPr>
        <w:t>Change: The Magazine of Higher Learning, 33</w:t>
      </w:r>
      <w:r w:rsidRPr="00F05C28">
        <w:t>(3), 10-17.</w:t>
      </w:r>
    </w:p>
    <w:p w14:paraId="6116BD6F" w14:textId="77777777" w:rsidR="00F05C28" w:rsidRPr="00F05C28" w:rsidRDefault="00F05C28" w:rsidP="00F05C28">
      <w:pPr>
        <w:spacing w:line="480" w:lineRule="auto"/>
        <w:ind w:left="720" w:hanging="720"/>
        <w:contextualSpacing/>
      </w:pPr>
      <w:proofErr w:type="spellStart"/>
      <w:r w:rsidRPr="00F05C28">
        <w:t>Kuh</w:t>
      </w:r>
      <w:proofErr w:type="spellEnd"/>
      <w:r w:rsidRPr="00F05C28">
        <w:t>, G. D. (2009). The national survey of student engagement: Conceptual and empirical foundations. </w:t>
      </w:r>
      <w:r w:rsidRPr="00F05C28">
        <w:rPr>
          <w:i/>
        </w:rPr>
        <w:t>New Directions for Institutional Research, 141</w:t>
      </w:r>
      <w:r w:rsidRPr="00F05C28">
        <w:t>, 5-20.</w:t>
      </w:r>
    </w:p>
    <w:p w14:paraId="406E2B9B" w14:textId="77777777" w:rsidR="00F05C28" w:rsidRPr="00F05C28" w:rsidRDefault="00F05C28" w:rsidP="00F05C28">
      <w:pPr>
        <w:spacing w:line="480" w:lineRule="auto"/>
        <w:ind w:left="720" w:hanging="720"/>
        <w:contextualSpacing/>
      </w:pPr>
      <w:proofErr w:type="spellStart"/>
      <w:r w:rsidRPr="00F05C28">
        <w:t>Kuh</w:t>
      </w:r>
      <w:proofErr w:type="spellEnd"/>
      <w:r w:rsidRPr="00F05C28">
        <w:t xml:space="preserve">, G. D., &amp; Love, P. G. (2000). A cultural perspective on student departure. In J. M. Braxton (Ed.) </w:t>
      </w:r>
      <w:r w:rsidRPr="00F05C28">
        <w:rPr>
          <w:i/>
        </w:rPr>
        <w:t>Reworking the student departure puzzle</w:t>
      </w:r>
      <w:r w:rsidRPr="00F05C28">
        <w:t xml:space="preserve"> (pp. 196-212). Nashville, TN: Vanderbilt University Press. </w:t>
      </w:r>
    </w:p>
    <w:p w14:paraId="5D8BC2CE" w14:textId="77777777" w:rsidR="00F05C28" w:rsidRPr="00F05C28" w:rsidRDefault="00F05C28" w:rsidP="00F05C28">
      <w:pPr>
        <w:spacing w:line="480" w:lineRule="auto"/>
        <w:ind w:left="720" w:hanging="720"/>
        <w:contextualSpacing/>
      </w:pPr>
      <w:proofErr w:type="spellStart"/>
      <w:r w:rsidRPr="00F05C28">
        <w:t>Kuh</w:t>
      </w:r>
      <w:proofErr w:type="spellEnd"/>
      <w:r w:rsidRPr="00F05C28">
        <w:t xml:space="preserve">, G. D., </w:t>
      </w:r>
      <w:proofErr w:type="spellStart"/>
      <w:r w:rsidRPr="00F05C28">
        <w:t>Cruce</w:t>
      </w:r>
      <w:proofErr w:type="spellEnd"/>
      <w:r w:rsidRPr="00F05C28">
        <w:t xml:space="preserve">, T. M., </w:t>
      </w:r>
      <w:proofErr w:type="spellStart"/>
      <w:r w:rsidRPr="00F05C28">
        <w:t>Shoup</w:t>
      </w:r>
      <w:proofErr w:type="spellEnd"/>
      <w:r w:rsidRPr="00F05C28">
        <w:t xml:space="preserve">, R., Kinzie, J., &amp; </w:t>
      </w:r>
      <w:proofErr w:type="spellStart"/>
      <w:r w:rsidRPr="00F05C28">
        <w:t>Gonyea</w:t>
      </w:r>
      <w:proofErr w:type="spellEnd"/>
      <w:r w:rsidRPr="00F05C28">
        <w:t xml:space="preserve">, R. M. (2008). Unmasking the effects of student engagement on first-year college grades and persistence. </w:t>
      </w:r>
      <w:r w:rsidRPr="00F05C28">
        <w:rPr>
          <w:i/>
        </w:rPr>
        <w:t>The Journal of Higher Education, 79</w:t>
      </w:r>
      <w:r w:rsidRPr="00F05C28">
        <w:t>(5), 540-563.</w:t>
      </w:r>
    </w:p>
    <w:p w14:paraId="55BD4F72" w14:textId="77777777" w:rsidR="00F05C28" w:rsidRPr="00F05C28" w:rsidRDefault="00F05C28" w:rsidP="00F05C28">
      <w:pPr>
        <w:spacing w:line="480" w:lineRule="auto"/>
        <w:ind w:left="720" w:hanging="720"/>
      </w:pPr>
      <w:r w:rsidRPr="00F05C28">
        <w:t xml:space="preserve">Kwai, C. K. C. (2010). </w:t>
      </w:r>
      <w:r w:rsidRPr="00F05C28">
        <w:rPr>
          <w:i/>
          <w:iCs/>
        </w:rPr>
        <w:t>Model of international student persistence: Factors influencing retention of international undergraduate students at two public statewide four-year university systems</w:t>
      </w:r>
      <w:r w:rsidRPr="00F05C28">
        <w:t xml:space="preserve"> [Doctoral Dissertation, University of Minnesota]. University of Minnesota Digital Conservancy, </w:t>
      </w:r>
      <w:hyperlink r:id="rId13" w:history="1">
        <w:r w:rsidRPr="00F05C28">
          <w:rPr>
            <w:rStyle w:val="Hyperlink"/>
          </w:rPr>
          <w:t>http://hdl.handle.net/11299/59314</w:t>
        </w:r>
      </w:hyperlink>
    </w:p>
    <w:p w14:paraId="5A9DB6DB" w14:textId="77777777" w:rsidR="00F05C28" w:rsidRPr="00F05C28" w:rsidRDefault="00F05C28" w:rsidP="00F05C28">
      <w:pPr>
        <w:spacing w:line="480" w:lineRule="auto"/>
        <w:ind w:left="720" w:hanging="720"/>
      </w:pPr>
      <w:proofErr w:type="spellStart"/>
      <w:r w:rsidRPr="00F05C28">
        <w:t>Laanan</w:t>
      </w:r>
      <w:proofErr w:type="spellEnd"/>
      <w:r w:rsidRPr="00F05C28">
        <w:t xml:space="preserve"> F. S. (2007) Studying transfer students: Part II: Dimensions of transfer students' adjustment. </w:t>
      </w:r>
      <w:r w:rsidRPr="00F05C28">
        <w:rPr>
          <w:i/>
          <w:iCs/>
        </w:rPr>
        <w:t>Community College Journal of Research and Practice, 31</w:t>
      </w:r>
      <w:r w:rsidRPr="00F05C28">
        <w:t>(1), 37-59.</w:t>
      </w:r>
    </w:p>
    <w:p w14:paraId="6F7CE5B8" w14:textId="77777777" w:rsidR="00F05C28" w:rsidRPr="00F05C28" w:rsidRDefault="00F05C28" w:rsidP="00F05C28">
      <w:pPr>
        <w:spacing w:line="480" w:lineRule="auto"/>
        <w:ind w:left="720" w:hanging="720"/>
        <w:contextualSpacing/>
      </w:pPr>
      <w:r w:rsidRPr="00F05C28">
        <w:t xml:space="preserve">Leonard, S. E., Pearcy, B. M., Shehab, R. L., &amp; Walden, S. E. (2013). Minority student informed retention strategies. </w:t>
      </w:r>
      <w:r w:rsidRPr="00F05C28">
        <w:rPr>
          <w:i/>
        </w:rPr>
        <w:t>2013 IEEE Frontiers in Education Conference (FIE)</w:t>
      </w:r>
      <w:r w:rsidRPr="00F05C28">
        <w:t>, 567-573.</w:t>
      </w:r>
    </w:p>
    <w:p w14:paraId="2585AED8" w14:textId="77777777" w:rsidR="00F05C28" w:rsidRPr="00F05C28" w:rsidRDefault="00F05C28" w:rsidP="00F05C28">
      <w:pPr>
        <w:spacing w:line="480" w:lineRule="auto"/>
        <w:ind w:left="720" w:hanging="720"/>
        <w:contextualSpacing/>
      </w:pPr>
    </w:p>
    <w:p w14:paraId="149156A2" w14:textId="77777777" w:rsidR="00F05C28" w:rsidRPr="00F05C28" w:rsidRDefault="00F05C28" w:rsidP="00F05C28">
      <w:pPr>
        <w:spacing w:line="480" w:lineRule="auto"/>
        <w:ind w:left="720" w:hanging="720"/>
        <w:contextualSpacing/>
      </w:pPr>
    </w:p>
    <w:p w14:paraId="26B5473D" w14:textId="77777777" w:rsidR="00F05C28" w:rsidRPr="00F05C28" w:rsidRDefault="00F05C28" w:rsidP="00F05C28">
      <w:pPr>
        <w:spacing w:line="480" w:lineRule="auto"/>
        <w:ind w:left="720" w:hanging="720"/>
        <w:contextualSpacing/>
      </w:pPr>
      <w:r w:rsidRPr="00F05C28">
        <w:lastRenderedPageBreak/>
        <w:t xml:space="preserve">Libby, A. K. (2006). </w:t>
      </w:r>
      <w:r w:rsidRPr="00F05C28">
        <w:rPr>
          <w:i/>
        </w:rPr>
        <w:t>The impact of academic integration and social integration on one-year retention and six-year retention for first-time postsecondary students entering four-year and two-year public higher education institutions in the United States of America</w:t>
      </w:r>
      <w:r w:rsidRPr="00F05C28">
        <w:t xml:space="preserve"> (Doctoral dissertation). Available from ProQuest Dissertations and Theses database. (UMI Number: 3239066).</w:t>
      </w:r>
    </w:p>
    <w:p w14:paraId="137AC674" w14:textId="77777777" w:rsidR="00F05C28" w:rsidRPr="00F05C28" w:rsidRDefault="00F05C28" w:rsidP="00F05C28">
      <w:pPr>
        <w:spacing w:line="480" w:lineRule="auto"/>
        <w:ind w:left="720" w:hanging="720"/>
        <w:contextualSpacing/>
      </w:pPr>
      <w:proofErr w:type="spellStart"/>
      <w:r w:rsidRPr="00F05C28">
        <w:t>Lotkowski</w:t>
      </w:r>
      <w:proofErr w:type="spellEnd"/>
      <w:r w:rsidRPr="00F05C28">
        <w:t xml:space="preserve">, V. A., Robbins, S. B., &amp; </w:t>
      </w:r>
      <w:proofErr w:type="spellStart"/>
      <w:r w:rsidRPr="00F05C28">
        <w:t>Noeth</w:t>
      </w:r>
      <w:proofErr w:type="spellEnd"/>
      <w:r w:rsidRPr="00F05C28">
        <w:t>, R. J. (2004). The Role of Academic and Non-Academic Factors in Improving College Retention. ACT Policy Report. American College Testing ACT Inc.</w:t>
      </w:r>
    </w:p>
    <w:p w14:paraId="681C1B11" w14:textId="77777777" w:rsidR="00F05C28" w:rsidRPr="00F05C28" w:rsidRDefault="00F05C28" w:rsidP="00F05C28">
      <w:pPr>
        <w:spacing w:after="160" w:line="480" w:lineRule="auto"/>
        <w:ind w:left="720" w:hanging="720"/>
      </w:pPr>
      <w:r w:rsidRPr="00F05C28">
        <w:t>Lyons, A. L. (2007). </w:t>
      </w:r>
      <w:r w:rsidRPr="00F05C28">
        <w:rPr>
          <w:i/>
          <w:iCs/>
        </w:rPr>
        <w:t>An assessment of social and academic integration among track and field student -athletes of the Atlantic coast conference </w:t>
      </w:r>
      <w:r w:rsidRPr="00F05C28">
        <w:t>(Order No. 3282642) [Doctoral Dissertation, Florida State University]. ProQuest Dissertations &amp; Theses Global.</w:t>
      </w:r>
    </w:p>
    <w:p w14:paraId="19474D98" w14:textId="77777777" w:rsidR="00F05C28" w:rsidRPr="00F05C28" w:rsidRDefault="00F05C28" w:rsidP="00F05C28">
      <w:pPr>
        <w:spacing w:line="480" w:lineRule="auto"/>
        <w:ind w:left="720" w:hanging="720"/>
        <w:contextualSpacing/>
      </w:pPr>
      <w:r w:rsidRPr="00F05C28">
        <w:t>Mahaffy, K. A., &amp; Pantoja, C. (2012). Latina/o students' needs. </w:t>
      </w:r>
      <w:r w:rsidRPr="00F05C28">
        <w:rPr>
          <w:i/>
        </w:rPr>
        <w:t>Journal of College Student Retention: Research, Theory &amp; Practice, 14</w:t>
      </w:r>
      <w:r w:rsidRPr="00F05C28">
        <w:t>(3), 359-370.</w:t>
      </w:r>
    </w:p>
    <w:p w14:paraId="5F7881B4" w14:textId="77777777" w:rsidR="00F05C28" w:rsidRPr="00F05C28" w:rsidRDefault="00F05C28" w:rsidP="00F05C28">
      <w:pPr>
        <w:spacing w:line="480" w:lineRule="auto"/>
        <w:ind w:left="720" w:hanging="720"/>
        <w:contextualSpacing/>
      </w:pPr>
      <w:r w:rsidRPr="00F05C28">
        <w:t>Mallette, B. I., &amp; Cabrera, A. F. (1991). Determinants of withdrawal behavior: An exploratory study. </w:t>
      </w:r>
      <w:r w:rsidRPr="00F05C28">
        <w:rPr>
          <w:i/>
        </w:rPr>
        <w:t>Research in Higher Education, 32</w:t>
      </w:r>
      <w:r w:rsidRPr="00F05C28">
        <w:t>(2), 179-194.</w:t>
      </w:r>
    </w:p>
    <w:p w14:paraId="2D14CD27" w14:textId="77777777" w:rsidR="00F05C28" w:rsidRPr="00F05C28" w:rsidRDefault="00F05C28" w:rsidP="00F05C28">
      <w:pPr>
        <w:spacing w:line="480" w:lineRule="auto"/>
        <w:ind w:left="720" w:hanging="720"/>
        <w:contextualSpacing/>
      </w:pPr>
      <w:r w:rsidRPr="00F05C28">
        <w:t>Mannan, M. A. (2007). Student attrition and academic and social integration: Application of Tinto’s model at the University of Papua New Guinea. </w:t>
      </w:r>
      <w:r w:rsidRPr="00F05C28">
        <w:rPr>
          <w:i/>
        </w:rPr>
        <w:t>Higher Education, 53</w:t>
      </w:r>
      <w:r w:rsidRPr="00F05C28">
        <w:t>(2), 147-165.</w:t>
      </w:r>
    </w:p>
    <w:p w14:paraId="120F2730" w14:textId="77777777" w:rsidR="00F05C28" w:rsidRPr="00F05C28" w:rsidRDefault="00F05C28" w:rsidP="00F05C28">
      <w:pPr>
        <w:spacing w:line="480" w:lineRule="auto"/>
        <w:ind w:left="720" w:hanging="720"/>
        <w:contextualSpacing/>
      </w:pPr>
      <w:r w:rsidRPr="00F05C28">
        <w:t xml:space="preserve">McFarland, J., Hussar, B., de Brey, C., Snyder, T., Wang, X., Wilkinson-Flicker, S., </w:t>
      </w:r>
      <w:proofErr w:type="spellStart"/>
      <w:r w:rsidRPr="00F05C28">
        <w:t>Gebrekristos</w:t>
      </w:r>
      <w:proofErr w:type="spellEnd"/>
      <w:r w:rsidRPr="00F05C28">
        <w:t xml:space="preserve">, S., Zhang, J., Rathbun, A., </w:t>
      </w:r>
      <w:proofErr w:type="spellStart"/>
      <w:r w:rsidRPr="00F05C28">
        <w:t>Barmer</w:t>
      </w:r>
      <w:proofErr w:type="spellEnd"/>
      <w:r w:rsidRPr="00F05C28">
        <w:t xml:space="preserve">, A., Bullock Mann, F., and </w:t>
      </w:r>
      <w:proofErr w:type="spellStart"/>
      <w:r w:rsidRPr="00F05C28">
        <w:t>Hinz</w:t>
      </w:r>
      <w:proofErr w:type="spellEnd"/>
      <w:r w:rsidRPr="00F05C28">
        <w:t>, S. (2017). The Condition of Education 2017 (NCES 2017-144). U.S. Department of Education. Washington, DC: National Center for Education Statistics. Retrieved from https://nces.ed.gov/pubsearch/pubsinfo.asp?pubid=2017144.</w:t>
      </w:r>
    </w:p>
    <w:p w14:paraId="6A5F23FE" w14:textId="77777777" w:rsidR="00F05C28" w:rsidRPr="00F05C28" w:rsidRDefault="00F05C28" w:rsidP="00F05C28">
      <w:pPr>
        <w:spacing w:line="480" w:lineRule="auto"/>
        <w:ind w:left="720" w:hanging="720"/>
        <w:contextualSpacing/>
      </w:pPr>
      <w:r w:rsidRPr="00F05C28">
        <w:lastRenderedPageBreak/>
        <w:t xml:space="preserve">McFarland, J., Hussar, B., Wang, X., Zhang, J., Wang, K., Rathbun, A., </w:t>
      </w:r>
      <w:proofErr w:type="spellStart"/>
      <w:r w:rsidRPr="00F05C28">
        <w:t>Barmer</w:t>
      </w:r>
      <w:proofErr w:type="spellEnd"/>
      <w:r w:rsidRPr="00F05C28">
        <w:t xml:space="preserve">, A., Forrest </w:t>
      </w:r>
      <w:proofErr w:type="spellStart"/>
      <w:r w:rsidRPr="00F05C28">
        <w:t>Cataldi</w:t>
      </w:r>
      <w:proofErr w:type="spellEnd"/>
      <w:r w:rsidRPr="00F05C28">
        <w:t>, E., and Bullock Mann, F. (2018). The Condition of Education 2018 (NCES 2018-144). U.S. Department of Education. Washington, DC: National Center for Education Statistics. Retrieved from https://nces.ed.gov/pubsearch/pubsinfo.asp?pubid=2018144.</w:t>
      </w:r>
    </w:p>
    <w:p w14:paraId="5EF4B305" w14:textId="77777777" w:rsidR="00F05C28" w:rsidRPr="00F05C28" w:rsidRDefault="00F05C28" w:rsidP="00F05C28">
      <w:pPr>
        <w:spacing w:line="480" w:lineRule="auto"/>
        <w:ind w:left="720" w:hanging="720"/>
        <w:contextualSpacing/>
      </w:pPr>
      <w:proofErr w:type="spellStart"/>
      <w:r w:rsidRPr="00F05C28">
        <w:t>McFeeters</w:t>
      </w:r>
      <w:proofErr w:type="spellEnd"/>
      <w:r w:rsidRPr="00F05C28">
        <w:t xml:space="preserve">, B. B. (2012). Challenges and supports of student-to-student interactions. In T. L. Strayhorn &amp; M. C. Terrell (Eds.), </w:t>
      </w:r>
      <w:r w:rsidRPr="00F05C28">
        <w:rPr>
          <w:i/>
        </w:rPr>
        <w:t>The evolving challenges of Black college students: New insights for policy, practice, and research</w:t>
      </w:r>
      <w:r w:rsidRPr="00F05C28">
        <w:t xml:space="preserve"> (pp. 104-121). Sterling, VA: Stylus.</w:t>
      </w:r>
    </w:p>
    <w:p w14:paraId="6C84A84C" w14:textId="77777777" w:rsidR="00F05C28" w:rsidRPr="00F05C28" w:rsidRDefault="00F05C28" w:rsidP="00F05C28">
      <w:pPr>
        <w:spacing w:line="480" w:lineRule="auto"/>
        <w:ind w:left="720" w:hanging="720"/>
        <w:contextualSpacing/>
      </w:pPr>
      <w:r w:rsidRPr="00F05C28">
        <w:t xml:space="preserve">McKenzie, K., &amp; Schweitzer, R. (2001). Who succeeds at university? Factors predicting academic performance in first year Australian university students. </w:t>
      </w:r>
      <w:r w:rsidRPr="00F05C28">
        <w:rPr>
          <w:i/>
        </w:rPr>
        <w:t>Higher Education Research and Development, 20</w:t>
      </w:r>
      <w:r w:rsidRPr="00F05C28">
        <w:t>, 21–33.</w:t>
      </w:r>
    </w:p>
    <w:p w14:paraId="38395183" w14:textId="77777777" w:rsidR="00F05C28" w:rsidRPr="00F05C28" w:rsidRDefault="00F05C28" w:rsidP="00F05C28">
      <w:pPr>
        <w:spacing w:line="480" w:lineRule="auto"/>
        <w:ind w:left="720" w:hanging="720"/>
        <w:contextualSpacing/>
      </w:pPr>
      <w:r w:rsidRPr="00F05C28">
        <w:t>Menard, S. (1995). Applied logistic regression analysis: Sage university series on quantitative applications in the social sciences. Thousand Oaks, CA: Sage.</w:t>
      </w:r>
    </w:p>
    <w:p w14:paraId="09F8E9A2" w14:textId="77777777" w:rsidR="00F05C28" w:rsidRPr="00F05C28" w:rsidRDefault="00F05C28" w:rsidP="00F05C28">
      <w:pPr>
        <w:spacing w:line="480" w:lineRule="auto"/>
        <w:ind w:left="720" w:hanging="720"/>
        <w:contextualSpacing/>
      </w:pPr>
      <w:r w:rsidRPr="00F05C28">
        <w:t>Menard, S. (2009). Logistic regression: From introductory to advanced concepts and applications. Thousand Oaks, CA: Sage.</w:t>
      </w:r>
    </w:p>
    <w:p w14:paraId="2D279391" w14:textId="77777777" w:rsidR="00F05C28" w:rsidRPr="00F05C28" w:rsidRDefault="00F05C28" w:rsidP="00F05C28">
      <w:pPr>
        <w:spacing w:after="160" w:line="480" w:lineRule="auto"/>
        <w:ind w:left="720" w:hanging="720"/>
      </w:pPr>
      <w:r w:rsidRPr="00F05C28">
        <w:t>Miller, E. J. (2012). </w:t>
      </w:r>
      <w:r w:rsidRPr="00F05C28">
        <w:rPr>
          <w:i/>
          <w:iCs/>
        </w:rPr>
        <w:t>Understanding social integration and student involvement as factors of self-reported gains for African American undergraduate women </w:t>
      </w:r>
      <w:r w:rsidRPr="00F05C28">
        <w:t>(Order No. 3505618) [Doctoral Dissertation, University of South Florida]. ProQuest Dissertations &amp; Theses Global.</w:t>
      </w:r>
    </w:p>
    <w:p w14:paraId="6254DF7D" w14:textId="77777777" w:rsidR="00F05C28" w:rsidRPr="00F05C28" w:rsidRDefault="00F05C28" w:rsidP="00F05C28">
      <w:pPr>
        <w:spacing w:line="480" w:lineRule="auto"/>
        <w:ind w:left="720" w:hanging="720"/>
        <w:contextualSpacing/>
      </w:pPr>
      <w:r w:rsidRPr="00F05C28">
        <w:t xml:space="preserve">Moore, L. V., &amp; </w:t>
      </w:r>
      <w:proofErr w:type="spellStart"/>
      <w:r w:rsidRPr="00F05C28">
        <w:t>Upcraft</w:t>
      </w:r>
      <w:proofErr w:type="spellEnd"/>
      <w:r w:rsidRPr="00F05C28">
        <w:t xml:space="preserve">, M. L. (1990). Theory in student affairs: Evolving perspectives. </w:t>
      </w:r>
      <w:r w:rsidRPr="00F05C28">
        <w:rPr>
          <w:i/>
        </w:rPr>
        <w:t>New Directions for Student Services, 51</w:t>
      </w:r>
      <w:r w:rsidRPr="00F05C28">
        <w:t>, 3-23.</w:t>
      </w:r>
    </w:p>
    <w:p w14:paraId="6D0EB8FE" w14:textId="77777777" w:rsidR="00F05C28" w:rsidRPr="00F05C28" w:rsidRDefault="00F05C28" w:rsidP="00F05C28">
      <w:pPr>
        <w:spacing w:line="480" w:lineRule="auto"/>
        <w:ind w:left="720" w:hanging="720"/>
        <w:contextualSpacing/>
      </w:pPr>
      <w:r w:rsidRPr="00F05C28">
        <w:lastRenderedPageBreak/>
        <w:t>Morley, K. M. (2003). Fitting in by race/ethnicity: The social and academic integration of diverse students at a large predominantly White university. </w:t>
      </w:r>
      <w:r w:rsidRPr="00F05C28">
        <w:rPr>
          <w:i/>
        </w:rPr>
        <w:t>Journal of College Student Retention: Research, Theory &amp; Practice, 5</w:t>
      </w:r>
      <w:r w:rsidRPr="00F05C28">
        <w:t>(2), 147-174.</w:t>
      </w:r>
    </w:p>
    <w:p w14:paraId="68DBC867" w14:textId="77777777" w:rsidR="00F05C28" w:rsidRPr="00F05C28" w:rsidRDefault="00F05C28" w:rsidP="00F05C28">
      <w:pPr>
        <w:spacing w:line="480" w:lineRule="auto"/>
        <w:ind w:left="720" w:hanging="720"/>
        <w:contextualSpacing/>
      </w:pPr>
      <w:r w:rsidRPr="00F05C28">
        <w:t>Morris, J. (2002). </w:t>
      </w:r>
      <w:r w:rsidRPr="00F05C28">
        <w:rPr>
          <w:i/>
        </w:rPr>
        <w:t>Academic integration, social integration, goal and institutional commitment, and spiritual integration as predictors of persistence at a Christian institution of higher education</w:t>
      </w:r>
      <w:r w:rsidRPr="00F05C28">
        <w:t> (Doctoral dissertation). Retrieved from https://ttu-ir.tdl.org/handle/2346/16539</w:t>
      </w:r>
    </w:p>
    <w:p w14:paraId="52A4196B" w14:textId="77777777" w:rsidR="00F05C28" w:rsidRPr="00F05C28" w:rsidRDefault="00F05C28" w:rsidP="00F05C28">
      <w:pPr>
        <w:spacing w:line="480" w:lineRule="auto"/>
        <w:ind w:left="720" w:hanging="720"/>
        <w:contextualSpacing/>
      </w:pPr>
      <w:proofErr w:type="spellStart"/>
      <w:r w:rsidRPr="00F05C28">
        <w:t>Museus</w:t>
      </w:r>
      <w:proofErr w:type="spellEnd"/>
      <w:r w:rsidRPr="00F05C28">
        <w:t>, S. D., &amp; Quaye, S. J. (2009). Toward an intercultural perspective of racial and ethnic minority college student persistence. </w:t>
      </w:r>
      <w:r w:rsidRPr="00F05C28">
        <w:rPr>
          <w:i/>
        </w:rPr>
        <w:t>The Review of Higher Education, 33</w:t>
      </w:r>
      <w:r w:rsidRPr="00F05C28">
        <w:t>(1), 67-94.</w:t>
      </w:r>
    </w:p>
    <w:p w14:paraId="7C6FFD54" w14:textId="77777777" w:rsidR="00F05C28" w:rsidRPr="00F05C28" w:rsidRDefault="00F05C28" w:rsidP="00F05C28">
      <w:pPr>
        <w:spacing w:line="480" w:lineRule="auto"/>
        <w:ind w:left="720" w:hanging="720"/>
        <w:contextualSpacing/>
      </w:pPr>
      <w:r w:rsidRPr="00F05C28">
        <w:t>National Student Clearinghouse Research Center (2018). First-Year Persistence and Retention (Snapshot Report). Herndon, VA: National Student Clearinghouse Research Center.</w:t>
      </w:r>
    </w:p>
    <w:p w14:paraId="6F566916" w14:textId="77777777" w:rsidR="00F05C28" w:rsidRPr="00F05C28" w:rsidRDefault="00F05C28" w:rsidP="00F05C28">
      <w:pPr>
        <w:spacing w:line="480" w:lineRule="auto"/>
        <w:ind w:left="720" w:hanging="720"/>
        <w:contextualSpacing/>
      </w:pPr>
      <w:r w:rsidRPr="00F05C28">
        <w:t>National Survey of Student Engagement. (2012). Measurement error 2010 level of measurement. Bloomington, IN: Indiana University Center for Postsecondary Research. Retrieved from http://nsse.indiana.edu/html/psychometric_portfolio.cfm</w:t>
      </w:r>
    </w:p>
    <w:p w14:paraId="610A6EA5" w14:textId="77777777" w:rsidR="00F05C28" w:rsidRPr="00F05C28" w:rsidRDefault="00F05C28" w:rsidP="00F05C28">
      <w:pPr>
        <w:spacing w:line="480" w:lineRule="auto"/>
        <w:ind w:left="720" w:hanging="720"/>
        <w:contextualSpacing/>
      </w:pPr>
      <w:r w:rsidRPr="00F05C28">
        <w:t xml:space="preserve">Nelson Laird, T. F., Bridges, B. K., </w:t>
      </w:r>
      <w:proofErr w:type="spellStart"/>
      <w:r w:rsidRPr="00F05C28">
        <w:t>Morelon-Quainoo</w:t>
      </w:r>
      <w:proofErr w:type="spellEnd"/>
      <w:r w:rsidRPr="00F05C28">
        <w:t>, C. L., Williams, J. M., &amp; Holmes, M. S. (2007). African American and Hispanic student engagement at minority serving and predominantly White institutions. </w:t>
      </w:r>
      <w:r w:rsidRPr="00F05C28">
        <w:rPr>
          <w:i/>
        </w:rPr>
        <w:t>Journal of College Student Development, 48</w:t>
      </w:r>
      <w:r w:rsidRPr="00F05C28">
        <w:t>(1), 39-56.</w:t>
      </w:r>
    </w:p>
    <w:p w14:paraId="6843A14E" w14:textId="77777777" w:rsidR="00F05C28" w:rsidRPr="00F05C28" w:rsidRDefault="00F05C28" w:rsidP="00F05C28">
      <w:pPr>
        <w:spacing w:line="480" w:lineRule="auto"/>
        <w:ind w:left="720" w:hanging="720"/>
        <w:contextualSpacing/>
      </w:pPr>
      <w:r w:rsidRPr="00F05C28">
        <w:t>Nishimoto, J. K., &amp; Hagedorn, L. S. (2003, April). Retention, persistence, and course taking patterns of Asian Pacific Americans attending urban community colleges. Paper presented at the Annual Meeting of the American Educational Research Association, Chicago, IL.</w:t>
      </w:r>
    </w:p>
    <w:p w14:paraId="059026B9" w14:textId="77777777" w:rsidR="00F05C28" w:rsidRPr="00F05C28" w:rsidRDefault="00F05C28" w:rsidP="00F05C28">
      <w:pPr>
        <w:spacing w:line="480" w:lineRule="auto"/>
        <w:ind w:left="720" w:hanging="720"/>
        <w:contextualSpacing/>
      </w:pPr>
      <w:r w:rsidRPr="00F05C28">
        <w:t>Nora, A. (1987). Determinants of retention among Chicano college students: A structural model. </w:t>
      </w:r>
      <w:r w:rsidRPr="00F05C28">
        <w:rPr>
          <w:i/>
        </w:rPr>
        <w:t>Research in Higher Education, 26</w:t>
      </w:r>
      <w:r w:rsidRPr="00F05C28">
        <w:t>(1), 31-59.</w:t>
      </w:r>
    </w:p>
    <w:p w14:paraId="062A4494" w14:textId="77777777" w:rsidR="00F05C28" w:rsidRPr="00F05C28" w:rsidRDefault="00F05C28" w:rsidP="00F05C28">
      <w:pPr>
        <w:spacing w:line="480" w:lineRule="auto"/>
        <w:ind w:left="720" w:hanging="720"/>
        <w:contextualSpacing/>
      </w:pPr>
      <w:r w:rsidRPr="00F05C28">
        <w:lastRenderedPageBreak/>
        <w:t xml:space="preserve">Nora, A. (1993). Two-year colleges and minority students’ educational aspirations: Help or hindrance. </w:t>
      </w:r>
      <w:r w:rsidRPr="00F05C28">
        <w:rPr>
          <w:i/>
        </w:rPr>
        <w:t>Higher Education: Handbook of Theory and Research, 9</w:t>
      </w:r>
      <w:r w:rsidRPr="00F05C28">
        <w:t>, 212-247.</w:t>
      </w:r>
    </w:p>
    <w:p w14:paraId="1E958C2D" w14:textId="77777777" w:rsidR="00F05C28" w:rsidRPr="00F05C28" w:rsidRDefault="00F05C28" w:rsidP="00F05C28">
      <w:pPr>
        <w:spacing w:line="480" w:lineRule="auto"/>
        <w:ind w:left="720" w:hanging="720"/>
        <w:contextualSpacing/>
      </w:pPr>
      <w:proofErr w:type="spellStart"/>
      <w:r w:rsidRPr="00F05C28">
        <w:t>Nuñez</w:t>
      </w:r>
      <w:proofErr w:type="spellEnd"/>
      <w:r w:rsidRPr="00F05C28">
        <w:t>, A. M. (2009). Latino students' transitions to college: A social and intercultural capital perspective. </w:t>
      </w:r>
      <w:r w:rsidRPr="00F05C28">
        <w:rPr>
          <w:i/>
        </w:rPr>
        <w:t>Harvard Educational Review, 79</w:t>
      </w:r>
      <w:r w:rsidRPr="00F05C28">
        <w:t>(1), 22-48.</w:t>
      </w:r>
    </w:p>
    <w:p w14:paraId="6A2F6CD7" w14:textId="77777777" w:rsidR="00F05C28" w:rsidRPr="00F05C28" w:rsidRDefault="00F05C28" w:rsidP="00F05C28">
      <w:pPr>
        <w:spacing w:line="480" w:lineRule="auto"/>
        <w:ind w:left="720" w:hanging="720"/>
        <w:contextualSpacing/>
      </w:pPr>
      <w:proofErr w:type="spellStart"/>
      <w:r w:rsidRPr="00F05C28">
        <w:t>Nuñez</w:t>
      </w:r>
      <w:proofErr w:type="spellEnd"/>
      <w:r w:rsidRPr="00F05C28">
        <w:t xml:space="preserve">, A. M., &amp; Kim, D. (2012). Building a </w:t>
      </w:r>
      <w:proofErr w:type="spellStart"/>
      <w:r w:rsidRPr="00F05C28">
        <w:t>multicontextual</w:t>
      </w:r>
      <w:proofErr w:type="spellEnd"/>
      <w:r w:rsidRPr="00F05C28">
        <w:t xml:space="preserve"> model of Latino college enrollment: Student, school, and state-level effects. </w:t>
      </w:r>
      <w:r w:rsidRPr="00F05C28">
        <w:rPr>
          <w:i/>
        </w:rPr>
        <w:t>The Review of Higher Education, 35</w:t>
      </w:r>
      <w:r w:rsidRPr="00F05C28">
        <w:t>(2), 237-263.</w:t>
      </w:r>
    </w:p>
    <w:p w14:paraId="386F73C9" w14:textId="77777777" w:rsidR="00F05C28" w:rsidRPr="00F05C28" w:rsidRDefault="00F05C28" w:rsidP="00F05C28">
      <w:pPr>
        <w:spacing w:line="480" w:lineRule="auto"/>
        <w:ind w:left="720" w:hanging="720"/>
        <w:contextualSpacing/>
      </w:pPr>
      <w:proofErr w:type="spellStart"/>
      <w:r w:rsidRPr="00F05C28">
        <w:t>O’brien</w:t>
      </w:r>
      <w:proofErr w:type="spellEnd"/>
      <w:r w:rsidRPr="00F05C28">
        <w:t xml:space="preserve">, R. M. (2007). A caution regarding rules of thumb for variance inflation factors. </w:t>
      </w:r>
      <w:r w:rsidRPr="00F05C28">
        <w:rPr>
          <w:i/>
        </w:rPr>
        <w:t>Quality &amp; Quantity, 41</w:t>
      </w:r>
      <w:r w:rsidRPr="00F05C28">
        <w:t>(5), 673-690.</w:t>
      </w:r>
    </w:p>
    <w:p w14:paraId="26B9AD47" w14:textId="77777777" w:rsidR="00F05C28" w:rsidRPr="00F05C28" w:rsidRDefault="00F05C28" w:rsidP="00F05C28">
      <w:pPr>
        <w:spacing w:line="480" w:lineRule="auto"/>
        <w:ind w:left="720" w:hanging="720"/>
        <w:contextualSpacing/>
      </w:pPr>
      <w:r w:rsidRPr="00F05C28">
        <w:t>Ortiz, A. M. (2004). Promoting the Success of Latino Students: A Call to Action. </w:t>
      </w:r>
      <w:r w:rsidRPr="00F05C28">
        <w:rPr>
          <w:i/>
        </w:rPr>
        <w:t>New Directions for Student Services, 105</w:t>
      </w:r>
      <w:r w:rsidRPr="00F05C28">
        <w:t>, 89-97.</w:t>
      </w:r>
    </w:p>
    <w:p w14:paraId="3C394CAB" w14:textId="77777777" w:rsidR="00F05C28" w:rsidRPr="00F05C28" w:rsidRDefault="00F05C28" w:rsidP="00F05C28">
      <w:pPr>
        <w:spacing w:line="480" w:lineRule="auto"/>
        <w:ind w:left="720" w:hanging="720"/>
        <w:contextualSpacing/>
      </w:pPr>
      <w:proofErr w:type="spellStart"/>
      <w:r w:rsidRPr="00F05C28">
        <w:t>Oseguera</w:t>
      </w:r>
      <w:proofErr w:type="spellEnd"/>
      <w:r w:rsidRPr="00F05C28">
        <w:t>, L., Locks, A. M., &amp; Vega, I. I. (2009). Increasing Latina/o students' baccalaureate attainment: A focus on retention. </w:t>
      </w:r>
      <w:r w:rsidRPr="00F05C28">
        <w:rPr>
          <w:i/>
        </w:rPr>
        <w:t>Journal of Hispanic Higher Education, 8</w:t>
      </w:r>
      <w:r w:rsidRPr="00F05C28">
        <w:t>(1), 23-53.</w:t>
      </w:r>
    </w:p>
    <w:p w14:paraId="7D3F07B8" w14:textId="77777777" w:rsidR="00F05C28" w:rsidRPr="00F05C28" w:rsidRDefault="00F05C28" w:rsidP="00F05C28">
      <w:pPr>
        <w:spacing w:line="480" w:lineRule="auto"/>
        <w:ind w:left="720" w:hanging="720"/>
        <w:contextualSpacing/>
      </w:pPr>
      <w:proofErr w:type="spellStart"/>
      <w:r w:rsidRPr="00F05C28">
        <w:t>Pampel</w:t>
      </w:r>
      <w:proofErr w:type="spellEnd"/>
      <w:r w:rsidRPr="00F05C28">
        <w:t>, F. C. (2000). Logistic regression: A primer (Sage university papers series on quantitative applications in the social sciences, series no 07-132). Thousand Oaks, CA: Sage.</w:t>
      </w:r>
    </w:p>
    <w:p w14:paraId="7618289C" w14:textId="77777777" w:rsidR="00F05C28" w:rsidRPr="00F05C28" w:rsidRDefault="00F05C28" w:rsidP="00F05C28">
      <w:pPr>
        <w:spacing w:line="480" w:lineRule="auto"/>
        <w:ind w:left="720" w:hanging="720"/>
        <w:contextualSpacing/>
      </w:pPr>
      <w:r w:rsidRPr="00F05C28">
        <w:t>Pascarella, E. T. (1985). Racial differences in factors associated with bachelor's degree completion: A nine-year follow-up. </w:t>
      </w:r>
      <w:r w:rsidRPr="00F05C28">
        <w:rPr>
          <w:i/>
        </w:rPr>
        <w:t>Research in Higher Education, 23</w:t>
      </w:r>
      <w:r w:rsidRPr="00F05C28">
        <w:t>(4), 351-373.</w:t>
      </w:r>
    </w:p>
    <w:p w14:paraId="17DAD1CD" w14:textId="77777777" w:rsidR="00F05C28" w:rsidRPr="00F05C28" w:rsidRDefault="00F05C28" w:rsidP="00F05C28">
      <w:pPr>
        <w:spacing w:line="480" w:lineRule="auto"/>
        <w:ind w:left="720" w:hanging="720"/>
        <w:contextualSpacing/>
      </w:pPr>
      <w:r w:rsidRPr="00F05C28">
        <w:t xml:space="preserve">Pascarella, E. T., &amp; </w:t>
      </w:r>
      <w:proofErr w:type="spellStart"/>
      <w:r w:rsidRPr="00F05C28">
        <w:t>Terenzini</w:t>
      </w:r>
      <w:proofErr w:type="spellEnd"/>
      <w:r w:rsidRPr="00F05C28">
        <w:t xml:space="preserve">, P. T. (1979). Interaction effects in </w:t>
      </w:r>
      <w:proofErr w:type="spellStart"/>
      <w:r w:rsidRPr="00F05C28">
        <w:t>Spady</w:t>
      </w:r>
      <w:proofErr w:type="spellEnd"/>
      <w:r w:rsidRPr="00F05C28">
        <w:t xml:space="preserve"> and Tinto's conceptual models of college attrition. </w:t>
      </w:r>
      <w:r w:rsidRPr="00F05C28">
        <w:rPr>
          <w:i/>
        </w:rPr>
        <w:t>Sociology of Education, 52</w:t>
      </w:r>
      <w:r w:rsidRPr="00F05C28">
        <w:t>(4), 197-210.</w:t>
      </w:r>
    </w:p>
    <w:p w14:paraId="40AF52F4" w14:textId="77777777" w:rsidR="00F05C28" w:rsidRPr="00F05C28" w:rsidRDefault="00F05C28" w:rsidP="00F05C28">
      <w:pPr>
        <w:spacing w:line="480" w:lineRule="auto"/>
        <w:ind w:left="720" w:hanging="720"/>
        <w:contextualSpacing/>
      </w:pPr>
      <w:r w:rsidRPr="00F05C28">
        <w:t xml:space="preserve">Pascarella, E. T., &amp; </w:t>
      </w:r>
      <w:proofErr w:type="spellStart"/>
      <w:r w:rsidRPr="00F05C28">
        <w:t>Terenzini</w:t>
      </w:r>
      <w:proofErr w:type="spellEnd"/>
      <w:r w:rsidRPr="00F05C28">
        <w:t>, P. T. (1980). Predicting freshman persistence and voluntary dropout decisions from a theoretical model. </w:t>
      </w:r>
      <w:r w:rsidRPr="00F05C28">
        <w:rPr>
          <w:i/>
        </w:rPr>
        <w:t>The Journal of Higher Education, 51</w:t>
      </w:r>
      <w:r w:rsidRPr="00F05C28">
        <w:t>(1), 60-75.</w:t>
      </w:r>
    </w:p>
    <w:p w14:paraId="210E3E4C" w14:textId="77777777" w:rsidR="00F05C28" w:rsidRPr="00F05C28" w:rsidRDefault="00F05C28" w:rsidP="00F05C28">
      <w:pPr>
        <w:spacing w:line="480" w:lineRule="auto"/>
        <w:ind w:left="720" w:hanging="720"/>
        <w:contextualSpacing/>
      </w:pPr>
      <w:r w:rsidRPr="00F05C28">
        <w:lastRenderedPageBreak/>
        <w:t xml:space="preserve">Pascarella, E. T., &amp; </w:t>
      </w:r>
      <w:proofErr w:type="spellStart"/>
      <w:r w:rsidRPr="00F05C28">
        <w:t>Terenzini</w:t>
      </w:r>
      <w:proofErr w:type="spellEnd"/>
      <w:r w:rsidRPr="00F05C28">
        <w:t>, P. T. (1983). Predicting voluntary freshman year persistence/withdrawal behavior in a residential university: A path analytic validation of Tinto's model. </w:t>
      </w:r>
      <w:r w:rsidRPr="00F05C28">
        <w:rPr>
          <w:i/>
        </w:rPr>
        <w:t>Journal of Educational Psychology, 75</w:t>
      </w:r>
      <w:r w:rsidRPr="00F05C28">
        <w:t>(2), 215.</w:t>
      </w:r>
    </w:p>
    <w:p w14:paraId="3A78B36A" w14:textId="77777777" w:rsidR="00F05C28" w:rsidRPr="00F05C28" w:rsidRDefault="00F05C28" w:rsidP="00F05C28">
      <w:pPr>
        <w:spacing w:line="480" w:lineRule="auto"/>
        <w:ind w:left="720" w:hanging="720"/>
        <w:contextualSpacing/>
      </w:pPr>
      <w:r w:rsidRPr="00F05C28">
        <w:t xml:space="preserve">Pascarella, E. T., &amp; </w:t>
      </w:r>
      <w:proofErr w:type="spellStart"/>
      <w:r w:rsidRPr="00F05C28">
        <w:t>Terenzini</w:t>
      </w:r>
      <w:proofErr w:type="spellEnd"/>
      <w:r w:rsidRPr="00F05C28">
        <w:t>, P. T. (1991). How college affects students. San Francisco, CA: Jossey-Bass.</w:t>
      </w:r>
    </w:p>
    <w:p w14:paraId="4387C020" w14:textId="77777777" w:rsidR="00F05C28" w:rsidRPr="00F05C28" w:rsidRDefault="00F05C28" w:rsidP="00F05C28">
      <w:pPr>
        <w:spacing w:line="480" w:lineRule="auto"/>
        <w:ind w:left="720" w:hanging="720"/>
        <w:contextualSpacing/>
      </w:pPr>
      <w:r w:rsidRPr="00F05C28">
        <w:t xml:space="preserve">Pascarella, E. T., &amp; </w:t>
      </w:r>
      <w:proofErr w:type="spellStart"/>
      <w:r w:rsidRPr="00F05C28">
        <w:t>Terenzini</w:t>
      </w:r>
      <w:proofErr w:type="spellEnd"/>
      <w:r w:rsidRPr="00F05C28">
        <w:t>, P. T. (2005). How College Affects Students: A Third Decade of Research. Volume 2. Indianapolis, IN: Jossey-Bass, An Imprint of Wiley.</w:t>
      </w:r>
    </w:p>
    <w:p w14:paraId="49E26491" w14:textId="77777777" w:rsidR="00F05C28" w:rsidRPr="00F05C28" w:rsidRDefault="00F05C28" w:rsidP="00F05C28">
      <w:pPr>
        <w:spacing w:line="480" w:lineRule="auto"/>
        <w:ind w:left="720" w:hanging="720"/>
        <w:contextualSpacing/>
      </w:pPr>
      <w:r w:rsidRPr="00F05C28">
        <w:t xml:space="preserve">Pascarella, E. T., &amp; </w:t>
      </w:r>
      <w:proofErr w:type="spellStart"/>
      <w:r w:rsidRPr="00F05C28">
        <w:t>Terenzini</w:t>
      </w:r>
      <w:proofErr w:type="spellEnd"/>
      <w:r w:rsidRPr="00F05C28">
        <w:t>, P. T. (1991). How college affects students. San Francisco, CA: Jossey-Bass.</w:t>
      </w:r>
    </w:p>
    <w:p w14:paraId="0D38D975" w14:textId="77777777" w:rsidR="00F05C28" w:rsidRPr="00F05C28" w:rsidRDefault="00F05C28" w:rsidP="00F05C28">
      <w:pPr>
        <w:spacing w:line="480" w:lineRule="auto"/>
        <w:ind w:left="720" w:hanging="720"/>
        <w:contextualSpacing/>
      </w:pPr>
      <w:r w:rsidRPr="00F05C28">
        <w:t xml:space="preserve">Peng, C. Y. J., &amp; So, T. S. H. (2002). Logistic regression analysis and reporting: A primer. </w:t>
      </w:r>
      <w:r w:rsidRPr="00F05C28">
        <w:rPr>
          <w:i/>
        </w:rPr>
        <w:t>Understanding Statistics: Statistical Issues in Psychology, Education, and the Social Sciences, 1</w:t>
      </w:r>
      <w:r w:rsidRPr="00F05C28">
        <w:t>(1), 31-70.</w:t>
      </w:r>
    </w:p>
    <w:p w14:paraId="58FB1B9E" w14:textId="77777777" w:rsidR="00F05C28" w:rsidRPr="00F05C28" w:rsidRDefault="00F05C28" w:rsidP="00F05C28">
      <w:pPr>
        <w:spacing w:after="160" w:line="480" w:lineRule="auto"/>
        <w:ind w:left="720" w:hanging="720"/>
        <w:rPr>
          <w:rFonts w:eastAsiaTheme="minorHAnsi"/>
        </w:rPr>
      </w:pPr>
      <w:proofErr w:type="spellStart"/>
      <w:r w:rsidRPr="00F05C28">
        <w:rPr>
          <w:rFonts w:eastAsiaTheme="minorHAnsi"/>
        </w:rPr>
        <w:t>Perna</w:t>
      </w:r>
      <w:proofErr w:type="spellEnd"/>
      <w:r w:rsidRPr="00F05C28">
        <w:rPr>
          <w:rFonts w:eastAsiaTheme="minorHAnsi"/>
        </w:rPr>
        <w:t xml:space="preserve">, L. W. (2000). Differences in the decision to attend college among African Americans, Hispanics, and Whites. </w:t>
      </w:r>
      <w:r w:rsidRPr="00F05C28">
        <w:rPr>
          <w:rFonts w:eastAsiaTheme="minorHAnsi"/>
          <w:i/>
          <w:iCs/>
        </w:rPr>
        <w:t>Journal of Higher Education, 71</w:t>
      </w:r>
      <w:r w:rsidRPr="00F05C28">
        <w:rPr>
          <w:rFonts w:eastAsiaTheme="minorHAnsi"/>
        </w:rPr>
        <w:t xml:space="preserve">(2), 117–141. </w:t>
      </w:r>
    </w:p>
    <w:p w14:paraId="345F6C7E" w14:textId="77777777" w:rsidR="00F05C28" w:rsidRPr="00F05C28" w:rsidRDefault="00F05C28" w:rsidP="00F05C28">
      <w:pPr>
        <w:spacing w:line="480" w:lineRule="auto"/>
        <w:ind w:left="720" w:hanging="720"/>
        <w:contextualSpacing/>
      </w:pPr>
      <w:proofErr w:type="spellStart"/>
      <w:r w:rsidRPr="00F05C28">
        <w:t>Perna</w:t>
      </w:r>
      <w:proofErr w:type="spellEnd"/>
      <w:r w:rsidRPr="00F05C28">
        <w:t xml:space="preserve">, L. W. (2005). The benefits of higher education: Sex, racial/ethnic, and socioeconomic group differences. </w:t>
      </w:r>
      <w:r w:rsidRPr="00F05C28">
        <w:rPr>
          <w:i/>
        </w:rPr>
        <w:t>The Review of Higher Education, 29</w:t>
      </w:r>
      <w:r w:rsidRPr="00F05C28">
        <w:t>(1), 23-52.</w:t>
      </w:r>
    </w:p>
    <w:p w14:paraId="4BD1ED6C" w14:textId="77777777" w:rsidR="00F05C28" w:rsidRPr="00F05C28" w:rsidRDefault="00F05C28" w:rsidP="00F05C28">
      <w:pPr>
        <w:spacing w:after="160" w:line="480" w:lineRule="auto"/>
        <w:ind w:left="720" w:hanging="720"/>
        <w:rPr>
          <w:rFonts w:eastAsiaTheme="minorHAnsi"/>
        </w:rPr>
      </w:pPr>
      <w:proofErr w:type="spellStart"/>
      <w:r w:rsidRPr="00F05C28">
        <w:rPr>
          <w:rFonts w:eastAsiaTheme="minorHAnsi"/>
        </w:rPr>
        <w:t>Perna</w:t>
      </w:r>
      <w:proofErr w:type="spellEnd"/>
      <w:r w:rsidRPr="00F05C28">
        <w:rPr>
          <w:rFonts w:eastAsiaTheme="minorHAnsi"/>
        </w:rPr>
        <w:t xml:space="preserve">, L. W., &amp; Titus, M. A. (2005). The relationship between parental involvement as social capital and college enrollment: An examination of racial/ethnic group differences. </w:t>
      </w:r>
      <w:r w:rsidRPr="00F05C28">
        <w:rPr>
          <w:rFonts w:eastAsiaTheme="minorHAnsi"/>
          <w:i/>
          <w:iCs/>
        </w:rPr>
        <w:t>Journal of Higher Education, 76</w:t>
      </w:r>
      <w:r w:rsidRPr="00F05C28">
        <w:rPr>
          <w:rFonts w:eastAsiaTheme="minorHAnsi"/>
        </w:rPr>
        <w:t xml:space="preserve">(5), 486–518. </w:t>
      </w:r>
    </w:p>
    <w:p w14:paraId="4F8E254B" w14:textId="77777777" w:rsidR="00F05C28" w:rsidRPr="00F05C28" w:rsidRDefault="00F05C28" w:rsidP="00F05C28">
      <w:pPr>
        <w:spacing w:line="480" w:lineRule="auto"/>
        <w:ind w:left="720" w:hanging="720"/>
      </w:pPr>
      <w:r w:rsidRPr="00F05C28">
        <w:t xml:space="preserve">Pryor, J. H., Eagan, K., </w:t>
      </w:r>
      <w:proofErr w:type="spellStart"/>
      <w:r w:rsidRPr="00F05C28">
        <w:t>Palucki</w:t>
      </w:r>
      <w:proofErr w:type="spellEnd"/>
      <w:r w:rsidRPr="00F05C28">
        <w:t xml:space="preserve"> Blake, L., Hurtado, S., </w:t>
      </w:r>
      <w:proofErr w:type="spellStart"/>
      <w:r w:rsidRPr="00F05C28">
        <w:t>Berdan</w:t>
      </w:r>
      <w:proofErr w:type="spellEnd"/>
      <w:r w:rsidRPr="00F05C28">
        <w:t xml:space="preserve">, J., &amp; Case, M. H. (2012). </w:t>
      </w:r>
      <w:r w:rsidRPr="00F05C28">
        <w:rPr>
          <w:i/>
          <w:iCs/>
        </w:rPr>
        <w:t>The American freshman: National norms fall 2012</w:t>
      </w:r>
      <w:r w:rsidRPr="00F05C28">
        <w:t xml:space="preserve">. Los Angeles: Higher Education Research Institute, UCLA. </w:t>
      </w:r>
    </w:p>
    <w:p w14:paraId="1B399F04" w14:textId="77777777" w:rsidR="00F05C28" w:rsidRPr="00F05C28" w:rsidRDefault="00F05C28" w:rsidP="00F05C28">
      <w:pPr>
        <w:spacing w:line="480" w:lineRule="auto"/>
        <w:ind w:left="720" w:hanging="720"/>
        <w:contextualSpacing/>
      </w:pPr>
      <w:proofErr w:type="spellStart"/>
      <w:r w:rsidRPr="00F05C28">
        <w:lastRenderedPageBreak/>
        <w:t>Próspero</w:t>
      </w:r>
      <w:proofErr w:type="spellEnd"/>
      <w:r w:rsidRPr="00F05C28">
        <w:t>, M., &amp; Vohra-Gupta, S. (2007). First generation college students: Motivation, integration, and academic achievement. </w:t>
      </w:r>
      <w:r w:rsidRPr="00F05C28">
        <w:rPr>
          <w:i/>
        </w:rPr>
        <w:t>Community College Journal of Research and Practice, 31</w:t>
      </w:r>
      <w:r w:rsidRPr="00F05C28">
        <w:t>(12), 963-975.</w:t>
      </w:r>
    </w:p>
    <w:p w14:paraId="0C961E18" w14:textId="77777777" w:rsidR="00F05C28" w:rsidRPr="00F05C28" w:rsidRDefault="00F05C28" w:rsidP="00F05C28">
      <w:pPr>
        <w:spacing w:line="480" w:lineRule="auto"/>
        <w:ind w:left="720" w:hanging="720"/>
        <w:contextualSpacing/>
      </w:pPr>
      <w:r w:rsidRPr="00F05C28">
        <w:t>Reason, R. D. (2009). An examination of persistence research through the lens of a comprehensive conceptual framework. </w:t>
      </w:r>
      <w:r w:rsidRPr="00F05C28">
        <w:rPr>
          <w:i/>
        </w:rPr>
        <w:t>Journal of College Student Development, 50</w:t>
      </w:r>
      <w:r w:rsidRPr="00F05C28">
        <w:t>(6), 659-682.</w:t>
      </w:r>
    </w:p>
    <w:p w14:paraId="760D36B0" w14:textId="77777777" w:rsidR="00F05C28" w:rsidRPr="00F05C28" w:rsidRDefault="00F05C28" w:rsidP="00F05C28">
      <w:pPr>
        <w:spacing w:line="480" w:lineRule="auto"/>
        <w:ind w:left="720" w:hanging="720"/>
        <w:contextualSpacing/>
      </w:pPr>
      <w:r w:rsidRPr="00F05C28">
        <w:t>Reid, K. W. (2013). Understanding the relationships among racial identity, self-efficacy, institutional integration and academic achievement of Black males attending research universities. </w:t>
      </w:r>
      <w:r w:rsidRPr="00F05C28">
        <w:rPr>
          <w:i/>
        </w:rPr>
        <w:t>The Journal of Negro Education, 82</w:t>
      </w:r>
      <w:r w:rsidRPr="00F05C28">
        <w:t>(1), 75-93.</w:t>
      </w:r>
    </w:p>
    <w:p w14:paraId="73F7F213" w14:textId="77777777" w:rsidR="00F05C28" w:rsidRPr="00F05C28" w:rsidRDefault="00F05C28" w:rsidP="00F05C28">
      <w:pPr>
        <w:spacing w:line="480" w:lineRule="auto"/>
        <w:ind w:left="720" w:hanging="720"/>
        <w:contextualSpacing/>
      </w:pPr>
      <w:r w:rsidRPr="00F05C28">
        <w:t>Rendon, L. I. (1994). Validating culturally diverse students: Toward a new model of learning and student development. </w:t>
      </w:r>
      <w:r w:rsidRPr="00F05C28">
        <w:rPr>
          <w:i/>
        </w:rPr>
        <w:t>Innovative Higher Education, 19</w:t>
      </w:r>
      <w:r w:rsidRPr="00F05C28">
        <w:t>(1), 33-51.</w:t>
      </w:r>
    </w:p>
    <w:p w14:paraId="0A0EB1BA" w14:textId="77777777" w:rsidR="00F05C28" w:rsidRPr="00F05C28" w:rsidRDefault="00F05C28" w:rsidP="00F05C28">
      <w:pPr>
        <w:spacing w:line="480" w:lineRule="auto"/>
        <w:ind w:left="720" w:hanging="720"/>
        <w:contextualSpacing/>
      </w:pPr>
      <w:proofErr w:type="spellStart"/>
      <w:r w:rsidRPr="00F05C28">
        <w:t>Rendón</w:t>
      </w:r>
      <w:proofErr w:type="spellEnd"/>
      <w:r w:rsidRPr="00F05C28">
        <w:t xml:space="preserve">, L. I., </w:t>
      </w:r>
      <w:proofErr w:type="spellStart"/>
      <w:r w:rsidRPr="00F05C28">
        <w:t>Jalomo</w:t>
      </w:r>
      <w:proofErr w:type="spellEnd"/>
      <w:r w:rsidRPr="00F05C28">
        <w:t>, R. E., &amp; Nora, A. (2000). Theoretical considerations in the study of minority student retention in higher education. In J. M. Braxton (Ed.) Reworking the student departure puzzle (pp.127-156). Nashville, TN: Vanderbilt University Press.</w:t>
      </w:r>
    </w:p>
    <w:p w14:paraId="70C4D28E" w14:textId="77777777" w:rsidR="00F05C28" w:rsidRPr="00F05C28" w:rsidRDefault="00F05C28" w:rsidP="00F05C28">
      <w:pPr>
        <w:spacing w:line="480" w:lineRule="auto"/>
        <w:ind w:left="720" w:hanging="720"/>
        <w:contextualSpacing/>
      </w:pPr>
      <w:r w:rsidRPr="00F05C28">
        <w:t xml:space="preserve">Riddell, W. C., &amp; Song, X. (2011). The impact of education on unemployment incidence and re-employment success: Evidence from the US </w:t>
      </w:r>
      <w:proofErr w:type="spellStart"/>
      <w:r w:rsidRPr="00F05C28">
        <w:t>labour</w:t>
      </w:r>
      <w:proofErr w:type="spellEnd"/>
      <w:r w:rsidRPr="00F05C28">
        <w:t xml:space="preserve"> market. </w:t>
      </w:r>
      <w:proofErr w:type="spellStart"/>
      <w:r w:rsidRPr="00F05C28">
        <w:rPr>
          <w:i/>
        </w:rPr>
        <w:t>Labour</w:t>
      </w:r>
      <w:proofErr w:type="spellEnd"/>
      <w:r w:rsidRPr="00F05C28">
        <w:rPr>
          <w:i/>
        </w:rPr>
        <w:t xml:space="preserve"> Economics, 18</w:t>
      </w:r>
      <w:r w:rsidRPr="00F05C28">
        <w:t>(4), 453-463.</w:t>
      </w:r>
    </w:p>
    <w:p w14:paraId="49CE954F" w14:textId="77777777" w:rsidR="00F05C28" w:rsidRPr="00F05C28" w:rsidRDefault="00F05C28" w:rsidP="00F05C28">
      <w:pPr>
        <w:spacing w:line="480" w:lineRule="auto"/>
        <w:ind w:left="720" w:hanging="720"/>
        <w:contextualSpacing/>
      </w:pPr>
      <w:proofErr w:type="spellStart"/>
      <w:r w:rsidRPr="00F05C28">
        <w:t>Rienties</w:t>
      </w:r>
      <w:proofErr w:type="spellEnd"/>
      <w:r w:rsidRPr="00F05C28">
        <w:t xml:space="preserve">, B., </w:t>
      </w:r>
      <w:proofErr w:type="spellStart"/>
      <w:r w:rsidRPr="00F05C28">
        <w:t>Beausaert</w:t>
      </w:r>
      <w:proofErr w:type="spellEnd"/>
      <w:r w:rsidRPr="00F05C28">
        <w:t xml:space="preserve">, S., </w:t>
      </w:r>
      <w:proofErr w:type="spellStart"/>
      <w:r w:rsidRPr="00F05C28">
        <w:t>Grohnert</w:t>
      </w:r>
      <w:proofErr w:type="spellEnd"/>
      <w:r w:rsidRPr="00F05C28">
        <w:t xml:space="preserve">, T., </w:t>
      </w:r>
      <w:proofErr w:type="spellStart"/>
      <w:r w:rsidRPr="00F05C28">
        <w:t>Niemantsverdriet</w:t>
      </w:r>
      <w:proofErr w:type="spellEnd"/>
      <w:r w:rsidRPr="00F05C28">
        <w:t xml:space="preserve">, S., &amp; </w:t>
      </w:r>
      <w:proofErr w:type="spellStart"/>
      <w:r w:rsidRPr="00F05C28">
        <w:t>Kommers</w:t>
      </w:r>
      <w:proofErr w:type="spellEnd"/>
      <w:r w:rsidRPr="00F05C28">
        <w:t>, P. (2012). Understanding academic performance of international students: the role of ethnicity, academic and social integration. </w:t>
      </w:r>
      <w:r w:rsidRPr="00F05C28">
        <w:rPr>
          <w:i/>
        </w:rPr>
        <w:t>Higher Education, 63</w:t>
      </w:r>
      <w:r w:rsidRPr="00F05C28">
        <w:t>(6), 685-700.</w:t>
      </w:r>
    </w:p>
    <w:p w14:paraId="1542DE21" w14:textId="77777777" w:rsidR="00F05C28" w:rsidRPr="00F05C28" w:rsidRDefault="00F05C28" w:rsidP="00F05C28">
      <w:pPr>
        <w:spacing w:line="480" w:lineRule="auto"/>
        <w:ind w:left="720" w:hanging="720"/>
      </w:pPr>
      <w:proofErr w:type="spellStart"/>
      <w:r w:rsidRPr="00F05C28">
        <w:rPr>
          <w:color w:val="222222"/>
          <w:shd w:val="clear" w:color="auto" w:fill="FFFFFF"/>
        </w:rPr>
        <w:t>Schudde</w:t>
      </w:r>
      <w:proofErr w:type="spellEnd"/>
      <w:r w:rsidRPr="00F05C28">
        <w:rPr>
          <w:color w:val="222222"/>
          <w:shd w:val="clear" w:color="auto" w:fill="FFFFFF"/>
        </w:rPr>
        <w:t>, L. T. (2011). The causal effect of campus residency on college student retention. </w:t>
      </w:r>
      <w:r w:rsidRPr="00F05C28">
        <w:rPr>
          <w:i/>
          <w:iCs/>
          <w:color w:val="222222"/>
          <w:shd w:val="clear" w:color="auto" w:fill="FFFFFF"/>
        </w:rPr>
        <w:t>The Review of Higher Education</w:t>
      </w:r>
      <w:r w:rsidRPr="00F05C28">
        <w:rPr>
          <w:color w:val="222222"/>
          <w:shd w:val="clear" w:color="auto" w:fill="FFFFFF"/>
        </w:rPr>
        <w:t>, </w:t>
      </w:r>
      <w:r w:rsidRPr="00F05C28">
        <w:rPr>
          <w:i/>
          <w:iCs/>
          <w:color w:val="222222"/>
          <w:shd w:val="clear" w:color="auto" w:fill="FFFFFF"/>
        </w:rPr>
        <w:t>34</w:t>
      </w:r>
      <w:r w:rsidRPr="00F05C28">
        <w:rPr>
          <w:color w:val="222222"/>
          <w:shd w:val="clear" w:color="auto" w:fill="FFFFFF"/>
        </w:rPr>
        <w:t>(4), 581-610.</w:t>
      </w:r>
    </w:p>
    <w:p w14:paraId="41505714" w14:textId="77777777" w:rsidR="00F05C28" w:rsidRPr="00F05C28" w:rsidRDefault="00F05C28" w:rsidP="00F05C28">
      <w:pPr>
        <w:spacing w:line="480" w:lineRule="auto"/>
        <w:ind w:left="720" w:hanging="720"/>
        <w:contextualSpacing/>
      </w:pPr>
      <w:proofErr w:type="spellStart"/>
      <w:r w:rsidRPr="00F05C28">
        <w:lastRenderedPageBreak/>
        <w:t>Severiens</w:t>
      </w:r>
      <w:proofErr w:type="spellEnd"/>
      <w:r w:rsidRPr="00F05C28">
        <w:t xml:space="preserve">, S. E., &amp; Schmidt, H. G. (2009). Academic and social integration and study progress in </w:t>
      </w:r>
      <w:proofErr w:type="gramStart"/>
      <w:r w:rsidRPr="00F05C28">
        <w:t>problem based</w:t>
      </w:r>
      <w:proofErr w:type="gramEnd"/>
      <w:r w:rsidRPr="00F05C28">
        <w:t xml:space="preserve"> learning. </w:t>
      </w:r>
      <w:r w:rsidRPr="00F05C28">
        <w:rPr>
          <w:i/>
        </w:rPr>
        <w:t>Higher Education, 58</w:t>
      </w:r>
      <w:r w:rsidRPr="00F05C28">
        <w:t>(1), 59.</w:t>
      </w:r>
    </w:p>
    <w:p w14:paraId="422971DB" w14:textId="77777777" w:rsidR="00F05C28" w:rsidRPr="00F05C28" w:rsidRDefault="00F05C28" w:rsidP="00F05C28">
      <w:pPr>
        <w:spacing w:line="480" w:lineRule="auto"/>
        <w:ind w:left="720" w:hanging="720"/>
        <w:contextualSpacing/>
      </w:pPr>
      <w:proofErr w:type="spellStart"/>
      <w:r w:rsidRPr="00F05C28">
        <w:t>Severiens</w:t>
      </w:r>
      <w:proofErr w:type="spellEnd"/>
      <w:r w:rsidRPr="00F05C28">
        <w:t>, S., &amp; Wolff, R. (2008). A comparison of ethnic minority and majority students: Social and academic integration, and quality of learning. </w:t>
      </w:r>
      <w:r w:rsidRPr="00F05C28">
        <w:rPr>
          <w:i/>
        </w:rPr>
        <w:t>Studies in Higher Education, 33</w:t>
      </w:r>
      <w:r w:rsidRPr="00F05C28">
        <w:t>(3), 253-266.</w:t>
      </w:r>
    </w:p>
    <w:p w14:paraId="4B01C55C" w14:textId="77777777" w:rsidR="00F05C28" w:rsidRPr="00F05C28" w:rsidRDefault="00F05C28" w:rsidP="00F05C28">
      <w:pPr>
        <w:spacing w:line="480" w:lineRule="auto"/>
        <w:ind w:left="720" w:hanging="720"/>
        <w:contextualSpacing/>
      </w:pPr>
      <w:r w:rsidRPr="00F05C28">
        <w:t xml:space="preserve">Shapiro, D., </w:t>
      </w:r>
      <w:proofErr w:type="spellStart"/>
      <w:r w:rsidRPr="00F05C28">
        <w:t>Dundar</w:t>
      </w:r>
      <w:proofErr w:type="spellEnd"/>
      <w:r w:rsidRPr="00F05C28">
        <w:t xml:space="preserve">, A., </w:t>
      </w:r>
      <w:proofErr w:type="spellStart"/>
      <w:r w:rsidRPr="00F05C28">
        <w:t>Huie</w:t>
      </w:r>
      <w:proofErr w:type="spellEnd"/>
      <w:r w:rsidRPr="00F05C28">
        <w:t xml:space="preserve">, F., </w:t>
      </w:r>
      <w:proofErr w:type="spellStart"/>
      <w:r w:rsidRPr="00F05C28">
        <w:t>Wakhungu</w:t>
      </w:r>
      <w:proofErr w:type="spellEnd"/>
      <w:r w:rsidRPr="00F05C28">
        <w:t>, P. K., Yuan, X., Nathan, A., &amp; Hwang, Y. (2017). A National View of Student Attainment Rates by Race and Ethnicity--Fall 2010 Cohort (Signature Report No. 12b). Herndon, VA: National Student Clearinghouse.</w:t>
      </w:r>
    </w:p>
    <w:p w14:paraId="1DFD3C5B" w14:textId="77777777" w:rsidR="00F05C28" w:rsidRPr="00F05C28" w:rsidRDefault="00F05C28" w:rsidP="00F05C28">
      <w:pPr>
        <w:spacing w:after="160" w:line="480" w:lineRule="auto"/>
        <w:ind w:left="720" w:hanging="720"/>
      </w:pPr>
      <w:r w:rsidRPr="00F05C28">
        <w:t xml:space="preserve">Shapiro, D., </w:t>
      </w:r>
      <w:proofErr w:type="spellStart"/>
      <w:r w:rsidRPr="00F05C28">
        <w:t>Dundar</w:t>
      </w:r>
      <w:proofErr w:type="spellEnd"/>
      <w:r w:rsidRPr="00F05C28">
        <w:t xml:space="preserve">, A., </w:t>
      </w:r>
      <w:proofErr w:type="spellStart"/>
      <w:r w:rsidRPr="00F05C28">
        <w:t>Huie</w:t>
      </w:r>
      <w:proofErr w:type="spellEnd"/>
      <w:r w:rsidRPr="00F05C28">
        <w:t xml:space="preserve">, F., </w:t>
      </w:r>
      <w:proofErr w:type="spellStart"/>
      <w:r w:rsidRPr="00F05C28">
        <w:t>Wakhungu</w:t>
      </w:r>
      <w:proofErr w:type="spellEnd"/>
      <w:r w:rsidRPr="00F05C28">
        <w:t xml:space="preserve">, P.K., </w:t>
      </w:r>
      <w:proofErr w:type="spellStart"/>
      <w:r w:rsidRPr="00F05C28">
        <w:t>Bhimdiwala</w:t>
      </w:r>
      <w:proofErr w:type="spellEnd"/>
      <w:r w:rsidRPr="00F05C28">
        <w:t>, A. &amp; Wilson, S. E. (2018, December). Completing College: A National View of Student Completion Rates – Fall 2012 Cohort (Signature Report No. 16). Herndon, VA: National Student Clearinghouse Research Center.</w:t>
      </w:r>
    </w:p>
    <w:p w14:paraId="1701320C" w14:textId="77777777" w:rsidR="00F05C28" w:rsidRPr="00F05C28" w:rsidRDefault="00F05C28" w:rsidP="00F05C28">
      <w:pPr>
        <w:spacing w:line="480" w:lineRule="auto"/>
        <w:ind w:left="720" w:hanging="720"/>
        <w:contextualSpacing/>
      </w:pPr>
      <w:r w:rsidRPr="00F05C28">
        <w:t>Shinde, G. S. (2010). The relationship between students' responses on the national survey of student engagement (NSSE) and retention. </w:t>
      </w:r>
      <w:r w:rsidRPr="00F05C28">
        <w:rPr>
          <w:i/>
        </w:rPr>
        <w:t>Review of Higher Education &amp; Self-Learning, 3</w:t>
      </w:r>
      <w:r w:rsidRPr="00F05C28">
        <w:t>(7), 56-67.</w:t>
      </w:r>
    </w:p>
    <w:p w14:paraId="23E9B8AC" w14:textId="77777777" w:rsidR="00F05C28" w:rsidRPr="00F05C28" w:rsidRDefault="00F05C28" w:rsidP="00F05C28">
      <w:pPr>
        <w:spacing w:line="480" w:lineRule="auto"/>
        <w:ind w:left="720" w:hanging="720"/>
        <w:contextualSpacing/>
      </w:pPr>
      <w:r w:rsidRPr="00F05C28">
        <w:t xml:space="preserve">Snyder, T.D., de Brey, C., and </w:t>
      </w:r>
      <w:proofErr w:type="spellStart"/>
      <w:r w:rsidRPr="00F05C28">
        <w:t>Dillow</w:t>
      </w:r>
      <w:proofErr w:type="spellEnd"/>
      <w:r w:rsidRPr="00F05C28">
        <w:t>, S.A. (2016). Digest of Education Statistics 2015 (NCES 2016-014). National Center for Education Statistics, Institute of Education Sciences, U.S. Department of Education. Washington, DC.</w:t>
      </w:r>
    </w:p>
    <w:p w14:paraId="585E6ECE" w14:textId="77777777" w:rsidR="00F05C28" w:rsidRPr="00F05C28" w:rsidRDefault="00F05C28" w:rsidP="00F05C28">
      <w:pPr>
        <w:spacing w:line="480" w:lineRule="auto"/>
        <w:ind w:left="720" w:hanging="720"/>
        <w:contextualSpacing/>
      </w:pPr>
      <w:r w:rsidRPr="00F05C28">
        <w:t xml:space="preserve">Snyder, T.D., de Brey, C., and </w:t>
      </w:r>
      <w:proofErr w:type="spellStart"/>
      <w:r w:rsidRPr="00F05C28">
        <w:t>Dillow</w:t>
      </w:r>
      <w:proofErr w:type="spellEnd"/>
      <w:r w:rsidRPr="00F05C28">
        <w:t>, S.A. (2019). Digest of Education Statistics 2017 (NCES 2018-070). National Center for Education Statistics, Institute of Education Sciences, U.S. Department of Education. Washington, DC.</w:t>
      </w:r>
    </w:p>
    <w:p w14:paraId="39CDCA40" w14:textId="77777777" w:rsidR="00F05C28" w:rsidRPr="00F05C28" w:rsidRDefault="00F05C28" w:rsidP="00F05C28">
      <w:pPr>
        <w:spacing w:after="160" w:line="480" w:lineRule="auto"/>
        <w:ind w:left="720" w:hanging="720"/>
        <w:rPr>
          <w:rFonts w:eastAsiaTheme="minorHAnsi"/>
        </w:rPr>
      </w:pPr>
      <w:r w:rsidRPr="00F05C28">
        <w:rPr>
          <w:rFonts w:eastAsiaTheme="minorHAnsi"/>
        </w:rPr>
        <w:t xml:space="preserve">Soria, K. M., &amp; </w:t>
      </w:r>
      <w:proofErr w:type="spellStart"/>
      <w:r w:rsidRPr="00F05C28">
        <w:rPr>
          <w:rFonts w:eastAsiaTheme="minorHAnsi"/>
        </w:rPr>
        <w:t>Stebleton</w:t>
      </w:r>
      <w:proofErr w:type="spellEnd"/>
      <w:r w:rsidRPr="00F05C28">
        <w:rPr>
          <w:rFonts w:eastAsiaTheme="minorHAnsi"/>
        </w:rPr>
        <w:t>, M. J. (2012). First-generation students' academic engagement and retention. </w:t>
      </w:r>
      <w:r w:rsidRPr="00F05C28">
        <w:rPr>
          <w:rFonts w:eastAsiaTheme="minorHAnsi"/>
          <w:i/>
          <w:iCs/>
        </w:rPr>
        <w:t>Teaching in Higher Education, 17</w:t>
      </w:r>
      <w:r w:rsidRPr="00F05C28">
        <w:rPr>
          <w:rFonts w:eastAsiaTheme="minorHAnsi"/>
        </w:rPr>
        <w:t>(6), 673-685.</w:t>
      </w:r>
    </w:p>
    <w:p w14:paraId="26D4C4EE" w14:textId="77777777" w:rsidR="00F05C28" w:rsidRPr="00F05C28" w:rsidRDefault="00F05C28" w:rsidP="00F05C28">
      <w:pPr>
        <w:spacing w:line="480" w:lineRule="auto"/>
        <w:ind w:left="720" w:hanging="720"/>
        <w:contextualSpacing/>
      </w:pPr>
      <w:r w:rsidRPr="00F05C28">
        <w:lastRenderedPageBreak/>
        <w:t>Stage, F. K. (1989). Reciprocal effects between the academic and social integration of college students. </w:t>
      </w:r>
      <w:r w:rsidRPr="00F05C28">
        <w:rPr>
          <w:i/>
        </w:rPr>
        <w:t>Research in Higher Education, 30</w:t>
      </w:r>
      <w:r w:rsidRPr="00F05C28">
        <w:t>(5), 517-530.</w:t>
      </w:r>
    </w:p>
    <w:p w14:paraId="4B93A378" w14:textId="77777777" w:rsidR="00F05C28" w:rsidRPr="00F05C28" w:rsidRDefault="00F05C28" w:rsidP="00F05C28">
      <w:pPr>
        <w:spacing w:line="480" w:lineRule="auto"/>
        <w:ind w:left="720" w:hanging="720"/>
        <w:contextualSpacing/>
      </w:pPr>
      <w:r w:rsidRPr="00F05C28">
        <w:t xml:space="preserve">Strayhorn, T. L. (2008). </w:t>
      </w:r>
      <w:proofErr w:type="spellStart"/>
      <w:r w:rsidRPr="00F05C28">
        <w:t>Sentido</w:t>
      </w:r>
      <w:proofErr w:type="spellEnd"/>
      <w:r w:rsidRPr="00F05C28">
        <w:t xml:space="preserve"> de </w:t>
      </w:r>
      <w:proofErr w:type="spellStart"/>
      <w:r w:rsidRPr="00F05C28">
        <w:t>Pertenencia</w:t>
      </w:r>
      <w:proofErr w:type="spellEnd"/>
      <w:r w:rsidRPr="00F05C28">
        <w:t xml:space="preserve"> A Hierarchical Analysis Predicting Sense of Belonging Among Latino College Students. </w:t>
      </w:r>
      <w:r w:rsidRPr="00F05C28">
        <w:rPr>
          <w:i/>
        </w:rPr>
        <w:t>Journal of Hispanic Higher Education, 7</w:t>
      </w:r>
      <w:r w:rsidRPr="00F05C28">
        <w:t>(4), 301-320.</w:t>
      </w:r>
    </w:p>
    <w:p w14:paraId="79F31798" w14:textId="77777777" w:rsidR="00F05C28" w:rsidRPr="00F05C28" w:rsidRDefault="00F05C28" w:rsidP="00F05C28">
      <w:pPr>
        <w:spacing w:line="480" w:lineRule="auto"/>
        <w:ind w:left="720" w:hanging="720"/>
        <w:contextualSpacing/>
      </w:pPr>
      <w:r w:rsidRPr="00F05C28">
        <w:t>Strayhorn, T. L. (2010). When race and gender collide: Social and cultural capital's influence on the academic achievement of African American and Latino males. </w:t>
      </w:r>
      <w:r w:rsidRPr="00F05C28">
        <w:rPr>
          <w:i/>
        </w:rPr>
        <w:t>The Review of Higher Education, 33</w:t>
      </w:r>
      <w:r w:rsidRPr="00F05C28">
        <w:t>(3), 307-332.</w:t>
      </w:r>
    </w:p>
    <w:p w14:paraId="7DDD1CB9" w14:textId="77777777" w:rsidR="00F05C28" w:rsidRPr="00F05C28" w:rsidRDefault="00F05C28" w:rsidP="00F05C28">
      <w:pPr>
        <w:spacing w:line="480" w:lineRule="auto"/>
        <w:ind w:left="720" w:hanging="720"/>
        <w:contextualSpacing/>
      </w:pPr>
      <w:r w:rsidRPr="00F05C28">
        <w:t>Strayhorn, T. L. (2012). College students' sense of belonging: A key to educational success for all students. New York, NY: Routledge.</w:t>
      </w:r>
    </w:p>
    <w:p w14:paraId="26A3E4D0" w14:textId="77777777" w:rsidR="00F05C28" w:rsidRPr="00F05C28" w:rsidRDefault="00F05C28" w:rsidP="00F05C28">
      <w:pPr>
        <w:spacing w:line="480" w:lineRule="auto"/>
        <w:ind w:left="720" w:hanging="720"/>
        <w:contextualSpacing/>
      </w:pPr>
      <w:proofErr w:type="spellStart"/>
      <w:r w:rsidRPr="00F05C28">
        <w:t>Swail</w:t>
      </w:r>
      <w:proofErr w:type="spellEnd"/>
      <w:r w:rsidRPr="00F05C28">
        <w:t>, W. S. (2004). The art of student retention: A handbook for practitioners and administrators. In Educational Policy Institute. Texas Higher Education Coordinating Board 20th Annual Recruitment and Retention Conference Austin, TX (Vol. 21, No. 877, pp. 1-39).</w:t>
      </w:r>
    </w:p>
    <w:p w14:paraId="788DBFEC" w14:textId="77777777" w:rsidR="00F05C28" w:rsidRPr="00F05C28" w:rsidRDefault="00F05C28" w:rsidP="00F05C28">
      <w:pPr>
        <w:spacing w:line="480" w:lineRule="auto"/>
        <w:ind w:left="720" w:hanging="720"/>
        <w:contextualSpacing/>
      </w:pPr>
      <w:proofErr w:type="spellStart"/>
      <w:r w:rsidRPr="00F05C28">
        <w:t>Swail</w:t>
      </w:r>
      <w:proofErr w:type="spellEnd"/>
      <w:r w:rsidRPr="00F05C28">
        <w:t xml:space="preserve">, W. S., Redd, K. E., &amp; </w:t>
      </w:r>
      <w:proofErr w:type="spellStart"/>
      <w:r w:rsidRPr="00F05C28">
        <w:t>Perna</w:t>
      </w:r>
      <w:proofErr w:type="spellEnd"/>
      <w:r w:rsidRPr="00F05C28">
        <w:t xml:space="preserve">, L. W. (2003). Retaining minority students in higher education. </w:t>
      </w:r>
      <w:r w:rsidRPr="00F05C28">
        <w:rPr>
          <w:i/>
        </w:rPr>
        <w:t>ASHE-ERIC Higher Education Report, 30</w:t>
      </w:r>
      <w:r w:rsidRPr="00F05C28">
        <w:t>(2), 1–187.</w:t>
      </w:r>
    </w:p>
    <w:p w14:paraId="7108C20F" w14:textId="77777777" w:rsidR="00F05C28" w:rsidRPr="00F05C28" w:rsidRDefault="00F05C28" w:rsidP="00F05C28">
      <w:pPr>
        <w:spacing w:line="480" w:lineRule="auto"/>
        <w:ind w:left="720" w:hanging="720"/>
        <w:contextualSpacing/>
      </w:pPr>
      <w:proofErr w:type="spellStart"/>
      <w:r w:rsidRPr="00F05C28">
        <w:t>Terenzini</w:t>
      </w:r>
      <w:proofErr w:type="spellEnd"/>
      <w:r w:rsidRPr="00F05C28">
        <w:t xml:space="preserve">, P. T., &amp; Pascarella, E. T. (1998). Studying college students in the 21st century: Meeting new challenges. </w:t>
      </w:r>
      <w:r w:rsidRPr="00F05C28">
        <w:rPr>
          <w:i/>
        </w:rPr>
        <w:t>The Review of Higher Education, 21</w:t>
      </w:r>
      <w:r w:rsidRPr="00F05C28">
        <w:t>(2), 151-165.</w:t>
      </w:r>
    </w:p>
    <w:p w14:paraId="7809A711" w14:textId="77777777" w:rsidR="00F05C28" w:rsidRPr="00F05C28" w:rsidRDefault="00F05C28" w:rsidP="00F05C28">
      <w:pPr>
        <w:spacing w:line="480" w:lineRule="auto"/>
        <w:ind w:left="720" w:hanging="720"/>
        <w:contextualSpacing/>
      </w:pPr>
      <w:proofErr w:type="spellStart"/>
      <w:r w:rsidRPr="00F05C28">
        <w:t>Terenzini</w:t>
      </w:r>
      <w:proofErr w:type="spellEnd"/>
      <w:r w:rsidRPr="00F05C28">
        <w:t xml:space="preserve">, P. T., Pascarella, E. T., </w:t>
      </w:r>
      <w:proofErr w:type="spellStart"/>
      <w:r w:rsidRPr="00F05C28">
        <w:t>Theophilides</w:t>
      </w:r>
      <w:proofErr w:type="spellEnd"/>
      <w:r w:rsidRPr="00F05C28">
        <w:t xml:space="preserve">, C., &amp; </w:t>
      </w:r>
      <w:proofErr w:type="spellStart"/>
      <w:r w:rsidRPr="00F05C28">
        <w:t>Lorang</w:t>
      </w:r>
      <w:proofErr w:type="spellEnd"/>
      <w:r w:rsidRPr="00F05C28">
        <w:t>, W. G. (1985). A replication of a path analytic validation of Tinto's theory of college student attrition. </w:t>
      </w:r>
      <w:r w:rsidRPr="00F05C28">
        <w:rPr>
          <w:i/>
        </w:rPr>
        <w:t>The Review of Higher Education, 8</w:t>
      </w:r>
      <w:r w:rsidRPr="00F05C28">
        <w:t>(4), 319-340.</w:t>
      </w:r>
    </w:p>
    <w:p w14:paraId="255B2D7D" w14:textId="77777777" w:rsidR="00F05C28" w:rsidRPr="00F05C28" w:rsidRDefault="00F05C28" w:rsidP="00F05C28">
      <w:pPr>
        <w:spacing w:line="480" w:lineRule="auto"/>
        <w:ind w:left="720" w:hanging="720"/>
        <w:contextualSpacing/>
      </w:pPr>
    </w:p>
    <w:p w14:paraId="35ECE70F" w14:textId="77777777" w:rsidR="00F05C28" w:rsidRPr="00F05C28" w:rsidRDefault="00F05C28" w:rsidP="00F05C28">
      <w:pPr>
        <w:spacing w:line="480" w:lineRule="auto"/>
        <w:ind w:left="720" w:hanging="720"/>
        <w:contextualSpacing/>
      </w:pPr>
      <w:r w:rsidRPr="00F05C28">
        <w:lastRenderedPageBreak/>
        <w:t xml:space="preserve">Thomas Jr, J. C., Wolters, C., Horn, C., &amp; Kennedy, H. (2014). Examining relevant influences on the persistence of </w:t>
      </w:r>
      <w:proofErr w:type="gramStart"/>
      <w:r w:rsidRPr="00F05C28">
        <w:t>African-American</w:t>
      </w:r>
      <w:proofErr w:type="gramEnd"/>
      <w:r w:rsidRPr="00F05C28">
        <w:t xml:space="preserve"> college students at a diverse urban university. </w:t>
      </w:r>
      <w:r w:rsidRPr="00F05C28">
        <w:rPr>
          <w:i/>
        </w:rPr>
        <w:t>Journal of College Student Retention: Research, Theory &amp; Practice, 15</w:t>
      </w:r>
      <w:r w:rsidRPr="00F05C28">
        <w:t>(4), 551-573.</w:t>
      </w:r>
    </w:p>
    <w:p w14:paraId="5C68EB56" w14:textId="77777777" w:rsidR="00F05C28" w:rsidRPr="00F05C28" w:rsidRDefault="00F05C28" w:rsidP="00F05C28">
      <w:pPr>
        <w:spacing w:line="480" w:lineRule="auto"/>
        <w:ind w:left="720" w:hanging="720"/>
        <w:contextualSpacing/>
      </w:pPr>
      <w:r w:rsidRPr="00F05C28">
        <w:t>Tierney, W. G. (1992). An anthropological analysis of student participation in college. </w:t>
      </w:r>
      <w:r w:rsidRPr="00F05C28">
        <w:rPr>
          <w:i/>
        </w:rPr>
        <w:t>The Journal of Higher Education, 63</w:t>
      </w:r>
      <w:r w:rsidRPr="00F05C28">
        <w:t>(6), 603-618.</w:t>
      </w:r>
    </w:p>
    <w:p w14:paraId="4019279F" w14:textId="77777777" w:rsidR="00F05C28" w:rsidRPr="00F05C28" w:rsidRDefault="00F05C28" w:rsidP="00F05C28">
      <w:pPr>
        <w:spacing w:line="480" w:lineRule="auto"/>
        <w:ind w:left="720" w:hanging="720"/>
        <w:contextualSpacing/>
      </w:pPr>
      <w:r w:rsidRPr="00F05C28">
        <w:t>Tierney, W. G. (1999). Models of minority college-going and retention: Cultural integrity versus cultural suicide. </w:t>
      </w:r>
      <w:r w:rsidRPr="00F05C28">
        <w:rPr>
          <w:i/>
        </w:rPr>
        <w:t>Journal of Negro Education 68</w:t>
      </w:r>
      <w:r w:rsidRPr="00F05C28">
        <w:t>(1), 80-91.</w:t>
      </w:r>
    </w:p>
    <w:p w14:paraId="2011CF63" w14:textId="77777777" w:rsidR="00F05C28" w:rsidRPr="00F05C28" w:rsidRDefault="00F05C28" w:rsidP="00F05C28">
      <w:pPr>
        <w:spacing w:line="480" w:lineRule="auto"/>
        <w:ind w:left="720" w:hanging="720"/>
        <w:contextualSpacing/>
      </w:pPr>
      <w:r w:rsidRPr="00F05C28">
        <w:t>Tinto, V. (1975). Dropout from higher education: A theoretical synthesis of recent research. </w:t>
      </w:r>
      <w:r w:rsidRPr="00F05C28">
        <w:rPr>
          <w:i/>
        </w:rPr>
        <w:t xml:space="preserve">Review of Educational Research, </w:t>
      </w:r>
      <w:r w:rsidRPr="00F05C28">
        <w:t>89-125."</w:t>
      </w:r>
    </w:p>
    <w:p w14:paraId="664DCD86" w14:textId="77777777" w:rsidR="00F05C28" w:rsidRPr="00F05C28" w:rsidRDefault="00F05C28" w:rsidP="00F05C28">
      <w:pPr>
        <w:spacing w:line="480" w:lineRule="auto"/>
        <w:ind w:left="720" w:hanging="720"/>
        <w:contextualSpacing/>
      </w:pPr>
      <w:r w:rsidRPr="00F05C28">
        <w:t xml:space="preserve">Tinto, V. (1993). Leaving college: Rethinking the causes and cures of student attrition (2nd ed.). Chicago, IL: The University of Chicago Press. </w:t>
      </w:r>
    </w:p>
    <w:p w14:paraId="51D26F3C" w14:textId="77777777" w:rsidR="00F05C28" w:rsidRPr="00F05C28" w:rsidRDefault="00F05C28" w:rsidP="00F05C28">
      <w:pPr>
        <w:spacing w:line="480" w:lineRule="auto"/>
        <w:ind w:left="720" w:hanging="720"/>
        <w:contextualSpacing/>
      </w:pPr>
      <w:r w:rsidRPr="00F05C28">
        <w:t xml:space="preserve">Tinto, V. (1998). Colleges as communities: Taking research on student persistence seriously. </w:t>
      </w:r>
      <w:r w:rsidRPr="00F05C28">
        <w:rPr>
          <w:i/>
        </w:rPr>
        <w:t>The Review of Higher Education, 21</w:t>
      </w:r>
      <w:r w:rsidRPr="00F05C28">
        <w:t>(2), 167-177.</w:t>
      </w:r>
    </w:p>
    <w:p w14:paraId="11023DAC" w14:textId="77777777" w:rsidR="00F05C28" w:rsidRPr="00F05C28" w:rsidRDefault="00F05C28" w:rsidP="00F05C28">
      <w:pPr>
        <w:spacing w:line="480" w:lineRule="auto"/>
        <w:ind w:left="720" w:hanging="720"/>
        <w:contextualSpacing/>
      </w:pPr>
      <w:r w:rsidRPr="00F05C28">
        <w:t xml:space="preserve">Tinto, V. (2006). Research and practice of student retention: what </w:t>
      </w:r>
      <w:proofErr w:type="gramStart"/>
      <w:r w:rsidRPr="00F05C28">
        <w:t>next?.</w:t>
      </w:r>
      <w:proofErr w:type="gramEnd"/>
      <w:r w:rsidRPr="00F05C28">
        <w:t xml:space="preserve">  </w:t>
      </w:r>
      <w:r w:rsidRPr="00F05C28">
        <w:rPr>
          <w:i/>
        </w:rPr>
        <w:t>Journal of College Student Retention: Research, Theory &amp; Practice, 8</w:t>
      </w:r>
      <w:r w:rsidRPr="00F05C28">
        <w:t>(1), 1-19.</w:t>
      </w:r>
    </w:p>
    <w:p w14:paraId="1E04A00A" w14:textId="77777777" w:rsidR="00F05C28" w:rsidRPr="00F05C28" w:rsidRDefault="00F05C28" w:rsidP="00F05C28">
      <w:pPr>
        <w:spacing w:line="480" w:lineRule="auto"/>
        <w:ind w:left="720" w:hanging="720"/>
        <w:contextualSpacing/>
      </w:pPr>
      <w:r w:rsidRPr="00F05C28">
        <w:t xml:space="preserve">Tinto V. (2010) From Theory to Action: Exploring the Institutional Conditions for Student Retention. In J. C. Smart (Ed.) </w:t>
      </w:r>
      <w:r w:rsidRPr="00F05C28">
        <w:rPr>
          <w:i/>
        </w:rPr>
        <w:t>Higher education: Handbook of theory and research</w:t>
      </w:r>
      <w:r w:rsidRPr="00F05C28">
        <w:t xml:space="preserve"> (pp. 51-89). Dordrecht, London: Springer.</w:t>
      </w:r>
    </w:p>
    <w:p w14:paraId="327C6E15" w14:textId="77777777" w:rsidR="00F05C28" w:rsidRPr="00F05C28" w:rsidRDefault="00F05C28" w:rsidP="00F05C28">
      <w:pPr>
        <w:spacing w:line="480" w:lineRule="auto"/>
        <w:ind w:left="720" w:hanging="720"/>
      </w:pPr>
      <w:r w:rsidRPr="00F05C28">
        <w:rPr>
          <w:rFonts w:eastAsiaTheme="minorHAnsi"/>
        </w:rPr>
        <w:t xml:space="preserve">Thayer, P. B. (2000). Retention of students from first generation and </w:t>
      </w:r>
      <w:r w:rsidRPr="00F05C28">
        <w:t>low-income</w:t>
      </w:r>
      <w:r w:rsidRPr="00F05C28">
        <w:rPr>
          <w:rFonts w:eastAsiaTheme="minorHAnsi"/>
        </w:rPr>
        <w:t xml:space="preserve"> backgrounds.</w:t>
      </w:r>
      <w:r w:rsidRPr="00F05C28">
        <w:t xml:space="preserve"> </w:t>
      </w:r>
      <w:r w:rsidRPr="00F05C28">
        <w:rPr>
          <w:i/>
          <w:iCs/>
        </w:rPr>
        <w:t>The Journal of the Council for Opportunity in Education</w:t>
      </w:r>
      <w:r w:rsidRPr="00F05C28">
        <w:t xml:space="preserve">, Washington, DC. </w:t>
      </w:r>
    </w:p>
    <w:p w14:paraId="6A97FC49" w14:textId="77777777" w:rsidR="00F05C28" w:rsidRPr="00F05C28" w:rsidRDefault="00F05C28" w:rsidP="00F05C28">
      <w:pPr>
        <w:spacing w:after="160" w:line="480" w:lineRule="auto"/>
        <w:ind w:left="720" w:hanging="720"/>
        <w:rPr>
          <w:rFonts w:eastAsiaTheme="minorHAnsi"/>
        </w:rPr>
      </w:pPr>
      <w:r w:rsidRPr="00F05C28">
        <w:rPr>
          <w:rFonts w:eastAsiaTheme="minorHAnsi"/>
        </w:rPr>
        <w:t xml:space="preserve">Walpole, M. B. (2007). Economically and educationally challenged students in higher education: Access to outcomes. </w:t>
      </w:r>
      <w:r w:rsidRPr="00F05C28">
        <w:rPr>
          <w:rFonts w:eastAsiaTheme="minorHAnsi"/>
          <w:i/>
          <w:iCs/>
        </w:rPr>
        <w:t>ASHE-Higher Education Report Series, 33</w:t>
      </w:r>
      <w:r w:rsidRPr="00F05C28">
        <w:rPr>
          <w:rFonts w:eastAsiaTheme="minorHAnsi"/>
        </w:rPr>
        <w:t xml:space="preserve">(3), 1–113. </w:t>
      </w:r>
    </w:p>
    <w:p w14:paraId="63B6627F" w14:textId="77777777" w:rsidR="00F05C28" w:rsidRPr="00F05C28" w:rsidRDefault="00F05C28" w:rsidP="00F05C28">
      <w:pPr>
        <w:spacing w:line="480" w:lineRule="auto"/>
        <w:ind w:left="720" w:hanging="720"/>
        <w:contextualSpacing/>
      </w:pPr>
      <w:r w:rsidRPr="00F05C28">
        <w:lastRenderedPageBreak/>
        <w:t xml:space="preserve">Wilcox, P., Winn, S., &amp; </w:t>
      </w:r>
      <w:proofErr w:type="spellStart"/>
      <w:r w:rsidRPr="00F05C28">
        <w:t>Fyvie‐Gauld</w:t>
      </w:r>
      <w:proofErr w:type="spellEnd"/>
      <w:r w:rsidRPr="00F05C28">
        <w:t>, M. (2005). ‘It was nothing to do with the university, it was just the people’: the role of social support in the first‐year experience of higher education. </w:t>
      </w:r>
      <w:r w:rsidRPr="00F05C28">
        <w:rPr>
          <w:i/>
        </w:rPr>
        <w:t>Studies in Higher Education, 30</w:t>
      </w:r>
      <w:r w:rsidRPr="00F05C28">
        <w:t>(6), 707-722.</w:t>
      </w:r>
    </w:p>
    <w:p w14:paraId="66ED8424" w14:textId="77777777" w:rsidR="00F05C28" w:rsidRPr="00F05C28" w:rsidRDefault="00F05C28" w:rsidP="00F05C28">
      <w:pPr>
        <w:spacing w:line="480" w:lineRule="auto"/>
        <w:ind w:left="720" w:hanging="720"/>
        <w:contextualSpacing/>
      </w:pPr>
      <w:r w:rsidRPr="00F05C28">
        <w:t>Wolf-Wendel, L., Ward, K., &amp; Kinzie, J. (2009). A tangled web of terms: The overlap and unique contribution of involvement, engagement, and integration to understanding college student success. </w:t>
      </w:r>
      <w:r w:rsidRPr="00F05C28">
        <w:rPr>
          <w:i/>
        </w:rPr>
        <w:t>Journal of College Student Development, 50</w:t>
      </w:r>
      <w:r w:rsidRPr="00F05C28">
        <w:t>(4), 407-428.</w:t>
      </w:r>
    </w:p>
    <w:p w14:paraId="40F34965" w14:textId="77777777" w:rsidR="00F05C28" w:rsidRPr="00F05C28" w:rsidRDefault="00F05C28" w:rsidP="00F05C28">
      <w:pPr>
        <w:spacing w:line="480" w:lineRule="auto"/>
        <w:ind w:left="720" w:hanging="720"/>
        <w:contextualSpacing/>
      </w:pPr>
      <w:r w:rsidRPr="00F05C28">
        <w:t xml:space="preserve">Zarate, M. E., &amp; </w:t>
      </w:r>
      <w:proofErr w:type="spellStart"/>
      <w:r w:rsidRPr="00F05C28">
        <w:t>Burciaga</w:t>
      </w:r>
      <w:proofErr w:type="spellEnd"/>
      <w:r w:rsidRPr="00F05C28">
        <w:t>, R. (2010). Latinos and college access: Trends and future directions</w:t>
      </w:r>
      <w:r w:rsidRPr="00F05C28">
        <w:rPr>
          <w:i/>
        </w:rPr>
        <w:t>. Journal of College Admission, 209</w:t>
      </w:r>
      <w:r w:rsidRPr="00F05C28">
        <w:t>, 24-29.</w:t>
      </w:r>
    </w:p>
    <w:p w14:paraId="50538C3F" w14:textId="77777777" w:rsidR="00F05C28" w:rsidRPr="00F05C28" w:rsidRDefault="00F05C28" w:rsidP="00F05C28">
      <w:pPr>
        <w:spacing w:line="480" w:lineRule="auto"/>
        <w:ind w:left="720" w:hanging="720"/>
        <w:contextualSpacing/>
      </w:pPr>
      <w:proofErr w:type="spellStart"/>
      <w:r w:rsidRPr="00F05C28">
        <w:t>Zepke</w:t>
      </w:r>
      <w:proofErr w:type="spellEnd"/>
      <w:r w:rsidRPr="00F05C28">
        <w:t>, N., &amp; Leach, L. (2010). Improving student engagement: Ten proposals for action. </w:t>
      </w:r>
      <w:r w:rsidRPr="00F05C28">
        <w:rPr>
          <w:i/>
        </w:rPr>
        <w:t>Active Learning in Higher Education, 11</w:t>
      </w:r>
      <w:r w:rsidRPr="00F05C28">
        <w:t>(3), 167-177.</w:t>
      </w:r>
    </w:p>
    <w:p w14:paraId="30381D96" w14:textId="77777777" w:rsidR="00F05C28" w:rsidRPr="00F05C28" w:rsidRDefault="00F05C28" w:rsidP="00F05C28">
      <w:pPr>
        <w:spacing w:line="480" w:lineRule="auto"/>
        <w:ind w:left="720" w:hanging="720"/>
        <w:contextualSpacing/>
      </w:pPr>
      <w:r w:rsidRPr="00F05C28">
        <w:t xml:space="preserve">Zhan, M., &amp; </w:t>
      </w:r>
      <w:proofErr w:type="spellStart"/>
      <w:r w:rsidRPr="00F05C28">
        <w:t>Sherraden</w:t>
      </w:r>
      <w:proofErr w:type="spellEnd"/>
      <w:r w:rsidRPr="00F05C28">
        <w:t>, M. (2011). Assets and liabilities, race/ethnicity, and children's college education. </w:t>
      </w:r>
      <w:r w:rsidRPr="00F05C28">
        <w:rPr>
          <w:i/>
        </w:rPr>
        <w:t>Children and Youth Services Review, 33</w:t>
      </w:r>
      <w:r w:rsidRPr="00F05C28">
        <w:t>(11), 2168-2175.</w:t>
      </w:r>
    </w:p>
    <w:p w14:paraId="73D3CF04" w14:textId="77777777" w:rsidR="00F05C28" w:rsidRPr="00F05C28" w:rsidRDefault="00F05C28" w:rsidP="00F05C28">
      <w:pPr>
        <w:spacing w:line="480" w:lineRule="auto"/>
        <w:ind w:firstLine="720"/>
      </w:pPr>
    </w:p>
    <w:p w14:paraId="1FB9D041" w14:textId="77777777" w:rsidR="00F05C28" w:rsidRPr="00F05C28" w:rsidRDefault="00F05C28" w:rsidP="00F05C28">
      <w:pPr>
        <w:spacing w:line="480" w:lineRule="auto"/>
      </w:pPr>
    </w:p>
    <w:p w14:paraId="36771492" w14:textId="77777777" w:rsidR="00F05C28" w:rsidRPr="00F05C28" w:rsidRDefault="00F05C28" w:rsidP="00F05C28">
      <w:r w:rsidRPr="00F05C28">
        <w:br w:type="page"/>
      </w:r>
    </w:p>
    <w:p w14:paraId="115CFF68" w14:textId="77777777" w:rsidR="00F05C28" w:rsidRPr="00F05C28" w:rsidRDefault="00F05C28" w:rsidP="00F05C28">
      <w:pPr>
        <w:jc w:val="center"/>
      </w:pPr>
      <w:r w:rsidRPr="00F05C28">
        <w:lastRenderedPageBreak/>
        <w:t>APPENDICES</w:t>
      </w:r>
      <w:r w:rsidRPr="00F05C28">
        <w:br w:type="page"/>
      </w:r>
    </w:p>
    <w:tbl>
      <w:tblPr>
        <w:tblW w:w="9630" w:type="dxa"/>
        <w:tblCellSpacing w:w="0" w:type="dxa"/>
        <w:tblCellMar>
          <w:left w:w="0" w:type="dxa"/>
          <w:right w:w="0" w:type="dxa"/>
        </w:tblCellMar>
        <w:tblLook w:val="04A0" w:firstRow="1" w:lastRow="0" w:firstColumn="1" w:lastColumn="0" w:noHBand="0" w:noVBand="1"/>
      </w:tblPr>
      <w:tblGrid>
        <w:gridCol w:w="1197"/>
        <w:gridCol w:w="877"/>
        <w:gridCol w:w="7556"/>
      </w:tblGrid>
      <w:tr w:rsidR="00F05C28" w:rsidRPr="00F05C28" w14:paraId="32D0ADC5" w14:textId="77777777" w:rsidTr="00574B5E">
        <w:trPr>
          <w:trHeight w:val="300"/>
          <w:tblCellSpacing w:w="0" w:type="dxa"/>
        </w:trPr>
        <w:tc>
          <w:tcPr>
            <w:tcW w:w="9630" w:type="dxa"/>
            <w:gridSpan w:val="3"/>
            <w:tcBorders>
              <w:bottom w:val="single" w:sz="18" w:space="0" w:color="000000"/>
            </w:tcBorders>
            <w:tcMar>
              <w:top w:w="0" w:type="dxa"/>
              <w:left w:w="45" w:type="dxa"/>
              <w:bottom w:w="0" w:type="dxa"/>
              <w:right w:w="45" w:type="dxa"/>
            </w:tcMar>
            <w:vAlign w:val="bottom"/>
            <w:hideMark/>
          </w:tcPr>
          <w:p w14:paraId="37BEEE81" w14:textId="77777777" w:rsidR="00F05C28" w:rsidRPr="00F05C28" w:rsidRDefault="00F05C28" w:rsidP="00574B5E">
            <w:r w:rsidRPr="00F05C28">
              <w:lastRenderedPageBreak/>
              <w:t>Appendix A. NSSE questions used to measure Social Integration Data</w:t>
            </w:r>
          </w:p>
        </w:tc>
      </w:tr>
      <w:tr w:rsidR="00F05C28" w:rsidRPr="00F05C28" w14:paraId="0174FD4E" w14:textId="77777777" w:rsidTr="00574B5E">
        <w:trPr>
          <w:trHeight w:val="300"/>
          <w:tblCellSpacing w:w="0" w:type="dxa"/>
        </w:trPr>
        <w:tc>
          <w:tcPr>
            <w:tcW w:w="0" w:type="auto"/>
            <w:tcMar>
              <w:top w:w="0" w:type="dxa"/>
              <w:left w:w="45" w:type="dxa"/>
              <w:bottom w:w="0" w:type="dxa"/>
              <w:right w:w="45" w:type="dxa"/>
            </w:tcMar>
            <w:vAlign w:val="bottom"/>
            <w:hideMark/>
          </w:tcPr>
          <w:p w14:paraId="0AA72F6B" w14:textId="77777777" w:rsidR="00F05C28" w:rsidRPr="00F05C28" w:rsidRDefault="00F05C28" w:rsidP="00574B5E">
            <w:pPr>
              <w:jc w:val="center"/>
              <w:rPr>
                <w:u w:val="single"/>
              </w:rPr>
            </w:pPr>
            <w:r w:rsidRPr="00F05C28">
              <w:rPr>
                <w:u w:val="single"/>
              </w:rPr>
              <w:t>Benchmark</w:t>
            </w:r>
          </w:p>
        </w:tc>
        <w:tc>
          <w:tcPr>
            <w:tcW w:w="0" w:type="auto"/>
            <w:tcMar>
              <w:top w:w="0" w:type="dxa"/>
              <w:left w:w="45" w:type="dxa"/>
              <w:bottom w:w="0" w:type="dxa"/>
              <w:right w:w="45" w:type="dxa"/>
            </w:tcMar>
            <w:vAlign w:val="bottom"/>
            <w:hideMark/>
          </w:tcPr>
          <w:p w14:paraId="4AD2CEF9" w14:textId="77777777" w:rsidR="00F05C28" w:rsidRPr="00F05C28" w:rsidRDefault="00F05C28" w:rsidP="00574B5E">
            <w:pPr>
              <w:jc w:val="center"/>
              <w:rPr>
                <w:u w:val="single"/>
              </w:rPr>
            </w:pPr>
            <w:r w:rsidRPr="00F05C28">
              <w:rPr>
                <w:u w:val="single"/>
              </w:rPr>
              <w:t>Number</w:t>
            </w:r>
          </w:p>
        </w:tc>
        <w:tc>
          <w:tcPr>
            <w:tcW w:w="7556" w:type="dxa"/>
            <w:tcMar>
              <w:top w:w="0" w:type="dxa"/>
              <w:left w:w="45" w:type="dxa"/>
              <w:bottom w:w="0" w:type="dxa"/>
              <w:right w:w="45" w:type="dxa"/>
            </w:tcMar>
            <w:vAlign w:val="bottom"/>
            <w:hideMark/>
          </w:tcPr>
          <w:p w14:paraId="145AFBA7" w14:textId="77777777" w:rsidR="00F05C28" w:rsidRPr="00F05C28" w:rsidRDefault="00F05C28" w:rsidP="00574B5E">
            <w:pPr>
              <w:jc w:val="center"/>
              <w:rPr>
                <w:u w:val="single"/>
              </w:rPr>
            </w:pPr>
            <w:r w:rsidRPr="00F05C28">
              <w:rPr>
                <w:u w:val="single"/>
              </w:rPr>
              <w:t>NSSE Question</w:t>
            </w:r>
          </w:p>
        </w:tc>
      </w:tr>
      <w:tr w:rsidR="00F05C28" w:rsidRPr="00F05C28" w14:paraId="026FFF33" w14:textId="77777777" w:rsidTr="00574B5E">
        <w:trPr>
          <w:trHeight w:val="300"/>
          <w:tblCellSpacing w:w="0" w:type="dxa"/>
        </w:trPr>
        <w:tc>
          <w:tcPr>
            <w:tcW w:w="0" w:type="auto"/>
            <w:tcMar>
              <w:top w:w="0" w:type="dxa"/>
              <w:left w:w="45" w:type="dxa"/>
              <w:bottom w:w="0" w:type="dxa"/>
              <w:right w:w="45" w:type="dxa"/>
            </w:tcMar>
            <w:vAlign w:val="bottom"/>
            <w:hideMark/>
          </w:tcPr>
          <w:p w14:paraId="00263F54" w14:textId="77777777" w:rsidR="00F05C28" w:rsidRPr="00F05C28" w:rsidRDefault="00F05C28" w:rsidP="00574B5E">
            <w:pPr>
              <w:jc w:val="center"/>
              <w:rPr>
                <w:u w:val="single"/>
              </w:rPr>
            </w:pPr>
          </w:p>
        </w:tc>
        <w:tc>
          <w:tcPr>
            <w:tcW w:w="0" w:type="auto"/>
            <w:tcMar>
              <w:top w:w="0" w:type="dxa"/>
              <w:left w:w="45" w:type="dxa"/>
              <w:bottom w:w="0" w:type="dxa"/>
              <w:right w:w="45" w:type="dxa"/>
            </w:tcMar>
            <w:vAlign w:val="bottom"/>
            <w:hideMark/>
          </w:tcPr>
          <w:p w14:paraId="56583083" w14:textId="77777777" w:rsidR="00F05C28" w:rsidRPr="00F05C28" w:rsidRDefault="00F05C28" w:rsidP="00574B5E">
            <w:pPr>
              <w:rPr>
                <w:b/>
                <w:bCs/>
                <w:i/>
                <w:iCs/>
              </w:rPr>
            </w:pPr>
            <w:r w:rsidRPr="00F05C28">
              <w:rPr>
                <w:b/>
                <w:bCs/>
                <w:i/>
                <w:iCs/>
              </w:rPr>
              <w:t>1.</w:t>
            </w:r>
          </w:p>
        </w:tc>
        <w:tc>
          <w:tcPr>
            <w:tcW w:w="7556" w:type="dxa"/>
            <w:tcMar>
              <w:top w:w="0" w:type="dxa"/>
              <w:left w:w="45" w:type="dxa"/>
              <w:bottom w:w="0" w:type="dxa"/>
              <w:right w:w="45" w:type="dxa"/>
            </w:tcMar>
            <w:vAlign w:val="bottom"/>
            <w:hideMark/>
          </w:tcPr>
          <w:p w14:paraId="104A035F" w14:textId="77777777" w:rsidR="00F05C28" w:rsidRPr="00F05C28" w:rsidRDefault="00F05C28" w:rsidP="00574B5E">
            <w:pPr>
              <w:rPr>
                <w:b/>
                <w:bCs/>
                <w:i/>
                <w:iCs/>
              </w:rPr>
            </w:pPr>
            <w:r w:rsidRPr="00F05C28">
              <w:rPr>
                <w:b/>
                <w:bCs/>
                <w:i/>
                <w:iCs/>
              </w:rPr>
              <w:t xml:space="preserve">In your experience at your institution during the current school year, about how often have you done each of the following? </w:t>
            </w:r>
          </w:p>
        </w:tc>
      </w:tr>
      <w:tr w:rsidR="00F05C28" w:rsidRPr="00F05C28" w14:paraId="18D4C82C" w14:textId="77777777" w:rsidTr="00574B5E">
        <w:trPr>
          <w:trHeight w:val="300"/>
          <w:tblCellSpacing w:w="0" w:type="dxa"/>
        </w:trPr>
        <w:tc>
          <w:tcPr>
            <w:tcW w:w="0" w:type="auto"/>
            <w:tcMar>
              <w:top w:w="0" w:type="dxa"/>
              <w:left w:w="45" w:type="dxa"/>
              <w:bottom w:w="0" w:type="dxa"/>
              <w:right w:w="45" w:type="dxa"/>
            </w:tcMar>
            <w:vAlign w:val="bottom"/>
            <w:hideMark/>
          </w:tcPr>
          <w:p w14:paraId="1D9DF709"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501ACDE4" w14:textId="77777777" w:rsidR="00F05C28" w:rsidRPr="00F05C28" w:rsidRDefault="00F05C28" w:rsidP="00574B5E">
            <w:r w:rsidRPr="00F05C28">
              <w:t>1. u.</w:t>
            </w:r>
          </w:p>
        </w:tc>
        <w:tc>
          <w:tcPr>
            <w:tcW w:w="7556" w:type="dxa"/>
            <w:tcMar>
              <w:top w:w="0" w:type="dxa"/>
              <w:left w:w="45" w:type="dxa"/>
              <w:bottom w:w="0" w:type="dxa"/>
              <w:right w:w="45" w:type="dxa"/>
            </w:tcMar>
            <w:vAlign w:val="bottom"/>
            <w:hideMark/>
          </w:tcPr>
          <w:p w14:paraId="2F598875" w14:textId="77777777" w:rsidR="00F05C28" w:rsidRPr="00F05C28" w:rsidRDefault="00F05C28" w:rsidP="00574B5E">
            <w:r w:rsidRPr="00F05C28">
              <w:t>Had serious conversations with students of a different race or ethnicity than your own</w:t>
            </w:r>
          </w:p>
        </w:tc>
      </w:tr>
      <w:tr w:rsidR="00F05C28" w:rsidRPr="00F05C28" w14:paraId="7A3E82D6" w14:textId="77777777" w:rsidTr="00574B5E">
        <w:trPr>
          <w:trHeight w:val="300"/>
          <w:tblCellSpacing w:w="0" w:type="dxa"/>
        </w:trPr>
        <w:tc>
          <w:tcPr>
            <w:tcW w:w="0" w:type="auto"/>
            <w:tcMar>
              <w:top w:w="0" w:type="dxa"/>
              <w:left w:w="45" w:type="dxa"/>
              <w:bottom w:w="0" w:type="dxa"/>
              <w:right w:w="45" w:type="dxa"/>
            </w:tcMar>
            <w:vAlign w:val="bottom"/>
            <w:hideMark/>
          </w:tcPr>
          <w:p w14:paraId="36100764"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1FF86524" w14:textId="77777777" w:rsidR="00F05C28" w:rsidRPr="00F05C28" w:rsidRDefault="00F05C28" w:rsidP="00574B5E">
            <w:r w:rsidRPr="00F05C28">
              <w:t>1. v.</w:t>
            </w:r>
          </w:p>
        </w:tc>
        <w:tc>
          <w:tcPr>
            <w:tcW w:w="7556" w:type="dxa"/>
            <w:tcMar>
              <w:top w:w="0" w:type="dxa"/>
              <w:left w:w="45" w:type="dxa"/>
              <w:bottom w:w="0" w:type="dxa"/>
              <w:right w:w="45" w:type="dxa"/>
            </w:tcMar>
            <w:vAlign w:val="bottom"/>
            <w:hideMark/>
          </w:tcPr>
          <w:p w14:paraId="174CD971" w14:textId="77777777" w:rsidR="00F05C28" w:rsidRPr="00F05C28" w:rsidRDefault="00F05C28" w:rsidP="00574B5E">
            <w:r w:rsidRPr="00F05C28">
              <w:t>Had serious conversations with students who are very different from you in terms of their religious beliefs, political opinions, or personal values</w:t>
            </w:r>
          </w:p>
        </w:tc>
      </w:tr>
      <w:tr w:rsidR="00F05C28" w:rsidRPr="00F05C28" w14:paraId="42F0A786" w14:textId="77777777" w:rsidTr="00574B5E">
        <w:trPr>
          <w:trHeight w:val="300"/>
          <w:tblCellSpacing w:w="0" w:type="dxa"/>
        </w:trPr>
        <w:tc>
          <w:tcPr>
            <w:tcW w:w="0" w:type="auto"/>
            <w:tcMar>
              <w:top w:w="0" w:type="dxa"/>
              <w:left w:w="45" w:type="dxa"/>
              <w:bottom w:w="0" w:type="dxa"/>
              <w:right w:w="45" w:type="dxa"/>
            </w:tcMar>
            <w:vAlign w:val="bottom"/>
            <w:hideMark/>
          </w:tcPr>
          <w:p w14:paraId="4B2E5430" w14:textId="77777777" w:rsidR="00F05C28" w:rsidRPr="00F05C28" w:rsidRDefault="00F05C28" w:rsidP="00574B5E"/>
        </w:tc>
        <w:tc>
          <w:tcPr>
            <w:tcW w:w="0" w:type="auto"/>
            <w:tcMar>
              <w:top w:w="0" w:type="dxa"/>
              <w:left w:w="45" w:type="dxa"/>
              <w:bottom w:w="0" w:type="dxa"/>
              <w:right w:w="45" w:type="dxa"/>
            </w:tcMar>
            <w:vAlign w:val="bottom"/>
            <w:hideMark/>
          </w:tcPr>
          <w:p w14:paraId="4B60866F" w14:textId="77777777" w:rsidR="00F05C28" w:rsidRPr="00F05C28" w:rsidRDefault="00F05C28" w:rsidP="00574B5E">
            <w:pPr>
              <w:rPr>
                <w:b/>
                <w:bCs/>
                <w:i/>
                <w:iCs/>
              </w:rPr>
            </w:pPr>
            <w:r w:rsidRPr="00F05C28">
              <w:rPr>
                <w:b/>
                <w:bCs/>
                <w:i/>
                <w:iCs/>
              </w:rPr>
              <w:t>7.</w:t>
            </w:r>
          </w:p>
        </w:tc>
        <w:tc>
          <w:tcPr>
            <w:tcW w:w="7556" w:type="dxa"/>
            <w:tcMar>
              <w:top w:w="0" w:type="dxa"/>
              <w:left w:w="45" w:type="dxa"/>
              <w:bottom w:w="0" w:type="dxa"/>
              <w:right w:w="45" w:type="dxa"/>
            </w:tcMar>
            <w:vAlign w:val="bottom"/>
            <w:hideMark/>
          </w:tcPr>
          <w:p w14:paraId="511237B9" w14:textId="77777777" w:rsidR="00F05C28" w:rsidRPr="00F05C28" w:rsidRDefault="00F05C28" w:rsidP="00574B5E">
            <w:r w:rsidRPr="00F05C28">
              <w:rPr>
                <w:b/>
                <w:bCs/>
                <w:i/>
                <w:iCs/>
              </w:rPr>
              <w:t xml:space="preserve">Which of the following have you </w:t>
            </w:r>
            <w:proofErr w:type="gramStart"/>
            <w:r w:rsidRPr="00F05C28">
              <w:rPr>
                <w:b/>
                <w:bCs/>
                <w:i/>
                <w:iCs/>
              </w:rPr>
              <w:t>done</w:t>
            </w:r>
            <w:proofErr w:type="gramEnd"/>
            <w:r w:rsidRPr="00F05C28">
              <w:rPr>
                <w:b/>
                <w:bCs/>
                <w:i/>
                <w:iCs/>
              </w:rPr>
              <w:t xml:space="preserve"> or do you plan to do before you graduate from your institution?</w:t>
            </w:r>
          </w:p>
        </w:tc>
      </w:tr>
      <w:tr w:rsidR="00F05C28" w:rsidRPr="00F05C28" w14:paraId="44FD23F4" w14:textId="77777777" w:rsidTr="00574B5E">
        <w:trPr>
          <w:trHeight w:val="300"/>
          <w:tblCellSpacing w:w="0" w:type="dxa"/>
        </w:trPr>
        <w:tc>
          <w:tcPr>
            <w:tcW w:w="0" w:type="auto"/>
            <w:tcMar>
              <w:top w:w="0" w:type="dxa"/>
              <w:left w:w="45" w:type="dxa"/>
              <w:bottom w:w="0" w:type="dxa"/>
              <w:right w:w="45" w:type="dxa"/>
            </w:tcMar>
            <w:vAlign w:val="bottom"/>
            <w:hideMark/>
          </w:tcPr>
          <w:p w14:paraId="25578810"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2A0B931F" w14:textId="77777777" w:rsidR="00F05C28" w:rsidRPr="00F05C28" w:rsidRDefault="00F05C28" w:rsidP="00574B5E">
            <w:r w:rsidRPr="00F05C28">
              <w:t>7. a.</w:t>
            </w:r>
          </w:p>
        </w:tc>
        <w:tc>
          <w:tcPr>
            <w:tcW w:w="7556" w:type="dxa"/>
            <w:tcMar>
              <w:top w:w="0" w:type="dxa"/>
              <w:left w:w="45" w:type="dxa"/>
              <w:bottom w:w="0" w:type="dxa"/>
              <w:right w:w="45" w:type="dxa"/>
            </w:tcMar>
            <w:vAlign w:val="bottom"/>
            <w:hideMark/>
          </w:tcPr>
          <w:p w14:paraId="1917E6C7" w14:textId="77777777" w:rsidR="00F05C28" w:rsidRPr="00F05C28" w:rsidRDefault="00F05C28" w:rsidP="00574B5E">
            <w:r w:rsidRPr="00F05C28">
              <w:t>Practicum, internship, field experience, co-op experience, or clinical assignment</w:t>
            </w:r>
          </w:p>
        </w:tc>
      </w:tr>
      <w:tr w:rsidR="00F05C28" w:rsidRPr="00F05C28" w14:paraId="30BB6D3C" w14:textId="77777777" w:rsidTr="00574B5E">
        <w:trPr>
          <w:trHeight w:val="300"/>
          <w:tblCellSpacing w:w="0" w:type="dxa"/>
        </w:trPr>
        <w:tc>
          <w:tcPr>
            <w:tcW w:w="0" w:type="auto"/>
            <w:tcMar>
              <w:top w:w="0" w:type="dxa"/>
              <w:left w:w="45" w:type="dxa"/>
              <w:bottom w:w="0" w:type="dxa"/>
              <w:right w:w="45" w:type="dxa"/>
            </w:tcMar>
            <w:vAlign w:val="bottom"/>
            <w:hideMark/>
          </w:tcPr>
          <w:p w14:paraId="3E59224E"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7C85DBEE" w14:textId="77777777" w:rsidR="00F05C28" w:rsidRPr="00F05C28" w:rsidRDefault="00F05C28" w:rsidP="00574B5E">
            <w:r w:rsidRPr="00F05C28">
              <w:t>7. b.</w:t>
            </w:r>
          </w:p>
        </w:tc>
        <w:tc>
          <w:tcPr>
            <w:tcW w:w="7556" w:type="dxa"/>
            <w:tcMar>
              <w:top w:w="0" w:type="dxa"/>
              <w:left w:w="45" w:type="dxa"/>
              <w:bottom w:w="0" w:type="dxa"/>
              <w:right w:w="45" w:type="dxa"/>
            </w:tcMar>
            <w:vAlign w:val="bottom"/>
            <w:hideMark/>
          </w:tcPr>
          <w:p w14:paraId="3653323F" w14:textId="77777777" w:rsidR="00F05C28" w:rsidRPr="00F05C28" w:rsidRDefault="00F05C28" w:rsidP="00574B5E">
            <w:r w:rsidRPr="00F05C28">
              <w:t>Community service or volunteer work</w:t>
            </w:r>
          </w:p>
        </w:tc>
      </w:tr>
      <w:tr w:rsidR="00F05C28" w:rsidRPr="00F05C28" w14:paraId="22C14FA7" w14:textId="77777777" w:rsidTr="00574B5E">
        <w:trPr>
          <w:trHeight w:val="300"/>
          <w:tblCellSpacing w:w="0" w:type="dxa"/>
        </w:trPr>
        <w:tc>
          <w:tcPr>
            <w:tcW w:w="0" w:type="auto"/>
            <w:tcMar>
              <w:top w:w="0" w:type="dxa"/>
              <w:left w:w="45" w:type="dxa"/>
              <w:bottom w:w="0" w:type="dxa"/>
              <w:right w:w="45" w:type="dxa"/>
            </w:tcMar>
            <w:vAlign w:val="bottom"/>
            <w:hideMark/>
          </w:tcPr>
          <w:p w14:paraId="215A622D"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237527D9" w14:textId="77777777" w:rsidR="00F05C28" w:rsidRPr="00F05C28" w:rsidRDefault="00F05C28" w:rsidP="00574B5E">
            <w:r w:rsidRPr="00F05C28">
              <w:t>7. c.</w:t>
            </w:r>
          </w:p>
        </w:tc>
        <w:tc>
          <w:tcPr>
            <w:tcW w:w="7556" w:type="dxa"/>
            <w:tcMar>
              <w:top w:w="0" w:type="dxa"/>
              <w:left w:w="45" w:type="dxa"/>
              <w:bottom w:w="0" w:type="dxa"/>
              <w:right w:w="45" w:type="dxa"/>
            </w:tcMar>
            <w:vAlign w:val="bottom"/>
            <w:hideMark/>
          </w:tcPr>
          <w:p w14:paraId="60867EF4" w14:textId="77777777" w:rsidR="00F05C28" w:rsidRPr="00F05C28" w:rsidRDefault="00F05C28" w:rsidP="00574B5E">
            <w:r w:rsidRPr="00F05C28">
              <w:t>Participate in a learning community or some other formal program where groups of students take two or more classes together</w:t>
            </w:r>
          </w:p>
        </w:tc>
      </w:tr>
      <w:tr w:rsidR="00F05C28" w:rsidRPr="00F05C28" w14:paraId="54CF397D" w14:textId="77777777" w:rsidTr="00574B5E">
        <w:trPr>
          <w:trHeight w:val="300"/>
          <w:tblCellSpacing w:w="0" w:type="dxa"/>
        </w:trPr>
        <w:tc>
          <w:tcPr>
            <w:tcW w:w="0" w:type="auto"/>
            <w:tcMar>
              <w:top w:w="0" w:type="dxa"/>
              <w:left w:w="45" w:type="dxa"/>
              <w:bottom w:w="0" w:type="dxa"/>
              <w:right w:w="45" w:type="dxa"/>
            </w:tcMar>
            <w:vAlign w:val="bottom"/>
            <w:hideMark/>
          </w:tcPr>
          <w:p w14:paraId="6D197A8E"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057F7EF8" w14:textId="77777777" w:rsidR="00F05C28" w:rsidRPr="00F05C28" w:rsidRDefault="00F05C28" w:rsidP="00574B5E">
            <w:r w:rsidRPr="00F05C28">
              <w:t>7. f.</w:t>
            </w:r>
          </w:p>
        </w:tc>
        <w:tc>
          <w:tcPr>
            <w:tcW w:w="7556" w:type="dxa"/>
            <w:tcMar>
              <w:top w:w="0" w:type="dxa"/>
              <w:left w:w="45" w:type="dxa"/>
              <w:bottom w:w="0" w:type="dxa"/>
              <w:right w:w="45" w:type="dxa"/>
            </w:tcMar>
            <w:vAlign w:val="bottom"/>
            <w:hideMark/>
          </w:tcPr>
          <w:p w14:paraId="07369A6F" w14:textId="77777777" w:rsidR="00F05C28" w:rsidRPr="00F05C28" w:rsidRDefault="00F05C28" w:rsidP="00574B5E">
            <w:r w:rsidRPr="00F05C28">
              <w:t>Study Abroad</w:t>
            </w:r>
          </w:p>
        </w:tc>
      </w:tr>
      <w:tr w:rsidR="00F05C28" w:rsidRPr="00F05C28" w14:paraId="6990B895" w14:textId="77777777" w:rsidTr="00574B5E">
        <w:trPr>
          <w:trHeight w:val="300"/>
          <w:tblCellSpacing w:w="0" w:type="dxa"/>
        </w:trPr>
        <w:tc>
          <w:tcPr>
            <w:tcW w:w="0" w:type="auto"/>
            <w:tcMar>
              <w:top w:w="0" w:type="dxa"/>
              <w:left w:w="45" w:type="dxa"/>
              <w:bottom w:w="0" w:type="dxa"/>
              <w:right w:w="45" w:type="dxa"/>
            </w:tcMar>
            <w:vAlign w:val="bottom"/>
            <w:hideMark/>
          </w:tcPr>
          <w:p w14:paraId="2CDD4DD9" w14:textId="77777777" w:rsidR="00F05C28" w:rsidRPr="00F05C28" w:rsidRDefault="00F05C28" w:rsidP="00574B5E"/>
        </w:tc>
        <w:tc>
          <w:tcPr>
            <w:tcW w:w="0" w:type="auto"/>
            <w:tcMar>
              <w:top w:w="0" w:type="dxa"/>
              <w:left w:w="45" w:type="dxa"/>
              <w:bottom w:w="0" w:type="dxa"/>
              <w:right w:w="45" w:type="dxa"/>
            </w:tcMar>
            <w:vAlign w:val="bottom"/>
            <w:hideMark/>
          </w:tcPr>
          <w:p w14:paraId="410044B7" w14:textId="77777777" w:rsidR="00F05C28" w:rsidRPr="00F05C28" w:rsidRDefault="00F05C28" w:rsidP="00574B5E">
            <w:pPr>
              <w:rPr>
                <w:b/>
                <w:bCs/>
                <w:i/>
                <w:iCs/>
              </w:rPr>
            </w:pPr>
            <w:r w:rsidRPr="00F05C28">
              <w:rPr>
                <w:b/>
                <w:bCs/>
                <w:i/>
                <w:iCs/>
              </w:rPr>
              <w:t>8.</w:t>
            </w:r>
          </w:p>
        </w:tc>
        <w:tc>
          <w:tcPr>
            <w:tcW w:w="7556" w:type="dxa"/>
            <w:tcMar>
              <w:top w:w="0" w:type="dxa"/>
              <w:left w:w="45" w:type="dxa"/>
              <w:bottom w:w="0" w:type="dxa"/>
              <w:right w:w="45" w:type="dxa"/>
            </w:tcMar>
            <w:vAlign w:val="bottom"/>
            <w:hideMark/>
          </w:tcPr>
          <w:p w14:paraId="4258F3E0" w14:textId="77777777" w:rsidR="00F05C28" w:rsidRPr="00F05C28" w:rsidRDefault="00F05C28" w:rsidP="00574B5E">
            <w:pPr>
              <w:rPr>
                <w:b/>
                <w:bCs/>
                <w:i/>
                <w:iCs/>
              </w:rPr>
            </w:pPr>
            <w:r w:rsidRPr="00F05C28">
              <w:rPr>
                <w:b/>
                <w:bCs/>
                <w:i/>
                <w:iCs/>
              </w:rPr>
              <w:t xml:space="preserve">Mark the box that best represents the quality of your relationships with people at your institution. </w:t>
            </w:r>
          </w:p>
        </w:tc>
      </w:tr>
      <w:tr w:rsidR="00F05C28" w:rsidRPr="00F05C28" w14:paraId="44F730B5" w14:textId="77777777" w:rsidTr="00574B5E">
        <w:trPr>
          <w:trHeight w:val="300"/>
          <w:tblCellSpacing w:w="0" w:type="dxa"/>
        </w:trPr>
        <w:tc>
          <w:tcPr>
            <w:tcW w:w="0" w:type="auto"/>
            <w:tcMar>
              <w:top w:w="0" w:type="dxa"/>
              <w:left w:w="45" w:type="dxa"/>
              <w:bottom w:w="0" w:type="dxa"/>
              <w:right w:w="45" w:type="dxa"/>
            </w:tcMar>
            <w:vAlign w:val="bottom"/>
            <w:hideMark/>
          </w:tcPr>
          <w:p w14:paraId="70060EA8" w14:textId="77777777" w:rsidR="00F05C28" w:rsidRPr="00F05C28" w:rsidRDefault="00F05C28" w:rsidP="00574B5E">
            <w:r w:rsidRPr="00F05C28">
              <w:t>SCE</w:t>
            </w:r>
          </w:p>
        </w:tc>
        <w:tc>
          <w:tcPr>
            <w:tcW w:w="0" w:type="auto"/>
            <w:tcMar>
              <w:top w:w="0" w:type="dxa"/>
              <w:left w:w="45" w:type="dxa"/>
              <w:bottom w:w="0" w:type="dxa"/>
              <w:right w:w="45" w:type="dxa"/>
            </w:tcMar>
            <w:vAlign w:val="bottom"/>
            <w:hideMark/>
          </w:tcPr>
          <w:p w14:paraId="336D3DC4" w14:textId="77777777" w:rsidR="00F05C28" w:rsidRPr="00F05C28" w:rsidRDefault="00F05C28" w:rsidP="00574B5E">
            <w:r w:rsidRPr="00F05C28">
              <w:t>8. a.</w:t>
            </w:r>
          </w:p>
        </w:tc>
        <w:tc>
          <w:tcPr>
            <w:tcW w:w="7556" w:type="dxa"/>
            <w:tcMar>
              <w:top w:w="0" w:type="dxa"/>
              <w:left w:w="45" w:type="dxa"/>
              <w:bottom w:w="0" w:type="dxa"/>
              <w:right w:w="45" w:type="dxa"/>
            </w:tcMar>
            <w:vAlign w:val="bottom"/>
            <w:hideMark/>
          </w:tcPr>
          <w:p w14:paraId="00E75010" w14:textId="77777777" w:rsidR="00F05C28" w:rsidRPr="00F05C28" w:rsidRDefault="00F05C28" w:rsidP="00574B5E">
            <w:r w:rsidRPr="00F05C28">
              <w:t>Relationships with other students</w:t>
            </w:r>
          </w:p>
        </w:tc>
      </w:tr>
      <w:tr w:rsidR="00F05C28" w:rsidRPr="00F05C28" w14:paraId="16425CEB" w14:textId="77777777" w:rsidTr="00574B5E">
        <w:trPr>
          <w:trHeight w:val="300"/>
          <w:tblCellSpacing w:w="0" w:type="dxa"/>
        </w:trPr>
        <w:tc>
          <w:tcPr>
            <w:tcW w:w="0" w:type="auto"/>
            <w:tcMar>
              <w:top w:w="0" w:type="dxa"/>
              <w:left w:w="45" w:type="dxa"/>
              <w:bottom w:w="0" w:type="dxa"/>
              <w:right w:w="45" w:type="dxa"/>
            </w:tcMar>
            <w:vAlign w:val="bottom"/>
            <w:hideMark/>
          </w:tcPr>
          <w:p w14:paraId="5A1460C0" w14:textId="77777777" w:rsidR="00F05C28" w:rsidRPr="00F05C28" w:rsidRDefault="00F05C28" w:rsidP="00574B5E">
            <w:r w:rsidRPr="00F05C28">
              <w:t>SCE</w:t>
            </w:r>
          </w:p>
        </w:tc>
        <w:tc>
          <w:tcPr>
            <w:tcW w:w="0" w:type="auto"/>
            <w:tcMar>
              <w:top w:w="0" w:type="dxa"/>
              <w:left w:w="45" w:type="dxa"/>
              <w:bottom w:w="0" w:type="dxa"/>
              <w:right w:w="45" w:type="dxa"/>
            </w:tcMar>
            <w:vAlign w:val="bottom"/>
            <w:hideMark/>
          </w:tcPr>
          <w:p w14:paraId="5AD0989D" w14:textId="77777777" w:rsidR="00F05C28" w:rsidRPr="00F05C28" w:rsidRDefault="00F05C28" w:rsidP="00574B5E">
            <w:r w:rsidRPr="00F05C28">
              <w:t>8. b.</w:t>
            </w:r>
          </w:p>
        </w:tc>
        <w:tc>
          <w:tcPr>
            <w:tcW w:w="7556" w:type="dxa"/>
            <w:tcMar>
              <w:top w:w="0" w:type="dxa"/>
              <w:left w:w="45" w:type="dxa"/>
              <w:bottom w:w="0" w:type="dxa"/>
              <w:right w:w="45" w:type="dxa"/>
            </w:tcMar>
            <w:vAlign w:val="bottom"/>
            <w:hideMark/>
          </w:tcPr>
          <w:p w14:paraId="0F7BAA56" w14:textId="77777777" w:rsidR="00F05C28" w:rsidRPr="00F05C28" w:rsidRDefault="00F05C28" w:rsidP="00574B5E">
            <w:r w:rsidRPr="00F05C28">
              <w:t>Relationships with faculty members</w:t>
            </w:r>
          </w:p>
        </w:tc>
      </w:tr>
      <w:tr w:rsidR="00F05C28" w:rsidRPr="00F05C28" w14:paraId="245FE195" w14:textId="77777777" w:rsidTr="00574B5E">
        <w:trPr>
          <w:trHeight w:val="300"/>
          <w:tblCellSpacing w:w="0" w:type="dxa"/>
        </w:trPr>
        <w:tc>
          <w:tcPr>
            <w:tcW w:w="0" w:type="auto"/>
            <w:tcMar>
              <w:top w:w="0" w:type="dxa"/>
              <w:left w:w="45" w:type="dxa"/>
              <w:bottom w:w="0" w:type="dxa"/>
              <w:right w:w="45" w:type="dxa"/>
            </w:tcMar>
            <w:vAlign w:val="bottom"/>
            <w:hideMark/>
          </w:tcPr>
          <w:p w14:paraId="0AF35547" w14:textId="77777777" w:rsidR="00F05C28" w:rsidRPr="00F05C28" w:rsidRDefault="00F05C28" w:rsidP="00574B5E">
            <w:r w:rsidRPr="00F05C28">
              <w:t>SCE</w:t>
            </w:r>
          </w:p>
        </w:tc>
        <w:tc>
          <w:tcPr>
            <w:tcW w:w="0" w:type="auto"/>
            <w:tcMar>
              <w:top w:w="0" w:type="dxa"/>
              <w:left w:w="45" w:type="dxa"/>
              <w:bottom w:w="0" w:type="dxa"/>
              <w:right w:w="45" w:type="dxa"/>
            </w:tcMar>
            <w:vAlign w:val="bottom"/>
            <w:hideMark/>
          </w:tcPr>
          <w:p w14:paraId="341B3739" w14:textId="77777777" w:rsidR="00F05C28" w:rsidRPr="00F05C28" w:rsidRDefault="00F05C28" w:rsidP="00574B5E">
            <w:r w:rsidRPr="00F05C28">
              <w:t>8. c.</w:t>
            </w:r>
          </w:p>
        </w:tc>
        <w:tc>
          <w:tcPr>
            <w:tcW w:w="7556" w:type="dxa"/>
            <w:tcMar>
              <w:top w:w="0" w:type="dxa"/>
              <w:left w:w="45" w:type="dxa"/>
              <w:bottom w:w="0" w:type="dxa"/>
              <w:right w:w="45" w:type="dxa"/>
            </w:tcMar>
            <w:vAlign w:val="bottom"/>
            <w:hideMark/>
          </w:tcPr>
          <w:p w14:paraId="1322428D" w14:textId="77777777" w:rsidR="00F05C28" w:rsidRPr="00F05C28" w:rsidRDefault="00F05C28" w:rsidP="00574B5E">
            <w:r w:rsidRPr="00F05C28">
              <w:t>Relationships with administrative personnel and offices</w:t>
            </w:r>
          </w:p>
        </w:tc>
      </w:tr>
      <w:tr w:rsidR="00F05C28" w:rsidRPr="00F05C28" w14:paraId="5CEA14D2" w14:textId="77777777" w:rsidTr="00574B5E">
        <w:trPr>
          <w:trHeight w:val="300"/>
          <w:tblCellSpacing w:w="0" w:type="dxa"/>
        </w:trPr>
        <w:tc>
          <w:tcPr>
            <w:tcW w:w="0" w:type="auto"/>
            <w:tcMar>
              <w:top w:w="0" w:type="dxa"/>
              <w:left w:w="45" w:type="dxa"/>
              <w:bottom w:w="0" w:type="dxa"/>
              <w:right w:w="45" w:type="dxa"/>
            </w:tcMar>
            <w:vAlign w:val="bottom"/>
            <w:hideMark/>
          </w:tcPr>
          <w:p w14:paraId="0D5DDA1D" w14:textId="77777777" w:rsidR="00F05C28" w:rsidRPr="00F05C28" w:rsidRDefault="00F05C28" w:rsidP="00574B5E"/>
        </w:tc>
        <w:tc>
          <w:tcPr>
            <w:tcW w:w="0" w:type="auto"/>
            <w:tcMar>
              <w:top w:w="0" w:type="dxa"/>
              <w:left w:w="45" w:type="dxa"/>
              <w:bottom w:w="0" w:type="dxa"/>
              <w:right w:w="45" w:type="dxa"/>
            </w:tcMar>
            <w:vAlign w:val="bottom"/>
            <w:hideMark/>
          </w:tcPr>
          <w:p w14:paraId="64853ADD" w14:textId="77777777" w:rsidR="00F05C28" w:rsidRPr="00F05C28" w:rsidRDefault="00F05C28" w:rsidP="00574B5E">
            <w:pPr>
              <w:rPr>
                <w:b/>
                <w:bCs/>
                <w:i/>
                <w:iCs/>
              </w:rPr>
            </w:pPr>
            <w:r w:rsidRPr="00F05C28">
              <w:rPr>
                <w:b/>
                <w:bCs/>
                <w:i/>
                <w:iCs/>
              </w:rPr>
              <w:t>9.</w:t>
            </w:r>
          </w:p>
        </w:tc>
        <w:tc>
          <w:tcPr>
            <w:tcW w:w="7556" w:type="dxa"/>
            <w:tcMar>
              <w:top w:w="0" w:type="dxa"/>
              <w:left w:w="45" w:type="dxa"/>
              <w:bottom w:w="0" w:type="dxa"/>
              <w:right w:w="45" w:type="dxa"/>
            </w:tcMar>
            <w:vAlign w:val="bottom"/>
            <w:hideMark/>
          </w:tcPr>
          <w:p w14:paraId="66301031" w14:textId="77777777" w:rsidR="00F05C28" w:rsidRPr="00F05C28" w:rsidRDefault="00F05C28" w:rsidP="00574B5E">
            <w:pPr>
              <w:rPr>
                <w:b/>
                <w:bCs/>
                <w:i/>
                <w:iCs/>
              </w:rPr>
            </w:pPr>
            <w:r w:rsidRPr="00F05C28">
              <w:rPr>
                <w:b/>
                <w:bCs/>
                <w:i/>
                <w:iCs/>
              </w:rPr>
              <w:t xml:space="preserve">About how many hours do you spend in a typical 7-day week doing each of the following? </w:t>
            </w:r>
          </w:p>
        </w:tc>
      </w:tr>
      <w:tr w:rsidR="00F05C28" w:rsidRPr="00F05C28" w14:paraId="2960000E" w14:textId="77777777" w:rsidTr="00574B5E">
        <w:trPr>
          <w:trHeight w:val="300"/>
          <w:tblCellSpacing w:w="0" w:type="dxa"/>
        </w:trPr>
        <w:tc>
          <w:tcPr>
            <w:tcW w:w="0" w:type="auto"/>
            <w:tcMar>
              <w:top w:w="0" w:type="dxa"/>
              <w:left w:w="45" w:type="dxa"/>
              <w:bottom w:w="0" w:type="dxa"/>
              <w:right w:w="45" w:type="dxa"/>
            </w:tcMar>
            <w:vAlign w:val="bottom"/>
            <w:hideMark/>
          </w:tcPr>
          <w:p w14:paraId="1B2DA125"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408BCEA6" w14:textId="77777777" w:rsidR="00F05C28" w:rsidRPr="00F05C28" w:rsidRDefault="00F05C28" w:rsidP="00574B5E">
            <w:r w:rsidRPr="00F05C28">
              <w:t xml:space="preserve">9. d. </w:t>
            </w:r>
          </w:p>
        </w:tc>
        <w:tc>
          <w:tcPr>
            <w:tcW w:w="7556" w:type="dxa"/>
            <w:tcMar>
              <w:top w:w="0" w:type="dxa"/>
              <w:left w:w="45" w:type="dxa"/>
              <w:bottom w:w="0" w:type="dxa"/>
              <w:right w:w="45" w:type="dxa"/>
            </w:tcMar>
            <w:vAlign w:val="bottom"/>
            <w:hideMark/>
          </w:tcPr>
          <w:p w14:paraId="4E8397B6" w14:textId="77777777" w:rsidR="00F05C28" w:rsidRPr="00F05C28" w:rsidRDefault="00F05C28" w:rsidP="00574B5E">
            <w:r w:rsidRPr="00F05C28">
              <w:t>Participating in co-curricular activities (organizations, campus publications, student government, fraternity or sorority, intercollegiate or intramural sports, etc.)</w:t>
            </w:r>
          </w:p>
        </w:tc>
      </w:tr>
      <w:tr w:rsidR="00F05C28" w:rsidRPr="00F05C28" w14:paraId="1981F8D0" w14:textId="77777777" w:rsidTr="00574B5E">
        <w:trPr>
          <w:trHeight w:val="315"/>
          <w:tblCellSpacing w:w="0" w:type="dxa"/>
        </w:trPr>
        <w:tc>
          <w:tcPr>
            <w:tcW w:w="0" w:type="auto"/>
            <w:tcMar>
              <w:top w:w="0" w:type="dxa"/>
              <w:left w:w="45" w:type="dxa"/>
              <w:bottom w:w="0" w:type="dxa"/>
              <w:right w:w="45" w:type="dxa"/>
            </w:tcMar>
            <w:vAlign w:val="bottom"/>
            <w:hideMark/>
          </w:tcPr>
          <w:p w14:paraId="62EED1E1" w14:textId="77777777" w:rsidR="00F05C28" w:rsidRPr="00F05C28" w:rsidRDefault="00F05C28" w:rsidP="00574B5E"/>
        </w:tc>
        <w:tc>
          <w:tcPr>
            <w:tcW w:w="0" w:type="auto"/>
            <w:tcMar>
              <w:top w:w="0" w:type="dxa"/>
              <w:left w:w="45" w:type="dxa"/>
              <w:bottom w:w="0" w:type="dxa"/>
              <w:right w:w="45" w:type="dxa"/>
            </w:tcMar>
            <w:vAlign w:val="bottom"/>
            <w:hideMark/>
          </w:tcPr>
          <w:p w14:paraId="7EF698CC" w14:textId="77777777" w:rsidR="00F05C28" w:rsidRPr="00F05C28" w:rsidRDefault="00F05C28" w:rsidP="00574B5E">
            <w:pPr>
              <w:rPr>
                <w:b/>
                <w:bCs/>
                <w:i/>
                <w:iCs/>
              </w:rPr>
            </w:pPr>
            <w:r w:rsidRPr="00F05C28">
              <w:rPr>
                <w:b/>
                <w:bCs/>
                <w:i/>
                <w:iCs/>
              </w:rPr>
              <w:t>10.</w:t>
            </w:r>
          </w:p>
        </w:tc>
        <w:tc>
          <w:tcPr>
            <w:tcW w:w="7556" w:type="dxa"/>
            <w:tcMar>
              <w:top w:w="0" w:type="dxa"/>
              <w:left w:w="45" w:type="dxa"/>
              <w:bottom w:w="0" w:type="dxa"/>
              <w:right w:w="45" w:type="dxa"/>
            </w:tcMar>
            <w:vAlign w:val="bottom"/>
            <w:hideMark/>
          </w:tcPr>
          <w:p w14:paraId="5550D82C" w14:textId="77777777" w:rsidR="00F05C28" w:rsidRPr="00F05C28" w:rsidRDefault="00F05C28" w:rsidP="00574B5E">
            <w:pPr>
              <w:rPr>
                <w:b/>
                <w:bCs/>
                <w:i/>
                <w:iCs/>
              </w:rPr>
            </w:pPr>
            <w:r w:rsidRPr="00F05C28">
              <w:rPr>
                <w:b/>
                <w:bCs/>
                <w:i/>
                <w:iCs/>
              </w:rPr>
              <w:t xml:space="preserve">To what extent does your institution emphasize each of the following? </w:t>
            </w:r>
          </w:p>
        </w:tc>
      </w:tr>
      <w:tr w:rsidR="00F05C28" w:rsidRPr="00F05C28" w14:paraId="52005AC2" w14:textId="77777777" w:rsidTr="00574B5E">
        <w:trPr>
          <w:trHeight w:val="315"/>
          <w:tblCellSpacing w:w="0" w:type="dxa"/>
        </w:trPr>
        <w:tc>
          <w:tcPr>
            <w:tcW w:w="0" w:type="auto"/>
            <w:tcMar>
              <w:top w:w="0" w:type="dxa"/>
              <w:left w:w="45" w:type="dxa"/>
              <w:bottom w:w="0" w:type="dxa"/>
              <w:right w:w="45" w:type="dxa"/>
            </w:tcMar>
            <w:vAlign w:val="bottom"/>
            <w:hideMark/>
          </w:tcPr>
          <w:p w14:paraId="2A32FB76" w14:textId="77777777" w:rsidR="00F05C28" w:rsidRPr="00F05C28" w:rsidRDefault="00F05C28" w:rsidP="00574B5E">
            <w:r w:rsidRPr="00F05C28">
              <w:t>EEE</w:t>
            </w:r>
          </w:p>
        </w:tc>
        <w:tc>
          <w:tcPr>
            <w:tcW w:w="0" w:type="auto"/>
            <w:tcMar>
              <w:top w:w="0" w:type="dxa"/>
              <w:left w:w="45" w:type="dxa"/>
              <w:bottom w:w="0" w:type="dxa"/>
              <w:right w:w="45" w:type="dxa"/>
            </w:tcMar>
            <w:vAlign w:val="bottom"/>
            <w:hideMark/>
          </w:tcPr>
          <w:p w14:paraId="00E5A4AE" w14:textId="77777777" w:rsidR="00F05C28" w:rsidRPr="00F05C28" w:rsidRDefault="00F05C28" w:rsidP="00574B5E">
            <w:r w:rsidRPr="00F05C28">
              <w:t xml:space="preserve">10. c. </w:t>
            </w:r>
          </w:p>
        </w:tc>
        <w:tc>
          <w:tcPr>
            <w:tcW w:w="7556" w:type="dxa"/>
            <w:tcMar>
              <w:top w:w="0" w:type="dxa"/>
              <w:left w:w="45" w:type="dxa"/>
              <w:bottom w:w="0" w:type="dxa"/>
              <w:right w:w="45" w:type="dxa"/>
            </w:tcMar>
            <w:vAlign w:val="bottom"/>
            <w:hideMark/>
          </w:tcPr>
          <w:p w14:paraId="04EB4D47" w14:textId="77777777" w:rsidR="00F05C28" w:rsidRPr="00F05C28" w:rsidRDefault="00F05C28" w:rsidP="00574B5E">
            <w:r w:rsidRPr="00F05C28">
              <w:t>Encouraging contact among students from different economic, social, and racial or ethnic backgrounds</w:t>
            </w:r>
          </w:p>
        </w:tc>
      </w:tr>
      <w:tr w:rsidR="00F05C28" w:rsidRPr="00F05C28" w14:paraId="6A7D94C3" w14:textId="77777777" w:rsidTr="00574B5E">
        <w:trPr>
          <w:trHeight w:val="315"/>
          <w:tblCellSpacing w:w="0" w:type="dxa"/>
        </w:trPr>
        <w:tc>
          <w:tcPr>
            <w:tcW w:w="0" w:type="auto"/>
            <w:tcMar>
              <w:top w:w="0" w:type="dxa"/>
              <w:left w:w="45" w:type="dxa"/>
              <w:bottom w:w="0" w:type="dxa"/>
              <w:right w:w="45" w:type="dxa"/>
            </w:tcMar>
            <w:vAlign w:val="bottom"/>
            <w:hideMark/>
          </w:tcPr>
          <w:p w14:paraId="72A6B220" w14:textId="77777777" w:rsidR="00F05C28" w:rsidRPr="00F05C28" w:rsidRDefault="00F05C28" w:rsidP="00574B5E">
            <w:r w:rsidRPr="00F05C28">
              <w:t>SCE</w:t>
            </w:r>
          </w:p>
        </w:tc>
        <w:tc>
          <w:tcPr>
            <w:tcW w:w="0" w:type="auto"/>
            <w:tcMar>
              <w:top w:w="0" w:type="dxa"/>
              <w:left w:w="45" w:type="dxa"/>
              <w:bottom w:w="0" w:type="dxa"/>
              <w:right w:w="45" w:type="dxa"/>
            </w:tcMar>
            <w:vAlign w:val="bottom"/>
            <w:hideMark/>
          </w:tcPr>
          <w:p w14:paraId="000C7AED" w14:textId="77777777" w:rsidR="00F05C28" w:rsidRPr="00F05C28" w:rsidRDefault="00F05C28" w:rsidP="00574B5E">
            <w:r w:rsidRPr="00F05C28">
              <w:t xml:space="preserve">10. d. </w:t>
            </w:r>
          </w:p>
        </w:tc>
        <w:tc>
          <w:tcPr>
            <w:tcW w:w="7556" w:type="dxa"/>
            <w:tcMar>
              <w:top w:w="0" w:type="dxa"/>
              <w:left w:w="45" w:type="dxa"/>
              <w:bottom w:w="0" w:type="dxa"/>
              <w:right w:w="45" w:type="dxa"/>
            </w:tcMar>
            <w:vAlign w:val="bottom"/>
            <w:hideMark/>
          </w:tcPr>
          <w:p w14:paraId="79D48EF7" w14:textId="77777777" w:rsidR="00F05C28" w:rsidRPr="00F05C28" w:rsidRDefault="00F05C28" w:rsidP="00574B5E">
            <w:r w:rsidRPr="00F05C28">
              <w:t>Helping you cope with your non-academic responsibilities (work, family, etc.)</w:t>
            </w:r>
          </w:p>
        </w:tc>
      </w:tr>
      <w:tr w:rsidR="00F05C28" w:rsidRPr="00F05C28" w14:paraId="4CADBCBE" w14:textId="77777777" w:rsidTr="00574B5E">
        <w:trPr>
          <w:trHeight w:val="315"/>
          <w:tblCellSpacing w:w="0" w:type="dxa"/>
        </w:trPr>
        <w:tc>
          <w:tcPr>
            <w:tcW w:w="0" w:type="auto"/>
            <w:tcBorders>
              <w:bottom w:val="single" w:sz="4" w:space="0" w:color="auto"/>
            </w:tcBorders>
            <w:tcMar>
              <w:top w:w="0" w:type="dxa"/>
              <w:left w:w="45" w:type="dxa"/>
              <w:bottom w:w="0" w:type="dxa"/>
              <w:right w:w="45" w:type="dxa"/>
            </w:tcMar>
            <w:vAlign w:val="bottom"/>
            <w:hideMark/>
          </w:tcPr>
          <w:p w14:paraId="6EC0EE34" w14:textId="77777777" w:rsidR="00F05C28" w:rsidRPr="00F05C28" w:rsidRDefault="00F05C28" w:rsidP="00574B5E">
            <w:r w:rsidRPr="00F05C28">
              <w:t>SCE</w:t>
            </w:r>
          </w:p>
        </w:tc>
        <w:tc>
          <w:tcPr>
            <w:tcW w:w="0" w:type="auto"/>
            <w:tcBorders>
              <w:bottom w:val="single" w:sz="4" w:space="0" w:color="auto"/>
            </w:tcBorders>
            <w:tcMar>
              <w:top w:w="0" w:type="dxa"/>
              <w:left w:w="45" w:type="dxa"/>
              <w:bottom w:w="0" w:type="dxa"/>
              <w:right w:w="45" w:type="dxa"/>
            </w:tcMar>
            <w:vAlign w:val="bottom"/>
            <w:hideMark/>
          </w:tcPr>
          <w:p w14:paraId="7A7F3A45" w14:textId="77777777" w:rsidR="00F05C28" w:rsidRPr="00F05C28" w:rsidRDefault="00F05C28" w:rsidP="00574B5E">
            <w:r w:rsidRPr="00F05C28">
              <w:t>10. e.</w:t>
            </w:r>
          </w:p>
        </w:tc>
        <w:tc>
          <w:tcPr>
            <w:tcW w:w="7556" w:type="dxa"/>
            <w:tcBorders>
              <w:bottom w:val="single" w:sz="4" w:space="0" w:color="auto"/>
            </w:tcBorders>
            <w:tcMar>
              <w:top w:w="0" w:type="dxa"/>
              <w:left w:w="45" w:type="dxa"/>
              <w:bottom w:w="0" w:type="dxa"/>
              <w:right w:w="45" w:type="dxa"/>
            </w:tcMar>
            <w:vAlign w:val="bottom"/>
            <w:hideMark/>
          </w:tcPr>
          <w:p w14:paraId="7DEB7328" w14:textId="77777777" w:rsidR="00F05C28" w:rsidRPr="00F05C28" w:rsidRDefault="00F05C28" w:rsidP="00574B5E">
            <w:r w:rsidRPr="00F05C28">
              <w:t xml:space="preserve">Providing the </w:t>
            </w:r>
            <w:proofErr w:type="gramStart"/>
            <w:r w:rsidRPr="00F05C28">
              <w:t>support</w:t>
            </w:r>
            <w:proofErr w:type="gramEnd"/>
            <w:r w:rsidRPr="00F05C28">
              <w:t xml:space="preserve"> you need to thrive socially</w:t>
            </w:r>
          </w:p>
        </w:tc>
      </w:tr>
    </w:tbl>
    <w:p w14:paraId="402E9E90" w14:textId="77777777" w:rsidR="00F05C28" w:rsidRPr="00F05C28" w:rsidRDefault="00F05C28" w:rsidP="00F05C28">
      <w:pPr>
        <w:spacing w:line="480" w:lineRule="auto"/>
      </w:pPr>
    </w:p>
    <w:p w14:paraId="5785D679" w14:textId="77777777" w:rsidR="00F05C28" w:rsidRPr="00F05C28" w:rsidRDefault="00F05C28" w:rsidP="00F05C28">
      <w:r w:rsidRPr="00F05C28">
        <w:br w:type="page"/>
      </w:r>
    </w:p>
    <w:tbl>
      <w:tblPr>
        <w:tblW w:w="9545" w:type="dxa"/>
        <w:tblLayout w:type="fixed"/>
        <w:tblLook w:val="04A0" w:firstRow="1" w:lastRow="0" w:firstColumn="1" w:lastColumn="0" w:noHBand="0" w:noVBand="1"/>
      </w:tblPr>
      <w:tblGrid>
        <w:gridCol w:w="2070"/>
        <w:gridCol w:w="3780"/>
        <w:gridCol w:w="3695"/>
      </w:tblGrid>
      <w:tr w:rsidR="00F05C28" w:rsidRPr="00F05C28" w14:paraId="4228BD1B" w14:textId="77777777" w:rsidTr="00574B5E">
        <w:trPr>
          <w:trHeight w:val="144"/>
        </w:trPr>
        <w:tc>
          <w:tcPr>
            <w:tcW w:w="9545" w:type="dxa"/>
            <w:gridSpan w:val="3"/>
            <w:tcBorders>
              <w:top w:val="nil"/>
              <w:left w:val="nil"/>
              <w:bottom w:val="single" w:sz="4" w:space="0" w:color="auto"/>
              <w:right w:val="nil"/>
            </w:tcBorders>
            <w:shd w:val="clear" w:color="auto" w:fill="auto"/>
            <w:noWrap/>
            <w:vAlign w:val="bottom"/>
            <w:hideMark/>
          </w:tcPr>
          <w:p w14:paraId="4481C9D5" w14:textId="77777777" w:rsidR="00F05C28" w:rsidRPr="00F05C28" w:rsidRDefault="00F05C28" w:rsidP="00574B5E">
            <w:pPr>
              <w:jc w:val="both"/>
              <w:rPr>
                <w:color w:val="000000"/>
              </w:rPr>
            </w:pPr>
            <w:r w:rsidRPr="00F05C28">
              <w:rPr>
                <w:color w:val="000000"/>
              </w:rPr>
              <w:lastRenderedPageBreak/>
              <w:t>Appendix B. Code Break down of Student Demographic Information Variables</w:t>
            </w:r>
          </w:p>
        </w:tc>
      </w:tr>
      <w:tr w:rsidR="00F05C28" w:rsidRPr="00F05C28" w14:paraId="280AB4EB" w14:textId="77777777" w:rsidTr="00574B5E">
        <w:trPr>
          <w:trHeight w:val="144"/>
        </w:trPr>
        <w:tc>
          <w:tcPr>
            <w:tcW w:w="2070" w:type="dxa"/>
            <w:tcBorders>
              <w:top w:val="nil"/>
              <w:left w:val="nil"/>
              <w:bottom w:val="nil"/>
              <w:right w:val="nil"/>
            </w:tcBorders>
            <w:shd w:val="clear" w:color="auto" w:fill="auto"/>
            <w:noWrap/>
            <w:hideMark/>
          </w:tcPr>
          <w:p w14:paraId="2FEB8EA6" w14:textId="77777777" w:rsidR="00F05C28" w:rsidRPr="00F05C28" w:rsidRDefault="00F05C28" w:rsidP="00574B5E">
            <w:pPr>
              <w:rPr>
                <w:color w:val="000000"/>
                <w:u w:val="single"/>
              </w:rPr>
            </w:pPr>
            <w:r w:rsidRPr="00F05C28">
              <w:rPr>
                <w:color w:val="000000"/>
                <w:u w:val="single"/>
              </w:rPr>
              <w:t>Variable</w:t>
            </w:r>
          </w:p>
        </w:tc>
        <w:tc>
          <w:tcPr>
            <w:tcW w:w="3780" w:type="dxa"/>
            <w:tcBorders>
              <w:top w:val="nil"/>
              <w:left w:val="nil"/>
              <w:bottom w:val="nil"/>
              <w:right w:val="nil"/>
            </w:tcBorders>
            <w:shd w:val="clear" w:color="auto" w:fill="auto"/>
            <w:hideMark/>
          </w:tcPr>
          <w:p w14:paraId="7ACC47F9" w14:textId="77777777" w:rsidR="00F05C28" w:rsidRPr="00F05C28" w:rsidRDefault="00F05C28" w:rsidP="00574B5E">
            <w:pPr>
              <w:rPr>
                <w:color w:val="000000"/>
                <w:u w:val="single"/>
              </w:rPr>
            </w:pPr>
            <w:r w:rsidRPr="00F05C28">
              <w:rPr>
                <w:color w:val="000000"/>
                <w:u w:val="single"/>
              </w:rPr>
              <w:t>Original Code</w:t>
            </w:r>
          </w:p>
        </w:tc>
        <w:tc>
          <w:tcPr>
            <w:tcW w:w="3695" w:type="dxa"/>
            <w:tcBorders>
              <w:top w:val="nil"/>
              <w:left w:val="nil"/>
              <w:bottom w:val="nil"/>
              <w:right w:val="nil"/>
            </w:tcBorders>
            <w:shd w:val="clear" w:color="auto" w:fill="auto"/>
            <w:hideMark/>
          </w:tcPr>
          <w:p w14:paraId="09F21B37" w14:textId="77777777" w:rsidR="00F05C28" w:rsidRPr="00F05C28" w:rsidRDefault="00F05C28" w:rsidP="00574B5E">
            <w:pPr>
              <w:rPr>
                <w:color w:val="000000"/>
                <w:u w:val="single"/>
              </w:rPr>
            </w:pPr>
            <w:r w:rsidRPr="00F05C28">
              <w:rPr>
                <w:color w:val="000000"/>
                <w:u w:val="single"/>
              </w:rPr>
              <w:t>Study Code</w:t>
            </w:r>
          </w:p>
        </w:tc>
      </w:tr>
      <w:tr w:rsidR="00F05C28" w:rsidRPr="00F05C28" w14:paraId="68E8F264" w14:textId="77777777" w:rsidTr="00574B5E">
        <w:trPr>
          <w:trHeight w:val="144"/>
        </w:trPr>
        <w:tc>
          <w:tcPr>
            <w:tcW w:w="2070" w:type="dxa"/>
            <w:tcBorders>
              <w:top w:val="nil"/>
              <w:left w:val="nil"/>
              <w:bottom w:val="nil"/>
              <w:right w:val="nil"/>
            </w:tcBorders>
            <w:shd w:val="clear" w:color="auto" w:fill="auto"/>
            <w:noWrap/>
            <w:hideMark/>
          </w:tcPr>
          <w:p w14:paraId="3DCB6E18" w14:textId="77777777" w:rsidR="00F05C28" w:rsidRPr="00F05C28" w:rsidRDefault="00F05C28" w:rsidP="00574B5E">
            <w:pPr>
              <w:rPr>
                <w:color w:val="000000"/>
              </w:rPr>
            </w:pPr>
            <w:r w:rsidRPr="00F05C28">
              <w:rPr>
                <w:color w:val="000000"/>
              </w:rPr>
              <w:t>Gender</w:t>
            </w:r>
          </w:p>
        </w:tc>
        <w:tc>
          <w:tcPr>
            <w:tcW w:w="3780" w:type="dxa"/>
            <w:tcBorders>
              <w:top w:val="nil"/>
              <w:left w:val="nil"/>
              <w:bottom w:val="nil"/>
              <w:right w:val="nil"/>
            </w:tcBorders>
            <w:shd w:val="clear" w:color="auto" w:fill="auto"/>
            <w:hideMark/>
          </w:tcPr>
          <w:p w14:paraId="404B5693" w14:textId="77777777" w:rsidR="00F05C28" w:rsidRPr="00F05C28" w:rsidRDefault="00F05C28" w:rsidP="00574B5E">
            <w:pPr>
              <w:rPr>
                <w:color w:val="000000"/>
              </w:rPr>
            </w:pPr>
            <w:r w:rsidRPr="00F05C28">
              <w:rPr>
                <w:color w:val="000000"/>
              </w:rPr>
              <w:t>1 = Male</w:t>
            </w:r>
            <w:r w:rsidRPr="00F05C28">
              <w:rPr>
                <w:color w:val="000000"/>
              </w:rPr>
              <w:br/>
              <w:t>2 = Female</w:t>
            </w:r>
          </w:p>
        </w:tc>
        <w:tc>
          <w:tcPr>
            <w:tcW w:w="3695" w:type="dxa"/>
            <w:tcBorders>
              <w:top w:val="nil"/>
              <w:left w:val="nil"/>
              <w:bottom w:val="nil"/>
              <w:right w:val="nil"/>
            </w:tcBorders>
            <w:shd w:val="clear" w:color="auto" w:fill="auto"/>
            <w:hideMark/>
          </w:tcPr>
          <w:p w14:paraId="254526A9" w14:textId="77777777" w:rsidR="00F05C28" w:rsidRPr="00F05C28" w:rsidRDefault="00F05C28" w:rsidP="00574B5E">
            <w:pPr>
              <w:rPr>
                <w:color w:val="000000"/>
              </w:rPr>
            </w:pPr>
            <w:r w:rsidRPr="00F05C28">
              <w:rPr>
                <w:color w:val="000000"/>
              </w:rPr>
              <w:t>1 = Male</w:t>
            </w:r>
            <w:r w:rsidRPr="00F05C28">
              <w:rPr>
                <w:color w:val="000000"/>
              </w:rPr>
              <w:br/>
              <w:t>2 = Female</w:t>
            </w:r>
            <w:r w:rsidRPr="00F05C28">
              <w:rPr>
                <w:color w:val="000000"/>
              </w:rPr>
              <w:br/>
              <w:t>0 = Unknown</w:t>
            </w:r>
          </w:p>
        </w:tc>
      </w:tr>
      <w:tr w:rsidR="00F05C28" w:rsidRPr="00F05C28" w14:paraId="1AFB494B" w14:textId="77777777" w:rsidTr="00574B5E">
        <w:trPr>
          <w:trHeight w:val="144"/>
        </w:trPr>
        <w:tc>
          <w:tcPr>
            <w:tcW w:w="2070" w:type="dxa"/>
            <w:tcBorders>
              <w:top w:val="nil"/>
              <w:left w:val="nil"/>
              <w:bottom w:val="nil"/>
              <w:right w:val="nil"/>
            </w:tcBorders>
            <w:shd w:val="clear" w:color="auto" w:fill="auto"/>
            <w:noWrap/>
            <w:hideMark/>
          </w:tcPr>
          <w:p w14:paraId="4BA7CDBB" w14:textId="77777777" w:rsidR="00F05C28" w:rsidRPr="00F05C28" w:rsidRDefault="00F05C28" w:rsidP="00574B5E">
            <w:pPr>
              <w:rPr>
                <w:color w:val="000000"/>
              </w:rPr>
            </w:pPr>
            <w:r w:rsidRPr="00F05C28">
              <w:rPr>
                <w:color w:val="000000"/>
              </w:rPr>
              <w:t>Race/Ethnicity</w:t>
            </w:r>
          </w:p>
        </w:tc>
        <w:tc>
          <w:tcPr>
            <w:tcW w:w="3780" w:type="dxa"/>
            <w:tcBorders>
              <w:top w:val="nil"/>
              <w:left w:val="nil"/>
              <w:bottom w:val="nil"/>
              <w:right w:val="nil"/>
            </w:tcBorders>
            <w:shd w:val="clear" w:color="auto" w:fill="auto"/>
            <w:hideMark/>
          </w:tcPr>
          <w:p w14:paraId="7F8C4BE2" w14:textId="77777777" w:rsidR="00F05C28" w:rsidRPr="00F05C28" w:rsidRDefault="00F05C28" w:rsidP="00574B5E">
            <w:pPr>
              <w:rPr>
                <w:color w:val="000000"/>
              </w:rPr>
            </w:pPr>
            <w:r w:rsidRPr="00F05C28">
              <w:rPr>
                <w:color w:val="000000"/>
              </w:rPr>
              <w:t>1 = American Indian/Other Native American</w:t>
            </w:r>
            <w:r w:rsidRPr="00F05C28">
              <w:rPr>
                <w:color w:val="000000"/>
              </w:rPr>
              <w:br/>
              <w:t>2 = Asian/Asian American/Pacific Islander</w:t>
            </w:r>
            <w:r w:rsidRPr="00F05C28">
              <w:rPr>
                <w:color w:val="000000"/>
              </w:rPr>
              <w:br/>
              <w:t>3 = Black/African American</w:t>
            </w:r>
            <w:r w:rsidRPr="00F05C28">
              <w:rPr>
                <w:color w:val="000000"/>
              </w:rPr>
              <w:br/>
              <w:t>4 = White (non-Hispanic)</w:t>
            </w:r>
            <w:r w:rsidRPr="00F05C28">
              <w:rPr>
                <w:color w:val="000000"/>
              </w:rPr>
              <w:br/>
              <w:t>5 = Mexican</w:t>
            </w:r>
            <w:r w:rsidRPr="00F05C28">
              <w:rPr>
                <w:color w:val="000000"/>
              </w:rPr>
              <w:br/>
              <w:t>6 = Puerto Rican</w:t>
            </w:r>
            <w:r w:rsidRPr="00F05C28">
              <w:rPr>
                <w:color w:val="000000"/>
              </w:rPr>
              <w:br/>
              <w:t xml:space="preserve">7 = </w:t>
            </w:r>
            <w:proofErr w:type="gramStart"/>
            <w:r w:rsidRPr="00F05C28">
              <w:rPr>
                <w:color w:val="000000"/>
              </w:rPr>
              <w:t>Other</w:t>
            </w:r>
            <w:proofErr w:type="gramEnd"/>
            <w:r w:rsidRPr="00F05C28">
              <w:rPr>
                <w:color w:val="000000"/>
              </w:rPr>
              <w:t xml:space="preserve"> Hispanic/Latino</w:t>
            </w:r>
            <w:r w:rsidRPr="00F05C28">
              <w:rPr>
                <w:color w:val="000000"/>
              </w:rPr>
              <w:br/>
              <w:t>8 = Multiracial</w:t>
            </w:r>
            <w:r w:rsidRPr="00F05C28">
              <w:rPr>
                <w:color w:val="000000"/>
              </w:rPr>
              <w:br/>
              <w:t>9 = Other</w:t>
            </w:r>
            <w:r w:rsidRPr="00F05C28">
              <w:rPr>
                <w:color w:val="000000"/>
              </w:rPr>
              <w:br/>
              <w:t>10 = I prefer not to say</w:t>
            </w:r>
          </w:p>
        </w:tc>
        <w:tc>
          <w:tcPr>
            <w:tcW w:w="3695" w:type="dxa"/>
            <w:tcBorders>
              <w:top w:val="nil"/>
              <w:left w:val="nil"/>
              <w:bottom w:val="nil"/>
              <w:right w:val="nil"/>
            </w:tcBorders>
            <w:shd w:val="clear" w:color="auto" w:fill="auto"/>
            <w:hideMark/>
          </w:tcPr>
          <w:p w14:paraId="44480BD8" w14:textId="77777777" w:rsidR="00F05C28" w:rsidRPr="00F05C28" w:rsidRDefault="00F05C28" w:rsidP="00574B5E">
            <w:pPr>
              <w:rPr>
                <w:color w:val="000000"/>
              </w:rPr>
            </w:pPr>
            <w:r w:rsidRPr="00F05C28">
              <w:rPr>
                <w:color w:val="000000"/>
              </w:rPr>
              <w:t>1 = American Indian/Native American</w:t>
            </w:r>
            <w:r w:rsidRPr="00F05C28">
              <w:rPr>
                <w:color w:val="000000"/>
              </w:rPr>
              <w:br/>
              <w:t>2 = Asian/Pacific Islander</w:t>
            </w:r>
            <w:r w:rsidRPr="00F05C28">
              <w:rPr>
                <w:color w:val="000000"/>
              </w:rPr>
              <w:br/>
              <w:t>3 = Black/African American</w:t>
            </w:r>
            <w:r w:rsidRPr="00F05C28">
              <w:rPr>
                <w:color w:val="000000"/>
              </w:rPr>
              <w:br/>
              <w:t>4 = White</w:t>
            </w:r>
            <w:r w:rsidRPr="00F05C28">
              <w:rPr>
                <w:color w:val="000000"/>
              </w:rPr>
              <w:br/>
              <w:t>5 = Latinx (Mexican, Puerto Rican, Other)</w:t>
            </w:r>
            <w:r w:rsidRPr="00F05C28">
              <w:rPr>
                <w:color w:val="000000"/>
              </w:rPr>
              <w:br/>
              <w:t>6 = Multiracial</w:t>
            </w:r>
            <w:r w:rsidRPr="00F05C28">
              <w:rPr>
                <w:color w:val="000000"/>
              </w:rPr>
              <w:br/>
              <w:t>7 = Other</w:t>
            </w:r>
            <w:r w:rsidRPr="00F05C28">
              <w:rPr>
                <w:color w:val="000000"/>
              </w:rPr>
              <w:br/>
              <w:t>8 = Decline to state</w:t>
            </w:r>
          </w:p>
        </w:tc>
      </w:tr>
      <w:tr w:rsidR="00F05C28" w:rsidRPr="00F05C28" w14:paraId="6AD727C0" w14:textId="77777777" w:rsidTr="00574B5E">
        <w:trPr>
          <w:trHeight w:val="144"/>
        </w:trPr>
        <w:tc>
          <w:tcPr>
            <w:tcW w:w="2070" w:type="dxa"/>
            <w:tcBorders>
              <w:top w:val="nil"/>
              <w:left w:val="nil"/>
              <w:bottom w:val="nil"/>
              <w:right w:val="nil"/>
            </w:tcBorders>
            <w:shd w:val="clear" w:color="auto" w:fill="auto"/>
            <w:noWrap/>
            <w:hideMark/>
          </w:tcPr>
          <w:p w14:paraId="35378455" w14:textId="77777777" w:rsidR="00F05C28" w:rsidRPr="00F05C28" w:rsidRDefault="00F05C28" w:rsidP="00574B5E">
            <w:pPr>
              <w:rPr>
                <w:color w:val="000000"/>
              </w:rPr>
            </w:pPr>
            <w:r w:rsidRPr="00F05C28">
              <w:rPr>
                <w:color w:val="000000"/>
              </w:rPr>
              <w:t>Nationality</w:t>
            </w:r>
          </w:p>
        </w:tc>
        <w:tc>
          <w:tcPr>
            <w:tcW w:w="3780" w:type="dxa"/>
            <w:tcBorders>
              <w:top w:val="nil"/>
              <w:left w:val="nil"/>
              <w:bottom w:val="nil"/>
              <w:right w:val="nil"/>
            </w:tcBorders>
            <w:shd w:val="clear" w:color="auto" w:fill="auto"/>
            <w:hideMark/>
          </w:tcPr>
          <w:p w14:paraId="2DDC92A9" w14:textId="77777777" w:rsidR="00F05C28" w:rsidRPr="00F05C28" w:rsidRDefault="00F05C28" w:rsidP="00574B5E">
            <w:pPr>
              <w:rPr>
                <w:color w:val="000000"/>
              </w:rPr>
            </w:pPr>
            <w:r w:rsidRPr="00F05C28">
              <w:rPr>
                <w:color w:val="000000"/>
              </w:rPr>
              <w:t>1 = No</w:t>
            </w:r>
            <w:r w:rsidRPr="00F05C28">
              <w:rPr>
                <w:color w:val="000000"/>
              </w:rPr>
              <w:br/>
              <w:t>2 = Yes</w:t>
            </w:r>
          </w:p>
        </w:tc>
        <w:tc>
          <w:tcPr>
            <w:tcW w:w="3695" w:type="dxa"/>
            <w:tcBorders>
              <w:top w:val="nil"/>
              <w:left w:val="nil"/>
              <w:bottom w:val="nil"/>
              <w:right w:val="nil"/>
            </w:tcBorders>
            <w:shd w:val="clear" w:color="auto" w:fill="auto"/>
            <w:hideMark/>
          </w:tcPr>
          <w:p w14:paraId="01F338D0" w14:textId="77777777" w:rsidR="00F05C28" w:rsidRPr="00F05C28" w:rsidRDefault="00F05C28" w:rsidP="00574B5E">
            <w:pPr>
              <w:rPr>
                <w:color w:val="000000"/>
              </w:rPr>
            </w:pPr>
            <w:r w:rsidRPr="00F05C28">
              <w:rPr>
                <w:color w:val="000000"/>
              </w:rPr>
              <w:t>1 = Domestic</w:t>
            </w:r>
            <w:r w:rsidRPr="00F05C28">
              <w:rPr>
                <w:color w:val="000000"/>
              </w:rPr>
              <w:br/>
              <w:t>2 = International</w:t>
            </w:r>
          </w:p>
        </w:tc>
      </w:tr>
      <w:tr w:rsidR="00F05C28" w:rsidRPr="00F05C28" w14:paraId="2BF90AEA" w14:textId="77777777" w:rsidTr="00574B5E">
        <w:trPr>
          <w:trHeight w:val="144"/>
        </w:trPr>
        <w:tc>
          <w:tcPr>
            <w:tcW w:w="2070" w:type="dxa"/>
            <w:tcBorders>
              <w:top w:val="nil"/>
              <w:left w:val="nil"/>
              <w:bottom w:val="nil"/>
              <w:right w:val="nil"/>
            </w:tcBorders>
            <w:shd w:val="clear" w:color="auto" w:fill="auto"/>
            <w:noWrap/>
            <w:hideMark/>
          </w:tcPr>
          <w:p w14:paraId="5B1CE6B0" w14:textId="77777777" w:rsidR="00F05C28" w:rsidRPr="00F05C28" w:rsidRDefault="00F05C28" w:rsidP="00574B5E">
            <w:pPr>
              <w:rPr>
                <w:color w:val="000000"/>
              </w:rPr>
            </w:pPr>
            <w:r w:rsidRPr="00F05C28">
              <w:rPr>
                <w:color w:val="000000"/>
              </w:rPr>
              <w:t>Class Level</w:t>
            </w:r>
          </w:p>
        </w:tc>
        <w:tc>
          <w:tcPr>
            <w:tcW w:w="3780" w:type="dxa"/>
            <w:tcBorders>
              <w:top w:val="nil"/>
              <w:left w:val="nil"/>
              <w:bottom w:val="nil"/>
              <w:right w:val="nil"/>
            </w:tcBorders>
            <w:shd w:val="clear" w:color="auto" w:fill="auto"/>
            <w:hideMark/>
          </w:tcPr>
          <w:p w14:paraId="7ECADB1B" w14:textId="77777777" w:rsidR="00F05C28" w:rsidRPr="00F05C28" w:rsidRDefault="00F05C28" w:rsidP="00574B5E">
            <w:pPr>
              <w:rPr>
                <w:color w:val="000000"/>
              </w:rPr>
            </w:pPr>
            <w:r w:rsidRPr="00F05C28">
              <w:rPr>
                <w:color w:val="000000"/>
              </w:rPr>
              <w:t>1 = Freshmen/First Year</w:t>
            </w:r>
            <w:r w:rsidRPr="00F05C28">
              <w:rPr>
                <w:color w:val="000000"/>
              </w:rPr>
              <w:br/>
              <w:t>4 = Senior</w:t>
            </w:r>
          </w:p>
        </w:tc>
        <w:tc>
          <w:tcPr>
            <w:tcW w:w="3695" w:type="dxa"/>
            <w:tcBorders>
              <w:top w:val="nil"/>
              <w:left w:val="nil"/>
              <w:bottom w:val="nil"/>
              <w:right w:val="nil"/>
            </w:tcBorders>
            <w:shd w:val="clear" w:color="auto" w:fill="auto"/>
            <w:hideMark/>
          </w:tcPr>
          <w:p w14:paraId="47448D99" w14:textId="77777777" w:rsidR="00F05C28" w:rsidRPr="00F05C28" w:rsidRDefault="00F05C28" w:rsidP="00574B5E">
            <w:pPr>
              <w:rPr>
                <w:color w:val="000000"/>
              </w:rPr>
            </w:pPr>
            <w:r w:rsidRPr="00F05C28">
              <w:rPr>
                <w:color w:val="000000"/>
              </w:rPr>
              <w:t>1 = Freshmen/First Year</w:t>
            </w:r>
            <w:r w:rsidRPr="00F05C28">
              <w:rPr>
                <w:color w:val="000000"/>
              </w:rPr>
              <w:br/>
              <w:t>4 = Senior</w:t>
            </w:r>
          </w:p>
        </w:tc>
      </w:tr>
      <w:tr w:rsidR="00F05C28" w:rsidRPr="00F05C28" w14:paraId="393EE288" w14:textId="77777777" w:rsidTr="00574B5E">
        <w:trPr>
          <w:trHeight w:val="144"/>
        </w:trPr>
        <w:tc>
          <w:tcPr>
            <w:tcW w:w="2070" w:type="dxa"/>
            <w:tcBorders>
              <w:top w:val="nil"/>
              <w:left w:val="nil"/>
              <w:bottom w:val="nil"/>
              <w:right w:val="nil"/>
            </w:tcBorders>
            <w:shd w:val="clear" w:color="auto" w:fill="auto"/>
            <w:noWrap/>
            <w:hideMark/>
          </w:tcPr>
          <w:p w14:paraId="0C246ECE" w14:textId="77777777" w:rsidR="00F05C28" w:rsidRPr="00F05C28" w:rsidRDefault="00F05C28" w:rsidP="00574B5E">
            <w:pPr>
              <w:rPr>
                <w:color w:val="000000"/>
              </w:rPr>
            </w:pPr>
            <w:r w:rsidRPr="00F05C28">
              <w:rPr>
                <w:color w:val="000000"/>
              </w:rPr>
              <w:t>Transfer Status</w:t>
            </w:r>
          </w:p>
        </w:tc>
        <w:tc>
          <w:tcPr>
            <w:tcW w:w="3780" w:type="dxa"/>
            <w:tcBorders>
              <w:top w:val="nil"/>
              <w:left w:val="nil"/>
              <w:bottom w:val="nil"/>
              <w:right w:val="nil"/>
            </w:tcBorders>
            <w:shd w:val="clear" w:color="auto" w:fill="auto"/>
            <w:hideMark/>
          </w:tcPr>
          <w:p w14:paraId="6CBB865C" w14:textId="77777777" w:rsidR="00F05C28" w:rsidRPr="00F05C28" w:rsidRDefault="00F05C28" w:rsidP="00574B5E">
            <w:pPr>
              <w:rPr>
                <w:color w:val="000000"/>
              </w:rPr>
            </w:pPr>
            <w:r w:rsidRPr="00F05C28">
              <w:rPr>
                <w:color w:val="000000"/>
              </w:rPr>
              <w:t>1 = Started here</w:t>
            </w:r>
            <w:r w:rsidRPr="00F05C28">
              <w:rPr>
                <w:color w:val="000000"/>
              </w:rPr>
              <w:br/>
              <w:t>2 = Started elsewhere</w:t>
            </w:r>
          </w:p>
        </w:tc>
        <w:tc>
          <w:tcPr>
            <w:tcW w:w="3695" w:type="dxa"/>
            <w:tcBorders>
              <w:top w:val="nil"/>
              <w:left w:val="nil"/>
              <w:bottom w:val="nil"/>
              <w:right w:val="nil"/>
            </w:tcBorders>
            <w:shd w:val="clear" w:color="auto" w:fill="auto"/>
            <w:hideMark/>
          </w:tcPr>
          <w:p w14:paraId="711E7A18" w14:textId="77777777" w:rsidR="00F05C28" w:rsidRPr="00F05C28" w:rsidRDefault="00F05C28" w:rsidP="00574B5E">
            <w:pPr>
              <w:rPr>
                <w:color w:val="000000"/>
              </w:rPr>
            </w:pPr>
            <w:r w:rsidRPr="00F05C28">
              <w:rPr>
                <w:color w:val="000000"/>
              </w:rPr>
              <w:t>1 = First-time student</w:t>
            </w:r>
            <w:r w:rsidRPr="00F05C28">
              <w:rPr>
                <w:color w:val="000000"/>
              </w:rPr>
              <w:br/>
              <w:t>2 = Transfer student</w:t>
            </w:r>
          </w:p>
        </w:tc>
      </w:tr>
      <w:tr w:rsidR="00F05C28" w:rsidRPr="00F05C28" w14:paraId="3DA5243F" w14:textId="77777777" w:rsidTr="00574B5E">
        <w:trPr>
          <w:trHeight w:val="144"/>
        </w:trPr>
        <w:tc>
          <w:tcPr>
            <w:tcW w:w="2070" w:type="dxa"/>
            <w:tcBorders>
              <w:top w:val="nil"/>
              <w:left w:val="nil"/>
              <w:bottom w:val="nil"/>
              <w:right w:val="nil"/>
            </w:tcBorders>
            <w:shd w:val="clear" w:color="auto" w:fill="auto"/>
            <w:noWrap/>
            <w:hideMark/>
          </w:tcPr>
          <w:p w14:paraId="3C853FF7" w14:textId="77777777" w:rsidR="00F05C28" w:rsidRPr="00F05C28" w:rsidRDefault="00F05C28" w:rsidP="00574B5E">
            <w:pPr>
              <w:rPr>
                <w:color w:val="000000"/>
              </w:rPr>
            </w:pPr>
            <w:r w:rsidRPr="00F05C28">
              <w:rPr>
                <w:color w:val="000000"/>
              </w:rPr>
              <w:t>Enrollment Status</w:t>
            </w:r>
          </w:p>
        </w:tc>
        <w:tc>
          <w:tcPr>
            <w:tcW w:w="3780" w:type="dxa"/>
            <w:tcBorders>
              <w:top w:val="nil"/>
              <w:left w:val="nil"/>
              <w:bottom w:val="nil"/>
              <w:right w:val="nil"/>
            </w:tcBorders>
            <w:shd w:val="clear" w:color="auto" w:fill="auto"/>
            <w:hideMark/>
          </w:tcPr>
          <w:p w14:paraId="5EF3C849" w14:textId="77777777" w:rsidR="00F05C28" w:rsidRPr="00F05C28" w:rsidRDefault="00F05C28" w:rsidP="00574B5E">
            <w:pPr>
              <w:rPr>
                <w:color w:val="000000"/>
              </w:rPr>
            </w:pPr>
            <w:r w:rsidRPr="00F05C28">
              <w:rPr>
                <w:color w:val="000000"/>
              </w:rPr>
              <w:t>1 = Less than full-time</w:t>
            </w:r>
            <w:r w:rsidRPr="00F05C28">
              <w:rPr>
                <w:color w:val="000000"/>
              </w:rPr>
              <w:br/>
              <w:t>2 = Full-time</w:t>
            </w:r>
          </w:p>
        </w:tc>
        <w:tc>
          <w:tcPr>
            <w:tcW w:w="3695" w:type="dxa"/>
            <w:tcBorders>
              <w:top w:val="nil"/>
              <w:left w:val="nil"/>
              <w:bottom w:val="nil"/>
              <w:right w:val="nil"/>
            </w:tcBorders>
            <w:shd w:val="clear" w:color="auto" w:fill="auto"/>
            <w:hideMark/>
          </w:tcPr>
          <w:p w14:paraId="49578564" w14:textId="77777777" w:rsidR="00F05C28" w:rsidRPr="00F05C28" w:rsidRDefault="00F05C28" w:rsidP="00574B5E">
            <w:pPr>
              <w:rPr>
                <w:color w:val="000000"/>
              </w:rPr>
            </w:pPr>
            <w:r w:rsidRPr="00F05C28">
              <w:rPr>
                <w:color w:val="000000"/>
              </w:rPr>
              <w:t>1 = Part-time</w:t>
            </w:r>
            <w:r w:rsidRPr="00F05C28">
              <w:rPr>
                <w:color w:val="000000"/>
              </w:rPr>
              <w:br/>
              <w:t>2 = Full-time</w:t>
            </w:r>
          </w:p>
        </w:tc>
      </w:tr>
      <w:tr w:rsidR="00F05C28" w:rsidRPr="00F05C28" w14:paraId="674AC67C" w14:textId="77777777" w:rsidTr="00574B5E">
        <w:trPr>
          <w:trHeight w:val="144"/>
        </w:trPr>
        <w:tc>
          <w:tcPr>
            <w:tcW w:w="2070" w:type="dxa"/>
            <w:tcBorders>
              <w:top w:val="nil"/>
              <w:left w:val="nil"/>
              <w:bottom w:val="nil"/>
              <w:right w:val="nil"/>
            </w:tcBorders>
            <w:shd w:val="clear" w:color="auto" w:fill="auto"/>
            <w:noWrap/>
            <w:hideMark/>
          </w:tcPr>
          <w:p w14:paraId="036C5357" w14:textId="77777777" w:rsidR="00F05C28" w:rsidRPr="00F05C28" w:rsidRDefault="00F05C28" w:rsidP="00574B5E">
            <w:pPr>
              <w:rPr>
                <w:color w:val="000000"/>
              </w:rPr>
            </w:pPr>
            <w:r w:rsidRPr="00F05C28">
              <w:rPr>
                <w:color w:val="000000"/>
              </w:rPr>
              <w:t>Residential Status</w:t>
            </w:r>
          </w:p>
        </w:tc>
        <w:tc>
          <w:tcPr>
            <w:tcW w:w="3780" w:type="dxa"/>
            <w:tcBorders>
              <w:top w:val="nil"/>
              <w:left w:val="nil"/>
              <w:bottom w:val="nil"/>
              <w:right w:val="nil"/>
            </w:tcBorders>
            <w:shd w:val="clear" w:color="auto" w:fill="auto"/>
            <w:hideMark/>
          </w:tcPr>
          <w:p w14:paraId="6DC5EAE6" w14:textId="77777777" w:rsidR="00F05C28" w:rsidRPr="00F05C28" w:rsidRDefault="00F05C28" w:rsidP="00574B5E">
            <w:pPr>
              <w:rPr>
                <w:color w:val="000000"/>
              </w:rPr>
            </w:pPr>
            <w:r w:rsidRPr="00F05C28">
              <w:rPr>
                <w:color w:val="000000"/>
              </w:rPr>
              <w:t>1 = Dormitory or other campus housing (not fraternity/sorority)</w:t>
            </w:r>
            <w:r w:rsidRPr="00F05C28">
              <w:rPr>
                <w:color w:val="000000"/>
              </w:rPr>
              <w:br/>
              <w:t>2 = Residence within walking distance of the institution</w:t>
            </w:r>
            <w:r w:rsidRPr="00F05C28">
              <w:rPr>
                <w:color w:val="000000"/>
              </w:rPr>
              <w:br/>
              <w:t>3 = Residence within driving distance of the institution</w:t>
            </w:r>
            <w:r w:rsidRPr="00F05C28">
              <w:rPr>
                <w:color w:val="000000"/>
              </w:rPr>
              <w:br/>
              <w:t>4 = Fraternity or Sorority house</w:t>
            </w:r>
            <w:r w:rsidRPr="00F05C28">
              <w:rPr>
                <w:color w:val="000000"/>
              </w:rPr>
              <w:br/>
              <w:t>5 = None of the above</w:t>
            </w:r>
          </w:p>
        </w:tc>
        <w:tc>
          <w:tcPr>
            <w:tcW w:w="3695" w:type="dxa"/>
            <w:tcBorders>
              <w:top w:val="nil"/>
              <w:left w:val="nil"/>
              <w:bottom w:val="nil"/>
              <w:right w:val="nil"/>
            </w:tcBorders>
            <w:shd w:val="clear" w:color="auto" w:fill="auto"/>
            <w:hideMark/>
          </w:tcPr>
          <w:p w14:paraId="5CD15F88" w14:textId="77777777" w:rsidR="00F05C28" w:rsidRPr="00F05C28" w:rsidRDefault="00F05C28" w:rsidP="00574B5E">
            <w:pPr>
              <w:rPr>
                <w:color w:val="000000"/>
              </w:rPr>
            </w:pPr>
            <w:r w:rsidRPr="00F05C28">
              <w:rPr>
                <w:color w:val="000000"/>
              </w:rPr>
              <w:t>1 = On campus</w:t>
            </w:r>
            <w:r w:rsidRPr="00F05C28">
              <w:rPr>
                <w:color w:val="000000"/>
              </w:rPr>
              <w:br/>
              <w:t>2 = Commuter (residence within walking and within driving distance)</w:t>
            </w:r>
            <w:r w:rsidRPr="00F05C28">
              <w:rPr>
                <w:color w:val="000000"/>
              </w:rPr>
              <w:br/>
              <w:t>3 = Fraternity or Sorority house</w:t>
            </w:r>
            <w:r w:rsidRPr="00F05C28">
              <w:rPr>
                <w:color w:val="000000"/>
              </w:rPr>
              <w:br/>
              <w:t>4 = None of the above</w:t>
            </w:r>
          </w:p>
        </w:tc>
      </w:tr>
      <w:tr w:rsidR="00F05C28" w:rsidRPr="00CE6923" w14:paraId="2F6183B9" w14:textId="77777777" w:rsidTr="00574B5E">
        <w:trPr>
          <w:trHeight w:val="144"/>
        </w:trPr>
        <w:tc>
          <w:tcPr>
            <w:tcW w:w="2070" w:type="dxa"/>
            <w:tcBorders>
              <w:top w:val="nil"/>
              <w:left w:val="nil"/>
              <w:bottom w:val="single" w:sz="4" w:space="0" w:color="auto"/>
              <w:right w:val="nil"/>
            </w:tcBorders>
            <w:shd w:val="clear" w:color="auto" w:fill="auto"/>
            <w:hideMark/>
          </w:tcPr>
          <w:p w14:paraId="3AAD7A55" w14:textId="77777777" w:rsidR="00F05C28" w:rsidRPr="00F05C28" w:rsidRDefault="00F05C28" w:rsidP="00574B5E">
            <w:pPr>
              <w:rPr>
                <w:color w:val="000000"/>
              </w:rPr>
            </w:pPr>
            <w:r w:rsidRPr="00F05C28">
              <w:rPr>
                <w:color w:val="000000"/>
              </w:rPr>
              <w:t>Parent's Education (includes the highest education level of the Father and Mother)</w:t>
            </w:r>
          </w:p>
        </w:tc>
        <w:tc>
          <w:tcPr>
            <w:tcW w:w="3780" w:type="dxa"/>
            <w:tcBorders>
              <w:top w:val="nil"/>
              <w:left w:val="nil"/>
              <w:bottom w:val="single" w:sz="4" w:space="0" w:color="auto"/>
              <w:right w:val="nil"/>
            </w:tcBorders>
            <w:shd w:val="clear" w:color="auto" w:fill="auto"/>
            <w:hideMark/>
          </w:tcPr>
          <w:p w14:paraId="2C3AEF50" w14:textId="77777777" w:rsidR="00F05C28" w:rsidRPr="00F05C28" w:rsidRDefault="00F05C28" w:rsidP="00574B5E">
            <w:pPr>
              <w:rPr>
                <w:color w:val="000000"/>
              </w:rPr>
            </w:pPr>
            <w:r w:rsidRPr="00F05C28">
              <w:rPr>
                <w:color w:val="000000"/>
              </w:rPr>
              <w:t>1 = Did not finish high school</w:t>
            </w:r>
            <w:r w:rsidRPr="00F05C28">
              <w:rPr>
                <w:color w:val="000000"/>
              </w:rPr>
              <w:br/>
              <w:t>2 = Graduated from high school</w:t>
            </w:r>
            <w:r w:rsidRPr="00F05C28">
              <w:rPr>
                <w:color w:val="000000"/>
              </w:rPr>
              <w:br/>
              <w:t>3 = Attend College but did not compute degree</w:t>
            </w:r>
            <w:r w:rsidRPr="00F05C28">
              <w:rPr>
                <w:color w:val="000000"/>
              </w:rPr>
              <w:br/>
              <w:t>4 = Completed an Associate degree</w:t>
            </w:r>
            <w:r w:rsidRPr="00F05C28">
              <w:rPr>
                <w:color w:val="000000"/>
              </w:rPr>
              <w:br/>
              <w:t xml:space="preserve">5 = Completed a </w:t>
            </w:r>
            <w:proofErr w:type="gramStart"/>
            <w:r w:rsidRPr="00F05C28">
              <w:rPr>
                <w:color w:val="000000"/>
              </w:rPr>
              <w:t>Bachelor’s</w:t>
            </w:r>
            <w:proofErr w:type="gramEnd"/>
            <w:r w:rsidRPr="00F05C28">
              <w:rPr>
                <w:color w:val="000000"/>
              </w:rPr>
              <w:t xml:space="preserve"> degree</w:t>
            </w:r>
            <w:r w:rsidRPr="00F05C28">
              <w:rPr>
                <w:color w:val="000000"/>
              </w:rPr>
              <w:br/>
              <w:t>6 = Completed a Master’s degree</w:t>
            </w:r>
            <w:r w:rsidRPr="00F05C28">
              <w:rPr>
                <w:color w:val="000000"/>
              </w:rPr>
              <w:br/>
              <w:t>7 = Completed a Doctoral degree</w:t>
            </w:r>
          </w:p>
        </w:tc>
        <w:tc>
          <w:tcPr>
            <w:tcW w:w="3695" w:type="dxa"/>
            <w:tcBorders>
              <w:top w:val="nil"/>
              <w:left w:val="nil"/>
              <w:bottom w:val="single" w:sz="4" w:space="0" w:color="auto"/>
              <w:right w:val="nil"/>
            </w:tcBorders>
            <w:shd w:val="clear" w:color="auto" w:fill="auto"/>
            <w:hideMark/>
          </w:tcPr>
          <w:p w14:paraId="6BFBA122" w14:textId="77777777" w:rsidR="00F05C28" w:rsidRPr="00CE6923" w:rsidRDefault="00F05C28" w:rsidP="00574B5E">
            <w:pPr>
              <w:rPr>
                <w:color w:val="000000"/>
              </w:rPr>
            </w:pPr>
            <w:r w:rsidRPr="00F05C28">
              <w:rPr>
                <w:color w:val="000000"/>
              </w:rPr>
              <w:t>1 = Below high school</w:t>
            </w:r>
            <w:r w:rsidRPr="00F05C28">
              <w:rPr>
                <w:color w:val="000000"/>
              </w:rPr>
              <w:br/>
              <w:t>2 = High school diploma/GED</w:t>
            </w:r>
            <w:r w:rsidRPr="00F05C28">
              <w:rPr>
                <w:color w:val="000000"/>
              </w:rPr>
              <w:br/>
              <w:t>3 = Some college</w:t>
            </w:r>
            <w:r w:rsidRPr="00F05C28">
              <w:rPr>
                <w:color w:val="000000"/>
              </w:rPr>
              <w:br/>
              <w:t>4 = Associates</w:t>
            </w:r>
            <w:r w:rsidRPr="00F05C28">
              <w:rPr>
                <w:color w:val="000000"/>
              </w:rPr>
              <w:br/>
              <w:t>5 = Bachelors</w:t>
            </w:r>
            <w:r w:rsidRPr="00F05C28">
              <w:rPr>
                <w:color w:val="000000"/>
              </w:rPr>
              <w:br/>
              <w:t>6 = Masters</w:t>
            </w:r>
            <w:r w:rsidRPr="00F05C28">
              <w:rPr>
                <w:color w:val="000000"/>
              </w:rPr>
              <w:br/>
              <w:t>7 = Doctorate</w:t>
            </w:r>
          </w:p>
        </w:tc>
      </w:tr>
    </w:tbl>
    <w:p w14:paraId="4B07191D" w14:textId="77777777" w:rsidR="00F05C28" w:rsidRPr="005B3FD7" w:rsidRDefault="00F05C28" w:rsidP="00F05C28"/>
    <w:p w14:paraId="35097CD8" w14:textId="6CAC9068" w:rsidR="00CE6923" w:rsidRDefault="00CE6923" w:rsidP="00F05C28">
      <w:pPr>
        <w:spacing w:after="160" w:line="259" w:lineRule="auto"/>
        <w:jc w:val="center"/>
      </w:pPr>
    </w:p>
    <w:p w14:paraId="332CE0BD" w14:textId="5BB68F58" w:rsidR="0053262B" w:rsidRDefault="0053262B" w:rsidP="00F05C28">
      <w:pPr>
        <w:spacing w:after="160" w:line="259" w:lineRule="auto"/>
        <w:jc w:val="center"/>
      </w:pPr>
    </w:p>
    <w:p w14:paraId="05A61743" w14:textId="4FD71538" w:rsidR="0053262B" w:rsidRDefault="0053262B" w:rsidP="00F05C28">
      <w:pPr>
        <w:spacing w:after="160" w:line="259" w:lineRule="auto"/>
        <w:jc w:val="center"/>
      </w:pPr>
    </w:p>
    <w:p w14:paraId="0955E1CF" w14:textId="12C363C1" w:rsidR="0053262B" w:rsidRDefault="0053262B" w:rsidP="00F05C28">
      <w:pPr>
        <w:spacing w:after="160" w:line="259" w:lineRule="auto"/>
        <w:jc w:val="center"/>
      </w:pPr>
      <w:r>
        <w:lastRenderedPageBreak/>
        <w:t>VITA</w:t>
      </w:r>
    </w:p>
    <w:p w14:paraId="306985F5" w14:textId="77777777" w:rsidR="001C648C" w:rsidRPr="00F4336F" w:rsidRDefault="001C648C" w:rsidP="001C648C">
      <w:pPr>
        <w:shd w:val="clear" w:color="auto" w:fill="FFFFFF"/>
        <w:spacing w:line="480" w:lineRule="auto"/>
        <w:rPr>
          <w:color w:val="222222"/>
        </w:rPr>
      </w:pPr>
      <w:r w:rsidRPr="00F4336F">
        <w:rPr>
          <w:color w:val="222222"/>
        </w:rPr>
        <w:t>Ashley Redix currently serves as a research analyst in the California Community College system.  Prior to coming to the California Community college system, Ashley served as a data and systems analyst for the University of Southern California, with several years of experience in student affairs and program development, as well as experience in academic, college, and financial aid advising. Ms. Redix received a bachelor’s degree in American Studies with a concentration in Marketing from the University of California, Berkeley in 2010, and a master’s degree in School Counseling from the University of Southern California in 2012. Ashley is proud to be an avid student advocate and a transformative and data-driven educator. Her interest in educational research was sparked during the completion of her undergraduate thesis that explored the marketing of higher education to high school students. Ms. Redix’s current research interests include access to higher education for underrepresented student populations, college student development, and the integration and retention of underrepresented student populations.</w:t>
      </w:r>
    </w:p>
    <w:p w14:paraId="6CD69B3B" w14:textId="77777777" w:rsidR="001C648C" w:rsidRPr="005B3FD7" w:rsidRDefault="001C648C" w:rsidP="00F05C28">
      <w:pPr>
        <w:spacing w:after="160" w:line="259" w:lineRule="auto"/>
        <w:jc w:val="center"/>
      </w:pPr>
    </w:p>
    <w:sectPr w:rsidR="001C648C" w:rsidRPr="005B3FD7" w:rsidSect="0053262B">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3AF95E7" w14:textId="77777777" w:rsidR="006C142B" w:rsidRDefault="006C142B" w:rsidP="00E75E3E">
      <w:r>
        <w:separator/>
      </w:r>
    </w:p>
  </w:endnote>
  <w:endnote w:type="continuationSeparator" w:id="0">
    <w:p w14:paraId="442667BB" w14:textId="77777777" w:rsidR="006C142B" w:rsidRDefault="006C142B" w:rsidP="00E75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TimesNewRomanPSMT">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8044221"/>
      <w:docPartObj>
        <w:docPartGallery w:val="Page Numbers (Bottom of Page)"/>
        <w:docPartUnique/>
      </w:docPartObj>
    </w:sdtPr>
    <w:sdtEndPr>
      <w:rPr>
        <w:rStyle w:val="PageNumber"/>
      </w:rPr>
    </w:sdtEndPr>
    <w:sdtContent>
      <w:p w14:paraId="23DB3180" w14:textId="3A87A917" w:rsidR="00574B5E" w:rsidRDefault="00574B5E" w:rsidP="00574B5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C1571AF" w14:textId="77777777" w:rsidR="00574B5E" w:rsidRDefault="00574B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78519912"/>
      <w:docPartObj>
        <w:docPartGallery w:val="Page Numbers (Bottom of Page)"/>
        <w:docPartUnique/>
      </w:docPartObj>
    </w:sdtPr>
    <w:sdtEndPr>
      <w:rPr>
        <w:rStyle w:val="PageNumber"/>
      </w:rPr>
    </w:sdtEndPr>
    <w:sdtContent>
      <w:p w14:paraId="26164993" w14:textId="699A0AD3" w:rsidR="00574B5E" w:rsidRDefault="00574B5E" w:rsidP="00574B5E">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8EADBBD" w14:textId="77777777" w:rsidR="00574B5E" w:rsidRDefault="00574B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02527EA" w14:textId="77777777" w:rsidR="006C142B" w:rsidRDefault="006C142B" w:rsidP="00E75E3E">
      <w:r>
        <w:separator/>
      </w:r>
    </w:p>
  </w:footnote>
  <w:footnote w:type="continuationSeparator" w:id="0">
    <w:p w14:paraId="2DC92640" w14:textId="77777777" w:rsidR="006C142B" w:rsidRDefault="006C142B" w:rsidP="00E75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77230351"/>
      <w:docPartObj>
        <w:docPartGallery w:val="Page Numbers (Top of Page)"/>
        <w:docPartUnique/>
      </w:docPartObj>
    </w:sdtPr>
    <w:sdtEndPr>
      <w:rPr>
        <w:rStyle w:val="PageNumber"/>
      </w:rPr>
    </w:sdtEndPr>
    <w:sdtContent>
      <w:p w14:paraId="6A5B3D42" w14:textId="77777777" w:rsidR="00574B5E" w:rsidRDefault="00574B5E" w:rsidP="007F752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986888126"/>
      <w:docPartObj>
        <w:docPartGallery w:val="Page Numbers (Top of Page)"/>
        <w:docPartUnique/>
      </w:docPartObj>
    </w:sdtPr>
    <w:sdtEndPr>
      <w:rPr>
        <w:rStyle w:val="PageNumber"/>
      </w:rPr>
    </w:sdtEndPr>
    <w:sdtContent>
      <w:p w14:paraId="4949F101" w14:textId="77777777" w:rsidR="00574B5E" w:rsidRDefault="00574B5E" w:rsidP="00F91554">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4AFA003" w14:textId="77777777" w:rsidR="00574B5E" w:rsidRDefault="00574B5E" w:rsidP="00F9155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9A4083" w14:textId="77777777" w:rsidR="00574B5E" w:rsidRPr="0029243B" w:rsidRDefault="00574B5E" w:rsidP="00F91554">
    <w:pPr>
      <w:pStyle w:val="Header"/>
      <w:ind w:right="360"/>
      <w:jc w:val="right"/>
      <w:rPr>
        <w:color w:val="FFFFFF" w:themeColor="background1"/>
      </w:rPr>
    </w:pPr>
  </w:p>
  <w:p w14:paraId="65A9ABC4" w14:textId="77777777" w:rsidR="00574B5E" w:rsidRDefault="00574B5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0E7917" w14:textId="77777777" w:rsidR="00574B5E" w:rsidRDefault="00574B5E" w:rsidP="00F91554">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8962ECE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CE95D0F"/>
    <w:multiLevelType w:val="hybridMultilevel"/>
    <w:tmpl w:val="F4642B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D229D5"/>
    <w:multiLevelType w:val="hybridMultilevel"/>
    <w:tmpl w:val="27F40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4BC48A3"/>
    <w:multiLevelType w:val="multilevel"/>
    <w:tmpl w:val="FDC400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5843E08"/>
    <w:multiLevelType w:val="multilevel"/>
    <w:tmpl w:val="FDC400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33B67F5"/>
    <w:multiLevelType w:val="hybridMultilevel"/>
    <w:tmpl w:val="F4642B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AE32F3D"/>
    <w:multiLevelType w:val="multilevel"/>
    <w:tmpl w:val="FDC400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
  </w:num>
  <w:num w:numId="3">
    <w:abstractNumId w:val="6"/>
  </w:num>
  <w:num w:numId="4">
    <w:abstractNumId w:val="5"/>
  </w:num>
  <w:num w:numId="5">
    <w:abstractNumId w:val="1"/>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E3E"/>
    <w:rsid w:val="00014F5C"/>
    <w:rsid w:val="0001528C"/>
    <w:rsid w:val="00037D1B"/>
    <w:rsid w:val="00045AFA"/>
    <w:rsid w:val="00057DDE"/>
    <w:rsid w:val="00057EF4"/>
    <w:rsid w:val="000611F4"/>
    <w:rsid w:val="00077A44"/>
    <w:rsid w:val="0008407F"/>
    <w:rsid w:val="000A01B5"/>
    <w:rsid w:val="000B5A92"/>
    <w:rsid w:val="000F4973"/>
    <w:rsid w:val="00104D64"/>
    <w:rsid w:val="0011089F"/>
    <w:rsid w:val="00121B77"/>
    <w:rsid w:val="00125141"/>
    <w:rsid w:val="001316C8"/>
    <w:rsid w:val="0013757E"/>
    <w:rsid w:val="00143D34"/>
    <w:rsid w:val="00154EFB"/>
    <w:rsid w:val="001829F8"/>
    <w:rsid w:val="001830D2"/>
    <w:rsid w:val="001A06A8"/>
    <w:rsid w:val="001C648C"/>
    <w:rsid w:val="0022004A"/>
    <w:rsid w:val="00234C77"/>
    <w:rsid w:val="00253A38"/>
    <w:rsid w:val="00264C49"/>
    <w:rsid w:val="0027124A"/>
    <w:rsid w:val="0029243B"/>
    <w:rsid w:val="0029568B"/>
    <w:rsid w:val="002C01CC"/>
    <w:rsid w:val="00321B25"/>
    <w:rsid w:val="00350932"/>
    <w:rsid w:val="00365B60"/>
    <w:rsid w:val="00383D8A"/>
    <w:rsid w:val="00387F50"/>
    <w:rsid w:val="003B6929"/>
    <w:rsid w:val="003C1B09"/>
    <w:rsid w:val="003E1AB9"/>
    <w:rsid w:val="003E669F"/>
    <w:rsid w:val="003F543E"/>
    <w:rsid w:val="004061A5"/>
    <w:rsid w:val="0042106B"/>
    <w:rsid w:val="00423E6E"/>
    <w:rsid w:val="00446949"/>
    <w:rsid w:val="004530AE"/>
    <w:rsid w:val="00454839"/>
    <w:rsid w:val="00493E2A"/>
    <w:rsid w:val="00494E7A"/>
    <w:rsid w:val="004A3F0E"/>
    <w:rsid w:val="004C5187"/>
    <w:rsid w:val="004F7568"/>
    <w:rsid w:val="0050107A"/>
    <w:rsid w:val="00527201"/>
    <w:rsid w:val="0053262B"/>
    <w:rsid w:val="00570298"/>
    <w:rsid w:val="00574B5E"/>
    <w:rsid w:val="00590858"/>
    <w:rsid w:val="005A7C4E"/>
    <w:rsid w:val="005B3FD7"/>
    <w:rsid w:val="005C6EB7"/>
    <w:rsid w:val="00603E3F"/>
    <w:rsid w:val="00612E85"/>
    <w:rsid w:val="00674A1F"/>
    <w:rsid w:val="00687B38"/>
    <w:rsid w:val="006913C1"/>
    <w:rsid w:val="00697D00"/>
    <w:rsid w:val="006A2E6B"/>
    <w:rsid w:val="006A3EF8"/>
    <w:rsid w:val="006A3FE0"/>
    <w:rsid w:val="006C142B"/>
    <w:rsid w:val="006D009C"/>
    <w:rsid w:val="00723E2D"/>
    <w:rsid w:val="00730C96"/>
    <w:rsid w:val="0073422C"/>
    <w:rsid w:val="00757FBE"/>
    <w:rsid w:val="00770230"/>
    <w:rsid w:val="00776DF2"/>
    <w:rsid w:val="00781EFF"/>
    <w:rsid w:val="007A7EC1"/>
    <w:rsid w:val="007D094C"/>
    <w:rsid w:val="007E11AE"/>
    <w:rsid w:val="007E73F1"/>
    <w:rsid w:val="007F7527"/>
    <w:rsid w:val="0082057C"/>
    <w:rsid w:val="00820C8F"/>
    <w:rsid w:val="00823A31"/>
    <w:rsid w:val="0083138D"/>
    <w:rsid w:val="008337C7"/>
    <w:rsid w:val="0084390C"/>
    <w:rsid w:val="008750F8"/>
    <w:rsid w:val="008A566F"/>
    <w:rsid w:val="008A7936"/>
    <w:rsid w:val="008E4316"/>
    <w:rsid w:val="008E6FC8"/>
    <w:rsid w:val="008F059B"/>
    <w:rsid w:val="00907100"/>
    <w:rsid w:val="009212F2"/>
    <w:rsid w:val="0092411F"/>
    <w:rsid w:val="00927FAD"/>
    <w:rsid w:val="00943B4D"/>
    <w:rsid w:val="009443C5"/>
    <w:rsid w:val="00950BEF"/>
    <w:rsid w:val="00966690"/>
    <w:rsid w:val="009765E7"/>
    <w:rsid w:val="00981D05"/>
    <w:rsid w:val="009E4F5F"/>
    <w:rsid w:val="009F595F"/>
    <w:rsid w:val="00A325F5"/>
    <w:rsid w:val="00A43C28"/>
    <w:rsid w:val="00A61AE2"/>
    <w:rsid w:val="00A70C40"/>
    <w:rsid w:val="00AB4903"/>
    <w:rsid w:val="00AC1621"/>
    <w:rsid w:val="00AC43B4"/>
    <w:rsid w:val="00AC4CC5"/>
    <w:rsid w:val="00AE0538"/>
    <w:rsid w:val="00AE6DEB"/>
    <w:rsid w:val="00AF0D69"/>
    <w:rsid w:val="00B23041"/>
    <w:rsid w:val="00B7532D"/>
    <w:rsid w:val="00B76774"/>
    <w:rsid w:val="00B819DA"/>
    <w:rsid w:val="00B86D42"/>
    <w:rsid w:val="00B928CB"/>
    <w:rsid w:val="00BB4DCD"/>
    <w:rsid w:val="00BD361C"/>
    <w:rsid w:val="00BE2540"/>
    <w:rsid w:val="00C6298B"/>
    <w:rsid w:val="00C63213"/>
    <w:rsid w:val="00C74F4E"/>
    <w:rsid w:val="00C900B6"/>
    <w:rsid w:val="00CA1697"/>
    <w:rsid w:val="00CA6F48"/>
    <w:rsid w:val="00CB7221"/>
    <w:rsid w:val="00CD5A41"/>
    <w:rsid w:val="00CE6923"/>
    <w:rsid w:val="00CF30C2"/>
    <w:rsid w:val="00CF75F8"/>
    <w:rsid w:val="00D27782"/>
    <w:rsid w:val="00D27E2B"/>
    <w:rsid w:val="00D44540"/>
    <w:rsid w:val="00D4745A"/>
    <w:rsid w:val="00D5214F"/>
    <w:rsid w:val="00D53DF2"/>
    <w:rsid w:val="00D61D13"/>
    <w:rsid w:val="00D639DB"/>
    <w:rsid w:val="00D653F1"/>
    <w:rsid w:val="00D744F8"/>
    <w:rsid w:val="00D82A76"/>
    <w:rsid w:val="00DA19CD"/>
    <w:rsid w:val="00DA3E48"/>
    <w:rsid w:val="00DA5C4E"/>
    <w:rsid w:val="00DB0D7C"/>
    <w:rsid w:val="00DC26ED"/>
    <w:rsid w:val="00DE4EBE"/>
    <w:rsid w:val="00E02F15"/>
    <w:rsid w:val="00E22FBE"/>
    <w:rsid w:val="00E568E2"/>
    <w:rsid w:val="00E75E3E"/>
    <w:rsid w:val="00E86652"/>
    <w:rsid w:val="00E9777D"/>
    <w:rsid w:val="00EA5F3A"/>
    <w:rsid w:val="00EB2F83"/>
    <w:rsid w:val="00EC0A8B"/>
    <w:rsid w:val="00EC79EE"/>
    <w:rsid w:val="00EE3A45"/>
    <w:rsid w:val="00F05C28"/>
    <w:rsid w:val="00F05CB0"/>
    <w:rsid w:val="00F152A6"/>
    <w:rsid w:val="00F3536D"/>
    <w:rsid w:val="00F36CF6"/>
    <w:rsid w:val="00F55153"/>
    <w:rsid w:val="00F74FAA"/>
    <w:rsid w:val="00F761D2"/>
    <w:rsid w:val="00F80A07"/>
    <w:rsid w:val="00F84062"/>
    <w:rsid w:val="00F91554"/>
    <w:rsid w:val="00F94750"/>
    <w:rsid w:val="00FC6961"/>
    <w:rsid w:val="00FD0006"/>
    <w:rsid w:val="00FD34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DF6378"/>
  <w15:chartTrackingRefBased/>
  <w15:docId w15:val="{4750453B-D151-4012-AD61-66958D651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0858"/>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7F752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BodyText"/>
    <w:link w:val="Heading2Char"/>
    <w:autoRedefine/>
    <w:uiPriority w:val="9"/>
    <w:unhideWhenUsed/>
    <w:qFormat/>
    <w:rsid w:val="00077A44"/>
    <w:pPr>
      <w:keepNext/>
      <w:keepLines/>
      <w:spacing w:before="200"/>
      <w:jc w:val="center"/>
      <w:outlineLvl w:val="1"/>
    </w:pPr>
    <w:rPr>
      <w:rFonts w:asciiTheme="majorHAnsi" w:eastAsiaTheme="majorEastAsia" w:hAnsiTheme="majorHAnsi" w:cstheme="majorBidi"/>
      <w:b/>
      <w:bCs/>
      <w:color w:val="5B9BD5" w:themeColor="accent1"/>
      <w:sz w:val="32"/>
      <w:szCs w:val="32"/>
    </w:rPr>
  </w:style>
  <w:style w:type="paragraph" w:styleId="Heading3">
    <w:name w:val="heading 3"/>
    <w:basedOn w:val="Normal"/>
    <w:next w:val="BodyText"/>
    <w:link w:val="Heading3Char"/>
    <w:autoRedefine/>
    <w:uiPriority w:val="9"/>
    <w:unhideWhenUsed/>
    <w:qFormat/>
    <w:rsid w:val="00077A44"/>
    <w:pPr>
      <w:keepNext/>
      <w:keepLines/>
      <w:spacing w:before="200"/>
      <w:jc w:val="center"/>
      <w:outlineLvl w:val="2"/>
    </w:pPr>
    <w:rPr>
      <w:rFonts w:asciiTheme="majorHAnsi" w:eastAsiaTheme="majorEastAsia" w:hAnsiTheme="majorHAnsi" w:cstheme="majorBidi"/>
      <w:b/>
      <w:bCs/>
      <w:color w:val="5B9BD5" w:themeColor="accent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5E3E"/>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E75E3E"/>
  </w:style>
  <w:style w:type="paragraph" w:styleId="Footer">
    <w:name w:val="footer"/>
    <w:basedOn w:val="Normal"/>
    <w:link w:val="FooterChar"/>
    <w:uiPriority w:val="99"/>
    <w:unhideWhenUsed/>
    <w:rsid w:val="00E75E3E"/>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E75E3E"/>
  </w:style>
  <w:style w:type="character" w:styleId="CommentReference">
    <w:name w:val="annotation reference"/>
    <w:basedOn w:val="DefaultParagraphFont"/>
    <w:uiPriority w:val="99"/>
    <w:semiHidden/>
    <w:unhideWhenUsed/>
    <w:rsid w:val="00CA6F48"/>
    <w:rPr>
      <w:sz w:val="18"/>
      <w:szCs w:val="18"/>
    </w:rPr>
  </w:style>
  <w:style w:type="paragraph" w:styleId="ListBullet">
    <w:name w:val="List Bullet"/>
    <w:basedOn w:val="Normal"/>
    <w:uiPriority w:val="99"/>
    <w:unhideWhenUsed/>
    <w:rsid w:val="00CA6F48"/>
    <w:pPr>
      <w:numPr>
        <w:numId w:val="1"/>
      </w:numPr>
      <w:pBdr>
        <w:top w:val="nil"/>
        <w:left w:val="nil"/>
        <w:bottom w:val="nil"/>
        <w:right w:val="nil"/>
        <w:between w:val="nil"/>
      </w:pBdr>
      <w:spacing w:after="160" w:line="259" w:lineRule="auto"/>
      <w:contextualSpacing/>
    </w:pPr>
    <w:rPr>
      <w:rFonts w:ascii="Calibri" w:eastAsia="Calibri" w:hAnsi="Calibri" w:cs="Calibri"/>
      <w:color w:val="000000"/>
      <w:sz w:val="22"/>
      <w:szCs w:val="22"/>
    </w:rPr>
  </w:style>
  <w:style w:type="paragraph" w:styleId="BalloonText">
    <w:name w:val="Balloon Text"/>
    <w:basedOn w:val="Normal"/>
    <w:link w:val="BalloonTextChar"/>
    <w:uiPriority w:val="99"/>
    <w:semiHidden/>
    <w:unhideWhenUsed/>
    <w:rsid w:val="00F74FA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4FAA"/>
    <w:rPr>
      <w:rFonts w:ascii="Segoe UI" w:hAnsi="Segoe UI" w:cs="Segoe UI"/>
      <w:sz w:val="18"/>
      <w:szCs w:val="18"/>
    </w:rPr>
  </w:style>
  <w:style w:type="paragraph" w:styleId="NormalWeb">
    <w:name w:val="Normal (Web)"/>
    <w:basedOn w:val="Normal"/>
    <w:uiPriority w:val="99"/>
    <w:unhideWhenUsed/>
    <w:rsid w:val="00CD5A41"/>
    <w:pPr>
      <w:spacing w:before="100" w:beforeAutospacing="1" w:after="100" w:afterAutospacing="1"/>
    </w:pPr>
  </w:style>
  <w:style w:type="character" w:customStyle="1" w:styleId="Heading2Char">
    <w:name w:val="Heading 2 Char"/>
    <w:basedOn w:val="DefaultParagraphFont"/>
    <w:link w:val="Heading2"/>
    <w:uiPriority w:val="9"/>
    <w:rsid w:val="00077A44"/>
    <w:rPr>
      <w:rFonts w:asciiTheme="majorHAnsi" w:eastAsiaTheme="majorEastAsia" w:hAnsiTheme="majorHAnsi" w:cstheme="majorBidi"/>
      <w:b/>
      <w:bCs/>
      <w:color w:val="5B9BD5" w:themeColor="accent1"/>
      <w:sz w:val="32"/>
      <w:szCs w:val="32"/>
    </w:rPr>
  </w:style>
  <w:style w:type="character" w:customStyle="1" w:styleId="Heading3Char">
    <w:name w:val="Heading 3 Char"/>
    <w:basedOn w:val="DefaultParagraphFont"/>
    <w:link w:val="Heading3"/>
    <w:uiPriority w:val="9"/>
    <w:rsid w:val="00077A44"/>
    <w:rPr>
      <w:rFonts w:asciiTheme="majorHAnsi" w:eastAsiaTheme="majorEastAsia" w:hAnsiTheme="majorHAnsi" w:cstheme="majorBidi"/>
      <w:b/>
      <w:bCs/>
      <w:color w:val="5B9BD5" w:themeColor="accent1"/>
      <w:sz w:val="28"/>
      <w:szCs w:val="28"/>
    </w:rPr>
  </w:style>
  <w:style w:type="paragraph" w:styleId="BodyText">
    <w:name w:val="Body Text"/>
    <w:basedOn w:val="Normal"/>
    <w:link w:val="BodyTextChar"/>
    <w:uiPriority w:val="99"/>
    <w:semiHidden/>
    <w:unhideWhenUsed/>
    <w:rsid w:val="00077A44"/>
    <w:pPr>
      <w:spacing w:after="120" w:line="259" w:lineRule="auto"/>
    </w:pPr>
    <w:rPr>
      <w:rFonts w:asciiTheme="minorHAnsi" w:eastAsiaTheme="minorHAnsi" w:hAnsiTheme="minorHAnsi" w:cstheme="minorBidi"/>
      <w:sz w:val="22"/>
      <w:szCs w:val="22"/>
    </w:rPr>
  </w:style>
  <w:style w:type="character" w:customStyle="1" w:styleId="BodyTextChar">
    <w:name w:val="Body Text Char"/>
    <w:basedOn w:val="DefaultParagraphFont"/>
    <w:link w:val="BodyText"/>
    <w:uiPriority w:val="99"/>
    <w:semiHidden/>
    <w:rsid w:val="00077A44"/>
  </w:style>
  <w:style w:type="paragraph" w:styleId="ListParagraph">
    <w:name w:val="List Paragraph"/>
    <w:basedOn w:val="Normal"/>
    <w:uiPriority w:val="34"/>
    <w:qFormat/>
    <w:rsid w:val="00077A44"/>
    <w:pPr>
      <w:spacing w:after="160" w:line="259" w:lineRule="auto"/>
      <w:ind w:left="720"/>
      <w:contextualSpacing/>
    </w:pPr>
    <w:rPr>
      <w:rFonts w:asciiTheme="minorHAnsi" w:eastAsiaTheme="minorHAnsi" w:hAnsiTheme="minorHAnsi" w:cstheme="minorBidi"/>
      <w:sz w:val="22"/>
      <w:szCs w:val="22"/>
    </w:rPr>
  </w:style>
  <w:style w:type="paragraph" w:styleId="CommentText">
    <w:name w:val="annotation text"/>
    <w:basedOn w:val="Normal"/>
    <w:link w:val="CommentTextChar"/>
    <w:uiPriority w:val="99"/>
    <w:semiHidden/>
    <w:unhideWhenUsed/>
    <w:rsid w:val="00077A44"/>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77A44"/>
    <w:rPr>
      <w:sz w:val="20"/>
      <w:szCs w:val="20"/>
    </w:rPr>
  </w:style>
  <w:style w:type="paragraph" w:styleId="CommentSubject">
    <w:name w:val="annotation subject"/>
    <w:basedOn w:val="CommentText"/>
    <w:next w:val="CommentText"/>
    <w:link w:val="CommentSubjectChar"/>
    <w:uiPriority w:val="99"/>
    <w:semiHidden/>
    <w:unhideWhenUsed/>
    <w:rsid w:val="00077A44"/>
    <w:rPr>
      <w:b/>
      <w:bCs/>
    </w:rPr>
  </w:style>
  <w:style w:type="character" w:customStyle="1" w:styleId="CommentSubjectChar">
    <w:name w:val="Comment Subject Char"/>
    <w:basedOn w:val="CommentTextChar"/>
    <w:link w:val="CommentSubject"/>
    <w:uiPriority w:val="99"/>
    <w:semiHidden/>
    <w:rsid w:val="00077A44"/>
    <w:rPr>
      <w:b/>
      <w:bCs/>
      <w:sz w:val="20"/>
      <w:szCs w:val="20"/>
    </w:rPr>
  </w:style>
  <w:style w:type="paragraph" w:styleId="Revision">
    <w:name w:val="Revision"/>
    <w:hidden/>
    <w:uiPriority w:val="99"/>
    <w:semiHidden/>
    <w:rsid w:val="00077A44"/>
    <w:pPr>
      <w:spacing w:after="0" w:line="240" w:lineRule="auto"/>
    </w:pPr>
  </w:style>
  <w:style w:type="character" w:styleId="PageNumber">
    <w:name w:val="page number"/>
    <w:basedOn w:val="DefaultParagraphFont"/>
    <w:uiPriority w:val="99"/>
    <w:semiHidden/>
    <w:unhideWhenUsed/>
    <w:rsid w:val="00F91554"/>
  </w:style>
  <w:style w:type="paragraph" w:styleId="TOC1">
    <w:name w:val="toc 1"/>
    <w:basedOn w:val="Normal"/>
    <w:next w:val="Normal"/>
    <w:autoRedefine/>
    <w:uiPriority w:val="39"/>
    <w:unhideWhenUsed/>
    <w:rsid w:val="00DA19CD"/>
    <w:pPr>
      <w:spacing w:before="120"/>
    </w:pPr>
    <w:rPr>
      <w:rFonts w:asciiTheme="minorHAnsi" w:hAnsiTheme="minorHAnsi" w:cstheme="minorHAnsi"/>
      <w:b/>
      <w:bCs/>
      <w:i/>
      <w:iCs/>
    </w:rPr>
  </w:style>
  <w:style w:type="character" w:styleId="Hyperlink">
    <w:name w:val="Hyperlink"/>
    <w:basedOn w:val="DefaultParagraphFont"/>
    <w:uiPriority w:val="99"/>
    <w:unhideWhenUsed/>
    <w:rsid w:val="00DA19CD"/>
    <w:rPr>
      <w:color w:val="0563C1" w:themeColor="hyperlink"/>
      <w:u w:val="single"/>
    </w:rPr>
  </w:style>
  <w:style w:type="character" w:customStyle="1" w:styleId="Heading1Char">
    <w:name w:val="Heading 1 Char"/>
    <w:basedOn w:val="DefaultParagraphFont"/>
    <w:link w:val="Heading1"/>
    <w:uiPriority w:val="9"/>
    <w:rsid w:val="007F7527"/>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7F7527"/>
    <w:pPr>
      <w:spacing w:before="480" w:line="276" w:lineRule="auto"/>
      <w:outlineLvl w:val="9"/>
    </w:pPr>
    <w:rPr>
      <w:b/>
      <w:bCs/>
      <w:sz w:val="28"/>
      <w:szCs w:val="28"/>
    </w:rPr>
  </w:style>
  <w:style w:type="paragraph" w:styleId="TOC2">
    <w:name w:val="toc 2"/>
    <w:basedOn w:val="Normal"/>
    <w:next w:val="Normal"/>
    <w:autoRedefine/>
    <w:uiPriority w:val="39"/>
    <w:semiHidden/>
    <w:unhideWhenUsed/>
    <w:rsid w:val="007F7527"/>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semiHidden/>
    <w:unhideWhenUsed/>
    <w:rsid w:val="007F7527"/>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7F7527"/>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7F7527"/>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7F7527"/>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7F7527"/>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7F7527"/>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7F7527"/>
    <w:pPr>
      <w:ind w:left="1920"/>
    </w:pPr>
    <w:rPr>
      <w:rFonts w:asciiTheme="minorHAnsi" w:hAnsiTheme="minorHAnsi" w:cstheme="minorHAnsi"/>
      <w:sz w:val="20"/>
      <w:szCs w:val="20"/>
    </w:rPr>
  </w:style>
  <w:style w:type="character" w:styleId="Strong">
    <w:name w:val="Strong"/>
    <w:basedOn w:val="DefaultParagraphFont"/>
    <w:uiPriority w:val="22"/>
    <w:qFormat/>
    <w:rsid w:val="00F05C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6906164">
      <w:bodyDiv w:val="1"/>
      <w:marLeft w:val="0"/>
      <w:marRight w:val="0"/>
      <w:marTop w:val="0"/>
      <w:marBottom w:val="0"/>
      <w:divBdr>
        <w:top w:val="none" w:sz="0" w:space="0" w:color="auto"/>
        <w:left w:val="none" w:sz="0" w:space="0" w:color="auto"/>
        <w:bottom w:val="none" w:sz="0" w:space="0" w:color="auto"/>
        <w:right w:val="none" w:sz="0" w:space="0" w:color="auto"/>
      </w:divBdr>
      <w:divsChild>
        <w:div w:id="77792034">
          <w:marLeft w:val="0"/>
          <w:marRight w:val="0"/>
          <w:marTop w:val="0"/>
          <w:marBottom w:val="0"/>
          <w:divBdr>
            <w:top w:val="none" w:sz="0" w:space="0" w:color="auto"/>
            <w:left w:val="none" w:sz="0" w:space="0" w:color="auto"/>
            <w:bottom w:val="none" w:sz="0" w:space="0" w:color="auto"/>
            <w:right w:val="none" w:sz="0" w:space="0" w:color="auto"/>
          </w:divBdr>
          <w:divsChild>
            <w:div w:id="1621182779">
              <w:marLeft w:val="0"/>
              <w:marRight w:val="0"/>
              <w:marTop w:val="0"/>
              <w:marBottom w:val="0"/>
              <w:divBdr>
                <w:top w:val="none" w:sz="0" w:space="0" w:color="auto"/>
                <w:left w:val="none" w:sz="0" w:space="0" w:color="auto"/>
                <w:bottom w:val="none" w:sz="0" w:space="0" w:color="auto"/>
                <w:right w:val="none" w:sz="0" w:space="0" w:color="auto"/>
              </w:divBdr>
              <w:divsChild>
                <w:div w:id="2042825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949362">
      <w:bodyDiv w:val="1"/>
      <w:marLeft w:val="0"/>
      <w:marRight w:val="0"/>
      <w:marTop w:val="0"/>
      <w:marBottom w:val="0"/>
      <w:divBdr>
        <w:top w:val="none" w:sz="0" w:space="0" w:color="auto"/>
        <w:left w:val="none" w:sz="0" w:space="0" w:color="auto"/>
        <w:bottom w:val="none" w:sz="0" w:space="0" w:color="auto"/>
        <w:right w:val="none" w:sz="0" w:space="0" w:color="auto"/>
      </w:divBdr>
    </w:div>
    <w:div w:id="841243187">
      <w:bodyDiv w:val="1"/>
      <w:marLeft w:val="0"/>
      <w:marRight w:val="0"/>
      <w:marTop w:val="0"/>
      <w:marBottom w:val="0"/>
      <w:divBdr>
        <w:top w:val="none" w:sz="0" w:space="0" w:color="auto"/>
        <w:left w:val="none" w:sz="0" w:space="0" w:color="auto"/>
        <w:bottom w:val="none" w:sz="0" w:space="0" w:color="auto"/>
        <w:right w:val="none" w:sz="0" w:space="0" w:color="auto"/>
      </w:divBdr>
      <w:divsChild>
        <w:div w:id="378360916">
          <w:marLeft w:val="0"/>
          <w:marRight w:val="0"/>
          <w:marTop w:val="0"/>
          <w:marBottom w:val="0"/>
          <w:divBdr>
            <w:top w:val="none" w:sz="0" w:space="0" w:color="auto"/>
            <w:left w:val="none" w:sz="0" w:space="0" w:color="auto"/>
            <w:bottom w:val="none" w:sz="0" w:space="0" w:color="auto"/>
            <w:right w:val="none" w:sz="0" w:space="0" w:color="auto"/>
          </w:divBdr>
          <w:divsChild>
            <w:div w:id="2089501965">
              <w:marLeft w:val="0"/>
              <w:marRight w:val="0"/>
              <w:marTop w:val="0"/>
              <w:marBottom w:val="0"/>
              <w:divBdr>
                <w:top w:val="none" w:sz="0" w:space="0" w:color="auto"/>
                <w:left w:val="none" w:sz="0" w:space="0" w:color="auto"/>
                <w:bottom w:val="none" w:sz="0" w:space="0" w:color="auto"/>
                <w:right w:val="none" w:sz="0" w:space="0" w:color="auto"/>
              </w:divBdr>
              <w:divsChild>
                <w:div w:id="12840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31981">
      <w:bodyDiv w:val="1"/>
      <w:marLeft w:val="0"/>
      <w:marRight w:val="0"/>
      <w:marTop w:val="0"/>
      <w:marBottom w:val="0"/>
      <w:divBdr>
        <w:top w:val="none" w:sz="0" w:space="0" w:color="auto"/>
        <w:left w:val="none" w:sz="0" w:space="0" w:color="auto"/>
        <w:bottom w:val="none" w:sz="0" w:space="0" w:color="auto"/>
        <w:right w:val="none" w:sz="0" w:space="0" w:color="auto"/>
      </w:divBdr>
      <w:divsChild>
        <w:div w:id="2045784726">
          <w:marLeft w:val="0"/>
          <w:marRight w:val="0"/>
          <w:marTop w:val="0"/>
          <w:marBottom w:val="0"/>
          <w:divBdr>
            <w:top w:val="none" w:sz="0" w:space="0" w:color="auto"/>
            <w:left w:val="none" w:sz="0" w:space="0" w:color="auto"/>
            <w:bottom w:val="none" w:sz="0" w:space="0" w:color="auto"/>
            <w:right w:val="none" w:sz="0" w:space="0" w:color="auto"/>
          </w:divBdr>
          <w:divsChild>
            <w:div w:id="834491508">
              <w:marLeft w:val="0"/>
              <w:marRight w:val="0"/>
              <w:marTop w:val="0"/>
              <w:marBottom w:val="0"/>
              <w:divBdr>
                <w:top w:val="none" w:sz="0" w:space="0" w:color="auto"/>
                <w:left w:val="none" w:sz="0" w:space="0" w:color="auto"/>
                <w:bottom w:val="none" w:sz="0" w:space="0" w:color="auto"/>
                <w:right w:val="none" w:sz="0" w:space="0" w:color="auto"/>
              </w:divBdr>
              <w:divsChild>
                <w:div w:id="16347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790961">
      <w:bodyDiv w:val="1"/>
      <w:marLeft w:val="0"/>
      <w:marRight w:val="0"/>
      <w:marTop w:val="0"/>
      <w:marBottom w:val="0"/>
      <w:divBdr>
        <w:top w:val="none" w:sz="0" w:space="0" w:color="auto"/>
        <w:left w:val="none" w:sz="0" w:space="0" w:color="auto"/>
        <w:bottom w:val="none" w:sz="0" w:space="0" w:color="auto"/>
        <w:right w:val="none" w:sz="0" w:space="0" w:color="auto"/>
      </w:divBdr>
    </w:div>
    <w:div w:id="1536623461">
      <w:bodyDiv w:val="1"/>
      <w:marLeft w:val="0"/>
      <w:marRight w:val="0"/>
      <w:marTop w:val="0"/>
      <w:marBottom w:val="0"/>
      <w:divBdr>
        <w:top w:val="none" w:sz="0" w:space="0" w:color="auto"/>
        <w:left w:val="none" w:sz="0" w:space="0" w:color="auto"/>
        <w:bottom w:val="none" w:sz="0" w:space="0" w:color="auto"/>
        <w:right w:val="none" w:sz="0" w:space="0" w:color="auto"/>
      </w:divBdr>
    </w:div>
    <w:div w:id="1693918100">
      <w:bodyDiv w:val="1"/>
      <w:marLeft w:val="0"/>
      <w:marRight w:val="0"/>
      <w:marTop w:val="0"/>
      <w:marBottom w:val="0"/>
      <w:divBdr>
        <w:top w:val="none" w:sz="0" w:space="0" w:color="auto"/>
        <w:left w:val="none" w:sz="0" w:space="0" w:color="auto"/>
        <w:bottom w:val="none" w:sz="0" w:space="0" w:color="auto"/>
        <w:right w:val="none" w:sz="0" w:space="0" w:color="auto"/>
      </w:divBdr>
      <w:divsChild>
        <w:div w:id="1300187204">
          <w:marLeft w:val="0"/>
          <w:marRight w:val="0"/>
          <w:marTop w:val="0"/>
          <w:marBottom w:val="0"/>
          <w:divBdr>
            <w:top w:val="none" w:sz="0" w:space="0" w:color="auto"/>
            <w:left w:val="none" w:sz="0" w:space="0" w:color="auto"/>
            <w:bottom w:val="none" w:sz="0" w:space="0" w:color="auto"/>
            <w:right w:val="none" w:sz="0" w:space="0" w:color="auto"/>
          </w:divBdr>
          <w:divsChild>
            <w:div w:id="1952467405">
              <w:marLeft w:val="0"/>
              <w:marRight w:val="0"/>
              <w:marTop w:val="0"/>
              <w:marBottom w:val="0"/>
              <w:divBdr>
                <w:top w:val="none" w:sz="0" w:space="0" w:color="auto"/>
                <w:left w:val="none" w:sz="0" w:space="0" w:color="auto"/>
                <w:bottom w:val="none" w:sz="0" w:space="0" w:color="auto"/>
                <w:right w:val="none" w:sz="0" w:space="0" w:color="auto"/>
              </w:divBdr>
              <w:divsChild>
                <w:div w:id="189002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512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hdl.handle.net/11299/5931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DB415D-6FD7-1744-8BB1-1284B521B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97</Pages>
  <Words>23542</Words>
  <Characters>134193</Characters>
  <Application>Microsoft Office Word</Application>
  <DocSecurity>0</DocSecurity>
  <Lines>1118</Lines>
  <Paragraphs>314</Paragraphs>
  <ScaleCrop>false</ScaleCrop>
  <HeadingPairs>
    <vt:vector size="2" baseType="variant">
      <vt:variant>
        <vt:lpstr>Title</vt:lpstr>
      </vt:variant>
      <vt:variant>
        <vt:i4>1</vt:i4>
      </vt:variant>
    </vt:vector>
  </HeadingPairs>
  <TitlesOfParts>
    <vt:vector size="1" baseType="lpstr">
      <vt:lpstr/>
    </vt:vector>
  </TitlesOfParts>
  <Company>Cerritos College</Company>
  <LinksUpToDate>false</LinksUpToDate>
  <CharactersWithSpaces>157421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Redix, Ashley</dc:creator>
  <cp:keywords/>
  <dc:description/>
  <cp:lastModifiedBy>Redix, Ashley Taylor</cp:lastModifiedBy>
  <cp:revision>8</cp:revision>
  <cp:lastPrinted>2020-08-14T16:25:00Z</cp:lastPrinted>
  <dcterms:created xsi:type="dcterms:W3CDTF">2020-10-20T16:30:00Z</dcterms:created>
  <dcterms:modified xsi:type="dcterms:W3CDTF">2020-10-20T17:45:00Z</dcterms:modified>
</cp:coreProperties>
</file>