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48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Depression, Anxiety, and Stress Severity Impact Social Media Use and TikTok Addiction</w:t>
      </w:r>
    </w:p>
    <w:p w:rsidR="00000000" w:rsidDel="00000000" w:rsidP="00000000" w:rsidRDefault="00000000" w:rsidRPr="00000000" w14:paraId="00000002">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03">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w:t>
      </w:r>
      <w:r w:rsidDel="00000000" w:rsidR="00000000" w:rsidRPr="00000000">
        <w:rPr>
          <w:rFonts w:ascii="Times New Roman" w:cs="Times New Roman" w:eastAsia="Times New Roman" w:hAnsi="Times New Roman"/>
          <w:sz w:val="24"/>
          <w:szCs w:val="24"/>
          <w:rtl w:val="0"/>
        </w:rPr>
        <w:t xml:space="preserve">Previous research has found a correlation between social media use and mental health illnesses in adolescents. However, very little research has been conducted about the correlation between TikTok use and mental health illnesses. Additionally, little is known concerning the differences in social media usage among varying levels of mental health illness, age groups, and genders.</w:t>
      </w:r>
      <w:r w:rsidDel="00000000" w:rsidR="00000000" w:rsidRPr="00000000">
        <w:rPr>
          <w:rFonts w:ascii="Times New Roman" w:cs="Times New Roman" w:eastAsia="Times New Roman" w:hAnsi="Times New Roman"/>
          <w:b w:val="1"/>
          <w:sz w:val="24"/>
          <w:szCs w:val="24"/>
          <w:rtl w:val="0"/>
        </w:rPr>
        <w:t xml:space="preserve"> Purpose: </w:t>
      </w:r>
      <w:r w:rsidDel="00000000" w:rsidR="00000000" w:rsidRPr="00000000">
        <w:rPr>
          <w:rFonts w:ascii="Times New Roman" w:cs="Times New Roman" w:eastAsia="Times New Roman" w:hAnsi="Times New Roman"/>
          <w:sz w:val="24"/>
          <w:szCs w:val="24"/>
          <w:rtl w:val="0"/>
        </w:rPr>
        <w:t xml:space="preserve">The purpose of this report was to identify the relationship between mental health illnesses and social media and TikTok use. </w:t>
      </w:r>
      <w:r w:rsidDel="00000000" w:rsidR="00000000" w:rsidRPr="00000000">
        <w:rPr>
          <w:rFonts w:ascii="Times New Roman" w:cs="Times New Roman" w:eastAsia="Times New Roman" w:hAnsi="Times New Roman"/>
          <w:b w:val="1"/>
          <w:sz w:val="24"/>
          <w:szCs w:val="24"/>
          <w:rtl w:val="0"/>
        </w:rPr>
        <w:t xml:space="preserve">Methods:</w:t>
      </w:r>
      <w:r w:rsidDel="00000000" w:rsidR="00000000" w:rsidRPr="00000000">
        <w:rPr>
          <w:rFonts w:ascii="Times New Roman" w:cs="Times New Roman" w:eastAsia="Times New Roman" w:hAnsi="Times New Roman"/>
          <w:sz w:val="24"/>
          <w:szCs w:val="24"/>
          <w:rtl w:val="0"/>
        </w:rPr>
        <w:t xml:space="preserve"> An online survey was administered in April/May 2022 to a snowballing convenience sample. Questions investigated mental health (stress, anxiety, and depression) and social media use, with a focus on TikTok.</w:t>
      </w:r>
      <w:r w:rsidDel="00000000" w:rsidR="00000000" w:rsidRPr="00000000">
        <w:rPr>
          <w:rFonts w:ascii="Times New Roman" w:cs="Times New Roman" w:eastAsia="Times New Roman" w:hAnsi="Times New Roman"/>
          <w:b w:val="1"/>
          <w:sz w:val="24"/>
          <w:szCs w:val="24"/>
          <w:rtl w:val="0"/>
        </w:rPr>
        <w:t xml:space="preserve"> Results:</w:t>
      </w:r>
      <w:r w:rsidDel="00000000" w:rsidR="00000000" w:rsidRPr="00000000">
        <w:rPr>
          <w:rFonts w:ascii="Times New Roman" w:cs="Times New Roman" w:eastAsia="Times New Roman" w:hAnsi="Times New Roman"/>
          <w:sz w:val="24"/>
          <w:szCs w:val="24"/>
          <w:rtl w:val="0"/>
        </w:rPr>
        <w:t xml:space="preserve"> Of the 295 participants, 67.8% identified as women and 57.3% claimed to use TikTok. The participants were primarily Caucasian (77.1%) and aged 18-25 years old (69.9%), with the mean age of participants being 29.58. Higher rates of depression, anxiety, and stress were positively correlated with more social media use and TikTok addiction. Younger individuals were also more likely to score higher on the social media scales. Females, as well as individuals with severe depression/anxiety/stress scored higher on social media use than males and individuals with normal levels; however, an interaction between gender and social media use was not found. Additionally, individuals with severe depression/anxiety/stress scored higher on TikTok addiction than individuals with normal levels. However, due to the small subset of male and older participants indicating TikTok use, gender and age interactions on this scale could not be examined. </w:t>
      </w:r>
      <w:r w:rsidDel="00000000" w:rsidR="00000000" w:rsidRPr="00000000">
        <w:rPr>
          <w:rFonts w:ascii="Times New Roman" w:cs="Times New Roman" w:eastAsia="Times New Roman" w:hAnsi="Times New Roman"/>
          <w:b w:val="1"/>
          <w:sz w:val="24"/>
          <w:szCs w:val="24"/>
          <w:rtl w:val="0"/>
        </w:rPr>
        <w:t xml:space="preserve">Implications: </w:t>
      </w:r>
      <w:r w:rsidDel="00000000" w:rsidR="00000000" w:rsidRPr="00000000">
        <w:rPr>
          <w:rFonts w:ascii="Times New Roman" w:cs="Times New Roman" w:eastAsia="Times New Roman" w:hAnsi="Times New Roman"/>
          <w:sz w:val="24"/>
          <w:szCs w:val="24"/>
          <w:rtl w:val="0"/>
        </w:rPr>
        <w:t xml:space="preserve">The current results agree with previous research in suggesting that there is a positive correlation between social media use, including TikTok addiction and mental health illnesses. However, future research is needed to determine the effects of gender and age on the TikTok addiction and mental health illnesses. Continuation of research in this nature could validate previous studies that have shown a difference in the prevalence of mental health illnesses between genders, as well as identify additional risk factors for mental health illnesses.</w:t>
      </w:r>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Keywords</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Media Use, TikTok, depression, stress, anxiety, mental health</w:t>
      </w:r>
    </w:p>
    <w:p w:rsidR="00000000" w:rsidDel="00000000" w:rsidP="00000000" w:rsidRDefault="00000000" w:rsidRPr="00000000" w14:paraId="00000006">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Skylar Maguire and Hollie Pellosmaa</w:t>
      </w:r>
    </w:p>
    <w:p w:rsidR="00000000" w:rsidDel="00000000" w:rsidP="00000000" w:rsidRDefault="00000000" w:rsidRPr="00000000" w14:paraId="00000008">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INTRODUCTION</w:t>
      </w:r>
      <w:r w:rsidDel="00000000" w:rsidR="00000000" w:rsidRPr="00000000">
        <w:rPr>
          <w:rtl w:val="0"/>
        </w:rPr>
      </w:r>
    </w:p>
    <w:p w:rsidR="00000000" w:rsidDel="00000000" w:rsidP="00000000" w:rsidRDefault="00000000" w:rsidRPr="00000000" w14:paraId="00000018">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nature, causes, and treatment of mental health have been thoroughly discussed throughout history. Mental illness, an umbrella term for any illness with symptoms that may influence an individual’s thoughts, feelings, or behaviors (</w:t>
      </w:r>
      <w:r w:rsidDel="00000000" w:rsidR="00000000" w:rsidRPr="00000000">
        <w:rPr>
          <w:rFonts w:ascii="Times New Roman" w:cs="Times New Roman" w:eastAsia="Times New Roman" w:hAnsi="Times New Roman"/>
          <w:sz w:val="24"/>
          <w:szCs w:val="24"/>
          <w:rtl w:val="0"/>
        </w:rPr>
        <w:t xml:space="preserve">Better Health Channel, 2015</w:t>
      </w:r>
      <w:r w:rsidDel="00000000" w:rsidR="00000000" w:rsidRPr="00000000">
        <w:rPr>
          <w:rFonts w:ascii="Times New Roman" w:cs="Times New Roman" w:eastAsia="Times New Roman" w:hAnsi="Times New Roman"/>
          <w:color w:val="000000"/>
          <w:sz w:val="24"/>
          <w:szCs w:val="24"/>
          <w:rtl w:val="0"/>
        </w:rPr>
        <w:t xml:space="preserve">), can make it difficult for an individual to cope with stressful activities throughout life, including work and relationships (Better Health Channel, </w:t>
      </w:r>
      <w:r w:rsidDel="00000000" w:rsidR="00000000" w:rsidRPr="00000000">
        <w:rPr>
          <w:rFonts w:ascii="Times New Roman" w:cs="Times New Roman" w:eastAsia="Times New Roman" w:hAnsi="Times New Roman"/>
          <w:sz w:val="24"/>
          <w:szCs w:val="24"/>
          <w:rtl w:val="0"/>
        </w:rPr>
        <w:t xml:space="preserve">2015</w:t>
      </w:r>
      <w:r w:rsidDel="00000000" w:rsidR="00000000" w:rsidRPr="00000000">
        <w:rPr>
          <w:rFonts w:ascii="Times New Roman" w:cs="Times New Roman" w:eastAsia="Times New Roman" w:hAnsi="Times New Roman"/>
          <w:color w:val="000000"/>
          <w:sz w:val="24"/>
          <w:szCs w:val="24"/>
          <w:rtl w:val="0"/>
        </w:rPr>
        <w:t xml:space="preserve">). The scale of mental illnesses across the globe is very wide. According to the World Health Organization (</w:t>
      </w:r>
      <w:r w:rsidDel="00000000" w:rsidR="00000000" w:rsidRPr="00000000">
        <w:rPr>
          <w:rFonts w:ascii="Times New Roman" w:cs="Times New Roman" w:eastAsia="Times New Roman" w:hAnsi="Times New Roman"/>
          <w:sz w:val="24"/>
          <w:szCs w:val="24"/>
          <w:rtl w:val="0"/>
        </w:rPr>
        <w:t xml:space="preserve">2019</w:t>
      </w:r>
      <w:r w:rsidDel="00000000" w:rsidR="00000000" w:rsidRPr="00000000">
        <w:rPr>
          <w:rFonts w:ascii="Times New Roman" w:cs="Times New Roman" w:eastAsia="Times New Roman" w:hAnsi="Times New Roman"/>
          <w:color w:val="000000"/>
          <w:sz w:val="24"/>
          <w:szCs w:val="24"/>
          <w:rtl w:val="0"/>
        </w:rPr>
        <w:t xml:space="preserve">), approximately</w:t>
      </w:r>
      <w:r w:rsidDel="00000000" w:rsidR="00000000" w:rsidRPr="00000000">
        <w:rPr>
          <w:rFonts w:ascii="Times New Roman" w:cs="Times New Roman" w:eastAsia="Times New Roman" w:hAnsi="Times New Roman"/>
          <w:sz w:val="24"/>
          <w:szCs w:val="24"/>
          <w:rtl w:val="0"/>
        </w:rPr>
        <w:t xml:space="preserve"> 1 in 8 people around the world</w:t>
      </w:r>
      <w:r w:rsidDel="00000000" w:rsidR="00000000" w:rsidRPr="00000000">
        <w:rPr>
          <w:rFonts w:ascii="Times New Roman" w:cs="Times New Roman" w:eastAsia="Times New Roman" w:hAnsi="Times New Roman"/>
          <w:color w:val="000000"/>
          <w:sz w:val="24"/>
          <w:szCs w:val="24"/>
          <w:rtl w:val="0"/>
        </w:rPr>
        <w:t xml:space="preserve"> have a mental health diagnosis, with de</w:t>
      </w:r>
      <w:r w:rsidDel="00000000" w:rsidR="00000000" w:rsidRPr="00000000">
        <w:rPr>
          <w:rFonts w:ascii="Times New Roman" w:cs="Times New Roman" w:eastAsia="Times New Roman" w:hAnsi="Times New Roman"/>
          <w:sz w:val="24"/>
          <w:szCs w:val="24"/>
          <w:rtl w:val="0"/>
        </w:rPr>
        <w:t xml:space="preserve">pressive and</w:t>
      </w:r>
      <w:r w:rsidDel="00000000" w:rsidR="00000000" w:rsidRPr="00000000">
        <w:rPr>
          <w:rFonts w:ascii="Times New Roman" w:cs="Times New Roman" w:eastAsia="Times New Roman" w:hAnsi="Times New Roman"/>
          <w:color w:val="000000"/>
          <w:sz w:val="24"/>
          <w:szCs w:val="24"/>
          <w:rtl w:val="0"/>
        </w:rPr>
        <w:t xml:space="preserve"> anxiety disorders being the most common (WHO, 2022). These rates are not equivalent across</w:t>
      </w:r>
      <w:r w:rsidDel="00000000" w:rsidR="00000000" w:rsidRPr="00000000">
        <w:rPr>
          <w:rFonts w:ascii="Times New Roman" w:cs="Times New Roman" w:eastAsia="Times New Roman" w:hAnsi="Times New Roman"/>
          <w:sz w:val="24"/>
          <w:szCs w:val="24"/>
          <w:rtl w:val="0"/>
        </w:rPr>
        <w:t xml:space="preserve"> ages or genders, and they are often impacted by external factors (Houghton et al., 2018). </w:t>
      </w:r>
    </w:p>
    <w:p w:rsidR="00000000" w:rsidDel="00000000" w:rsidP="00000000" w:rsidRDefault="00000000" w:rsidRPr="00000000" w14:paraId="00000019">
      <w:pPr>
        <w:spacing w:after="0" w:line="480" w:lineRule="auto"/>
        <w:ind w:firstLine="720"/>
        <w:rPr>
          <w:rFonts w:ascii="Times New Roman" w:cs="Times New Roman" w:eastAsia="Times New Roman" w:hAnsi="Times New Roman"/>
          <w:sz w:val="24"/>
          <w:szCs w:val="24"/>
        </w:rPr>
      </w:pPr>
      <w:bookmarkStart w:colFirst="0" w:colLast="0" w:name="_heading=h.1fob9te" w:id="1"/>
      <w:bookmarkEnd w:id="1"/>
      <w:r w:rsidDel="00000000" w:rsidR="00000000" w:rsidRPr="00000000">
        <w:rPr>
          <w:rFonts w:ascii="Times New Roman" w:cs="Times New Roman" w:eastAsia="Times New Roman" w:hAnsi="Times New Roman"/>
          <w:sz w:val="24"/>
          <w:szCs w:val="24"/>
          <w:rtl w:val="0"/>
        </w:rPr>
        <w:t xml:space="preserve">For some individuals, these illnesses can be very taxing and can lead to interference with typical daily routines. In fact, a previous study indicated that, out of the top ten contributors to global years lived with a disability, five were mental disorders (Patel &amp; Prince, 2010). Additionally, a previous study found that mental health disorders often go untreated and are typically associated with serious role impairment (The WHO World Mental Health Survey Consortium, 2004). This highlights the need for further understanding of the factors contributing to mental illnesses. </w:t>
      </w:r>
    </w:p>
    <w:p w:rsidR="00000000" w:rsidDel="00000000" w:rsidP="00000000" w:rsidRDefault="00000000" w:rsidRPr="00000000" w14:paraId="0000001A">
      <w:pPr>
        <w:spacing w:after="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General Mental Health – Depression, Anxiety, and Stress</w:t>
      </w:r>
    </w:p>
    <w:p w:rsidR="00000000" w:rsidDel="00000000" w:rsidP="00000000" w:rsidRDefault="00000000" w:rsidRPr="00000000" w14:paraId="0000001B">
      <w:pPr>
        <w:spacing w:after="0" w:line="480" w:lineRule="auto"/>
        <w:ind w:firstLine="720"/>
        <w:rPr>
          <w:rFonts w:ascii="Times New Roman" w:cs="Times New Roman" w:eastAsia="Times New Roman" w:hAnsi="Times New Roman"/>
          <w:sz w:val="24"/>
          <w:szCs w:val="24"/>
          <w:shd w:fill="f4cccc" w:val="clear"/>
        </w:rPr>
      </w:pPr>
      <w:r w:rsidDel="00000000" w:rsidR="00000000" w:rsidRPr="00000000">
        <w:rPr>
          <w:rFonts w:ascii="Times New Roman" w:cs="Times New Roman" w:eastAsia="Times New Roman" w:hAnsi="Times New Roman"/>
          <w:sz w:val="24"/>
          <w:szCs w:val="24"/>
          <w:rtl w:val="0"/>
        </w:rPr>
        <w:t xml:space="preserve">Anxiety, depression, and stress are three comorbid internalizing mental health illnesses (Ali et al., 2021; Moore et al., 2016). Since 2020, we have seen increased rates of all three across ages and genders (Ali et al., 2021). These mental health illnesses have impacted a wide variety of individuals; however, the prevalence of internalizing mental health illnesses seems to be highest amongst adolescents and females (Zahn-Waxler et al., 2000).</w:t>
      </w:r>
      <w:r w:rsidDel="00000000" w:rsidR="00000000" w:rsidRPr="00000000">
        <w:rPr>
          <w:rtl w:val="0"/>
        </w:rPr>
      </w:r>
    </w:p>
    <w:p w:rsidR="00000000" w:rsidDel="00000000" w:rsidP="00000000" w:rsidRDefault="00000000" w:rsidRPr="00000000" w14:paraId="0000001C">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Social Media Use and Mental Health</w:t>
      </w:r>
      <w:r w:rsidDel="00000000" w:rsidR="00000000" w:rsidRPr="00000000">
        <w:rPr>
          <w:rtl w:val="0"/>
        </w:rPr>
      </w:r>
    </w:p>
    <w:p w:rsidR="00000000" w:rsidDel="00000000" w:rsidP="00000000" w:rsidRDefault="00000000" w:rsidRPr="00000000" w14:paraId="0000001D">
      <w:pPr>
        <w:spacing w:after="0" w:line="480" w:lineRule="auto"/>
        <w:ind w:firstLine="720"/>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In an effort to understand the potential causes of mental illnesses, this paper will investigate the impacts of social media use on mental health issues. Social media can be defined as “a group of Internet-based applications that build on the ideological and technological foundations of Web 2.0, and that allow the creation and exchange of User Generated Content” (Kaplan &amp; Haenlein, 2010), and includes platforms such as Twitter, Facebook, YouTube, and Instagram. The prevalence of social media use is extremely high, with approximately three-quarters of all US adults have been online and about 90% of individuals aged 12-24 having been online (Jones &amp; Fox, 2020). While each individual has their own reasoning for using social media, previous research has found the most common uses to be social interaction, information seeking, and passing the time (Whiting &amp; Williams, 2013). Despite an individual’s reasoning for using social media, the high prevalence of social media use within the United States has led to the question on whether or not social media use can lead to or impact mental health problems.  Previous studies have found a correlation between social media use and negative mental health; however, these studies have largely focused on younger populations (Beeres et al., 2021; Houghton et al., 2018; Orben &amp; Przybyski, 2019).</w:t>
      </w:r>
      <w:r w:rsidDel="00000000" w:rsidR="00000000" w:rsidRPr="00000000">
        <w:rPr>
          <w:rtl w:val="0"/>
        </w:rPr>
      </w:r>
    </w:p>
    <w:p w:rsidR="00000000" w:rsidDel="00000000" w:rsidP="00000000" w:rsidRDefault="00000000" w:rsidRPr="00000000" w14:paraId="0000001E">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TikTok</w:t>
      </w:r>
      <w:r w:rsidDel="00000000" w:rsidR="00000000" w:rsidRPr="00000000">
        <w:rPr>
          <w:rtl w:val="0"/>
        </w:rPr>
      </w:r>
    </w:p>
    <w:p w:rsidR="00000000" w:rsidDel="00000000" w:rsidP="00000000" w:rsidRDefault="00000000" w:rsidRPr="00000000" w14:paraId="0000001F">
      <w:pPr>
        <w:spacing w:after="0" w:line="480" w:lineRule="auto"/>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more specific social media application that has been used significantly in recent years is the viral application TikTok. This application is commonly used for the creation and sharing of short videos. Although this application is fairly new, it is already a major social media application with </w:t>
      </w:r>
      <w:r w:rsidDel="00000000" w:rsidR="00000000" w:rsidRPr="00000000">
        <w:rPr>
          <w:rFonts w:ascii="Times New Roman" w:cs="Times New Roman" w:eastAsia="Times New Roman" w:hAnsi="Times New Roman"/>
          <w:sz w:val="24"/>
          <w:szCs w:val="24"/>
          <w:rtl w:val="0"/>
        </w:rPr>
        <w:t xml:space="preserve">more than 78.7 million active users within the U.S. (Ceci et al., 2022)</w:t>
      </w:r>
      <w:r w:rsidDel="00000000" w:rsidR="00000000" w:rsidRPr="00000000">
        <w:rPr>
          <w:rFonts w:ascii="Times New Roman" w:cs="Times New Roman" w:eastAsia="Times New Roman" w:hAnsi="Times New Roman"/>
          <w:color w:val="000000"/>
          <w:sz w:val="24"/>
          <w:szCs w:val="24"/>
          <w:rtl w:val="0"/>
        </w:rPr>
        <w:t xml:space="preserve">. However, not much research has been conducted on the impacts of TikTok use on mental health issues. Thus, not only will this paper cover the impacts of general social media use on mental health, but it will also cover the impacts of TikTok use on mental health. </w:t>
      </w:r>
    </w:p>
    <w:p w:rsidR="00000000" w:rsidDel="00000000" w:rsidP="00000000" w:rsidRDefault="00000000" w:rsidRPr="00000000" w14:paraId="00000020">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Current Study</w:t>
      </w:r>
      <w:r w:rsidDel="00000000" w:rsidR="00000000" w:rsidRPr="00000000">
        <w:rPr>
          <w:rtl w:val="0"/>
        </w:rPr>
      </w:r>
    </w:p>
    <w:p w:rsidR="00000000" w:rsidDel="00000000" w:rsidP="00000000" w:rsidRDefault="00000000" w:rsidRPr="00000000" w14:paraId="00000021">
      <w:pPr>
        <w:spacing w:after="0" w:line="480" w:lineRule="auto"/>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The aim of the current study was to further support, and expand upon, previous research by testing the relationship between </w:t>
      </w:r>
      <w:r w:rsidDel="00000000" w:rsidR="00000000" w:rsidRPr="00000000">
        <w:rPr>
          <w:rFonts w:ascii="Times New Roman" w:cs="Times New Roman" w:eastAsia="Times New Roman" w:hAnsi="Times New Roman"/>
          <w:color w:val="000000"/>
          <w:sz w:val="24"/>
          <w:szCs w:val="24"/>
          <w:rtl w:val="0"/>
        </w:rPr>
        <w:t xml:space="preserve">social media use and mental health, </w:t>
      </w:r>
      <w:r w:rsidDel="00000000" w:rsidR="00000000" w:rsidRPr="00000000">
        <w:rPr>
          <w:rFonts w:ascii="Times New Roman" w:cs="Times New Roman" w:eastAsia="Times New Roman" w:hAnsi="Times New Roman"/>
          <w:sz w:val="24"/>
          <w:szCs w:val="24"/>
          <w:rtl w:val="0"/>
        </w:rPr>
        <w:t xml:space="preserve">with a focus on TikTok use</w:t>
      </w:r>
      <w:r w:rsidDel="00000000" w:rsidR="00000000" w:rsidRPr="00000000">
        <w:rPr>
          <w:rFonts w:ascii="Times New Roman" w:cs="Times New Roman" w:eastAsia="Times New Roman" w:hAnsi="Times New Roman"/>
          <w:color w:val="000000"/>
          <w:sz w:val="24"/>
          <w:szCs w:val="24"/>
          <w:rtl w:val="0"/>
        </w:rPr>
        <w:t xml:space="preserve">. Several hypotheses were formulate</w:t>
      </w:r>
      <w:r w:rsidDel="00000000" w:rsidR="00000000" w:rsidRPr="00000000">
        <w:rPr>
          <w:rFonts w:ascii="Times New Roman" w:cs="Times New Roman" w:eastAsia="Times New Roman" w:hAnsi="Times New Roman"/>
          <w:sz w:val="24"/>
          <w:szCs w:val="24"/>
          <w:rtl w:val="0"/>
        </w:rPr>
        <w:t xml:space="preserve">d on the basis of the increase of social media use and mental health disorders, as well as the differences in mental health across ages and genders. The following seven hypotheses were proposed: </w:t>
      </w:r>
      <w:r w:rsidDel="00000000" w:rsidR="00000000" w:rsidRPr="00000000">
        <w:rPr>
          <w:rFonts w:ascii="Times New Roman" w:cs="Times New Roman" w:eastAsia="Times New Roman" w:hAnsi="Times New Roman"/>
          <w:color w:val="000000"/>
          <w:sz w:val="24"/>
          <w:szCs w:val="24"/>
          <w:rtl w:val="0"/>
        </w:rPr>
        <w:t xml:space="preserve">1) There would be a positive correlation between mental health outcomes (depression, anxiety, stress) and social media use (H1a), and there would be a positive correlation between mental health outcomes and TikTok addiction (H1b); 2) There would be a negative correlation between age and social media use (H2a), as well as TikTok addiction (H2b); 3) Social media use would be more prevalent in female participants than male participants (H3a), and female participants would score higher on the TikTok addiction scale (H3b); 4) Social media use (H4a), and TikTok addiction (H4b), would be more prevalent in participants who have severe anxiety, stress, and depression compared to participants who have normal or mild/moderate levels; 5) There would be a gender by mental health (depression, anxiety, stress) interaction, such that females with severe anxiety/depression/stress would have the most social media use (H5a) and TikTok addiction (H5b); 6) Social media use would be more prevalent in Gen Z participants than other generations (H6a), and Gen Z participants would score higher on the TikTok addiction scale (H6b) and lastly; 7) There would be a generation by mental health (depression, anxiety, stress) interaction, such that Gen Z participants with severe anxiety/depression/stress would have the most social media use (H7a) and TikTok addiction (H7b). </w:t>
      </w:r>
    </w:p>
    <w:p w:rsidR="00000000" w:rsidDel="00000000" w:rsidP="00000000" w:rsidRDefault="00000000" w:rsidRPr="00000000" w14:paraId="00000022">
      <w:pPr>
        <w:spacing w:after="0" w:line="48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METHODS</w:t>
      </w:r>
    </w:p>
    <w:p w:rsidR="00000000" w:rsidDel="00000000" w:rsidP="00000000" w:rsidRDefault="00000000" w:rsidRPr="00000000" w14:paraId="00000023">
      <w:pPr>
        <w:spacing w:after="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Participants and Procedure</w:t>
      </w:r>
    </w:p>
    <w:p w:rsidR="00000000" w:rsidDel="00000000" w:rsidP="00000000" w:rsidRDefault="00000000" w:rsidRPr="00000000" w14:paraId="00000024">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cross-sectional study examined the relationships between mental health, social media use, age, and gender. Data was collected via an online survey that was administered for two weeks in April-May 2022. This survey was distributed to a convenience sample that allowed participants to then share the link through social media networks (mainly Facebook) and electronic communication, resulting in a snowball sample. An online research description directed recipients to a Qualtrics link, which contained the study information, consent form, and the survey.  All study procedures were approved by the Institutional Review Board at the University of Tennessee, Knoxville, and a total of 295 participants were recruited. Of the 295 participants, 200 (67.8%) identified as women and 82 (27.8%) identified as being male. Participants in the study were also primarily Caucasian (n = 225, 76.3%) with a mean age of 29.58 (</w:t>
      </w:r>
      <w:r w:rsidDel="00000000" w:rsidR="00000000" w:rsidRPr="00000000">
        <w:rPr>
          <w:rFonts w:ascii="Times New Roman" w:cs="Times New Roman" w:eastAsia="Times New Roman" w:hAnsi="Times New Roman"/>
          <w:i w:val="1"/>
          <w:sz w:val="24"/>
          <w:szCs w:val="24"/>
          <w:rtl w:val="0"/>
        </w:rPr>
        <w:t xml:space="preserve">SD</w:t>
      </w:r>
      <w:r w:rsidDel="00000000" w:rsidR="00000000" w:rsidRPr="00000000">
        <w:rPr>
          <w:rFonts w:ascii="Times New Roman" w:cs="Times New Roman" w:eastAsia="Times New Roman" w:hAnsi="Times New Roman"/>
          <w:sz w:val="24"/>
          <w:szCs w:val="24"/>
          <w:rtl w:val="0"/>
        </w:rPr>
        <w:t xml:space="preserve"> = 15.12; for additional demographic information, see Table 1).</w:t>
        <w:tab/>
      </w:r>
    </w:p>
    <w:p w:rsidR="00000000" w:rsidDel="00000000" w:rsidP="00000000" w:rsidRDefault="00000000" w:rsidRPr="00000000" w14:paraId="0000002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1. </w:t>
      </w:r>
      <w:r w:rsidDel="00000000" w:rsidR="00000000" w:rsidRPr="00000000">
        <w:rPr>
          <w:rFonts w:ascii="Times New Roman" w:cs="Times New Roman" w:eastAsia="Times New Roman" w:hAnsi="Times New Roman"/>
          <w:sz w:val="24"/>
          <w:szCs w:val="24"/>
          <w:rtl w:val="0"/>
        </w:rPr>
        <w:t xml:space="preserve">Descriptive statistics for participants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295)</w:t>
      </w:r>
      <w:r w:rsidDel="00000000" w:rsidR="00000000" w:rsidRPr="00000000">
        <w:rPr>
          <w:rtl w:val="0"/>
        </w:rPr>
      </w:r>
    </w:p>
    <w:tbl>
      <w:tblPr>
        <w:tblStyle w:val="Table1"/>
        <w:tblW w:w="9090.0" w:type="dxa"/>
        <w:jc w:val="left"/>
        <w:tblInd w:w="0.0" w:type="pct"/>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4140"/>
        <w:gridCol w:w="1800"/>
        <w:gridCol w:w="3150"/>
        <w:tblGridChange w:id="0">
          <w:tblGrid>
            <w:gridCol w:w="4140"/>
            <w:gridCol w:w="1800"/>
            <w:gridCol w:w="3150"/>
          </w:tblGrid>
        </w:tblGridChange>
      </w:tblGrid>
      <w:tr>
        <w:trPr>
          <w:cantSplit w:val="0"/>
          <w:trHeight w:val="315" w:hRule="atLeast"/>
          <w:tblHeader w:val="0"/>
        </w:trPr>
        <w:tc>
          <w:tcPr>
            <w:tcBorders>
              <w:top w:color="000000" w:space="0" w:sz="18" w:val="single"/>
              <w:left w:color="000000" w:space="0" w:sz="0" w:val="nil"/>
              <w:bottom w:color="000000" w:space="0" w:sz="18" w:val="single"/>
              <w:right w:color="000000" w:space="0" w:sz="0" w:val="nil"/>
            </w:tcBorders>
            <w:shd w:fill="auto" w:val="clear"/>
          </w:tcPr>
          <w:p w:rsidR="00000000" w:rsidDel="00000000" w:rsidP="00000000" w:rsidRDefault="00000000" w:rsidRPr="00000000" w14:paraId="00000026">
            <w:pPr>
              <w:rPr>
                <w:rFonts w:ascii="Times New Roman" w:cs="Times New Roman" w:eastAsia="Times New Roman" w:hAnsi="Times New Roman"/>
                <w:b w:val="1"/>
                <w:color w:val="000000"/>
                <w:sz w:val="24"/>
                <w:szCs w:val="24"/>
              </w:rPr>
            </w:pPr>
            <w:bookmarkStart w:colFirst="0" w:colLast="0" w:name="_heading=h.30j0zll" w:id="2"/>
            <w:bookmarkEnd w:id="2"/>
            <w:r w:rsidDel="00000000" w:rsidR="00000000" w:rsidRPr="00000000">
              <w:rPr>
                <w:rFonts w:ascii="Times New Roman" w:cs="Times New Roman" w:eastAsia="Times New Roman" w:hAnsi="Times New Roman"/>
                <w:color w:val="000000"/>
                <w:sz w:val="24"/>
                <w:szCs w:val="24"/>
                <w:rtl w:val="0"/>
              </w:rPr>
              <w:t xml:space="preserve">Variable</w:t>
            </w:r>
            <w:r w:rsidDel="00000000" w:rsidR="00000000" w:rsidRPr="00000000">
              <w:rPr>
                <w:rtl w:val="0"/>
              </w:rPr>
            </w:r>
          </w:p>
        </w:tc>
        <w:tc>
          <w:tcPr>
            <w:tcBorders>
              <w:top w:color="000000" w:space="0" w:sz="18" w:val="single"/>
              <w:left w:color="000000" w:space="0" w:sz="0" w:val="nil"/>
              <w:bottom w:color="000000" w:space="0" w:sz="18" w:val="single"/>
              <w:right w:color="000000" w:space="0" w:sz="0" w:val="nil"/>
            </w:tcBorders>
          </w:tcPr>
          <w:p w:rsidR="00000000" w:rsidDel="00000000" w:rsidP="00000000" w:rsidRDefault="00000000" w:rsidRPr="00000000" w14:paraId="0000002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Valid </w:t>
            </w:r>
            <w:r w:rsidDel="00000000" w:rsidR="00000000" w:rsidRPr="00000000">
              <w:rPr>
                <w:rFonts w:ascii="Times New Roman" w:cs="Times New Roman" w:eastAsia="Times New Roman" w:hAnsi="Times New Roman"/>
                <w:i w:val="1"/>
                <w:color w:val="000000"/>
                <w:sz w:val="24"/>
                <w:szCs w:val="24"/>
                <w:rtl w:val="0"/>
              </w:rPr>
              <w:t xml:space="preserve">N</w:t>
            </w:r>
            <w:r w:rsidDel="00000000" w:rsidR="00000000" w:rsidRPr="00000000">
              <w:rPr>
                <w:rFonts w:ascii="Times New Roman" w:cs="Times New Roman" w:eastAsia="Times New Roman" w:hAnsi="Times New Roman"/>
                <w:color w:val="000000"/>
                <w:sz w:val="24"/>
                <w:szCs w:val="24"/>
                <w:vertAlign w:val="superscript"/>
                <w:rtl w:val="0"/>
              </w:rPr>
              <w:t xml:space="preserve">1</w:t>
            </w:r>
            <w:r w:rsidDel="00000000" w:rsidR="00000000" w:rsidRPr="00000000">
              <w:rPr>
                <w:rtl w:val="0"/>
              </w:rPr>
            </w:r>
          </w:p>
        </w:tc>
        <w:tc>
          <w:tcPr>
            <w:tcBorders>
              <w:top w:color="000000" w:space="0" w:sz="18" w:val="single"/>
              <w:left w:color="000000" w:space="0" w:sz="0" w:val="nil"/>
              <w:bottom w:color="000000" w:space="0" w:sz="18" w:val="single"/>
              <w:right w:color="000000" w:space="0" w:sz="0" w:val="nil"/>
            </w:tcBorders>
            <w:shd w:fill="auto" w:val="clear"/>
          </w:tcPr>
          <w:p w:rsidR="00000000" w:rsidDel="00000000" w:rsidP="00000000" w:rsidRDefault="00000000" w:rsidRPr="00000000" w14:paraId="00000028">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r>
        <w:trPr>
          <w:cantSplit w:val="0"/>
          <w:trHeight w:val="453" w:hRule="atLeast"/>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29">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Age,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18-25 (Gen Z)</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26-41 (Millennials/Gen Y)</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42-57 (Gen X)</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(Baby Boomers and Silent Generation)</w:t>
            </w:r>
          </w:p>
        </w:tc>
        <w:tc>
          <w:tcPr>
            <w:tcBorders>
              <w:top w:color="000000" w:space="0" w:sz="18"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w:t>
            </w:r>
          </w:p>
          <w:p w:rsidR="00000000" w:rsidDel="00000000" w:rsidP="00000000" w:rsidRDefault="00000000" w:rsidRPr="00000000" w14:paraId="0000002F">
            <w:pPr>
              <w:jc w:val="center"/>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030">
            <w:pP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 (69.9)</w:t>
            </w:r>
          </w:p>
          <w:p w:rsidR="00000000" w:rsidDel="00000000" w:rsidP="00000000" w:rsidRDefault="00000000" w:rsidRPr="00000000" w14:paraId="000000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(8.7)</w:t>
            </w:r>
          </w:p>
          <w:p w:rsidR="00000000" w:rsidDel="00000000" w:rsidP="00000000" w:rsidRDefault="00000000" w:rsidRPr="00000000" w14:paraId="000000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(13.1)</w:t>
            </w:r>
          </w:p>
          <w:p w:rsidR="00000000" w:rsidDel="00000000" w:rsidP="00000000" w:rsidRDefault="00000000" w:rsidRPr="00000000" w14:paraId="000000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(8.3)</w:t>
            </w:r>
          </w:p>
        </w:tc>
      </w:tr>
      <w:tr>
        <w:trPr>
          <w:cantSplit w:val="0"/>
          <w:trHeight w:val="453" w:hRule="atLeast"/>
          <w:tblHeader w:val="0"/>
        </w:trPr>
        <w:tc>
          <w:tcPr>
            <w:tcBorders>
              <w:top w:color="000000" w:space="0" w:sz="0" w:val="nil"/>
              <w:left w:color="000000" w:space="0" w:sz="0" w:val="nil"/>
              <w:bottom w:color="000000" w:space="0" w:sz="0" w:val="nil"/>
              <w:right w:color="000000" w:space="0" w:sz="0" w:val="nil"/>
            </w:tcBorders>
            <w:shd w:fill="d0cece" w:val="clear"/>
          </w:tcPr>
          <w:p w:rsidR="00000000" w:rsidDel="00000000" w:rsidP="00000000" w:rsidRDefault="00000000" w:rsidRPr="00000000" w14:paraId="00000035">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Gender, </w:t>
            </w:r>
            <w:r w:rsidDel="00000000" w:rsidR="00000000" w:rsidRPr="00000000">
              <w:rPr>
                <w:rFonts w:ascii="Times New Roman" w:cs="Times New Roman" w:eastAsia="Times New Roman" w:hAnsi="Times New Roman"/>
                <w:b w:val="1"/>
                <w:i w:val="1"/>
                <w:color w:val="000000"/>
                <w:sz w:val="24"/>
                <w:szCs w:val="24"/>
                <w:rtl w:val="0"/>
              </w:rPr>
              <w:t xml:space="preserve">n</w:t>
            </w:r>
            <w:r w:rsidDel="00000000" w:rsidR="00000000" w:rsidRPr="00000000">
              <w:rPr>
                <w:rFonts w:ascii="Times New Roman" w:cs="Times New Roman" w:eastAsia="Times New Roman" w:hAnsi="Times New Roman"/>
                <w:b w:val="1"/>
                <w:color w:val="000000"/>
                <w:sz w:val="24"/>
                <w:szCs w:val="24"/>
                <w:rtl w:val="0"/>
              </w:rPr>
              <w:t xml:space="preserve"> (% Female)</w:t>
            </w:r>
          </w:p>
        </w:tc>
        <w:tc>
          <w:tcPr>
            <w:tcBorders>
              <w:top w:color="000000" w:space="0" w:sz="0" w:val="nil"/>
              <w:left w:color="000000" w:space="0" w:sz="0" w:val="nil"/>
              <w:bottom w:color="000000" w:space="0" w:sz="0" w:val="nil"/>
              <w:right w:color="000000" w:space="0" w:sz="0" w:val="nil"/>
            </w:tcBorders>
            <w:shd w:fill="d0cece" w:val="clear"/>
          </w:tcPr>
          <w:p w:rsidR="00000000" w:rsidDel="00000000" w:rsidP="00000000" w:rsidRDefault="00000000" w:rsidRPr="00000000" w14:paraId="0000003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92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0cece" w:val="clear"/>
          </w:tcPr>
          <w:p w:rsidR="00000000" w:rsidDel="00000000" w:rsidP="00000000" w:rsidRDefault="00000000" w:rsidRPr="00000000" w14:paraId="0000003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67.8</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453"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8">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Uses TikTok,</w:t>
            </w:r>
            <w:r w:rsidDel="00000000" w:rsidR="00000000" w:rsidRPr="00000000">
              <w:rPr>
                <w:rFonts w:ascii="Times New Roman" w:cs="Times New Roman" w:eastAsia="Times New Roman" w:hAnsi="Times New Roman"/>
                <w:b w:val="1"/>
                <w:i w:val="1"/>
                <w:color w:val="000000"/>
                <w:sz w:val="24"/>
                <w:szCs w:val="24"/>
                <w:rtl w:val="0"/>
              </w:rPr>
              <w:t xml:space="preserve"> n</w:t>
            </w:r>
            <w:r w:rsidDel="00000000" w:rsidR="00000000" w:rsidRPr="00000000">
              <w:rPr>
                <w:rFonts w:ascii="Times New Roman" w:cs="Times New Roman" w:eastAsia="Times New Roman" w:hAnsi="Times New Roman"/>
                <w:b w:val="1"/>
                <w:color w:val="000000"/>
                <w:sz w:val="24"/>
                <w:szCs w:val="24"/>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291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169 (57.3)</w:t>
            </w: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578" w:hRule="atLeast"/>
          <w:tblHeader w:val="0"/>
        </w:trPr>
        <w:tc>
          <w:tcPr>
            <w:tcBorders>
              <w:top w:color="000000" w:space="0" w:sz="0" w:val="nil"/>
              <w:left w:color="000000" w:space="0" w:sz="0" w:val="nil"/>
              <w:bottom w:color="000000" w:space="0" w:sz="18" w:val="single"/>
              <w:right w:color="000000" w:space="0" w:sz="0" w:val="nil"/>
            </w:tcBorders>
            <w:shd w:fill="d0cece" w:val="clear"/>
          </w:tcPr>
          <w:p w:rsidR="00000000" w:rsidDel="00000000" w:rsidP="00000000" w:rsidRDefault="00000000" w:rsidRPr="00000000" w14:paraId="0000003C">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Race</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n</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3D">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Caucasion/European-American</w:t>
            </w:r>
          </w:p>
          <w:p w:rsidR="00000000" w:rsidDel="00000000" w:rsidP="00000000" w:rsidRDefault="00000000" w:rsidRPr="00000000" w14:paraId="0000003E">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Black/African-American</w:t>
            </w:r>
          </w:p>
          <w:p w:rsidR="00000000" w:rsidDel="00000000" w:rsidP="00000000" w:rsidRDefault="00000000" w:rsidRPr="00000000" w14:paraId="0000003F">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 Indian or Alaskan Native</w:t>
            </w:r>
          </w:p>
          <w:p w:rsidR="00000000" w:rsidDel="00000000" w:rsidP="00000000" w:rsidRDefault="00000000" w:rsidRPr="00000000" w14:paraId="00000040">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Asian</w:t>
            </w:r>
          </w:p>
          <w:p w:rsidR="00000000" w:rsidDel="00000000" w:rsidP="00000000" w:rsidRDefault="00000000" w:rsidRPr="00000000" w14:paraId="00000041">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Hispanic</w:t>
            </w:r>
          </w:p>
          <w:p w:rsidR="00000000" w:rsidDel="00000000" w:rsidP="00000000" w:rsidRDefault="00000000" w:rsidRPr="00000000" w14:paraId="00000042">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Multiracial</w:t>
            </w:r>
          </w:p>
          <w:p w:rsidR="00000000" w:rsidDel="00000000" w:rsidP="00000000" w:rsidRDefault="00000000" w:rsidRPr="00000000" w14:paraId="00000043">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w:t>
            </w:r>
          </w:p>
        </w:tc>
        <w:tc>
          <w:tcPr>
            <w:tcBorders>
              <w:top w:color="000000" w:space="0" w:sz="0" w:val="nil"/>
              <w:left w:color="000000" w:space="0" w:sz="0" w:val="nil"/>
              <w:bottom w:color="000000" w:space="0" w:sz="18" w:val="single"/>
              <w:right w:color="000000" w:space="0" w:sz="0" w:val="nil"/>
            </w:tcBorders>
            <w:shd w:fill="d0cece" w:val="clear"/>
          </w:tcPr>
          <w:p w:rsidR="00000000" w:rsidDel="00000000" w:rsidP="00000000" w:rsidRDefault="00000000" w:rsidRPr="00000000" w14:paraId="0000004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292</w:t>
            </w:r>
            <w:r w:rsidDel="00000000" w:rsidR="00000000" w:rsidRPr="00000000">
              <w:rPr>
                <w:rtl w:val="0"/>
              </w:rPr>
            </w:r>
          </w:p>
        </w:tc>
        <w:tc>
          <w:tcPr>
            <w:tcBorders>
              <w:top w:color="000000" w:space="0" w:sz="0" w:val="nil"/>
              <w:left w:color="000000" w:space="0" w:sz="0" w:val="nil"/>
              <w:bottom w:color="000000" w:space="0" w:sz="18" w:val="single"/>
              <w:right w:color="000000" w:space="0" w:sz="0" w:val="nil"/>
            </w:tcBorders>
            <w:shd w:fill="d0cece" w:val="clear"/>
          </w:tcPr>
          <w:p w:rsidR="00000000" w:rsidDel="00000000" w:rsidP="00000000" w:rsidRDefault="00000000" w:rsidRPr="00000000" w14:paraId="00000045">
            <w:pPr>
              <w:jc w:val="center"/>
              <w:rPr>
                <w:rFonts w:ascii="Times New Roman" w:cs="Times New Roman" w:eastAsia="Times New Roman" w:hAnsi="Times New Roman"/>
                <w:color w:val="000000"/>
                <w:sz w:val="24"/>
                <w:szCs w:val="24"/>
                <w:highlight w:val="yellow"/>
              </w:rPr>
            </w:pPr>
            <w:r w:rsidDel="00000000" w:rsidR="00000000" w:rsidRPr="00000000">
              <w:rPr>
                <w:rtl w:val="0"/>
              </w:rPr>
            </w:r>
          </w:p>
          <w:p w:rsidR="00000000" w:rsidDel="00000000" w:rsidP="00000000" w:rsidRDefault="00000000" w:rsidRPr="00000000" w14:paraId="00000046">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225 (77.1)</w:t>
            </w:r>
          </w:p>
          <w:p w:rsidR="00000000" w:rsidDel="00000000" w:rsidP="00000000" w:rsidRDefault="00000000" w:rsidRPr="00000000" w14:paraId="00000047">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(6.8)</w:t>
            </w:r>
          </w:p>
          <w:p w:rsidR="00000000" w:rsidDel="00000000" w:rsidP="00000000" w:rsidRDefault="00000000" w:rsidRPr="00000000" w14:paraId="00000048">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(0.7)</w:t>
            </w:r>
          </w:p>
          <w:p w:rsidR="00000000" w:rsidDel="00000000" w:rsidP="00000000" w:rsidRDefault="00000000" w:rsidRPr="00000000" w14:paraId="00000049">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(2.1)</w:t>
            </w:r>
          </w:p>
          <w:p w:rsidR="00000000" w:rsidDel="00000000" w:rsidP="00000000" w:rsidRDefault="00000000" w:rsidRPr="00000000" w14:paraId="0000004A">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(6.8)</w:t>
            </w:r>
          </w:p>
          <w:p w:rsidR="00000000" w:rsidDel="00000000" w:rsidP="00000000" w:rsidRDefault="00000000" w:rsidRPr="00000000" w14:paraId="0000004B">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(4.5)</w:t>
            </w:r>
          </w:p>
          <w:p w:rsidR="00000000" w:rsidDel="00000000" w:rsidP="00000000" w:rsidRDefault="00000000" w:rsidRPr="00000000" w14:paraId="0000004C">
            <w:pPr>
              <w:spacing w:line="259"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6 (2.1)</w:t>
            </w:r>
            <w:r w:rsidDel="00000000" w:rsidR="00000000" w:rsidRPr="00000000">
              <w:rPr>
                <w:rtl w:val="0"/>
              </w:rPr>
            </w:r>
          </w:p>
        </w:tc>
      </w:tr>
    </w:tbl>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1 = valid </w:t>
      </w:r>
      <w:r w:rsidDel="00000000" w:rsidR="00000000" w:rsidRPr="00000000">
        <w:rPr>
          <w:rFonts w:ascii="Times New Roman" w:cs="Times New Roman" w:eastAsia="Times New Roman" w:hAnsi="Times New Roman"/>
          <w:i w:val="1"/>
          <w:color w:val="000000"/>
          <w:sz w:val="24"/>
          <w:szCs w:val="24"/>
          <w:rtl w:val="0"/>
        </w:rPr>
        <w:t xml:space="preserve">N</w:t>
      </w:r>
      <w:r w:rsidDel="00000000" w:rsidR="00000000" w:rsidRPr="00000000">
        <w:rPr>
          <w:rFonts w:ascii="Times New Roman" w:cs="Times New Roman" w:eastAsia="Times New Roman" w:hAnsi="Times New Roman"/>
          <w:color w:val="000000"/>
          <w:sz w:val="24"/>
          <w:szCs w:val="24"/>
          <w:rtl w:val="0"/>
        </w:rPr>
        <w:t xml:space="preserve"> represents the number of participants used to complete the analysis.</w:t>
      </w:r>
    </w:p>
    <w:p w:rsidR="00000000" w:rsidDel="00000000" w:rsidP="00000000" w:rsidRDefault="00000000" w:rsidRPr="00000000" w14:paraId="0000004E">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F">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Measures</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Demographics.</w:t>
      </w:r>
      <w:r w:rsidDel="00000000" w:rsidR="00000000" w:rsidRPr="00000000">
        <w:rPr>
          <w:rFonts w:ascii="Times New Roman" w:cs="Times New Roman" w:eastAsia="Times New Roman" w:hAnsi="Times New Roman"/>
          <w:sz w:val="24"/>
          <w:szCs w:val="24"/>
          <w:rtl w:val="0"/>
        </w:rPr>
        <w:t xml:space="preserve"> Several questions were asked to measure participants demographics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such as age, gender, and race/ethnicity. In analyses that examined gender differences, gender was restricted to male and female responses due to too few responses in additional categories. Age was used as both a continuous and categorical variable. Age was broken into four discrete categories: 18-25 (Gen Z), 26-41 (Millennials/Gen Y), 42-57 (Gen X), and 58+ (Baby boomers &amp; the Silent Generation). Baby boomers and the silent generation were combined for analysis due to low response rates.  </w:t>
      </w:r>
    </w:p>
    <w:p w:rsidR="00000000" w:rsidDel="00000000" w:rsidP="00000000" w:rsidRDefault="00000000" w:rsidRPr="00000000" w14:paraId="00000051">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Depression, Anxiety, and Stress Scale (DASS-21).</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Depression, Anxiety, and Stress Scale-21 is a shortened version of the original 42-item self-report questionnaire designed to measure three related emotional states: depression, anxiety, and stress (cite). This scale has been used globally and has been validated in both clinical (Antony et al., 1998) and non-clinical (Sinclair et al., 2011) studies. Each seven-item subscale is scored on a four-point Likert-style scale ranging from (0) </w:t>
      </w:r>
      <w:r w:rsidDel="00000000" w:rsidR="00000000" w:rsidRPr="00000000">
        <w:rPr>
          <w:rFonts w:ascii="Times New Roman" w:cs="Times New Roman" w:eastAsia="Times New Roman" w:hAnsi="Times New Roman"/>
          <w:i w:val="1"/>
          <w:sz w:val="24"/>
          <w:szCs w:val="24"/>
          <w:rtl w:val="0"/>
        </w:rPr>
        <w:t xml:space="preserve">did not apply to me at all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i w:val="1"/>
          <w:sz w:val="24"/>
          <w:szCs w:val="24"/>
          <w:rtl w:val="0"/>
        </w:rPr>
        <w:t xml:space="preserve"> (3) applied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i w:val="1"/>
          <w:sz w:val="24"/>
          <w:szCs w:val="24"/>
          <w:rtl w:val="0"/>
        </w:rPr>
        <w:t xml:space="preserve"> me very much or most of the time</w:t>
      </w:r>
      <w:r w:rsidDel="00000000" w:rsidR="00000000" w:rsidRPr="00000000">
        <w:rPr>
          <w:rFonts w:ascii="Times New Roman" w:cs="Times New Roman" w:eastAsia="Times New Roman" w:hAnsi="Times New Roman"/>
          <w:sz w:val="24"/>
          <w:szCs w:val="24"/>
          <w:rtl w:val="0"/>
        </w:rPr>
        <w:t xml:space="preserve">, with higher scores indicating higher severity of the associated mental health problem. The DASS-21 measures depression on the basis of hopelessness and devaluation of life; anxiety on the basis of autonomic arousal and situational anxiety; and stress on the basis of nervous arousal and ease of emotional negativity. Each emotional state is also broken into clinical severity categories using predetermined cutoff points (Peters et al., 2021), allowing the variable to be used as both continuous and categorical variables. </w:t>
      </w:r>
    </w:p>
    <w:p w:rsidR="00000000" w:rsidDel="00000000" w:rsidP="00000000" w:rsidRDefault="00000000" w:rsidRPr="00000000" w14:paraId="00000052">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b w:val="1"/>
          <w:sz w:val="24"/>
          <w:szCs w:val="24"/>
          <w:rtl w:val="0"/>
        </w:rPr>
        <w:t xml:space="preserve">Perceived Stress Scale (PSS).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Perceived Stress Scale is a four-item self-report questionnaire designed to measure the degree to which an individual perceives their life situations as stressful (Cohen et al., 1983). The items are scored on a five-point Likert scale ranging from </w:t>
      </w:r>
      <w:r w:rsidDel="00000000" w:rsidR="00000000" w:rsidRPr="00000000">
        <w:rPr>
          <w:rFonts w:ascii="Times New Roman" w:cs="Times New Roman" w:eastAsia="Times New Roman" w:hAnsi="Times New Roman"/>
          <w:i w:val="1"/>
          <w:sz w:val="24"/>
          <w:szCs w:val="24"/>
          <w:rtl w:val="0"/>
        </w:rPr>
        <w:t xml:space="preserve">(0) never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i w:val="1"/>
          <w:sz w:val="24"/>
          <w:szCs w:val="24"/>
          <w:rtl w:val="0"/>
        </w:rPr>
        <w:t xml:space="preserve"> (4) very often</w:t>
      </w:r>
      <w:r w:rsidDel="00000000" w:rsidR="00000000" w:rsidRPr="00000000">
        <w:rPr>
          <w:rFonts w:ascii="Times New Roman" w:cs="Times New Roman" w:eastAsia="Times New Roman" w:hAnsi="Times New Roman"/>
          <w:sz w:val="24"/>
          <w:szCs w:val="24"/>
          <w:rtl w:val="0"/>
        </w:rPr>
        <w:t xml:space="preserve">, with higher scores indicating higher perceived stress. </w:t>
      </w:r>
    </w:p>
    <w:p w:rsidR="00000000" w:rsidDel="00000000" w:rsidP="00000000" w:rsidRDefault="00000000" w:rsidRPr="00000000" w14:paraId="00000053">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b w:val="1"/>
          <w:sz w:val="24"/>
          <w:szCs w:val="24"/>
          <w:rtl w:val="0"/>
        </w:rPr>
        <w:t xml:space="preserve">Social Media Use Integration Scale (SMUIS).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Social Media Use Integration Scale is a ten-item five-point Likert scale designed to measure engaged social media use and the integration of social media use into an individual's habits (Jenkins-Guarnieri et al., 2012). This scale was originally created to measure Facebook use; however, it has been adapted to measure all social media use. Higher scores indicate higher levels of social media use.</w:t>
      </w:r>
    </w:p>
    <w:p w:rsidR="00000000" w:rsidDel="00000000" w:rsidP="00000000" w:rsidRDefault="00000000" w:rsidRPr="00000000" w14:paraId="00000054">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b w:val="1"/>
          <w:sz w:val="24"/>
          <w:szCs w:val="24"/>
          <w:rtl w:val="0"/>
        </w:rPr>
        <w:t xml:space="preserve">Smartphone Addiction Scale – Short version (SAS-SV). </w:t>
      </w:r>
      <w:r w:rsidDel="00000000" w:rsidR="00000000" w:rsidRPr="00000000">
        <w:rPr>
          <w:rFonts w:ascii="Times New Roman" w:cs="Times New Roman" w:eastAsia="Times New Roman" w:hAnsi="Times New Roman"/>
          <w:sz w:val="24"/>
          <w:szCs w:val="24"/>
          <w:rtl w:val="0"/>
        </w:rPr>
        <w:t xml:space="preserve">The Smartphone Addiction Scale – Short Version is a shortened version of the original Smartphone Addiction Scale intended for the evaluation of smartphone addiction (Kwon et al., 2013). This scale operates on a six-point Likert scale ranging from</w:t>
      </w:r>
      <w:r w:rsidDel="00000000" w:rsidR="00000000" w:rsidRPr="00000000">
        <w:rPr>
          <w:rFonts w:ascii="Times New Roman" w:cs="Times New Roman" w:eastAsia="Times New Roman" w:hAnsi="Times New Roman"/>
          <w:i w:val="1"/>
          <w:sz w:val="24"/>
          <w:szCs w:val="24"/>
          <w:rtl w:val="0"/>
        </w:rPr>
        <w:t xml:space="preserve"> (1) strongly disagree </w:t>
      </w:r>
      <w:r w:rsidDel="00000000" w:rsidR="00000000" w:rsidRPr="00000000">
        <w:rPr>
          <w:rFonts w:ascii="Times New Roman" w:cs="Times New Roman" w:eastAsia="Times New Roman" w:hAnsi="Times New Roman"/>
          <w:sz w:val="24"/>
          <w:szCs w:val="24"/>
          <w:rtl w:val="0"/>
        </w:rPr>
        <w:t xml:space="preserve">to </w:t>
      </w:r>
      <w:r w:rsidDel="00000000" w:rsidR="00000000" w:rsidRPr="00000000">
        <w:rPr>
          <w:rFonts w:ascii="Times New Roman" w:cs="Times New Roman" w:eastAsia="Times New Roman" w:hAnsi="Times New Roman"/>
          <w:i w:val="1"/>
          <w:sz w:val="24"/>
          <w:szCs w:val="24"/>
          <w:rtl w:val="0"/>
        </w:rPr>
        <w:t xml:space="preserve">(6) strongly agree</w:t>
      </w:r>
      <w:r w:rsidDel="00000000" w:rsidR="00000000" w:rsidRPr="00000000">
        <w:rPr>
          <w:rFonts w:ascii="Times New Roman" w:cs="Times New Roman" w:eastAsia="Times New Roman" w:hAnsi="Times New Roman"/>
          <w:sz w:val="24"/>
          <w:szCs w:val="24"/>
          <w:rtl w:val="0"/>
        </w:rPr>
        <w:t xml:space="preserve">. This scale was modified for TikTok use via replacement of “smartphone” with “TikTok,” with higher scales indicating higher levels of TikTok addiction. </w:t>
      </w:r>
    </w:p>
    <w:p w:rsidR="00000000" w:rsidDel="00000000" w:rsidP="00000000" w:rsidRDefault="00000000" w:rsidRPr="00000000" w14:paraId="00000055">
      <w:pPr>
        <w:spacing w:after="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Analysis</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Correlations were used to examine the relationship between age (as a continuous variable), Depression, Anxiety, Stress, Social Media Use, and TikTok addiction (Hypotheses 1 &amp; 2). Three 3X2 analyses of variance were conducted to assess whether mental health (depression, anxiety, and stress) and social media use would be higher in participants who identified as women (H3a, H4a, H5a). One-way ANOVAs were used to determine if there were group differences (depression, anxiety, stress) on TikTok addiction (H3b, H4b). Unfortunately, the hypothesized interactions between gender and mental health on TikTok addiction (H5b) could not be examined due to small group sizes. Researchers were able to use a one-way ANOVA to examine the relationship between age and social media use (H6a), but too few older adults used TikTok for age and TikTok addiction (H6b) to be examined. Similarly, the hypothesized interactions between age and mental health on social media use (H7a) and TikTok addiction (H7b) could not be examined due to small group sizes. All analyses were performed using IBM SPSS statistics, version 27 and all statistical tests used a significance level of 0.05.</w:t>
      </w:r>
    </w:p>
    <w:p w:rsidR="00000000" w:rsidDel="00000000" w:rsidP="00000000" w:rsidRDefault="00000000" w:rsidRPr="00000000" w14:paraId="00000057">
      <w:pPr>
        <w:spacing w:after="0" w:line="48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RESULTS</w:t>
      </w:r>
    </w:p>
    <w:p w:rsidR="00000000" w:rsidDel="00000000" w:rsidP="00000000" w:rsidRDefault="00000000" w:rsidRPr="00000000" w14:paraId="00000058">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Hypotheses 1 and 2</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9">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hypothesis was that as general social media use increased, depression, anxiety, and stress levels would also increase. Similarly, it was believed that as TikTok addiction increased, depression, anxiety, and stress levels would also increase. These hypotheses were supported; as expected, there were significant positive correlations between social media, and specifically TikTok, use and depression, anxiety, and stress (see Table 2). It was also hypothesized (H2) that there would be a negative correlation between age and social media use/TikTok addiction. As expected, there was a significant negative correlation between age and social media use and age and TikTok addiction,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(279) = -.217,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and</w:t>
      </w:r>
      <w:r w:rsidDel="00000000" w:rsidR="00000000" w:rsidRPr="00000000">
        <w:rPr>
          <w:rFonts w:ascii="Times New Roman" w:cs="Times New Roman" w:eastAsia="Times New Roman" w:hAnsi="Times New Roman"/>
          <w:i w:val="1"/>
          <w:sz w:val="24"/>
          <w:szCs w:val="24"/>
          <w:rtl w:val="0"/>
        </w:rPr>
        <w:t xml:space="preserve"> r</w:t>
      </w:r>
      <w:r w:rsidDel="00000000" w:rsidR="00000000" w:rsidRPr="00000000">
        <w:rPr>
          <w:rFonts w:ascii="Times New Roman" w:cs="Times New Roman" w:eastAsia="Times New Roman" w:hAnsi="Times New Roman"/>
          <w:sz w:val="24"/>
          <w:szCs w:val="24"/>
          <w:rtl w:val="0"/>
        </w:rPr>
        <w:t xml:space="preserve">(162) = -.351,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respectively. </w:t>
      </w:r>
    </w:p>
    <w:p w:rsidR="00000000" w:rsidDel="00000000" w:rsidP="00000000" w:rsidRDefault="00000000" w:rsidRPr="00000000" w14:paraId="0000005A">
      <w:pPr>
        <w:spacing w:after="0" w:line="480" w:lineRule="auto"/>
        <w:rPr>
          <w:rFonts w:ascii="Times New Roman" w:cs="Times New Roman" w:eastAsia="Times New Roman" w:hAnsi="Times New Roman"/>
          <w:sz w:val="24"/>
          <w:szCs w:val="24"/>
        </w:rPr>
      </w:pPr>
      <w:r w:rsidDel="00000000" w:rsidR="00000000" w:rsidRPr="00000000">
        <w:rPr>
          <w:rtl w:val="0"/>
        </w:rPr>
      </w:r>
    </w:p>
    <w:tbl>
      <w:tblPr>
        <w:tblStyle w:val="Table2"/>
        <w:tblW w:w="10080.0" w:type="dxa"/>
        <w:jc w:val="left"/>
        <w:tblInd w:w="-1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070"/>
        <w:gridCol w:w="990"/>
        <w:gridCol w:w="1080"/>
        <w:gridCol w:w="1170"/>
        <w:gridCol w:w="1080"/>
        <w:gridCol w:w="1350"/>
        <w:gridCol w:w="1080"/>
        <w:gridCol w:w="1260"/>
        <w:tblGridChange w:id="0">
          <w:tblGrid>
            <w:gridCol w:w="2070"/>
            <w:gridCol w:w="990"/>
            <w:gridCol w:w="1080"/>
            <w:gridCol w:w="1170"/>
            <w:gridCol w:w="1080"/>
            <w:gridCol w:w="1350"/>
            <w:gridCol w:w="1080"/>
            <w:gridCol w:w="1260"/>
          </w:tblGrid>
        </w:tblGridChange>
      </w:tblGrid>
      <w:tr>
        <w:trPr>
          <w:cantSplit w:val="0"/>
          <w:tblHeader w:val="0"/>
        </w:trPr>
        <w:tc>
          <w:tcPr>
            <w:gridSpan w:val="8"/>
            <w:tcBorders>
              <w:bottom w:color="000000" w:space="0" w:sz="4" w:val="single"/>
            </w:tcBorders>
          </w:tcPr>
          <w:p w:rsidR="00000000" w:rsidDel="00000000" w:rsidP="00000000" w:rsidRDefault="00000000" w:rsidRPr="00000000" w14:paraId="0000005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2. Correlations</w:t>
            </w:r>
          </w:p>
        </w:tc>
      </w:tr>
      <w:tr>
        <w:trPr>
          <w:cantSplit w:val="0"/>
          <w:trHeight w:val="842" w:hRule="atLeast"/>
          <w:tblHeader w:val="0"/>
        </w:trPr>
        <w:tc>
          <w:tcPr>
            <w:tcBorders>
              <w:top w:color="000000" w:space="0" w:sz="4" w:val="single"/>
              <w:bottom w:color="000000" w:space="0" w:sz="4" w:val="single"/>
            </w:tcBorders>
          </w:tcPr>
          <w:p w:rsidR="00000000" w:rsidDel="00000000" w:rsidP="00000000" w:rsidRDefault="00000000" w:rsidRPr="00000000" w14:paraId="00000063">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Variable</w:t>
            </w:r>
          </w:p>
        </w:tc>
        <w:tc>
          <w:tcPr>
            <w:tcBorders>
              <w:top w:color="000000" w:space="0" w:sz="4" w:val="single"/>
              <w:bottom w:color="000000" w:space="0" w:sz="4" w:val="single"/>
            </w:tcBorders>
          </w:tcPr>
          <w:p w:rsidR="00000000" w:rsidDel="00000000" w:rsidP="00000000" w:rsidRDefault="00000000" w:rsidRPr="00000000" w14:paraId="0000006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SMIUS</w:t>
            </w:r>
          </w:p>
        </w:tc>
        <w:tc>
          <w:tcPr>
            <w:tcBorders>
              <w:top w:color="000000" w:space="0" w:sz="4" w:val="single"/>
              <w:bottom w:color="000000" w:space="0" w:sz="4" w:val="single"/>
            </w:tcBorders>
          </w:tcPr>
          <w:p w:rsidR="00000000" w:rsidDel="00000000" w:rsidP="00000000" w:rsidRDefault="00000000" w:rsidRPr="00000000" w14:paraId="0000006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BSMAS</w:t>
            </w:r>
          </w:p>
        </w:tc>
        <w:tc>
          <w:tcPr>
            <w:tcBorders>
              <w:top w:color="000000" w:space="0" w:sz="4" w:val="single"/>
              <w:bottom w:color="000000" w:space="0" w:sz="4" w:val="single"/>
            </w:tcBorders>
          </w:tcPr>
          <w:p w:rsidR="00000000" w:rsidDel="00000000" w:rsidP="00000000" w:rsidRDefault="00000000" w:rsidRPr="00000000" w14:paraId="0000006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SAS_SV</w:t>
            </w:r>
          </w:p>
        </w:tc>
        <w:tc>
          <w:tcPr>
            <w:tcBorders>
              <w:top w:color="000000" w:space="0" w:sz="4" w:val="single"/>
              <w:bottom w:color="000000" w:space="0" w:sz="4" w:val="single"/>
            </w:tcBorders>
          </w:tcPr>
          <w:p w:rsidR="00000000" w:rsidDel="00000000" w:rsidP="00000000" w:rsidRDefault="00000000" w:rsidRPr="00000000" w14:paraId="0000006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Anxiety</w:t>
            </w:r>
          </w:p>
        </w:tc>
        <w:tc>
          <w:tcPr>
            <w:tcBorders>
              <w:top w:color="000000" w:space="0" w:sz="4" w:val="single"/>
              <w:bottom w:color="000000" w:space="0" w:sz="4" w:val="single"/>
            </w:tcBorders>
          </w:tcPr>
          <w:p w:rsidR="00000000" w:rsidDel="00000000" w:rsidP="00000000" w:rsidRDefault="00000000" w:rsidRPr="00000000" w14:paraId="0000006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w:t>
            </w:r>
          </w:p>
        </w:tc>
        <w:tc>
          <w:tcPr>
            <w:tcBorders>
              <w:top w:color="000000" w:space="0" w:sz="4" w:val="single"/>
              <w:bottom w:color="000000" w:space="0" w:sz="4" w:val="single"/>
            </w:tcBorders>
          </w:tcPr>
          <w:p w:rsidR="00000000" w:rsidDel="00000000" w:rsidP="00000000" w:rsidRDefault="00000000" w:rsidRPr="00000000" w14:paraId="0000006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Stress</w:t>
            </w:r>
          </w:p>
        </w:tc>
        <w:tc>
          <w:tcPr>
            <w:tcBorders>
              <w:top w:color="000000" w:space="0" w:sz="4" w:val="single"/>
              <w:bottom w:color="000000" w:space="0" w:sz="4" w:val="single"/>
            </w:tcBorders>
          </w:tcPr>
          <w:p w:rsidR="00000000" w:rsidDel="00000000" w:rsidP="00000000" w:rsidRDefault="00000000" w:rsidRPr="00000000" w14:paraId="0000006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Perceived Stress</w:t>
            </w:r>
          </w:p>
        </w:tc>
      </w:tr>
      <w:tr>
        <w:trPr>
          <w:cantSplit w:val="0"/>
          <w:tblHeader w:val="0"/>
        </w:trPr>
        <w:tc>
          <w:tcPr>
            <w:tcBorders>
              <w:top w:color="000000" w:space="0" w:sz="4" w:val="single"/>
            </w:tcBorders>
            <w:shd w:fill="cccccc" w:val="clear"/>
          </w:tcPr>
          <w:p w:rsidR="00000000" w:rsidDel="00000000" w:rsidP="00000000" w:rsidRDefault="00000000" w:rsidRPr="00000000" w14:paraId="0000006B">
            <w:pPr>
              <w:numPr>
                <w:ilvl w:val="0"/>
                <w:numId w:val="1"/>
              </w:numPr>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SMIUS</w:t>
            </w:r>
          </w:p>
        </w:tc>
        <w:tc>
          <w:tcPr>
            <w:tcBorders>
              <w:top w:color="000000" w:space="0" w:sz="4" w:val="single"/>
            </w:tcBorders>
            <w:shd w:fill="cccccc" w:val="clear"/>
          </w:tcPr>
          <w:p w:rsidR="00000000" w:rsidDel="00000000" w:rsidP="00000000" w:rsidRDefault="00000000" w:rsidRPr="00000000" w14:paraId="0000006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tcBorders>
            <w:shd w:fill="cccccc" w:val="clear"/>
          </w:tcPr>
          <w:p w:rsidR="00000000" w:rsidDel="00000000" w:rsidP="00000000" w:rsidRDefault="00000000" w:rsidRPr="00000000" w14:paraId="0000006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0.605</w:t>
            </w:r>
          </w:p>
        </w:tc>
        <w:tc>
          <w:tcPr>
            <w:tcBorders>
              <w:top w:color="000000" w:space="0" w:sz="4" w:val="single"/>
            </w:tcBorders>
            <w:shd w:fill="cccccc" w:val="clear"/>
          </w:tcPr>
          <w:p w:rsidR="00000000" w:rsidDel="00000000" w:rsidP="00000000" w:rsidRDefault="00000000" w:rsidRPr="00000000" w14:paraId="0000006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0.394</w:t>
            </w:r>
          </w:p>
        </w:tc>
        <w:tc>
          <w:tcPr>
            <w:tcBorders>
              <w:top w:color="000000" w:space="0" w:sz="4" w:val="single"/>
            </w:tcBorders>
            <w:shd w:fill="cccccc" w:val="clear"/>
          </w:tcPr>
          <w:p w:rsidR="00000000" w:rsidDel="00000000" w:rsidP="00000000" w:rsidRDefault="00000000" w:rsidRPr="00000000" w14:paraId="0000006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0.242</w:t>
            </w:r>
          </w:p>
        </w:tc>
        <w:tc>
          <w:tcPr>
            <w:tcBorders>
              <w:top w:color="000000" w:space="0" w:sz="4" w:val="single"/>
            </w:tcBorders>
            <w:shd w:fill="cccccc" w:val="clear"/>
          </w:tcPr>
          <w:p w:rsidR="00000000" w:rsidDel="00000000" w:rsidP="00000000" w:rsidRDefault="00000000" w:rsidRPr="00000000" w14:paraId="0000007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0.222</w:t>
            </w:r>
          </w:p>
        </w:tc>
        <w:tc>
          <w:tcPr>
            <w:tcBorders>
              <w:top w:color="000000" w:space="0" w:sz="4" w:val="single"/>
            </w:tcBorders>
            <w:shd w:fill="cccccc" w:val="clear"/>
          </w:tcPr>
          <w:p w:rsidR="00000000" w:rsidDel="00000000" w:rsidP="00000000" w:rsidRDefault="00000000" w:rsidRPr="00000000" w14:paraId="0000007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0.276</w:t>
            </w:r>
          </w:p>
        </w:tc>
        <w:tc>
          <w:tcPr>
            <w:tcBorders>
              <w:top w:color="000000" w:space="0" w:sz="4" w:val="single"/>
            </w:tcBorders>
            <w:shd w:fill="cccccc" w:val="clear"/>
          </w:tcPr>
          <w:p w:rsidR="00000000" w:rsidDel="00000000" w:rsidP="00000000" w:rsidRDefault="00000000" w:rsidRPr="00000000" w14:paraId="0000007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0.207</w:t>
            </w:r>
          </w:p>
        </w:tc>
      </w:tr>
      <w:tr>
        <w:trPr>
          <w:cantSplit w:val="0"/>
          <w:tblHeader w:val="0"/>
        </w:trPr>
        <w:tc>
          <w:tcPr/>
          <w:p w:rsidR="00000000" w:rsidDel="00000000" w:rsidP="00000000" w:rsidRDefault="00000000" w:rsidRPr="00000000" w14:paraId="00000073">
            <w:pPr>
              <w:numPr>
                <w:ilvl w:val="0"/>
                <w:numId w:val="1"/>
              </w:numPr>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BSMAS</w:t>
            </w:r>
          </w:p>
        </w:tc>
        <w:tc>
          <w:tcPr/>
          <w:p w:rsidR="00000000" w:rsidDel="00000000" w:rsidP="00000000" w:rsidRDefault="00000000" w:rsidRPr="00000000" w14:paraId="00000074">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7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0.683</w:t>
            </w:r>
          </w:p>
        </w:tc>
        <w:tc>
          <w:tcPr/>
          <w:p w:rsidR="00000000" w:rsidDel="00000000" w:rsidP="00000000" w:rsidRDefault="00000000" w:rsidRPr="00000000" w14:paraId="0000007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0.366</w:t>
            </w:r>
          </w:p>
        </w:tc>
        <w:tc>
          <w:tcPr/>
          <w:p w:rsidR="00000000" w:rsidDel="00000000" w:rsidP="00000000" w:rsidRDefault="00000000" w:rsidRPr="00000000" w14:paraId="0000007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0.324</w:t>
            </w:r>
          </w:p>
        </w:tc>
        <w:tc>
          <w:tcPr/>
          <w:p w:rsidR="00000000" w:rsidDel="00000000" w:rsidP="00000000" w:rsidRDefault="00000000" w:rsidRPr="00000000" w14:paraId="0000007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0.432</w:t>
            </w:r>
          </w:p>
        </w:tc>
        <w:tc>
          <w:tcPr/>
          <w:p w:rsidR="00000000" w:rsidDel="00000000" w:rsidP="00000000" w:rsidRDefault="00000000" w:rsidRPr="00000000" w14:paraId="0000007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0.408</w:t>
            </w:r>
          </w:p>
        </w:tc>
      </w:tr>
      <w:tr>
        <w:trPr>
          <w:cantSplit w:val="0"/>
          <w:tblHeader w:val="0"/>
        </w:trPr>
        <w:tc>
          <w:tcPr>
            <w:shd w:fill="cccccc" w:val="clear"/>
          </w:tcPr>
          <w:p w:rsidR="00000000" w:rsidDel="00000000" w:rsidP="00000000" w:rsidRDefault="00000000" w:rsidRPr="00000000" w14:paraId="0000007B">
            <w:pPr>
              <w:numPr>
                <w:ilvl w:val="0"/>
                <w:numId w:val="1"/>
              </w:numPr>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SAS_SV</w:t>
            </w:r>
          </w:p>
        </w:tc>
        <w:tc>
          <w:tcPr>
            <w:shd w:fill="cccccc" w:val="clear"/>
          </w:tcPr>
          <w:p w:rsidR="00000000" w:rsidDel="00000000" w:rsidP="00000000" w:rsidRDefault="00000000" w:rsidRPr="00000000" w14:paraId="0000007C">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shd w:fill="cccccc" w:val="clear"/>
          </w:tcPr>
          <w:p w:rsidR="00000000" w:rsidDel="00000000" w:rsidP="00000000" w:rsidRDefault="00000000" w:rsidRPr="00000000" w14:paraId="0000007D">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shd w:fill="cccccc" w:val="clear"/>
          </w:tcPr>
          <w:p w:rsidR="00000000" w:rsidDel="00000000" w:rsidP="00000000" w:rsidRDefault="00000000" w:rsidRPr="00000000" w14:paraId="0000007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cccccc" w:val="clear"/>
          </w:tcPr>
          <w:p w:rsidR="00000000" w:rsidDel="00000000" w:rsidP="00000000" w:rsidRDefault="00000000" w:rsidRPr="00000000" w14:paraId="0000007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0.378</w:t>
            </w:r>
          </w:p>
        </w:tc>
        <w:tc>
          <w:tcPr>
            <w:shd w:fill="cccccc" w:val="clear"/>
          </w:tcPr>
          <w:p w:rsidR="00000000" w:rsidDel="00000000" w:rsidP="00000000" w:rsidRDefault="00000000" w:rsidRPr="00000000" w14:paraId="0000008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0.313</w:t>
            </w:r>
          </w:p>
        </w:tc>
        <w:tc>
          <w:tcPr>
            <w:shd w:fill="cccccc" w:val="clear"/>
          </w:tcPr>
          <w:p w:rsidR="00000000" w:rsidDel="00000000" w:rsidP="00000000" w:rsidRDefault="00000000" w:rsidRPr="00000000" w14:paraId="0000008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0.377</w:t>
            </w:r>
          </w:p>
        </w:tc>
        <w:tc>
          <w:tcPr>
            <w:shd w:fill="cccccc" w:val="clear"/>
          </w:tcPr>
          <w:p w:rsidR="00000000" w:rsidDel="00000000" w:rsidP="00000000" w:rsidRDefault="00000000" w:rsidRPr="00000000" w14:paraId="0000008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0.298</w:t>
            </w:r>
          </w:p>
        </w:tc>
      </w:tr>
      <w:tr>
        <w:trPr>
          <w:cantSplit w:val="0"/>
          <w:tblHeader w:val="0"/>
        </w:trPr>
        <w:tc>
          <w:tcPr/>
          <w:p w:rsidR="00000000" w:rsidDel="00000000" w:rsidP="00000000" w:rsidRDefault="00000000" w:rsidRPr="00000000" w14:paraId="00000083">
            <w:pPr>
              <w:numPr>
                <w:ilvl w:val="0"/>
                <w:numId w:val="1"/>
              </w:numPr>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Anxiety</w:t>
            </w:r>
          </w:p>
        </w:tc>
        <w:tc>
          <w:tcPr/>
          <w:p w:rsidR="00000000" w:rsidDel="00000000" w:rsidP="00000000" w:rsidRDefault="00000000" w:rsidRPr="00000000" w14:paraId="00000084">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8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0.734</w:t>
            </w:r>
          </w:p>
        </w:tc>
        <w:tc>
          <w:tcPr/>
          <w:p w:rsidR="00000000" w:rsidDel="00000000" w:rsidP="00000000" w:rsidRDefault="00000000" w:rsidRPr="00000000" w14:paraId="0000008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0.806</w:t>
            </w:r>
          </w:p>
        </w:tc>
        <w:tc>
          <w:tcPr/>
          <w:p w:rsidR="00000000" w:rsidDel="00000000" w:rsidP="00000000" w:rsidRDefault="00000000" w:rsidRPr="00000000" w14:paraId="0000008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0.643</w:t>
            </w:r>
          </w:p>
        </w:tc>
      </w:tr>
      <w:tr>
        <w:trPr>
          <w:cantSplit w:val="0"/>
          <w:tblHeader w:val="0"/>
        </w:trPr>
        <w:tc>
          <w:tcPr>
            <w:shd w:fill="cccccc" w:val="clear"/>
          </w:tcPr>
          <w:p w:rsidR="00000000" w:rsidDel="00000000" w:rsidP="00000000" w:rsidRDefault="00000000" w:rsidRPr="00000000" w14:paraId="0000008B">
            <w:pPr>
              <w:numPr>
                <w:ilvl w:val="0"/>
                <w:numId w:val="1"/>
              </w:numPr>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w:t>
            </w:r>
          </w:p>
        </w:tc>
        <w:tc>
          <w:tcPr>
            <w:shd w:fill="cccccc" w:val="clear"/>
          </w:tcPr>
          <w:p w:rsidR="00000000" w:rsidDel="00000000" w:rsidP="00000000" w:rsidRDefault="00000000" w:rsidRPr="00000000" w14:paraId="0000008C">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shd w:fill="cccccc" w:val="clear"/>
          </w:tcPr>
          <w:p w:rsidR="00000000" w:rsidDel="00000000" w:rsidP="00000000" w:rsidRDefault="00000000" w:rsidRPr="00000000" w14:paraId="0000008D">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shd w:fill="cccccc" w:val="clear"/>
          </w:tcPr>
          <w:p w:rsidR="00000000" w:rsidDel="00000000" w:rsidP="00000000" w:rsidRDefault="00000000" w:rsidRPr="00000000" w14:paraId="0000008E">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shd w:fill="cccccc" w:val="clear"/>
          </w:tcPr>
          <w:p w:rsidR="00000000" w:rsidDel="00000000" w:rsidP="00000000" w:rsidRDefault="00000000" w:rsidRPr="00000000" w14:paraId="0000008F">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shd w:fill="cccccc" w:val="clear"/>
          </w:tcPr>
          <w:p w:rsidR="00000000" w:rsidDel="00000000" w:rsidP="00000000" w:rsidRDefault="00000000" w:rsidRPr="00000000" w14:paraId="0000009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cccccc" w:val="clear"/>
          </w:tcPr>
          <w:p w:rsidR="00000000" w:rsidDel="00000000" w:rsidP="00000000" w:rsidRDefault="00000000" w:rsidRPr="00000000" w14:paraId="0000009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0.773</w:t>
            </w:r>
          </w:p>
        </w:tc>
        <w:tc>
          <w:tcPr>
            <w:shd w:fill="cccccc" w:val="clear"/>
          </w:tcPr>
          <w:p w:rsidR="00000000" w:rsidDel="00000000" w:rsidP="00000000" w:rsidRDefault="00000000" w:rsidRPr="00000000" w14:paraId="0000009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0.747</w:t>
            </w:r>
          </w:p>
        </w:tc>
      </w:tr>
      <w:tr>
        <w:trPr>
          <w:cantSplit w:val="0"/>
          <w:tblHeader w:val="0"/>
        </w:trPr>
        <w:tc>
          <w:tcPr/>
          <w:p w:rsidR="00000000" w:rsidDel="00000000" w:rsidP="00000000" w:rsidRDefault="00000000" w:rsidRPr="00000000" w14:paraId="00000093">
            <w:pPr>
              <w:numPr>
                <w:ilvl w:val="0"/>
                <w:numId w:val="1"/>
              </w:numPr>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Stress</w:t>
            </w:r>
          </w:p>
        </w:tc>
        <w:tc>
          <w:tcPr/>
          <w:p w:rsidR="00000000" w:rsidDel="00000000" w:rsidP="00000000" w:rsidRDefault="00000000" w:rsidRPr="00000000" w14:paraId="00000094">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9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0.659</w:t>
            </w:r>
          </w:p>
        </w:tc>
      </w:tr>
      <w:tr>
        <w:trPr>
          <w:cantSplit w:val="0"/>
          <w:tblHeader w:val="0"/>
        </w:trPr>
        <w:tc>
          <w:tcPr>
            <w:tcBorders>
              <w:bottom w:color="000000" w:space="0" w:sz="4" w:val="single"/>
            </w:tcBorders>
            <w:shd w:fill="cccccc" w:val="clear"/>
          </w:tcPr>
          <w:p w:rsidR="00000000" w:rsidDel="00000000" w:rsidP="00000000" w:rsidRDefault="00000000" w:rsidRPr="00000000" w14:paraId="0000009B">
            <w:pPr>
              <w:numPr>
                <w:ilvl w:val="0"/>
                <w:numId w:val="1"/>
              </w:numPr>
              <w:spacing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Perceived Stress</w:t>
            </w:r>
          </w:p>
        </w:tc>
        <w:tc>
          <w:tcPr>
            <w:tcBorders>
              <w:bottom w:color="000000" w:space="0" w:sz="4" w:val="single"/>
            </w:tcBorders>
            <w:shd w:fill="cccccc" w:val="clear"/>
          </w:tcPr>
          <w:p w:rsidR="00000000" w:rsidDel="00000000" w:rsidP="00000000" w:rsidRDefault="00000000" w:rsidRPr="00000000" w14:paraId="0000009C">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shd w:fill="cccccc" w:val="clear"/>
          </w:tcPr>
          <w:p w:rsidR="00000000" w:rsidDel="00000000" w:rsidP="00000000" w:rsidRDefault="00000000" w:rsidRPr="00000000" w14:paraId="0000009D">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shd w:fill="cccccc" w:val="clear"/>
          </w:tcPr>
          <w:p w:rsidR="00000000" w:rsidDel="00000000" w:rsidP="00000000" w:rsidRDefault="00000000" w:rsidRPr="00000000" w14:paraId="0000009E">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shd w:fill="cccccc" w:val="clear"/>
          </w:tcPr>
          <w:p w:rsidR="00000000" w:rsidDel="00000000" w:rsidP="00000000" w:rsidRDefault="00000000" w:rsidRPr="00000000" w14:paraId="0000009F">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shd w:fill="cccccc" w:val="clear"/>
          </w:tcPr>
          <w:p w:rsidR="00000000" w:rsidDel="00000000" w:rsidP="00000000" w:rsidRDefault="00000000" w:rsidRPr="00000000" w14:paraId="000000A0">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shd w:fill="cccccc" w:val="clear"/>
          </w:tcPr>
          <w:p w:rsidR="00000000" w:rsidDel="00000000" w:rsidP="00000000" w:rsidRDefault="00000000" w:rsidRPr="00000000" w14:paraId="000000A1">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shd w:fill="cccccc" w:val="clear"/>
          </w:tcPr>
          <w:p w:rsidR="00000000" w:rsidDel="00000000" w:rsidP="00000000" w:rsidRDefault="00000000" w:rsidRPr="00000000" w14:paraId="000000A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4" w:val="single"/>
            </w:tcBorders>
          </w:tcPr>
          <w:p w:rsidR="00000000" w:rsidDel="00000000" w:rsidP="00000000" w:rsidRDefault="00000000" w:rsidRPr="00000000" w14:paraId="000000A3">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Mean</w:t>
            </w:r>
          </w:p>
        </w:tc>
        <w:tc>
          <w:tcPr>
            <w:tcBorders>
              <w:top w:color="000000" w:space="0" w:sz="4" w:val="single"/>
            </w:tcBorders>
          </w:tcPr>
          <w:p w:rsidR="00000000" w:rsidDel="00000000" w:rsidP="00000000" w:rsidRDefault="00000000" w:rsidRPr="00000000" w14:paraId="000000A4">
            <w:pPr>
              <w:spacing w:line="36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A5">
            <w:pPr>
              <w:spacing w:line="36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A6">
            <w:pPr>
              <w:spacing w:line="36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A7">
            <w:pPr>
              <w:spacing w:line="36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A8">
            <w:pPr>
              <w:spacing w:line="36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A9">
            <w:pPr>
              <w:spacing w:line="36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AA">
            <w:pPr>
              <w:spacing w:line="36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AB">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SD</w:t>
            </w:r>
          </w:p>
        </w:tc>
        <w:tc>
          <w:tcPr>
            <w:tcBorders>
              <w:bottom w:color="000000" w:space="0" w:sz="4" w:val="single"/>
            </w:tcBorders>
          </w:tcPr>
          <w:p w:rsidR="00000000" w:rsidDel="00000000" w:rsidP="00000000" w:rsidRDefault="00000000" w:rsidRPr="00000000" w14:paraId="000000AC">
            <w:pPr>
              <w:spacing w:line="360" w:lineRule="auto"/>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D">
            <w:pPr>
              <w:spacing w:line="360" w:lineRule="auto"/>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E">
            <w:pPr>
              <w:spacing w:line="360" w:lineRule="auto"/>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F">
            <w:pPr>
              <w:spacing w:line="360" w:lineRule="auto"/>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0">
            <w:pPr>
              <w:spacing w:line="360" w:lineRule="auto"/>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1">
            <w:pPr>
              <w:spacing w:line="360" w:lineRule="auto"/>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2">
            <w:pPr>
              <w:spacing w:line="36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w:t>
      </w:r>
    </w:p>
    <w:p w:rsidR="00000000" w:rsidDel="00000000" w:rsidP="00000000" w:rsidRDefault="00000000" w:rsidRPr="00000000" w14:paraId="000000B4">
      <w:pPr>
        <w:spacing w:after="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5">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Hypotheses 3, 4, and 5</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B6">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hypothesized that there would be gender by mental health (depression, anxiety, and stress) interactions on both social media use and TikTok addiction, such that females with severe/extremely severe depression/anxiety/stress would score the highest on social media use and TikTok addiction. Three 3X2 analyses of variance were conducted to examine the effects of gender on mental health (depression, anxiety, and stress) on social media use. </w:t>
      </w:r>
    </w:p>
    <w:p w:rsidR="00000000" w:rsidDel="00000000" w:rsidP="00000000" w:rsidRDefault="00000000" w:rsidRPr="00000000" w14:paraId="000000B7">
      <w:pPr>
        <w:spacing w:line="48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ab/>
        <w:t xml:space="preserve">A 3X2 analysis of variance was conducted to examine the effects of gender and depression on social media use. A main effect for depression was detected,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(2, 266) = 4.366,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.014,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.032. Participants with Severe/extremely severe depression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30.477,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1.689, 95% CI [27.151, 33.803]) had a significantly higher score on social media use than participants with normal depression levels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25.798,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.745, 95% CI [24.332, 27.264]). There were no differences between participants with mild/moderate depression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28.603,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1.160, 95% CI [26.319, 30.886]) and other groups. There was also a main effect for gender,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 266) = 4.622,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.032,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.017, indicating that female participants scored higher on social media use than males. Additionally, there was not a significant interaction between gender and depression on social media use,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(2, 266) = .511,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.600,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.004.</w:t>
      </w:r>
      <w:r w:rsidDel="00000000" w:rsidR="00000000" w:rsidRPr="00000000">
        <w:rPr>
          <w:rtl w:val="0"/>
        </w:rPr>
      </w:r>
    </w:p>
    <w:p w:rsidR="00000000" w:rsidDel="00000000" w:rsidP="00000000" w:rsidRDefault="00000000" w:rsidRPr="00000000" w14:paraId="000000B8">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3X2 analysis of variance was conducted to examine the effects of gender and anxiety on social media use. A main effect for anxiety was detected,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(2, 266) = 3.452,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.033,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.025. Results revealed that there were trends between participants with normal anxiety levels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26.107,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.712, 95% CI [24.706, 27.508]) compared to those with mild/moderate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29.916,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1.498, 95% CI [26.966, 32.866]) and severe/extremely severe anxiety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28.928,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1.531, 95% CI [25.914, 31.943]). Unfortunately, there was no main effect for gender,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 266) = 3.138,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.078,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.012, or a significant interaction between gender and anxiety on social media use,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(2, 266) = 1.139,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.322,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.008.</w:t>
      </w:r>
    </w:p>
    <w:p w:rsidR="00000000" w:rsidDel="00000000" w:rsidP="00000000" w:rsidRDefault="00000000" w:rsidRPr="00000000" w14:paraId="000000B9">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third 3X2 ANOVA was conducted to examine the effects of gender and stress on social media use. Main effects were found for both stress and gender,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(2, 266) = 7.653,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.054 and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 266) = 4.695,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.031,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.017, respectively. Participants with normal stress levels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25.504,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.724, 95% CI [24.079, 26.928]) scored lower on social media use than participants with mild/moderate stress levels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30.525,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1.064, 95% CI [28.430, 32.620]). There were no differences between participants with severe/extremely severe stress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26.174,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3.177, 95% CI [19.918, 32.430]) and other groups. Additionally, there was a trend when examining the interaction between gender and stress on social media use,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(2, 266) = 3.003,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 .051, </w:t>
      </w:r>
      <w:r w:rsidDel="00000000" w:rsidR="00000000" w:rsidRPr="00000000">
        <w:rPr>
          <w:rFonts w:ascii="Times New Roman" w:cs="Times New Roman" w:eastAsia="Times New Roman" w:hAnsi="Times New Roman"/>
          <w:i w:val="1"/>
          <w:sz w:val="24"/>
          <w:szCs w:val="24"/>
          <w:rtl w:val="0"/>
        </w:rPr>
        <w:t xml:space="preserve">partial η</w:t>
      </w:r>
      <w:r w:rsidDel="00000000" w:rsidR="00000000" w:rsidRPr="00000000">
        <w:rPr>
          <w:rFonts w:ascii="Times New Roman" w:cs="Times New Roman" w:eastAsia="Times New Roman" w:hAnsi="Times New Roman"/>
          <w:i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.022. Simple effects analyses revealed females with normal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28.043,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.889, 95% CI [26.292, 29.793]) and severe/extremely severe stress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31.348,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1.797, 95% CI [27.809, 34.887]) scored higher on the social media use scale than males with the same stress levels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22.965,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1.142, 95% CI [20.717, 25.213];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21.000,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6.095, 95% CI [8.999, 33.001]). There were no significant differences between male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30.810,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1.881, 95% CI [27.106, 34.513]) and female (</w:t>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30.240, </w:t>
      </w:r>
      <w:r w:rsidDel="00000000" w:rsidR="00000000" w:rsidRPr="00000000">
        <w:rPr>
          <w:rFonts w:ascii="Times New Roman" w:cs="Times New Roman" w:eastAsia="Times New Roman" w:hAnsi="Times New Roman"/>
          <w:i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.995, 95% CI [28.280, 32.200]) participants with mild/moderate stress levels.</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Unfortunately, only a small subset of male participants indicated that they used TikTok, and therefore the gender analyses and interactions on TikTok use were not appropriate tests due to small group sizes. Instead, three one-way ANOVAs were run with depression, anxiety, and stress as the grouping variables and TikTok addiction as the dependent variable. For each test, it was hypothesized that participants with more severe mental health would score higher on the TikTok addiction scale.  A one-way analysis of variance was conducted to examine the effect of depression group on TikTok addiction. A significant difference was detected between the normal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19.309,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8.777) compared to mild/moderate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24.455,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8.830) and severe/extremely severe conditions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25.049,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10.592), </w:t>
      </w:r>
      <w:r w:rsidDel="00000000" w:rsidR="00000000" w:rsidRPr="00000000">
        <w:rPr>
          <w:rFonts w:ascii="Times New Roman" w:cs="Times New Roman" w:eastAsia="Times New Roman" w:hAnsi="Times New Roman"/>
          <w:i w:val="1"/>
          <w:color w:val="000000"/>
          <w:sz w:val="24"/>
          <w:szCs w:val="24"/>
          <w:rtl w:val="0"/>
        </w:rPr>
        <w:t xml:space="preserve">F</w:t>
      </w:r>
      <w:r w:rsidDel="00000000" w:rsidR="00000000" w:rsidRPr="00000000">
        <w:rPr>
          <w:rFonts w:ascii="Times New Roman" w:cs="Times New Roman" w:eastAsia="Times New Roman" w:hAnsi="Times New Roman"/>
          <w:color w:val="000000"/>
          <w:sz w:val="24"/>
          <w:szCs w:val="24"/>
          <w:rtl w:val="0"/>
        </w:rPr>
        <w:t xml:space="preserve">(2, 163) = 7.167, </w:t>
      </w:r>
      <w:r w:rsidDel="00000000" w:rsidR="00000000" w:rsidRPr="00000000">
        <w:rPr>
          <w:rFonts w:ascii="Times New Roman" w:cs="Times New Roman" w:eastAsia="Times New Roman" w:hAnsi="Times New Roman"/>
          <w:i w:val="1"/>
          <w:color w:val="000000"/>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 = .001, </w:t>
      </w:r>
      <w:r w:rsidDel="00000000" w:rsidR="00000000" w:rsidRPr="00000000">
        <w:rPr>
          <w:rFonts w:ascii="Times New Roman" w:cs="Times New Roman" w:eastAsia="Times New Roman" w:hAnsi="Times New Roman"/>
          <w:i w:val="1"/>
          <w:color w:val="000000"/>
          <w:sz w:val="24"/>
          <w:szCs w:val="24"/>
          <w:rtl w:val="0"/>
        </w:rPr>
        <w:t xml:space="preserve">η</w:t>
      </w:r>
      <w:r w:rsidDel="00000000" w:rsidR="00000000" w:rsidRPr="00000000">
        <w:rPr>
          <w:rFonts w:ascii="Times New Roman" w:cs="Times New Roman" w:eastAsia="Times New Roman" w:hAnsi="Times New Roman"/>
          <w:i w:val="1"/>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081</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Another one-way analysis of variance was conducted to examine the effect of anxiety group on TikTok addiction. A significant difference was detected between the normal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18.94,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8.784) compared to mild/moderate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24.784,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8.104) and severe/extremely severe conditions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25.375,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10.412), </w:t>
      </w:r>
      <w:r w:rsidDel="00000000" w:rsidR="00000000" w:rsidRPr="00000000">
        <w:rPr>
          <w:rFonts w:ascii="Times New Roman" w:cs="Times New Roman" w:eastAsia="Times New Roman" w:hAnsi="Times New Roman"/>
          <w:i w:val="1"/>
          <w:color w:val="000000"/>
          <w:sz w:val="24"/>
          <w:szCs w:val="24"/>
          <w:rtl w:val="0"/>
        </w:rPr>
        <w:t xml:space="preserve">F</w:t>
      </w:r>
      <w:r w:rsidDel="00000000" w:rsidR="00000000" w:rsidRPr="00000000">
        <w:rPr>
          <w:rFonts w:ascii="Times New Roman" w:cs="Times New Roman" w:eastAsia="Times New Roman" w:hAnsi="Times New Roman"/>
          <w:color w:val="000000"/>
          <w:sz w:val="24"/>
          <w:szCs w:val="24"/>
          <w:rtl w:val="0"/>
        </w:rPr>
        <w:t xml:space="preserve">(2, 163) = 9.588, </w:t>
      </w:r>
      <w:r w:rsidDel="00000000" w:rsidR="00000000" w:rsidRPr="00000000">
        <w:rPr>
          <w:rFonts w:ascii="Times New Roman" w:cs="Times New Roman" w:eastAsia="Times New Roman" w:hAnsi="Times New Roman"/>
          <w:i w:val="1"/>
          <w:color w:val="000000"/>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 &lt; .001, </w:t>
      </w:r>
      <w:r w:rsidDel="00000000" w:rsidR="00000000" w:rsidRPr="00000000">
        <w:rPr>
          <w:rFonts w:ascii="Times New Roman" w:cs="Times New Roman" w:eastAsia="Times New Roman" w:hAnsi="Times New Roman"/>
          <w:i w:val="1"/>
          <w:color w:val="000000"/>
          <w:sz w:val="24"/>
          <w:szCs w:val="24"/>
          <w:rtl w:val="0"/>
        </w:rPr>
        <w:t xml:space="preserve">η</w:t>
      </w:r>
      <w:r w:rsidDel="00000000" w:rsidR="00000000" w:rsidRPr="00000000">
        <w:rPr>
          <w:rFonts w:ascii="Times New Roman" w:cs="Times New Roman" w:eastAsia="Times New Roman" w:hAnsi="Times New Roman"/>
          <w:i w:val="1"/>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105</w:t>
      </w:r>
      <w:r w:rsidDel="00000000" w:rsidR="00000000" w:rsidRPr="00000000">
        <w:rPr>
          <w:rFonts w:ascii="Times New Roman" w:cs="Times New Roman" w:eastAsia="Times New Roman" w:hAnsi="Times New Roman"/>
          <w:color w:val="000000"/>
          <w:sz w:val="24"/>
          <w:szCs w:val="24"/>
          <w:rtl w:val="0"/>
        </w:rPr>
        <w:t xml:space="preserve">. Lastly, there was a significant effect of stress group on TikTok addiction,</w:t>
      </w:r>
      <w:r w:rsidDel="00000000" w:rsidR="00000000" w:rsidRPr="00000000">
        <w:rPr>
          <w:rFonts w:ascii="Times New Roman" w:cs="Times New Roman" w:eastAsia="Times New Roman" w:hAnsi="Times New Roman"/>
          <w:i w:val="1"/>
          <w:color w:val="000000"/>
          <w:sz w:val="24"/>
          <w:szCs w:val="24"/>
          <w:rtl w:val="0"/>
        </w:rPr>
        <w:t xml:space="preserve"> F</w:t>
      </w:r>
      <w:r w:rsidDel="00000000" w:rsidR="00000000" w:rsidRPr="00000000">
        <w:rPr>
          <w:rFonts w:ascii="Times New Roman" w:cs="Times New Roman" w:eastAsia="Times New Roman" w:hAnsi="Times New Roman"/>
          <w:color w:val="000000"/>
          <w:sz w:val="24"/>
          <w:szCs w:val="24"/>
          <w:rtl w:val="0"/>
        </w:rPr>
        <w:t xml:space="preserve">(2, 163) = 8.159, </w:t>
      </w:r>
      <w:r w:rsidDel="00000000" w:rsidR="00000000" w:rsidRPr="00000000">
        <w:rPr>
          <w:rFonts w:ascii="Times New Roman" w:cs="Times New Roman" w:eastAsia="Times New Roman" w:hAnsi="Times New Roman"/>
          <w:i w:val="1"/>
          <w:color w:val="000000"/>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 &lt; .001, </w:t>
      </w:r>
      <w:r w:rsidDel="00000000" w:rsidR="00000000" w:rsidRPr="00000000">
        <w:rPr>
          <w:rFonts w:ascii="Times New Roman" w:cs="Times New Roman" w:eastAsia="Times New Roman" w:hAnsi="Times New Roman"/>
          <w:i w:val="1"/>
          <w:color w:val="000000"/>
          <w:sz w:val="24"/>
          <w:szCs w:val="24"/>
          <w:rtl w:val="0"/>
        </w:rPr>
        <w:t xml:space="preserve">η</w:t>
      </w:r>
      <w:r w:rsidDel="00000000" w:rsidR="00000000" w:rsidRPr="00000000">
        <w:rPr>
          <w:rFonts w:ascii="Times New Roman" w:cs="Times New Roman" w:eastAsia="Times New Roman" w:hAnsi="Times New Roman"/>
          <w:i w:val="1"/>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091</w:t>
      </w:r>
      <w:r w:rsidDel="00000000" w:rsidR="00000000" w:rsidRPr="00000000">
        <w:rPr>
          <w:rFonts w:ascii="Times New Roman" w:cs="Times New Roman" w:eastAsia="Times New Roman" w:hAnsi="Times New Roman"/>
          <w:color w:val="000000"/>
          <w:sz w:val="24"/>
          <w:szCs w:val="24"/>
          <w:rtl w:val="0"/>
        </w:rPr>
        <w:t xml:space="preserve">. Normal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19.5139,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9.184) and mild/moderate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22.895,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8.748) stress groups were statistically different compared to the severe/extremely severe conditions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29.000,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11.172). </w:t>
      </w:r>
    </w:p>
    <w:p w:rsidR="00000000" w:rsidDel="00000000" w:rsidP="00000000" w:rsidRDefault="00000000" w:rsidRPr="00000000" w14:paraId="000000BC">
      <w:pPr>
        <w:spacing w:after="0"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Hypotheses 6 and 7</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It was hypothesized that social media use would be more prevalent in Gen Z participants than other generations (H6a), and Gen Z participants would score higher on the TikTok addiction scale (H6b). A one-way analysis of variance was conducted to examine the effect of age group on social media use. A significant difference was detected between Gen Z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29.313,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8.980) compared to Gen X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24.351,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9.148); however, no differences were found among Gen Y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28.000,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8.211) and baby boomers (</w:t>
      </w:r>
      <w:r w:rsidDel="00000000" w:rsidR="00000000" w:rsidRPr="00000000">
        <w:rPr>
          <w:rFonts w:ascii="Times New Roman" w:cs="Times New Roman" w:eastAsia="Times New Roman" w:hAnsi="Times New Roman"/>
          <w:i w:val="1"/>
          <w:color w:val="000000"/>
          <w:sz w:val="24"/>
          <w:szCs w:val="24"/>
          <w:rtl w:val="0"/>
        </w:rPr>
        <w:t xml:space="preserve">M =</w:t>
      </w:r>
      <w:r w:rsidDel="00000000" w:rsidR="00000000" w:rsidRPr="00000000">
        <w:rPr>
          <w:rFonts w:ascii="Times New Roman" w:cs="Times New Roman" w:eastAsia="Times New Roman" w:hAnsi="Times New Roman"/>
          <w:color w:val="000000"/>
          <w:sz w:val="24"/>
          <w:szCs w:val="24"/>
          <w:rtl w:val="0"/>
        </w:rPr>
        <w:t xml:space="preserve"> 24.364, </w:t>
      </w:r>
      <w:r w:rsidDel="00000000" w:rsidR="00000000" w:rsidRPr="00000000">
        <w:rPr>
          <w:rFonts w:ascii="Times New Roman" w:cs="Times New Roman" w:eastAsia="Times New Roman" w:hAnsi="Times New Roman"/>
          <w:i w:val="1"/>
          <w:color w:val="000000"/>
          <w:sz w:val="24"/>
          <w:szCs w:val="24"/>
          <w:rtl w:val="0"/>
        </w:rPr>
        <w:t xml:space="preserve">SD</w:t>
      </w:r>
      <w:r w:rsidDel="00000000" w:rsidR="00000000" w:rsidRPr="00000000">
        <w:rPr>
          <w:rFonts w:ascii="Times New Roman" w:cs="Times New Roman" w:eastAsia="Times New Roman" w:hAnsi="Times New Roman"/>
          <w:color w:val="000000"/>
          <w:sz w:val="24"/>
          <w:szCs w:val="24"/>
          <w:rtl w:val="0"/>
        </w:rPr>
        <w:t xml:space="preserve"> = 8.544), </w:t>
      </w:r>
      <w:r w:rsidDel="00000000" w:rsidR="00000000" w:rsidRPr="00000000">
        <w:rPr>
          <w:rFonts w:ascii="Times New Roman" w:cs="Times New Roman" w:eastAsia="Times New Roman" w:hAnsi="Times New Roman"/>
          <w:i w:val="1"/>
          <w:color w:val="000000"/>
          <w:sz w:val="24"/>
          <w:szCs w:val="24"/>
          <w:rtl w:val="0"/>
        </w:rPr>
        <w:t xml:space="preserve">F</w:t>
      </w:r>
      <w:r w:rsidDel="00000000" w:rsidR="00000000" w:rsidRPr="00000000">
        <w:rPr>
          <w:rFonts w:ascii="Times New Roman" w:cs="Times New Roman" w:eastAsia="Times New Roman" w:hAnsi="Times New Roman"/>
          <w:color w:val="000000"/>
          <w:sz w:val="24"/>
          <w:szCs w:val="24"/>
          <w:rtl w:val="0"/>
        </w:rPr>
        <w:t xml:space="preserve">(3, 275) = 4.689, </w:t>
      </w:r>
      <w:r w:rsidDel="00000000" w:rsidR="00000000" w:rsidRPr="00000000">
        <w:rPr>
          <w:rFonts w:ascii="Times New Roman" w:cs="Times New Roman" w:eastAsia="Times New Roman" w:hAnsi="Times New Roman"/>
          <w:i w:val="1"/>
          <w:color w:val="000000"/>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 = .003, </w:t>
      </w:r>
      <w:r w:rsidDel="00000000" w:rsidR="00000000" w:rsidRPr="00000000">
        <w:rPr>
          <w:rFonts w:ascii="Times New Roman" w:cs="Times New Roman" w:eastAsia="Times New Roman" w:hAnsi="Times New Roman"/>
          <w:i w:val="1"/>
          <w:color w:val="000000"/>
          <w:sz w:val="24"/>
          <w:szCs w:val="24"/>
          <w:rtl w:val="0"/>
        </w:rPr>
        <w:t xml:space="preserve">η</w:t>
      </w:r>
      <w:r w:rsidDel="00000000" w:rsidR="00000000" w:rsidRPr="00000000">
        <w:rPr>
          <w:rFonts w:ascii="Times New Roman" w:cs="Times New Roman" w:eastAsia="Times New Roman" w:hAnsi="Times New Roman"/>
          <w:i w:val="1"/>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049</w:t>
      </w:r>
      <w:r w:rsidDel="00000000" w:rsidR="00000000" w:rsidRPr="00000000">
        <w:rPr>
          <w:rFonts w:ascii="Times New Roman" w:cs="Times New Roman" w:eastAsia="Times New Roman" w:hAnsi="Times New Roman"/>
          <w:color w:val="000000"/>
          <w:sz w:val="24"/>
          <w:szCs w:val="24"/>
          <w:rtl w:val="0"/>
        </w:rPr>
        <w:t xml:space="preserve">. Unfortunately, only a small subset of participants were classified as being any generation other than Gen Z, especially among those who used TikTok, and therefore the age analyses for the TikTok addiction scale were not appropriate due to small group sizes.</w:t>
      </w: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Fonts w:ascii="Times New Roman" w:cs="Times New Roman" w:eastAsia="Times New Roman" w:hAnsi="Times New Roman"/>
          <w:sz w:val="24"/>
          <w:szCs w:val="24"/>
          <w:rtl w:val="0"/>
        </w:rPr>
        <w:t xml:space="preserve">Similarly, the hypothesized interactions between age and mental health on social media use (H7a) and TikTok addiction (H7b) could not be examined due to small group sizes. </w:t>
      </w:r>
    </w:p>
    <w:p w:rsidR="00000000" w:rsidDel="00000000" w:rsidP="00000000" w:rsidRDefault="00000000" w:rsidRPr="00000000" w14:paraId="000000BE">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DISCUSSION</w:t>
      </w:r>
      <w:r w:rsidDel="00000000" w:rsidR="00000000" w:rsidRPr="00000000">
        <w:rPr>
          <w:rtl w:val="0"/>
        </w:rPr>
      </w:r>
    </w:p>
    <w:p w:rsidR="00000000" w:rsidDel="00000000" w:rsidP="00000000" w:rsidRDefault="00000000" w:rsidRPr="00000000" w14:paraId="000000BF">
      <w:pPr>
        <w:spacing w:after="0" w:line="48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The aim of this study was to examine the relationship between social media use and men</w:t>
      </w:r>
      <w:r w:rsidDel="00000000" w:rsidR="00000000" w:rsidRPr="00000000">
        <w:rPr>
          <w:rFonts w:ascii="Times New Roman" w:cs="Times New Roman" w:eastAsia="Times New Roman" w:hAnsi="Times New Roman"/>
          <w:sz w:val="24"/>
          <w:szCs w:val="24"/>
          <w:rtl w:val="0"/>
        </w:rPr>
        <w:t xml:space="preserve">tal health illnesses. There were seven hypotheses made before carrying out this research. First, it was hypothesized that 1) There would be a positive correlation between mental health outcomes (depression, anxiety, stress) and social media use (H1a), and there would be a positive correlation between mental health outcomes and TikTok addiction (H1b); and 2) There would be a negative correlation between age and social media use (H2a), as well as TikTok addiction (H2b). The results of the present study supported that there is a significant positive correlation between mental health outcomes and social media, especially TikTok, use, supporting the first hypothesis. As expected, the correlation was stronger when looking specifically at TikTok use. This agrees with previous research that has found a positive correlation between social media use and mental health illnesses (Beeres et al., 2021; Houghton et al., 2018; Orben &amp; Przybyski, 2019); however, rather than focusing on adolescents, this study expanded this knowledge to individuals over the age of eighteen. As expected, this study also found a significant negative correlation between age and social media use as well as TikTok addiction, supporting the second hypothesis. This supports previous research that states that older participants tended to use social media and exhibit addiction to TikTok at less extremes than younger participants (Auxier &amp; Anderson, 2021). </w:t>
      </w:r>
    </w:p>
    <w:p w:rsidR="00000000" w:rsidDel="00000000" w:rsidP="00000000" w:rsidRDefault="00000000" w:rsidRPr="00000000" w14:paraId="000000C0">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Next, it was hypothesized that 3) Social media use would be more prevalent in female participants than male participants (H3a), and female participants would score higher on the TikTok addiction scale (H3b); 4) Social media use (H4a), and TikTok addiction (H4b), would be more prevalent in participants who have severe anxiety, stress, and depression compared to participants who have normal or mild/moderate levels; and 5) There would be a gender by mental health (depression, anxiety, stress) interaction, such that females with severe anxiety/depression/stress would have the most social media use (H5a) and TikTok addiction (H5b). Females were found to score higher on social media use than males, supporting the third hypothesis. However, this study was not able to support the hypothesis that females would score higher on the TikTok addiction scale due to the low number of males who indicated that they use TikTok. Because there was not a comparable number of male and female participants, a difference in gender in relation to TikTok addiction was not found. Additionally, there was not a significant interaction between gender and depression or anxiety on social media use. However, a significant interaction was found between gender and stress on social media use, with females exhibiting normal and severe/extremely severe stress scoring higher on the social media use scale than males with the same stress levels. While there was not a significant interaction between depression and social media use nor between anxiety and social media use, this study found a significant difference between depression and TikTok addiction as well as between anxiety and TikTok addiction, with individuals exhibiting severe/extremely severe conditions also exhibiting higher levels of TikTok addiction. As expected, the same results were found between stress and TikTok addiction. </w:t>
      </w:r>
    </w:p>
    <w:p w:rsidR="00000000" w:rsidDel="00000000" w:rsidP="00000000" w:rsidRDefault="00000000" w:rsidRPr="00000000" w14:paraId="000000C1">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final two hypotheses of this study were that 6) Social media use would be more prevalent in Gen Z participants than other generations (H6a), and Gen Z participants would score higher on the TikTok addiction scale (H6b) and lastly; 7) There would be a generation by mental health (depression, anxiety, stress) interaction, such that Gen Z participants with severe anxiety/depression/stress would have the most social media use (H7a) and TikTok addiction (H7b). When investigating social media use, this study found a significant difference between Gen Z participants in comparison to Gen X participants; however, there was no significant difference among Gen Y participants and baby boomers. This is likely due to the overwhelming proportion of participants belonging to Gen Z, especially among those who used TikTok. Thus, an appropriate comparison among age groups on the TikTok addiction scale was not found due to small group sizes. The same held true when investigating mental health interaction and social media use among the different age groups. </w:t>
      </w:r>
    </w:p>
    <w:p w:rsidR="00000000" w:rsidDel="00000000" w:rsidP="00000000" w:rsidRDefault="00000000" w:rsidRPr="00000000" w14:paraId="000000C2">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main limitation of this study was the lack of variability among the sample. The majority of participants were females, aged 18-25 years old. While the results of this study did support many of the hypotheses, some were unable to be supported due to the lower number of male participants and participants of older age groups. When analyzing TikTok addiction, there were too few men using TikTok to properly investigate the interaction between gender and TikTok addiction. This could be investigated more by widening the sample size; however, it could simply be a representation of the demographic of who actually uses this platform. For future research regarding social media use and TikTok addiction, valuable information could be found by using a more targeted approach for sampling. This study took a general sample of adults over the age of 18; however, due to the method of distribution of the survey, many of the participants were young adult females.</w:t>
      </w:r>
    </w:p>
    <w:p w:rsidR="00000000" w:rsidDel="00000000" w:rsidP="00000000" w:rsidRDefault="00000000" w:rsidRPr="00000000" w14:paraId="000000C3">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primary results of this study indicate that social media use and TikTok addiction are associated with negative mental health outcomes. From this study, we can conclude that younger generations tend to use social media more frequently than older generations, just as females tend to use social media more frequently than males. Additionally, we now know that TikTok addiction correlates with higher levels of depression, anxiety, and stress. This is important when discussing the rising frequency of negative mental health outcomes in society. With younger generations using social media frequently, and the significant correlation between social media use and negative mental health outcomes, those who use social media frequently might be more at risk of developing negative mental health outcomes than those who do not. Though most of the information regarding general social media use found supports previous studies, we now have a better understanding of the relationship between TikTok addiction and negative mental health outcomes. Now that a relationship has been found, future studies should investigate why this relationship exists, as well as what can be done to mitigate negative mental health outcomes when interacting with social media and TikTok. </w:t>
      </w:r>
    </w:p>
    <w:p w:rsidR="00000000" w:rsidDel="00000000" w:rsidP="00000000" w:rsidRDefault="00000000" w:rsidRPr="00000000" w14:paraId="000000C4">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0"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REFERENCES</w:t>
      </w:r>
    </w:p>
    <w:p w:rsidR="00000000" w:rsidDel="00000000" w:rsidP="00000000" w:rsidRDefault="00000000" w:rsidRPr="00000000" w14:paraId="000000D0">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Ali, A., Alkhamees, A. A., Hori, H., Kim, Y., &amp; Kunugi, H. (2021). The depression anxiety stress scale 21: Development and validation of the Depression Anxiety Stress Scale 8-item in psychiatric patients and the general public for easier mental health measurement in a post-covid-19 world. </w:t>
      </w:r>
      <w:r w:rsidDel="00000000" w:rsidR="00000000" w:rsidRPr="00000000">
        <w:rPr>
          <w:rFonts w:ascii="Times New Roman" w:cs="Times New Roman" w:eastAsia="Times New Roman" w:hAnsi="Times New Roman"/>
          <w:i w:val="1"/>
          <w:sz w:val="24"/>
          <w:szCs w:val="24"/>
          <w:rtl w:val="0"/>
        </w:rPr>
        <w:t xml:space="preserve">International Journal of Environmental Research and Public Health, 18</w:t>
      </w:r>
      <w:r w:rsidDel="00000000" w:rsidR="00000000" w:rsidRPr="00000000">
        <w:rPr>
          <w:rFonts w:ascii="Times New Roman" w:cs="Times New Roman" w:eastAsia="Times New Roman" w:hAnsi="Times New Roman"/>
          <w:sz w:val="24"/>
          <w:szCs w:val="24"/>
          <w:rtl w:val="0"/>
        </w:rPr>
        <w:t xml:space="preserve">(19), 10142. </w:t>
      </w:r>
      <w:r w:rsidDel="00000000" w:rsidR="00000000" w:rsidRPr="00000000">
        <w:rPr>
          <w:rtl w:val="0"/>
        </w:rPr>
      </w:r>
    </w:p>
    <w:p w:rsidR="00000000" w:rsidDel="00000000" w:rsidP="00000000" w:rsidRDefault="00000000" w:rsidRPr="00000000" w14:paraId="000000D1">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Antony, M. M., Bieling, P. J., Cox, B. J., Enns, M. W., &amp; Swinson, R. P. (1998). Psychometric Properties of the 42-item and 21-item versions of the depression anxiety stress scales in clinical groups and a community sample. </w:t>
      </w:r>
      <w:r w:rsidDel="00000000" w:rsidR="00000000" w:rsidRPr="00000000">
        <w:rPr>
          <w:rFonts w:ascii="Times New Roman" w:cs="Times New Roman" w:eastAsia="Times New Roman" w:hAnsi="Times New Roman"/>
          <w:i w:val="1"/>
          <w:sz w:val="24"/>
          <w:szCs w:val="24"/>
          <w:rtl w:val="0"/>
        </w:rPr>
        <w:t xml:space="preserve">Psychological Assessment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(2), 176–181. </w:t>
      </w:r>
      <w:hyperlink r:id="rId7">
        <w:r w:rsidDel="00000000" w:rsidR="00000000" w:rsidRPr="00000000">
          <w:rPr>
            <w:rFonts w:ascii="Times New Roman" w:cs="Times New Roman" w:eastAsia="Times New Roman" w:hAnsi="Times New Roman"/>
            <w:color w:val="0563c1"/>
            <w:sz w:val="24"/>
            <w:szCs w:val="24"/>
            <w:u w:val="single"/>
            <w:rtl w:val="0"/>
          </w:rPr>
          <w:t xml:space="preserve">https://doi.org/10.1037/1040-3590.10.2.176</w:t>
        </w:r>
      </w:hyperlink>
      <w:r w:rsidDel="00000000" w:rsidR="00000000" w:rsidRPr="00000000">
        <w:rPr>
          <w:rtl w:val="0"/>
        </w:rPr>
      </w:r>
    </w:p>
    <w:p w:rsidR="00000000" w:rsidDel="00000000" w:rsidP="00000000" w:rsidRDefault="00000000" w:rsidRPr="00000000" w14:paraId="000000D2">
      <w:pPr>
        <w:spacing w:after="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Auxier, B., &amp; Anderson, M. (2021). Social Media Use in 2021. Pew Research Center. </w:t>
      </w:r>
      <w:hyperlink r:id="rId8">
        <w:r w:rsidDel="00000000" w:rsidR="00000000" w:rsidRPr="00000000">
          <w:rPr>
            <w:rFonts w:ascii="Times New Roman" w:cs="Times New Roman" w:eastAsia="Times New Roman" w:hAnsi="Times New Roman"/>
            <w:color w:val="0563c1"/>
            <w:sz w:val="24"/>
            <w:szCs w:val="24"/>
            <w:u w:val="single"/>
            <w:rtl w:val="0"/>
          </w:rPr>
          <w:t xml:space="preserve">https://www.pewresearch.org/internet/wp-content/uploads/sites/9/2021/04/PI_2021.04.07_Social-Media-Use_FINAL.pdf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3">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Beeres, D. T., Andersson, F., Vossen, H. G. M., &amp; Galanti, M. R. (2021). Social Media and mental health among early adolescents in Sweden: A longitudinal study with 2-year follow-up (Kupol Study). </w:t>
      </w:r>
      <w:r w:rsidDel="00000000" w:rsidR="00000000" w:rsidRPr="00000000">
        <w:rPr>
          <w:rFonts w:ascii="Times New Roman" w:cs="Times New Roman" w:eastAsia="Times New Roman" w:hAnsi="Times New Roman"/>
          <w:i w:val="1"/>
          <w:sz w:val="24"/>
          <w:szCs w:val="24"/>
          <w:rtl w:val="0"/>
        </w:rPr>
        <w:t xml:space="preserve">Journal of Adolescent Health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68</w:t>
      </w:r>
      <w:r w:rsidDel="00000000" w:rsidR="00000000" w:rsidRPr="00000000">
        <w:rPr>
          <w:rFonts w:ascii="Times New Roman" w:cs="Times New Roman" w:eastAsia="Times New Roman" w:hAnsi="Times New Roman"/>
          <w:sz w:val="24"/>
          <w:szCs w:val="24"/>
          <w:rtl w:val="0"/>
        </w:rPr>
        <w:t xml:space="preserve">(5), 953–960. </w:t>
      </w:r>
      <w:hyperlink r:id="rId9">
        <w:r w:rsidDel="00000000" w:rsidR="00000000" w:rsidRPr="00000000">
          <w:rPr>
            <w:rFonts w:ascii="Times New Roman" w:cs="Times New Roman" w:eastAsia="Times New Roman" w:hAnsi="Times New Roman"/>
            <w:color w:val="0563c1"/>
            <w:sz w:val="24"/>
            <w:szCs w:val="24"/>
            <w:u w:val="single"/>
            <w:rtl w:val="0"/>
          </w:rPr>
          <w:t xml:space="preserve">https://doi.org/10.1016/j.jadohealth.2020.07.042</w:t>
        </w:r>
      </w:hyperlink>
      <w:r w:rsidDel="00000000" w:rsidR="00000000" w:rsidRPr="00000000">
        <w:rPr>
          <w:rtl w:val="0"/>
        </w:rPr>
      </w:r>
    </w:p>
    <w:p w:rsidR="00000000" w:rsidDel="00000000" w:rsidP="00000000" w:rsidRDefault="00000000" w:rsidRPr="00000000" w14:paraId="000000D4">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Better Health Channel. (2015, September 18). Types of mental health issues and illnesses - Retrieved August 12, 2022, from </w:t>
      </w:r>
      <w:hyperlink r:id="rId10">
        <w:r w:rsidDel="00000000" w:rsidR="00000000" w:rsidRPr="00000000">
          <w:rPr>
            <w:rFonts w:ascii="Times New Roman" w:cs="Times New Roman" w:eastAsia="Times New Roman" w:hAnsi="Times New Roman"/>
            <w:color w:val="0563c1"/>
            <w:sz w:val="24"/>
            <w:szCs w:val="24"/>
            <w:u w:val="single"/>
            <w:rtl w:val="0"/>
          </w:rPr>
          <w:t xml:space="preserve">https://www.betterhealth.vic.gov.au/health/servicesandsupport/types-of-mental-health-issues-and-illnesses</w:t>
        </w:r>
      </w:hyperlink>
      <w:r w:rsidDel="00000000" w:rsidR="00000000" w:rsidRPr="00000000">
        <w:rPr>
          <w:rtl w:val="0"/>
        </w:rPr>
      </w:r>
    </w:p>
    <w:p w:rsidR="00000000" w:rsidDel="00000000" w:rsidP="00000000" w:rsidRDefault="00000000" w:rsidRPr="00000000" w14:paraId="000000D5">
      <w:pPr>
        <w:spacing w:after="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Ceci, L. (2022, April 28). </w:t>
      </w:r>
      <w:r w:rsidDel="00000000" w:rsidR="00000000" w:rsidRPr="00000000">
        <w:rPr>
          <w:rFonts w:ascii="Times New Roman" w:cs="Times New Roman" w:eastAsia="Times New Roman" w:hAnsi="Times New Roman"/>
          <w:i w:val="1"/>
          <w:sz w:val="24"/>
          <w:szCs w:val="24"/>
          <w:rtl w:val="0"/>
        </w:rPr>
        <w:t xml:space="preserve">U.S. tiktok users by age 2021</w:t>
      </w:r>
      <w:r w:rsidDel="00000000" w:rsidR="00000000" w:rsidRPr="00000000">
        <w:rPr>
          <w:rFonts w:ascii="Times New Roman" w:cs="Times New Roman" w:eastAsia="Times New Roman" w:hAnsi="Times New Roman"/>
          <w:sz w:val="24"/>
          <w:szCs w:val="24"/>
          <w:rtl w:val="0"/>
        </w:rPr>
        <w:t xml:space="preserve">. Statista. Retrieved August 13, 2022, from </w:t>
      </w:r>
      <w:hyperlink r:id="rId11">
        <w:r w:rsidDel="00000000" w:rsidR="00000000" w:rsidRPr="00000000">
          <w:rPr>
            <w:rFonts w:ascii="Times New Roman" w:cs="Times New Roman" w:eastAsia="Times New Roman" w:hAnsi="Times New Roman"/>
            <w:color w:val="0563c1"/>
            <w:sz w:val="24"/>
            <w:szCs w:val="24"/>
            <w:u w:val="single"/>
            <w:rtl w:val="0"/>
          </w:rPr>
          <w:t xml:space="preserve">https://www.statista.com/statistics/1095186/tiktok-us-users-age/</w:t>
        </w:r>
      </w:hyperlink>
      <w:r w:rsidDel="00000000" w:rsidR="00000000" w:rsidRPr="00000000">
        <w:rPr>
          <w:rtl w:val="0"/>
        </w:rPr>
      </w:r>
    </w:p>
    <w:p w:rsidR="00000000" w:rsidDel="00000000" w:rsidP="00000000" w:rsidRDefault="00000000" w:rsidRPr="00000000" w14:paraId="000000D6">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Cohen, S., Kamarck, T., &amp; Mermelstein, R. (1983). A global measure of perceived stress. </w:t>
      </w:r>
      <w:r w:rsidDel="00000000" w:rsidR="00000000" w:rsidRPr="00000000">
        <w:rPr>
          <w:rFonts w:ascii="Times New Roman" w:cs="Times New Roman" w:eastAsia="Times New Roman" w:hAnsi="Times New Roman"/>
          <w:i w:val="1"/>
          <w:sz w:val="24"/>
          <w:szCs w:val="24"/>
          <w:rtl w:val="0"/>
        </w:rPr>
        <w:t xml:space="preserve">Journal of Health and Social Behavior, 24</w:t>
      </w:r>
      <w:r w:rsidDel="00000000" w:rsidR="00000000" w:rsidRPr="00000000">
        <w:rPr>
          <w:rFonts w:ascii="Times New Roman" w:cs="Times New Roman" w:eastAsia="Times New Roman" w:hAnsi="Times New Roman"/>
          <w:sz w:val="24"/>
          <w:szCs w:val="24"/>
          <w:rtl w:val="0"/>
        </w:rPr>
        <w:t xml:space="preserve">, 386-396.</w:t>
      </w:r>
      <w:r w:rsidDel="00000000" w:rsidR="00000000" w:rsidRPr="00000000">
        <w:rPr>
          <w:rtl w:val="0"/>
        </w:rPr>
      </w:r>
    </w:p>
    <w:p w:rsidR="00000000" w:rsidDel="00000000" w:rsidP="00000000" w:rsidRDefault="00000000" w:rsidRPr="00000000" w14:paraId="000000D7">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Houghton, S., Lawrence, D., Hunter, S. C., Rosenberg, M., Zadow, C., Wood, L., &amp; Shilton, T. (2018). Reciprocal relationships between trajectories of depressive symptoms and screen media use during adolescence. </w:t>
      </w:r>
      <w:r w:rsidDel="00000000" w:rsidR="00000000" w:rsidRPr="00000000">
        <w:rPr>
          <w:rFonts w:ascii="Times New Roman" w:cs="Times New Roman" w:eastAsia="Times New Roman" w:hAnsi="Times New Roman"/>
          <w:i w:val="1"/>
          <w:sz w:val="24"/>
          <w:szCs w:val="24"/>
          <w:rtl w:val="0"/>
        </w:rPr>
        <w:t xml:space="preserve">Journal of Youth and Adolescence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47</w:t>
      </w:r>
      <w:r w:rsidDel="00000000" w:rsidR="00000000" w:rsidRPr="00000000">
        <w:rPr>
          <w:rFonts w:ascii="Times New Roman" w:cs="Times New Roman" w:eastAsia="Times New Roman" w:hAnsi="Times New Roman"/>
          <w:sz w:val="24"/>
          <w:szCs w:val="24"/>
          <w:rtl w:val="0"/>
        </w:rPr>
        <w:t xml:space="preserve">(11), 2453–2467. </w:t>
      </w:r>
      <w:hyperlink r:id="rId12">
        <w:r w:rsidDel="00000000" w:rsidR="00000000" w:rsidRPr="00000000">
          <w:rPr>
            <w:rFonts w:ascii="Times New Roman" w:cs="Times New Roman" w:eastAsia="Times New Roman" w:hAnsi="Times New Roman"/>
            <w:color w:val="0563c1"/>
            <w:sz w:val="24"/>
            <w:szCs w:val="24"/>
            <w:u w:val="single"/>
            <w:rtl w:val="0"/>
          </w:rPr>
          <w:t xml:space="preserve">https://doi.org/10.1007/s10964-018-0901-y</w:t>
        </w:r>
      </w:hyperlink>
      <w:r w:rsidDel="00000000" w:rsidR="00000000" w:rsidRPr="00000000">
        <w:rPr>
          <w:rtl w:val="0"/>
        </w:rPr>
      </w:r>
    </w:p>
    <w:p w:rsidR="00000000" w:rsidDel="00000000" w:rsidP="00000000" w:rsidRDefault="00000000" w:rsidRPr="00000000" w14:paraId="000000D8">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Jenkins-Guarnieri, M. A., Wright, S. L., &amp; Johnson, B. D. (2012). Development and validation of the social media use integration scale. </w:t>
      </w:r>
      <w:r w:rsidDel="00000000" w:rsidR="00000000" w:rsidRPr="00000000">
        <w:rPr>
          <w:rFonts w:ascii="Times New Roman" w:cs="Times New Roman" w:eastAsia="Times New Roman" w:hAnsi="Times New Roman"/>
          <w:i w:val="1"/>
          <w:sz w:val="24"/>
          <w:szCs w:val="24"/>
          <w:rtl w:val="0"/>
        </w:rPr>
        <w:t xml:space="preserve">Psychology of Popular Media Culture, 2</w:t>
      </w:r>
      <w:r w:rsidDel="00000000" w:rsidR="00000000" w:rsidRPr="00000000">
        <w:rPr>
          <w:rFonts w:ascii="Times New Roman" w:cs="Times New Roman" w:eastAsia="Times New Roman" w:hAnsi="Times New Roman"/>
          <w:sz w:val="24"/>
          <w:szCs w:val="24"/>
          <w:rtl w:val="0"/>
        </w:rPr>
        <w:t xml:space="preserve">(1), 38-50.</w:t>
      </w:r>
      <w:r w:rsidDel="00000000" w:rsidR="00000000" w:rsidRPr="00000000">
        <w:rPr>
          <w:rtl w:val="0"/>
        </w:rPr>
      </w:r>
    </w:p>
    <w:p w:rsidR="00000000" w:rsidDel="00000000" w:rsidP="00000000" w:rsidRDefault="00000000" w:rsidRPr="00000000" w14:paraId="000000D9">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Jones, S., &amp; Fox, S. (2020, May 30). </w:t>
      </w:r>
      <w:r w:rsidDel="00000000" w:rsidR="00000000" w:rsidRPr="00000000">
        <w:rPr>
          <w:rFonts w:ascii="Times New Roman" w:cs="Times New Roman" w:eastAsia="Times New Roman" w:hAnsi="Times New Roman"/>
          <w:i w:val="1"/>
          <w:sz w:val="24"/>
          <w:szCs w:val="24"/>
          <w:rtl w:val="0"/>
        </w:rPr>
        <w:t xml:space="preserve">Generations online in 2009</w:t>
      </w:r>
      <w:r w:rsidDel="00000000" w:rsidR="00000000" w:rsidRPr="00000000">
        <w:rPr>
          <w:rFonts w:ascii="Times New Roman" w:cs="Times New Roman" w:eastAsia="Times New Roman" w:hAnsi="Times New Roman"/>
          <w:sz w:val="24"/>
          <w:szCs w:val="24"/>
          <w:rtl w:val="0"/>
        </w:rPr>
        <w:t xml:space="preserve">. Pew Research Center: Internet, Science &amp; Tech. Retrieved August 12, 2022, from </w:t>
      </w:r>
      <w:hyperlink r:id="rId13">
        <w:r w:rsidDel="00000000" w:rsidR="00000000" w:rsidRPr="00000000">
          <w:rPr>
            <w:rFonts w:ascii="Times New Roman" w:cs="Times New Roman" w:eastAsia="Times New Roman" w:hAnsi="Times New Roman"/>
            <w:color w:val="0563c1"/>
            <w:sz w:val="24"/>
            <w:szCs w:val="24"/>
            <w:u w:val="single"/>
            <w:rtl w:val="0"/>
          </w:rPr>
          <w:t xml:space="preserve">https://www.pewresearch.org/internet/2009/01/28/generations-online-in-2009/</w:t>
        </w:r>
      </w:hyperlink>
      <w:r w:rsidDel="00000000" w:rsidR="00000000" w:rsidRPr="00000000">
        <w:rPr>
          <w:rtl w:val="0"/>
        </w:rPr>
      </w:r>
    </w:p>
    <w:p w:rsidR="00000000" w:rsidDel="00000000" w:rsidP="00000000" w:rsidRDefault="00000000" w:rsidRPr="00000000" w14:paraId="000000DA">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Kaplan, A. M., &amp; Haenlein, M. (2010). Users of the world, unite! The challenges and opportunities of social media. </w:t>
      </w:r>
      <w:r w:rsidDel="00000000" w:rsidR="00000000" w:rsidRPr="00000000">
        <w:rPr>
          <w:rFonts w:ascii="Times New Roman" w:cs="Times New Roman" w:eastAsia="Times New Roman" w:hAnsi="Times New Roman"/>
          <w:i w:val="1"/>
          <w:sz w:val="24"/>
          <w:szCs w:val="24"/>
          <w:rtl w:val="0"/>
        </w:rPr>
        <w:t xml:space="preserve">Business Horizons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53</w:t>
      </w:r>
      <w:r w:rsidDel="00000000" w:rsidR="00000000" w:rsidRPr="00000000">
        <w:rPr>
          <w:rFonts w:ascii="Times New Roman" w:cs="Times New Roman" w:eastAsia="Times New Roman" w:hAnsi="Times New Roman"/>
          <w:sz w:val="24"/>
          <w:szCs w:val="24"/>
          <w:rtl w:val="0"/>
        </w:rPr>
        <w:t xml:space="preserve">(1), 59–68. </w:t>
      </w:r>
      <w:hyperlink r:id="rId14">
        <w:r w:rsidDel="00000000" w:rsidR="00000000" w:rsidRPr="00000000">
          <w:rPr>
            <w:rFonts w:ascii="Times New Roman" w:cs="Times New Roman" w:eastAsia="Times New Roman" w:hAnsi="Times New Roman"/>
            <w:color w:val="0563c1"/>
            <w:sz w:val="24"/>
            <w:szCs w:val="24"/>
            <w:u w:val="single"/>
            <w:rtl w:val="0"/>
          </w:rPr>
          <w:t xml:space="preserve">https://doi.org/10.1016/j.bushor.2009.09.003</w:t>
        </w:r>
      </w:hyperlink>
      <w:r w:rsidDel="00000000" w:rsidR="00000000" w:rsidRPr="00000000">
        <w:rPr>
          <w:rtl w:val="0"/>
        </w:rPr>
      </w:r>
    </w:p>
    <w:p w:rsidR="00000000" w:rsidDel="00000000" w:rsidP="00000000" w:rsidRDefault="00000000" w:rsidRPr="00000000" w14:paraId="000000DB">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Kwon, M., Kim, D.-J., Cho, H., &amp; Yang, S. (2013). The smartphone addiction scale: Development and validation of a short version for adolescents. </w:t>
      </w:r>
      <w:r w:rsidDel="00000000" w:rsidR="00000000" w:rsidRPr="00000000">
        <w:rPr>
          <w:rFonts w:ascii="Times New Roman" w:cs="Times New Roman" w:eastAsia="Times New Roman" w:hAnsi="Times New Roman"/>
          <w:i w:val="1"/>
          <w:sz w:val="24"/>
          <w:szCs w:val="24"/>
          <w:rtl w:val="0"/>
        </w:rPr>
        <w:t xml:space="preserve">PLoS 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(12). https://doi.org/10.1371/journal.pone.0083558 </w:t>
      </w:r>
      <w:r w:rsidDel="00000000" w:rsidR="00000000" w:rsidRPr="00000000">
        <w:rPr>
          <w:rtl w:val="0"/>
        </w:rPr>
      </w:r>
    </w:p>
    <w:p w:rsidR="00000000" w:rsidDel="00000000" w:rsidP="00000000" w:rsidRDefault="00000000" w:rsidRPr="00000000" w14:paraId="000000DC">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Moore, S. A., Dowdy, E., &amp; Furlong, M. J. (2016). Using the depression, anxiety, stress scales–21 with U.S. adolescents: An alternate models analysis. </w:t>
      </w:r>
      <w:r w:rsidDel="00000000" w:rsidR="00000000" w:rsidRPr="00000000">
        <w:rPr>
          <w:rFonts w:ascii="Times New Roman" w:cs="Times New Roman" w:eastAsia="Times New Roman" w:hAnsi="Times New Roman"/>
          <w:i w:val="1"/>
          <w:sz w:val="24"/>
          <w:szCs w:val="24"/>
          <w:rtl w:val="0"/>
        </w:rPr>
        <w:t xml:space="preserve">Journal of Psychoeducational Assessment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35</w:t>
      </w:r>
      <w:r w:rsidDel="00000000" w:rsidR="00000000" w:rsidRPr="00000000">
        <w:rPr>
          <w:rFonts w:ascii="Times New Roman" w:cs="Times New Roman" w:eastAsia="Times New Roman" w:hAnsi="Times New Roman"/>
          <w:sz w:val="24"/>
          <w:szCs w:val="24"/>
          <w:rtl w:val="0"/>
        </w:rPr>
        <w:t xml:space="preserve">(6), 581–598. </w:t>
      </w:r>
      <w:hyperlink r:id="rId15">
        <w:r w:rsidDel="00000000" w:rsidR="00000000" w:rsidRPr="00000000">
          <w:rPr>
            <w:rFonts w:ascii="Times New Roman" w:cs="Times New Roman" w:eastAsia="Times New Roman" w:hAnsi="Times New Roman"/>
            <w:color w:val="0563c1"/>
            <w:sz w:val="24"/>
            <w:szCs w:val="24"/>
            <w:u w:val="single"/>
            <w:rtl w:val="0"/>
          </w:rPr>
          <w:t xml:space="preserve">https://doi.org/10.1177/0734282916651537</w:t>
        </w:r>
      </w:hyperlink>
      <w:r w:rsidDel="00000000" w:rsidR="00000000" w:rsidRPr="00000000">
        <w:rPr>
          <w:rtl w:val="0"/>
        </w:rPr>
      </w:r>
    </w:p>
    <w:p w:rsidR="00000000" w:rsidDel="00000000" w:rsidP="00000000" w:rsidRDefault="00000000" w:rsidRPr="00000000" w14:paraId="000000DD">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Orben, A., &amp; Przybylski, A. K. (2019). The association between adolescent well-being and digital technology use. </w:t>
      </w:r>
      <w:r w:rsidDel="00000000" w:rsidR="00000000" w:rsidRPr="00000000">
        <w:rPr>
          <w:rFonts w:ascii="Times New Roman" w:cs="Times New Roman" w:eastAsia="Times New Roman" w:hAnsi="Times New Roman"/>
          <w:i w:val="1"/>
          <w:sz w:val="24"/>
          <w:szCs w:val="24"/>
          <w:rtl w:val="0"/>
        </w:rPr>
        <w:t xml:space="preserve">Nature Human Behaviour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(2), 173–182. </w:t>
      </w:r>
      <w:hyperlink r:id="rId16">
        <w:r w:rsidDel="00000000" w:rsidR="00000000" w:rsidRPr="00000000">
          <w:rPr>
            <w:rFonts w:ascii="Times New Roman" w:cs="Times New Roman" w:eastAsia="Times New Roman" w:hAnsi="Times New Roman"/>
            <w:color w:val="0563c1"/>
            <w:sz w:val="24"/>
            <w:szCs w:val="24"/>
            <w:u w:val="single"/>
            <w:rtl w:val="0"/>
          </w:rPr>
          <w:t xml:space="preserve">https://doi.org/10.1038/s41562-018-0506-1</w:t>
        </w:r>
      </w:hyperlink>
      <w:r w:rsidDel="00000000" w:rsidR="00000000" w:rsidRPr="00000000">
        <w:rPr>
          <w:rtl w:val="0"/>
        </w:rPr>
      </w:r>
    </w:p>
    <w:p w:rsidR="00000000" w:rsidDel="00000000" w:rsidP="00000000" w:rsidRDefault="00000000" w:rsidRPr="00000000" w14:paraId="000000DE">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Patel, V., &amp; Prince, M. (2010). Global Mental Health. </w:t>
      </w:r>
      <w:r w:rsidDel="00000000" w:rsidR="00000000" w:rsidRPr="00000000">
        <w:rPr>
          <w:rFonts w:ascii="Times New Roman" w:cs="Times New Roman" w:eastAsia="Times New Roman" w:hAnsi="Times New Roman"/>
          <w:i w:val="1"/>
          <w:sz w:val="24"/>
          <w:szCs w:val="24"/>
          <w:rtl w:val="0"/>
        </w:rPr>
        <w:t xml:space="preserve">Journal of the American Medical Association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303</w:t>
      </w:r>
      <w:r w:rsidDel="00000000" w:rsidR="00000000" w:rsidRPr="00000000">
        <w:rPr>
          <w:rFonts w:ascii="Times New Roman" w:cs="Times New Roman" w:eastAsia="Times New Roman" w:hAnsi="Times New Roman"/>
          <w:sz w:val="24"/>
          <w:szCs w:val="24"/>
          <w:rtl w:val="0"/>
        </w:rPr>
        <w:t xml:space="preserve">(19), 1976. </w:t>
      </w:r>
      <w:hyperlink r:id="rId17">
        <w:r w:rsidDel="00000000" w:rsidR="00000000" w:rsidRPr="00000000">
          <w:rPr>
            <w:rFonts w:ascii="Times New Roman" w:cs="Times New Roman" w:eastAsia="Times New Roman" w:hAnsi="Times New Roman"/>
            <w:color w:val="0563c1"/>
            <w:sz w:val="24"/>
            <w:szCs w:val="24"/>
            <w:u w:val="single"/>
            <w:rtl w:val="0"/>
          </w:rPr>
          <w:t xml:space="preserve">https://doi.org/10.1001/jama.2010.616</w:t>
        </w:r>
      </w:hyperlink>
      <w:r w:rsidDel="00000000" w:rsidR="00000000" w:rsidRPr="00000000">
        <w:rPr>
          <w:rtl w:val="0"/>
        </w:rPr>
      </w:r>
    </w:p>
    <w:p w:rsidR="00000000" w:rsidDel="00000000" w:rsidP="00000000" w:rsidRDefault="00000000" w:rsidRPr="00000000" w14:paraId="000000DF">
      <w:pPr>
        <w:spacing w:after="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Peters, L., Peters, A., Andreopoulos, E., Pollock, N., Pande, R., &amp; Mochari-Greenberger, H. (2021). Comparison of DASS-21, PHQ-8, and GAD-7 in a virtual behavioral health care setting. </w:t>
      </w:r>
      <w:r w:rsidDel="00000000" w:rsidR="00000000" w:rsidRPr="00000000">
        <w:rPr>
          <w:rFonts w:ascii="Times New Roman" w:cs="Times New Roman" w:eastAsia="Times New Roman" w:hAnsi="Times New Roman"/>
          <w:i w:val="1"/>
          <w:sz w:val="24"/>
          <w:szCs w:val="24"/>
          <w:rtl w:val="0"/>
        </w:rPr>
        <w:t xml:space="preserve">Heliyon, 7</w:t>
      </w:r>
      <w:r w:rsidDel="00000000" w:rsidR="00000000" w:rsidRPr="00000000">
        <w:rPr>
          <w:rFonts w:ascii="Times New Roman" w:cs="Times New Roman" w:eastAsia="Times New Roman" w:hAnsi="Times New Roman"/>
          <w:sz w:val="24"/>
          <w:szCs w:val="24"/>
          <w:rtl w:val="0"/>
        </w:rPr>
        <w:t xml:space="preserve">, e06473. </w:t>
      </w:r>
    </w:p>
    <w:p w:rsidR="00000000" w:rsidDel="00000000" w:rsidP="00000000" w:rsidRDefault="00000000" w:rsidRPr="00000000" w14:paraId="000000E0">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Sinclair, S. J., Siefert, C. J., Slavin-Mulford, J. M., Stein, M. B., Renna, M., &amp; Blais, M. A. (2011). Psychometric Evaluation and normative data for the depression, anxiety, and stress scales-21 (DASS-21) in a nonclinical sample of U.S. adults. </w:t>
      </w:r>
      <w:r w:rsidDel="00000000" w:rsidR="00000000" w:rsidRPr="00000000">
        <w:rPr>
          <w:rFonts w:ascii="Times New Roman" w:cs="Times New Roman" w:eastAsia="Times New Roman" w:hAnsi="Times New Roman"/>
          <w:i w:val="1"/>
          <w:sz w:val="24"/>
          <w:szCs w:val="24"/>
          <w:rtl w:val="0"/>
        </w:rPr>
        <w:t xml:space="preserve">Evaluation &amp; the Health Professions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35</w:t>
      </w:r>
      <w:r w:rsidDel="00000000" w:rsidR="00000000" w:rsidRPr="00000000">
        <w:rPr>
          <w:rFonts w:ascii="Times New Roman" w:cs="Times New Roman" w:eastAsia="Times New Roman" w:hAnsi="Times New Roman"/>
          <w:sz w:val="24"/>
          <w:szCs w:val="24"/>
          <w:rtl w:val="0"/>
        </w:rPr>
        <w:t xml:space="preserve">(3), 259–279. </w:t>
      </w:r>
      <w:hyperlink r:id="rId18">
        <w:r w:rsidDel="00000000" w:rsidR="00000000" w:rsidRPr="00000000">
          <w:rPr>
            <w:rFonts w:ascii="Times New Roman" w:cs="Times New Roman" w:eastAsia="Times New Roman" w:hAnsi="Times New Roman"/>
            <w:color w:val="0563c1"/>
            <w:sz w:val="24"/>
            <w:szCs w:val="24"/>
            <w:u w:val="single"/>
            <w:rtl w:val="0"/>
          </w:rPr>
          <w:t xml:space="preserve">https://doi.org/10.1177/0163278711424282</w:t>
        </w:r>
      </w:hyperlink>
      <w:r w:rsidDel="00000000" w:rsidR="00000000" w:rsidRPr="00000000">
        <w:rPr>
          <w:rtl w:val="0"/>
        </w:rPr>
      </w:r>
    </w:p>
    <w:p w:rsidR="00000000" w:rsidDel="00000000" w:rsidP="00000000" w:rsidRDefault="00000000" w:rsidRPr="00000000" w14:paraId="000000E1">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The WHO World Mental Health Survey Consortium. (2004). Prevalence, severity, and unmet need for treatment of mental disorders in the World Health Organization World Mental Health Surveys. </w:t>
      </w:r>
      <w:r w:rsidDel="00000000" w:rsidR="00000000" w:rsidRPr="00000000">
        <w:rPr>
          <w:rFonts w:ascii="Times New Roman" w:cs="Times New Roman" w:eastAsia="Times New Roman" w:hAnsi="Times New Roman"/>
          <w:i w:val="1"/>
          <w:sz w:val="24"/>
          <w:szCs w:val="24"/>
          <w:rtl w:val="0"/>
        </w:rPr>
        <w:t xml:space="preserve">Journal of the American Medical Association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291</w:t>
      </w:r>
      <w:r w:rsidDel="00000000" w:rsidR="00000000" w:rsidRPr="00000000">
        <w:rPr>
          <w:rFonts w:ascii="Times New Roman" w:cs="Times New Roman" w:eastAsia="Times New Roman" w:hAnsi="Times New Roman"/>
          <w:sz w:val="24"/>
          <w:szCs w:val="24"/>
          <w:rtl w:val="0"/>
        </w:rPr>
        <w:t xml:space="preserve">(21), 2581. </w:t>
      </w:r>
      <w:hyperlink r:id="rId19">
        <w:r w:rsidDel="00000000" w:rsidR="00000000" w:rsidRPr="00000000">
          <w:rPr>
            <w:rFonts w:ascii="Times New Roman" w:cs="Times New Roman" w:eastAsia="Times New Roman" w:hAnsi="Times New Roman"/>
            <w:color w:val="0563c1"/>
            <w:sz w:val="24"/>
            <w:szCs w:val="24"/>
            <w:u w:val="single"/>
            <w:rtl w:val="0"/>
          </w:rPr>
          <w:t xml:space="preserve">https://doi.org/10.1001/jama.291.21.2581</w:t>
        </w:r>
      </w:hyperlink>
      <w:r w:rsidDel="00000000" w:rsidR="00000000" w:rsidRPr="00000000">
        <w:rPr>
          <w:rtl w:val="0"/>
        </w:rPr>
      </w:r>
    </w:p>
    <w:p w:rsidR="00000000" w:rsidDel="00000000" w:rsidP="00000000" w:rsidRDefault="00000000" w:rsidRPr="00000000" w14:paraId="000000E2">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Whiting, A., &amp; Williams, D. (2013). Why people use social media: A uses and gratifications approach. </w:t>
      </w:r>
      <w:r w:rsidDel="00000000" w:rsidR="00000000" w:rsidRPr="00000000">
        <w:rPr>
          <w:rFonts w:ascii="Times New Roman" w:cs="Times New Roman" w:eastAsia="Times New Roman" w:hAnsi="Times New Roman"/>
          <w:i w:val="1"/>
          <w:sz w:val="24"/>
          <w:szCs w:val="24"/>
          <w:rtl w:val="0"/>
        </w:rPr>
        <w:t xml:space="preserve">Qualitative Market Research: An International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16</w:t>
      </w:r>
      <w:r w:rsidDel="00000000" w:rsidR="00000000" w:rsidRPr="00000000">
        <w:rPr>
          <w:rFonts w:ascii="Times New Roman" w:cs="Times New Roman" w:eastAsia="Times New Roman" w:hAnsi="Times New Roman"/>
          <w:sz w:val="24"/>
          <w:szCs w:val="24"/>
          <w:rtl w:val="0"/>
        </w:rPr>
        <w:t xml:space="preserve">(4), 362–369. </w:t>
      </w:r>
      <w:hyperlink r:id="rId20">
        <w:r w:rsidDel="00000000" w:rsidR="00000000" w:rsidRPr="00000000">
          <w:rPr>
            <w:rFonts w:ascii="Times New Roman" w:cs="Times New Roman" w:eastAsia="Times New Roman" w:hAnsi="Times New Roman"/>
            <w:color w:val="0563c1"/>
            <w:sz w:val="24"/>
            <w:szCs w:val="24"/>
            <w:u w:val="single"/>
            <w:rtl w:val="0"/>
          </w:rPr>
          <w:t xml:space="preserve">https://doi.org/10.1108/qmr-06-2013-0041</w:t>
        </w:r>
      </w:hyperlink>
      <w:r w:rsidDel="00000000" w:rsidR="00000000" w:rsidRPr="00000000">
        <w:rPr>
          <w:rtl w:val="0"/>
        </w:rPr>
      </w:r>
    </w:p>
    <w:p w:rsidR="00000000" w:rsidDel="00000000" w:rsidP="00000000" w:rsidRDefault="00000000" w:rsidRPr="00000000" w14:paraId="000000E3">
      <w:pPr>
        <w:spacing w:after="0" w:line="48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World Health Organization. (2022, June 8). </w:t>
      </w:r>
      <w:r w:rsidDel="00000000" w:rsidR="00000000" w:rsidRPr="00000000">
        <w:rPr>
          <w:rFonts w:ascii="Times New Roman" w:cs="Times New Roman" w:eastAsia="Times New Roman" w:hAnsi="Times New Roman"/>
          <w:i w:val="1"/>
          <w:sz w:val="24"/>
          <w:szCs w:val="24"/>
          <w:rtl w:val="0"/>
        </w:rPr>
        <w:t xml:space="preserve">Mental disorders</w:t>
      </w:r>
      <w:r w:rsidDel="00000000" w:rsidR="00000000" w:rsidRPr="00000000">
        <w:rPr>
          <w:rFonts w:ascii="Times New Roman" w:cs="Times New Roman" w:eastAsia="Times New Roman" w:hAnsi="Times New Roman"/>
          <w:sz w:val="24"/>
          <w:szCs w:val="24"/>
          <w:rtl w:val="0"/>
        </w:rPr>
        <w:t xml:space="preserve">. World Health Organization. Retrieved August 12, 2022, from </w:t>
      </w:r>
      <w:hyperlink r:id="rId21">
        <w:r w:rsidDel="00000000" w:rsidR="00000000" w:rsidRPr="00000000">
          <w:rPr>
            <w:rFonts w:ascii="Times New Roman" w:cs="Times New Roman" w:eastAsia="Times New Roman" w:hAnsi="Times New Roman"/>
            <w:color w:val="0563c1"/>
            <w:sz w:val="24"/>
            <w:szCs w:val="24"/>
            <w:u w:val="single"/>
            <w:rtl w:val="0"/>
          </w:rPr>
          <w:t xml:space="preserve">https://www.who.int/news-room/fact-sheets/detail/mental-disorders</w:t>
        </w:r>
      </w:hyperlink>
      <w:r w:rsidDel="00000000" w:rsidR="00000000" w:rsidRPr="00000000">
        <w:rPr>
          <w:rtl w:val="0"/>
        </w:rPr>
      </w:r>
    </w:p>
    <w:p w:rsidR="00000000" w:rsidDel="00000000" w:rsidP="00000000" w:rsidRDefault="00000000" w:rsidRPr="00000000" w14:paraId="000000E4">
      <w:pPr>
        <w:spacing w:after="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Zahn-Waxler, C., Klimes-Dougan, B., &amp; Slattery, M. J. (2000). Internalizing problems of childhood and adolescence: Prospects, Pitfalls, and progress in understanding the development of anxiety and depression. </w:t>
      </w:r>
      <w:r w:rsidDel="00000000" w:rsidR="00000000" w:rsidRPr="00000000">
        <w:rPr>
          <w:rFonts w:ascii="Times New Roman" w:cs="Times New Roman" w:eastAsia="Times New Roman" w:hAnsi="Times New Roman"/>
          <w:i w:val="1"/>
          <w:sz w:val="24"/>
          <w:szCs w:val="24"/>
          <w:rtl w:val="0"/>
        </w:rPr>
        <w:t xml:space="preserve">Development and Psychopathology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(3), 443–466. https://doi.org/10.1017/s0954579400003102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B36931"/>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DefaultParagraphFont"/>
    <w:rsid w:val="00B36931"/>
  </w:style>
  <w:style w:type="character" w:styleId="CommentReference">
    <w:name w:val="annotation reference"/>
    <w:basedOn w:val="DefaultParagraphFont"/>
    <w:uiPriority w:val="99"/>
    <w:semiHidden w:val="1"/>
    <w:unhideWhenUsed w:val="1"/>
    <w:rsid w:val="00B36931"/>
    <w:rPr>
      <w:sz w:val="16"/>
      <w:szCs w:val="16"/>
    </w:rPr>
  </w:style>
  <w:style w:type="paragraph" w:styleId="CommentText">
    <w:name w:val="annotation text"/>
    <w:basedOn w:val="Normal"/>
    <w:link w:val="CommentTextChar"/>
    <w:uiPriority w:val="99"/>
    <w:semiHidden w:val="1"/>
    <w:unhideWhenUsed w:val="1"/>
    <w:rsid w:val="00B36931"/>
    <w:pPr>
      <w:spacing w:line="240" w:lineRule="auto"/>
    </w:pPr>
    <w:rPr>
      <w:sz w:val="20"/>
      <w:szCs w:val="20"/>
    </w:rPr>
  </w:style>
  <w:style w:type="character" w:styleId="CommentTextChar" w:customStyle="1">
    <w:name w:val="Comment Text Char"/>
    <w:basedOn w:val="DefaultParagraphFont"/>
    <w:link w:val="CommentText"/>
    <w:uiPriority w:val="99"/>
    <w:semiHidden w:val="1"/>
    <w:rsid w:val="00B36931"/>
    <w:rPr>
      <w:sz w:val="20"/>
      <w:szCs w:val="20"/>
    </w:rPr>
  </w:style>
  <w:style w:type="paragraph" w:styleId="CommentSubject">
    <w:name w:val="annotation subject"/>
    <w:basedOn w:val="CommentText"/>
    <w:next w:val="CommentText"/>
    <w:link w:val="CommentSubjectChar"/>
    <w:uiPriority w:val="99"/>
    <w:semiHidden w:val="1"/>
    <w:unhideWhenUsed w:val="1"/>
    <w:rsid w:val="00B36931"/>
    <w:rPr>
      <w:b w:val="1"/>
      <w:bCs w:val="1"/>
    </w:rPr>
  </w:style>
  <w:style w:type="character" w:styleId="CommentSubjectChar" w:customStyle="1">
    <w:name w:val="Comment Subject Char"/>
    <w:basedOn w:val="CommentTextChar"/>
    <w:link w:val="CommentSubject"/>
    <w:uiPriority w:val="99"/>
    <w:semiHidden w:val="1"/>
    <w:rsid w:val="00B36931"/>
    <w:rPr>
      <w:b w:val="1"/>
      <w:bCs w:val="1"/>
      <w:sz w:val="20"/>
      <w:szCs w:val="20"/>
    </w:rPr>
  </w:style>
  <w:style w:type="paragraph" w:styleId="BalloonText">
    <w:name w:val="Balloon Text"/>
    <w:basedOn w:val="Normal"/>
    <w:link w:val="BalloonTextChar"/>
    <w:uiPriority w:val="99"/>
    <w:semiHidden w:val="1"/>
    <w:unhideWhenUsed w:val="1"/>
    <w:rsid w:val="00B3693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36931"/>
    <w:rPr>
      <w:rFonts w:ascii="Segoe UI" w:cs="Segoe UI" w:hAnsi="Segoe UI"/>
      <w:sz w:val="18"/>
      <w:szCs w:val="18"/>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24084E"/>
    <w:rPr>
      <w:color w:val="0563c1" w:themeColor="hyperlink"/>
      <w:u w:val="single"/>
    </w:rPr>
  </w:style>
  <w:style w:type="character" w:styleId="UnresolvedMention">
    <w:name w:val="Unresolved Mention"/>
    <w:basedOn w:val="DefaultParagraphFont"/>
    <w:uiPriority w:val="99"/>
    <w:semiHidden w:val="1"/>
    <w:unhideWhenUsed w:val="1"/>
    <w:rsid w:val="0024084E"/>
    <w:rPr>
      <w:color w:val="605e5c"/>
      <w:shd w:color="auto" w:fill="e1dfdd" w:val="clear"/>
    </w:rPr>
  </w:style>
  <w:style w:type="paragraph" w:styleId="ListParagraph">
    <w:name w:val="List Paragraph"/>
    <w:basedOn w:val="Normal"/>
    <w:uiPriority w:val="34"/>
    <w:qFormat w:val="1"/>
    <w:rsid w:val="00A13D2B"/>
    <w:pPr>
      <w:ind w:left="720"/>
      <w:contextualSpacing w:val="1"/>
    </w:pPr>
  </w:style>
  <w:style w:type="paragraph" w:styleId="Caption">
    <w:name w:val="caption"/>
    <w:basedOn w:val="Normal"/>
    <w:next w:val="Normal"/>
    <w:uiPriority w:val="35"/>
    <w:unhideWhenUsed w:val="1"/>
    <w:qFormat w:val="1"/>
    <w:rsid w:val="006A399E"/>
    <w:pPr>
      <w:spacing w:after="0" w:line="480" w:lineRule="auto"/>
      <w:jc w:val="center"/>
    </w:pPr>
    <w:rPr>
      <w:rFonts w:ascii="Arial" w:cs="Times New Roman" w:eastAsia="Times New Roman" w:hAnsi="Arial"/>
      <w:bCs w:val="1"/>
      <w:sz w:val="20"/>
      <w:szCs w:val="20"/>
    </w:rPr>
  </w:style>
  <w:style w:type="table" w:styleId="TableGrid">
    <w:name w:val="Table Grid"/>
    <w:basedOn w:val="TableNormal"/>
    <w:uiPriority w:val="39"/>
    <w:rsid w:val="00F54C8B"/>
    <w:pPr>
      <w:spacing w:after="0" w:line="240" w:lineRule="auto"/>
    </w:pPr>
    <w:rPr>
      <w:rFonts w:asciiTheme="minorHAnsi" w:cstheme="minorBidi" w:eastAsiaTheme="minorHAnsi" w:hAnsiTheme="minorHAns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a6" w:customStyle="1">
    <w:basedOn w:val="TableNormal"/>
    <w:pPr>
      <w:spacing w:after="0" w:line="240" w:lineRule="auto"/>
    </w:pPr>
    <w:tblPr>
      <w:tblStyleRowBandSize w:val="1"/>
      <w:tblStyleColBandSize w:val="1"/>
    </w:tblPr>
  </w:style>
  <w:style w:type="table" w:styleId="a7" w:customStyle="1">
    <w:basedOn w:val="TableNormal"/>
    <w:pPr>
      <w:spacing w:after="0" w:line="240" w:lineRule="auto"/>
    </w:pPr>
    <w:tblPr>
      <w:tblStyleRowBandSize w:val="1"/>
      <w:tblStyleColBandSize w:val="1"/>
    </w:tblPr>
  </w:style>
  <w:style w:type="table" w:styleId="a8" w:customStyle="1">
    <w:basedOn w:val="TableNormal"/>
    <w:pPr>
      <w:spacing w:after="0" w:line="240" w:lineRule="auto"/>
    </w:pPr>
    <w:tblPr>
      <w:tblStyleRowBandSize w:val="1"/>
      <w:tblStyleColBandSize w:val="1"/>
    </w:tblPr>
  </w:style>
  <w:style w:type="table" w:styleId="a9" w:customStyle="1">
    <w:basedOn w:val="TableNormal"/>
    <w:pPr>
      <w:spacing w:after="0" w:line="240" w:lineRule="auto"/>
    </w:pPr>
    <w:tblPr>
      <w:tblStyleRowBandSize w:val="1"/>
      <w:tblStyleColBandSize w:val="1"/>
    </w:tblPr>
  </w:style>
  <w:style w:type="table" w:styleId="aa" w:customStyle="1">
    <w:basedOn w:val="TableNormal"/>
    <w:pPr>
      <w:spacing w:after="0" w:line="240" w:lineRule="auto"/>
    </w:pPr>
    <w:tblPr>
      <w:tblStyleRowBandSize w:val="1"/>
      <w:tblStyleColBandSize w:val="1"/>
    </w:tblPr>
  </w:style>
  <w:style w:type="table" w:styleId="ab" w:customStyle="1">
    <w:basedOn w:val="TableNormal"/>
    <w:pPr>
      <w:spacing w:after="0" w:line="240" w:lineRule="auto"/>
    </w:pPr>
    <w:tblPr>
      <w:tblStyleRowBandSize w:val="1"/>
      <w:tblStyleColBandSize w:val="1"/>
    </w:tblPr>
  </w:style>
  <w:style w:type="table" w:styleId="ac" w:customStyle="1">
    <w:basedOn w:val="TableNormal"/>
    <w:pPr>
      <w:spacing w:after="0" w:line="240" w:lineRule="auto"/>
    </w:pPr>
    <w:tblPr>
      <w:tblStyleRowBandSize w:val="1"/>
      <w:tblStyleColBandSize w:val="1"/>
    </w:tblPr>
  </w:style>
  <w:style w:type="table" w:styleId="ad" w:customStyle="1">
    <w:basedOn w:val="TableNormal"/>
    <w:pPr>
      <w:spacing w:after="0" w:line="240" w:lineRule="auto"/>
    </w:pPr>
    <w:tblPr>
      <w:tblStyleRowBandSize w:val="1"/>
      <w:tblStyleColBandSize w:val="1"/>
    </w:tblPr>
  </w:style>
  <w:style w:type="table" w:styleId="ae" w:customStyle="1">
    <w:basedOn w:val="TableNormal"/>
    <w:pPr>
      <w:spacing w:after="0" w:line="240" w:lineRule="auto"/>
    </w:pPr>
    <w:tblPr>
      <w:tblStyleRowBandSize w:val="1"/>
      <w:tblStyleColBandSize w:val="1"/>
    </w:tblPr>
  </w:style>
  <w:style w:type="table" w:styleId="af" w:customStyle="1">
    <w:basedOn w:val="TableNormal"/>
    <w:pPr>
      <w:spacing w:after="0" w:line="240" w:lineRule="auto"/>
    </w:pPr>
    <w:tblPr>
      <w:tblStyleRowBandSize w:val="1"/>
      <w:tblStyleColBandSize w:val="1"/>
    </w:tblPr>
  </w:style>
  <w:style w:type="table" w:styleId="af0" w:customStyle="1">
    <w:basedOn w:val="TableNormal"/>
    <w:pPr>
      <w:spacing w:after="0" w:line="240" w:lineRule="auto"/>
    </w:pPr>
    <w:tblPr>
      <w:tblStyleRowBandSize w:val="1"/>
      <w:tblStyleColBandSize w:val="1"/>
    </w:tblPr>
  </w:style>
  <w:style w:type="table" w:styleId="af1" w:customStyle="1">
    <w:basedOn w:val="TableNormal"/>
    <w:pPr>
      <w:spacing w:after="0" w:line="240" w:lineRule="auto"/>
    </w:pPr>
    <w:tblPr>
      <w:tblStyleRowBandSize w:val="1"/>
      <w:tblStyleColBandSize w:val="1"/>
    </w:tblPr>
  </w:style>
  <w:style w:type="table" w:styleId="af2" w:customStyle="1">
    <w:basedOn w:val="TableNormal"/>
    <w:pPr>
      <w:spacing w:after="0" w:line="240" w:lineRule="auto"/>
    </w:pPr>
    <w:tblPr>
      <w:tblStyleRowBandSize w:val="1"/>
      <w:tblStyleColBandSize w:val="1"/>
    </w:tblPr>
  </w:style>
  <w:style w:type="table" w:styleId="af3" w:customStyle="1">
    <w:basedOn w:val="TableNormal"/>
    <w:pPr>
      <w:spacing w:after="0" w:line="240" w:lineRule="auto"/>
    </w:pPr>
    <w:tblPr>
      <w:tblStyleRowBandSize w:val="1"/>
      <w:tblStyleColBandSize w:val="1"/>
    </w:tblPr>
  </w:style>
  <w:style w:type="table" w:styleId="af4" w:customStyle="1">
    <w:basedOn w:val="TableNormal"/>
    <w:pPr>
      <w:spacing w:after="0" w:line="240" w:lineRule="auto"/>
    </w:pPr>
    <w:tblPr>
      <w:tblStyleRowBandSize w:val="1"/>
      <w:tblStyleColBandSize w:val="1"/>
    </w:tblPr>
  </w:style>
  <w:style w:type="table" w:styleId="af5" w:customStyle="1">
    <w:basedOn w:val="TableNormal"/>
    <w:pPr>
      <w:spacing w:after="0" w:line="240" w:lineRule="auto"/>
    </w:pPr>
    <w:tblPr>
      <w:tblStyleRowBandSize w:val="1"/>
      <w:tblStyleColBandSize w:val="1"/>
    </w:tblPr>
  </w:style>
  <w:style w:type="table" w:styleId="af6" w:customStyle="1">
    <w:basedOn w:val="TableNormal"/>
    <w:pPr>
      <w:spacing w:after="0" w:line="240" w:lineRule="auto"/>
    </w:pPr>
    <w:tblPr>
      <w:tblStyleRowBandSize w:val="1"/>
      <w:tblStyleColBandSize w:val="1"/>
    </w:tblPr>
  </w:style>
  <w:style w:type="table" w:styleId="af7" w:customStyle="1">
    <w:basedOn w:val="TableNormal"/>
    <w:pPr>
      <w:spacing w:after="0" w:line="240" w:lineRule="auto"/>
    </w:pPr>
    <w:tblPr>
      <w:tblStyleRowBandSize w:val="1"/>
      <w:tblStyleColBandSize w:val="1"/>
    </w:tblPr>
  </w:style>
  <w:style w:type="table" w:styleId="af8" w:customStyle="1">
    <w:basedOn w:val="TableNormal"/>
    <w:pPr>
      <w:spacing w:after="0" w:line="240" w:lineRule="auto"/>
    </w:pPr>
    <w:tblPr>
      <w:tblStyleRowBandSize w:val="1"/>
      <w:tblStyleColBandSize w:val="1"/>
    </w:tblPr>
  </w:style>
  <w:style w:type="table" w:styleId="af9" w:customStyle="1">
    <w:basedOn w:val="TableNormal"/>
    <w:pPr>
      <w:spacing w:after="0" w:line="240" w:lineRule="auto"/>
    </w:pPr>
    <w:tblPr>
      <w:tblStyleRowBandSize w:val="1"/>
      <w:tblStyleColBandSize w:val="1"/>
    </w:tblPr>
  </w:style>
  <w:style w:type="table" w:styleId="afa" w:customStyle="1">
    <w:basedOn w:val="TableNormal"/>
    <w:pPr>
      <w:spacing w:after="0" w:line="240" w:lineRule="auto"/>
    </w:pPr>
    <w:tblPr>
      <w:tblStyleRowBandSize w:val="1"/>
      <w:tblStyleColBandSize w:val="1"/>
    </w:tblPr>
  </w:style>
  <w:style w:type="table" w:styleId="afb" w:customStyle="1">
    <w:basedOn w:val="TableNormal"/>
    <w:pPr>
      <w:spacing w:after="0" w:line="240" w:lineRule="auto"/>
    </w:pPr>
    <w:tblPr>
      <w:tblStyleRowBandSize w:val="1"/>
      <w:tblStyleColBandSize w:val="1"/>
    </w:tblPr>
  </w:style>
  <w:style w:type="table" w:styleId="afc" w:customStyle="1">
    <w:basedOn w:val="TableNormal"/>
    <w:pPr>
      <w:spacing w:after="0" w:line="240" w:lineRule="auto"/>
    </w:pPr>
    <w:tblPr>
      <w:tblStyleRowBandSize w:val="1"/>
      <w:tblStyleColBandSize w:val="1"/>
    </w:tblPr>
  </w:style>
  <w:style w:type="table" w:styleId="afd" w:customStyle="1">
    <w:basedOn w:val="TableNormal"/>
    <w:pPr>
      <w:spacing w:after="0" w:line="240" w:lineRule="auto"/>
    </w:pPr>
    <w:tblPr>
      <w:tblStyleRowBandSize w:val="1"/>
      <w:tblStyleColBandSize w:val="1"/>
    </w:tblPr>
  </w:style>
  <w:style w:type="table" w:styleId="afe" w:customStyle="1">
    <w:basedOn w:val="TableNormal"/>
    <w:pPr>
      <w:spacing w:after="0" w:line="240" w:lineRule="auto"/>
    </w:pPr>
    <w:tblPr>
      <w:tblStyleRowBandSize w:val="1"/>
      <w:tblStyleColBandSize w:val="1"/>
    </w:tblPr>
  </w:style>
  <w:style w:type="table" w:styleId="aff" w:customStyle="1">
    <w:basedOn w:val="TableNormal"/>
    <w:pPr>
      <w:spacing w:after="0" w:line="240" w:lineRule="auto"/>
    </w:pPr>
    <w:tblPr>
      <w:tblStyleRowBandSize w:val="1"/>
      <w:tblStyleColBandSize w:val="1"/>
    </w:tblPr>
  </w:style>
  <w:style w:type="table" w:styleId="aff0" w:customStyle="1">
    <w:basedOn w:val="TableNormal"/>
    <w:pPr>
      <w:spacing w:after="0" w:line="240" w:lineRule="auto"/>
    </w:pPr>
    <w:tblPr>
      <w:tblStyleRowBandSize w:val="1"/>
      <w:tblStyleColBandSize w:val="1"/>
    </w:tblPr>
  </w:style>
  <w:style w:type="table" w:styleId="aff1" w:customStyle="1">
    <w:basedOn w:val="TableNormal"/>
    <w:pPr>
      <w:spacing w:after="0" w:line="240" w:lineRule="auto"/>
    </w:pPr>
    <w:tblPr>
      <w:tblStyleRowBandSize w:val="1"/>
      <w:tblStyleColBandSize w:val="1"/>
    </w:tblPr>
  </w:style>
  <w:style w:type="table" w:styleId="aff2" w:customStyle="1">
    <w:basedOn w:val="TableNormal"/>
    <w:pPr>
      <w:spacing w:after="0" w:line="240" w:lineRule="auto"/>
    </w:pPr>
    <w:tblPr>
      <w:tblStyleRowBandSize w:val="1"/>
      <w:tblStyleColBandSize w:val="1"/>
    </w:tblPr>
  </w:style>
  <w:style w:type="table" w:styleId="aff3" w:customStyle="1">
    <w:basedOn w:val="TableNormal"/>
    <w:pPr>
      <w:spacing w:after="0" w:line="240" w:lineRule="auto"/>
    </w:pPr>
    <w:tblPr>
      <w:tblStyleRowBandSize w:val="1"/>
      <w:tblStyleColBandSize w:val="1"/>
    </w:tblPr>
  </w:style>
  <w:style w:type="table" w:styleId="aff4" w:customStyle="1">
    <w:basedOn w:val="TableNormal"/>
    <w:pPr>
      <w:spacing w:after="0" w:line="240" w:lineRule="auto"/>
    </w:pPr>
    <w:tblPr>
      <w:tblStyleRowBandSize w:val="1"/>
      <w:tblStyleColBandSize w:val="1"/>
    </w:tblPr>
  </w:style>
  <w:style w:type="table" w:styleId="aff5" w:customStyle="1">
    <w:basedOn w:val="TableNormal"/>
    <w:pPr>
      <w:spacing w:after="0" w:line="240" w:lineRule="auto"/>
    </w:pPr>
    <w:tblPr>
      <w:tblStyleRowBandSize w:val="1"/>
      <w:tblStyleColBandSize w:val="1"/>
    </w:tblPr>
  </w:style>
  <w:style w:type="table" w:styleId="aff6" w:customStyle="1">
    <w:basedOn w:val="TableNormal"/>
    <w:pPr>
      <w:spacing w:after="0" w:line="240" w:lineRule="auto"/>
    </w:pPr>
    <w:tblPr>
      <w:tblStyleRowBandSize w:val="1"/>
      <w:tblStyleColBandSize w:val="1"/>
    </w:tblPr>
  </w:style>
  <w:style w:type="table" w:styleId="aff7" w:customStyle="1">
    <w:basedOn w:val="TableNormal"/>
    <w:pPr>
      <w:spacing w:after="0" w:line="240" w:lineRule="auto"/>
    </w:pPr>
    <w:tblPr>
      <w:tblStyleRowBandSize w:val="1"/>
      <w:tblStyleColBandSize w:val="1"/>
    </w:tblPr>
  </w:style>
  <w:style w:type="table" w:styleId="aff8" w:customStyle="1">
    <w:basedOn w:val="TableNormal"/>
    <w:pPr>
      <w:spacing w:after="0" w:line="240" w:lineRule="auto"/>
    </w:pPr>
    <w:tblPr>
      <w:tblStyleRowBandSize w:val="1"/>
      <w:tblStyleColBandSize w:val="1"/>
    </w:tblPr>
  </w:style>
  <w:style w:type="table" w:styleId="aff9" w:customStyle="1">
    <w:basedOn w:val="TableNormal"/>
    <w:pPr>
      <w:spacing w:after="0" w:line="240" w:lineRule="auto"/>
    </w:pPr>
    <w:tblPr>
      <w:tblStyleRowBandSize w:val="1"/>
      <w:tblStyleColBandSize w:val="1"/>
    </w:tblPr>
  </w:style>
  <w:style w:type="table" w:styleId="affa" w:customStyle="1">
    <w:basedOn w:val="TableNormal"/>
    <w:pPr>
      <w:spacing w:after="0" w:line="240" w:lineRule="auto"/>
    </w:pPr>
    <w:tblPr>
      <w:tblStyleRowBandSize w:val="1"/>
      <w:tblStyleColBandSize w:val="1"/>
    </w:tblPr>
  </w:style>
  <w:style w:type="table" w:styleId="affb" w:customStyle="1">
    <w:basedOn w:val="TableNormal"/>
    <w:pPr>
      <w:spacing w:after="0" w:line="240" w:lineRule="auto"/>
    </w:pPr>
    <w:tblPr>
      <w:tblStyleRowBandSize w:val="1"/>
      <w:tblStyleColBandSize w:val="1"/>
    </w:tblPr>
  </w:style>
  <w:style w:type="table" w:styleId="affc" w:customStyle="1">
    <w:basedOn w:val="TableNormal"/>
    <w:pPr>
      <w:spacing w:after="0" w:line="240" w:lineRule="auto"/>
    </w:pPr>
    <w:tblPr>
      <w:tblStyleRowBandSize w:val="1"/>
      <w:tblStyleColBandSize w:val="1"/>
    </w:tblPr>
  </w:style>
  <w:style w:type="table" w:styleId="affd" w:customStyle="1">
    <w:basedOn w:val="TableNormal"/>
    <w:pPr>
      <w:spacing w:after="0" w:line="240" w:lineRule="auto"/>
    </w:pPr>
    <w:tblPr>
      <w:tblStyleRowBandSize w:val="1"/>
      <w:tblStyleColBandSize w:val="1"/>
    </w:tblPr>
  </w:style>
  <w:style w:type="table" w:styleId="affe" w:customStyle="1">
    <w:basedOn w:val="TableNormal"/>
    <w:pPr>
      <w:spacing w:after="0" w:line="240" w:lineRule="auto"/>
    </w:pPr>
    <w:tblPr>
      <w:tblStyleRowBandSize w:val="1"/>
      <w:tblStyleColBandSize w:val="1"/>
    </w:tblPr>
  </w:style>
  <w:style w:type="table" w:styleId="afff" w:customStyle="1">
    <w:basedOn w:val="TableNormal"/>
    <w:pPr>
      <w:spacing w:after="0" w:line="240" w:lineRule="auto"/>
    </w:pPr>
    <w:tblPr>
      <w:tblStyleRowBandSize w:val="1"/>
      <w:tblStyleColBandSize w:val="1"/>
    </w:tblPr>
  </w:style>
  <w:style w:type="table" w:styleId="afff0" w:customStyle="1">
    <w:basedOn w:val="TableNormal"/>
    <w:pPr>
      <w:spacing w:after="0" w:line="240" w:lineRule="auto"/>
    </w:pPr>
    <w:tblPr>
      <w:tblStyleRowBandSize w:val="1"/>
      <w:tblStyleColBandSize w:val="1"/>
    </w:tblPr>
  </w:style>
  <w:style w:type="table" w:styleId="afff1" w:customStyle="1">
    <w:basedOn w:val="TableNormal"/>
    <w:pPr>
      <w:spacing w:after="0" w:line="240" w:lineRule="auto"/>
    </w:pPr>
    <w:tblPr>
      <w:tblStyleRowBandSize w:val="1"/>
      <w:tblStyleColBandSize w:val="1"/>
    </w:tblPr>
  </w:style>
  <w:style w:type="table" w:styleId="afff2" w:customStyle="1">
    <w:basedOn w:val="TableNormal"/>
    <w:pPr>
      <w:spacing w:after="0" w:line="240" w:lineRule="auto"/>
    </w:pPr>
    <w:tblPr>
      <w:tblStyleRowBandSize w:val="1"/>
      <w:tblStyleColBandSize w:val="1"/>
    </w:tblPr>
  </w:style>
  <w:style w:type="table" w:styleId="afff3" w:customStyle="1">
    <w:basedOn w:val="TableNormal"/>
    <w:pPr>
      <w:spacing w:after="0" w:line="240" w:lineRule="auto"/>
    </w:pPr>
    <w:tblPr>
      <w:tblStyleRowBandSize w:val="1"/>
      <w:tblStyleColBandSize w:val="1"/>
    </w:tblPr>
  </w:style>
  <w:style w:type="table" w:styleId="afff4" w:customStyle="1">
    <w:basedOn w:val="TableNormal"/>
    <w:pPr>
      <w:spacing w:after="0" w:line="240" w:lineRule="auto"/>
    </w:pPr>
    <w:tblPr>
      <w:tblStyleRowBandSize w:val="1"/>
      <w:tblStyleColBandSize w:val="1"/>
    </w:tblPr>
  </w:style>
  <w:style w:type="table" w:styleId="afff5" w:customStyle="1">
    <w:basedOn w:val="TableNormal"/>
    <w:pPr>
      <w:spacing w:after="0" w:line="240" w:lineRule="auto"/>
    </w:pPr>
    <w:tblPr>
      <w:tblStyleRowBandSize w:val="1"/>
      <w:tblStyleColBandSize w:val="1"/>
    </w:tblPr>
  </w:style>
  <w:style w:type="table" w:styleId="afff6" w:customStyle="1">
    <w:basedOn w:val="TableNormal"/>
    <w:pPr>
      <w:spacing w:after="0" w:line="240" w:lineRule="auto"/>
    </w:pPr>
    <w:tblPr>
      <w:tblStyleRowBandSize w:val="1"/>
      <w:tblStyleColBandSize w:val="1"/>
    </w:tblPr>
  </w:style>
  <w:style w:type="table" w:styleId="afff7" w:customStyle="1">
    <w:basedOn w:val="TableNormal"/>
    <w:pPr>
      <w:spacing w:after="0" w:line="240" w:lineRule="auto"/>
    </w:pPr>
    <w:tblPr>
      <w:tblStyleRowBandSize w:val="1"/>
      <w:tblStyleColBandSize w:val="1"/>
    </w:tblPr>
  </w:style>
  <w:style w:type="table" w:styleId="afff8" w:customStyle="1">
    <w:basedOn w:val="TableNormal"/>
    <w:pPr>
      <w:spacing w:after="0" w:line="240" w:lineRule="auto"/>
    </w:pPr>
    <w:tblPr>
      <w:tblStyleRowBandSize w:val="1"/>
      <w:tblStyleColBandSize w:val="1"/>
    </w:tblPr>
  </w:style>
  <w:style w:type="table" w:styleId="afff9" w:customStyle="1">
    <w:basedOn w:val="TableNormal"/>
    <w:pPr>
      <w:spacing w:after="0" w:line="240" w:lineRule="auto"/>
    </w:pPr>
    <w:tblPr>
      <w:tblStyleRowBandSize w:val="1"/>
      <w:tblStyleColBandSize w:val="1"/>
    </w:tblPr>
  </w:style>
  <w:style w:type="table" w:styleId="afffa" w:customStyle="1">
    <w:basedOn w:val="TableNormal"/>
    <w:pPr>
      <w:spacing w:after="0" w:line="240" w:lineRule="auto"/>
    </w:pPr>
    <w:tblPr>
      <w:tblStyleRowBandSize w:val="1"/>
      <w:tblStyleColBandSize w:val="1"/>
    </w:tblPr>
  </w:style>
  <w:style w:type="table" w:styleId="afffb" w:customStyle="1">
    <w:basedOn w:val="TableNormal"/>
    <w:pPr>
      <w:spacing w:after="0" w:line="240" w:lineRule="auto"/>
    </w:pPr>
    <w:tblPr>
      <w:tblStyleRowBandSize w:val="1"/>
      <w:tblStyleColBandSize w:val="1"/>
    </w:tblPr>
  </w:style>
  <w:style w:type="table" w:styleId="afffc" w:customStyle="1">
    <w:basedOn w:val="TableNormal"/>
    <w:pPr>
      <w:spacing w:after="0" w:line="240" w:lineRule="auto"/>
    </w:pPr>
    <w:tblPr>
      <w:tblStyleRowBandSize w:val="1"/>
      <w:tblStyleColBandSize w:val="1"/>
    </w:tblPr>
  </w:style>
  <w:style w:type="table" w:styleId="afffd" w:customStyle="1">
    <w:basedOn w:val="TableNormal"/>
    <w:pPr>
      <w:spacing w:after="0" w:line="240" w:lineRule="auto"/>
    </w:pPr>
    <w:tblPr>
      <w:tblStyleRowBandSize w:val="1"/>
      <w:tblStyleColBandSize w:val="1"/>
    </w:tblPr>
  </w:style>
  <w:style w:type="table" w:styleId="afffe" w:customStyle="1">
    <w:basedOn w:val="TableNormal"/>
    <w:pPr>
      <w:spacing w:after="0" w:line="240" w:lineRule="auto"/>
    </w:pPr>
    <w:tblPr>
      <w:tblStyleRowBandSize w:val="1"/>
      <w:tblStyleColBandSize w:val="1"/>
    </w:tblPr>
  </w:style>
  <w:style w:type="table" w:styleId="affff" w:customStyle="1">
    <w:basedOn w:val="TableNormal"/>
    <w:pPr>
      <w:spacing w:after="0" w:line="240" w:lineRule="auto"/>
    </w:pPr>
    <w:tblPr>
      <w:tblStyleRowBandSize w:val="1"/>
      <w:tblStyleColBandSize w:val="1"/>
    </w:tblPr>
  </w:style>
  <w:style w:type="table" w:styleId="affff0" w:customStyle="1">
    <w:basedOn w:val="TableNormal"/>
    <w:pPr>
      <w:spacing w:after="0" w:line="240" w:lineRule="auto"/>
    </w:pPr>
    <w:tblPr>
      <w:tblStyleRowBandSize w:val="1"/>
      <w:tblStyleColBandSize w:val="1"/>
    </w:tblPr>
  </w:style>
  <w:style w:type="table" w:styleId="affff1" w:customStyle="1">
    <w:basedOn w:val="TableNormal"/>
    <w:pPr>
      <w:spacing w:after="0" w:line="240" w:lineRule="auto"/>
    </w:pPr>
    <w:tblPr>
      <w:tblStyleRowBandSize w:val="1"/>
      <w:tblStyleColBandSize w:val="1"/>
    </w:tblPr>
  </w:style>
  <w:style w:type="table" w:styleId="affff2" w:customStyle="1">
    <w:basedOn w:val="TableNormal"/>
    <w:pPr>
      <w:spacing w:after="0" w:line="240" w:lineRule="auto"/>
    </w:pPr>
    <w:tblPr>
      <w:tblStyleRowBandSize w:val="1"/>
      <w:tblStyleColBandSize w:val="1"/>
    </w:tblPr>
  </w:style>
  <w:style w:type="table" w:styleId="affff3" w:customStyle="1">
    <w:basedOn w:val="TableNormal"/>
    <w:pPr>
      <w:spacing w:after="0" w:line="240" w:lineRule="auto"/>
    </w:pPr>
    <w:tblPr>
      <w:tblStyleRowBandSize w:val="1"/>
      <w:tblStyleColBandSize w:val="1"/>
    </w:tblPr>
  </w:style>
  <w:style w:type="table" w:styleId="affff4" w:customStyle="1">
    <w:basedOn w:val="TableNormal"/>
    <w:pPr>
      <w:spacing w:after="0" w:line="240" w:lineRule="auto"/>
    </w:pPr>
    <w:tblPr>
      <w:tblStyleRowBandSize w:val="1"/>
      <w:tblStyleColBandSize w:val="1"/>
    </w:tblPr>
  </w:style>
  <w:style w:type="table" w:styleId="affff5" w:customStyle="1">
    <w:basedOn w:val="TableNormal"/>
    <w:pPr>
      <w:spacing w:after="0" w:line="240" w:lineRule="auto"/>
    </w:pPr>
    <w:tblPr>
      <w:tblStyleRowBandSize w:val="1"/>
      <w:tblStyleColBandSize w:val="1"/>
    </w:tblPr>
  </w:style>
  <w:style w:type="table" w:styleId="affff6" w:customStyle="1">
    <w:basedOn w:val="TableNormal"/>
    <w:pPr>
      <w:spacing w:after="0" w:line="240" w:lineRule="auto"/>
    </w:pPr>
    <w:tblPr>
      <w:tblStyleRowBandSize w:val="1"/>
      <w:tblStyleColBandSize w:val="1"/>
    </w:tblPr>
  </w:style>
  <w:style w:type="table" w:styleId="affff7" w:customStyle="1">
    <w:basedOn w:val="TableNormal"/>
    <w:pPr>
      <w:spacing w:after="0" w:line="240" w:lineRule="auto"/>
    </w:pPr>
    <w:tblPr>
      <w:tblStyleRowBandSize w:val="1"/>
      <w:tblStyleColBandSize w:val="1"/>
    </w:tblPr>
  </w:style>
  <w:style w:type="table" w:styleId="affff8" w:customStyle="1">
    <w:basedOn w:val="TableNormal"/>
    <w:pPr>
      <w:spacing w:after="0" w:line="240" w:lineRule="auto"/>
    </w:pPr>
    <w:tblPr>
      <w:tblStyleRowBandSize w:val="1"/>
      <w:tblStyleColBandSize w:val="1"/>
    </w:tblPr>
  </w:style>
  <w:style w:type="table" w:styleId="affff9" w:customStyle="1">
    <w:basedOn w:val="TableNormal"/>
    <w:pPr>
      <w:spacing w:after="0" w:line="240" w:lineRule="auto"/>
    </w:pPr>
    <w:tblPr>
      <w:tblStyleRowBandSize w:val="1"/>
      <w:tblStyleColBandSize w:val="1"/>
    </w:tblPr>
  </w:style>
  <w:style w:type="table" w:styleId="affffa" w:customStyle="1">
    <w:basedOn w:val="TableNormal"/>
    <w:pPr>
      <w:spacing w:after="0" w:line="240" w:lineRule="auto"/>
    </w:pPr>
    <w:tblPr>
      <w:tblStyleRowBandSize w:val="1"/>
      <w:tblStyleColBandSize w:val="1"/>
    </w:tblPr>
  </w:style>
  <w:style w:type="table" w:styleId="affffb" w:customStyle="1">
    <w:basedOn w:val="TableNormal"/>
    <w:pPr>
      <w:spacing w:after="0" w:line="240" w:lineRule="auto"/>
    </w:pPr>
    <w:tblPr>
      <w:tblStyleRowBandSize w:val="1"/>
      <w:tblStyleColBandSize w:val="1"/>
    </w:tblPr>
  </w:style>
  <w:style w:type="table" w:styleId="affffc" w:customStyle="1">
    <w:basedOn w:val="TableNormal"/>
    <w:pPr>
      <w:spacing w:after="0" w:line="240" w:lineRule="auto"/>
    </w:pPr>
    <w:tblPr>
      <w:tblStyleRowBandSize w:val="1"/>
      <w:tblStyleColBandSize w:val="1"/>
    </w:tblPr>
  </w:style>
  <w:style w:type="table" w:styleId="affffd" w:customStyle="1">
    <w:basedOn w:val="TableNormal"/>
    <w:pPr>
      <w:spacing w:after="0" w:line="240" w:lineRule="auto"/>
    </w:pPr>
    <w:tblPr>
      <w:tblStyleRowBandSize w:val="1"/>
      <w:tblStyleColBandSize w:val="1"/>
    </w:tblPr>
  </w:style>
  <w:style w:type="table" w:styleId="affffe" w:customStyle="1">
    <w:basedOn w:val="TableNormal"/>
    <w:pPr>
      <w:spacing w:after="0" w:line="240" w:lineRule="auto"/>
    </w:pPr>
    <w:tblPr>
      <w:tblStyleRowBandSize w:val="1"/>
      <w:tblStyleColBandSize w:val="1"/>
    </w:tblPr>
  </w:style>
  <w:style w:type="table" w:styleId="afffff" w:customStyle="1">
    <w:basedOn w:val="TableNormal"/>
    <w:pPr>
      <w:spacing w:after="0" w:line="240" w:lineRule="auto"/>
    </w:pPr>
    <w:tblPr>
      <w:tblStyleRowBandSize w:val="1"/>
      <w:tblStyleColBandSize w:val="1"/>
    </w:tblPr>
  </w:style>
  <w:style w:type="table" w:styleId="afffff0" w:customStyle="1">
    <w:basedOn w:val="TableNormal"/>
    <w:pPr>
      <w:spacing w:after="0" w:line="240" w:lineRule="auto"/>
    </w:pPr>
    <w:tblPr>
      <w:tblStyleRowBandSize w:val="1"/>
      <w:tblStyleColBandSize w:val="1"/>
    </w:tblPr>
  </w:style>
  <w:style w:type="table" w:styleId="afffff1" w:customStyle="1">
    <w:basedOn w:val="TableNormal"/>
    <w:pPr>
      <w:spacing w:after="0" w:line="240" w:lineRule="auto"/>
    </w:pPr>
    <w:tblPr>
      <w:tblStyleRowBandSize w:val="1"/>
      <w:tblStyleColBandSize w:val="1"/>
    </w:tblPr>
  </w:style>
  <w:style w:type="table" w:styleId="afffff2" w:customStyle="1">
    <w:basedOn w:val="TableNormal"/>
    <w:pPr>
      <w:spacing w:after="0" w:line="240" w:lineRule="auto"/>
    </w:pPr>
    <w:tblPr>
      <w:tblStyleRowBandSize w:val="1"/>
      <w:tblStyleColBandSize w:val="1"/>
    </w:tblPr>
  </w:style>
  <w:style w:type="table" w:styleId="afffff3" w:customStyle="1">
    <w:basedOn w:val="TableNormal"/>
    <w:pPr>
      <w:spacing w:after="0" w:line="240" w:lineRule="auto"/>
    </w:pPr>
    <w:tblPr>
      <w:tblStyleRowBandSize w:val="1"/>
      <w:tblStyleColBandSize w:val="1"/>
    </w:tblPr>
  </w:style>
  <w:style w:type="table" w:styleId="afffff4" w:customStyle="1">
    <w:basedOn w:val="TableNormal"/>
    <w:pPr>
      <w:spacing w:after="0" w:line="240" w:lineRule="auto"/>
    </w:pPr>
    <w:tblPr>
      <w:tblStyleRowBandSize w:val="1"/>
      <w:tblStyleColBandSize w:val="1"/>
    </w:tblPr>
  </w:style>
  <w:style w:type="table" w:styleId="afffff5" w:customStyle="1">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val="1"/>
    <w:unhideWhenUsed w:val="1"/>
    <w:rsid w:val="002B23CE"/>
    <w:rPr>
      <w:color w:val="954f72" w:themeColor="followedHyperlink"/>
      <w:u w:val="single"/>
    </w:rPr>
  </w:style>
  <w:style w:type="character" w:styleId="Emphasis">
    <w:name w:val="Emphasis"/>
    <w:basedOn w:val="DefaultParagraphFont"/>
    <w:uiPriority w:val="20"/>
    <w:qFormat w:val="1"/>
    <w:rsid w:val="002B23CE"/>
    <w:rPr>
      <w:i w:val="1"/>
      <w:iCs w:val="1"/>
    </w:rPr>
  </w:style>
  <w:style w:type="table" w:styleId="afffff6" w:customStyle="1">
    <w:basedOn w:val="TableNormal"/>
    <w:pPr>
      <w:spacing w:after="0" w:line="240" w:lineRule="auto"/>
    </w:pPr>
    <w:tblPr>
      <w:tblStyleRowBandSize w:val="1"/>
      <w:tblStyleColBandSize w:val="1"/>
      <w:tblCellMar>
        <w:left w:w="115.0" w:type="dxa"/>
        <w:right w:w="115.0" w:type="dxa"/>
      </w:tblCellMar>
    </w:tblPr>
  </w:style>
  <w:style w:type="table" w:styleId="afffff7" w:customStyle="1">
    <w:basedOn w:val="TableNormal"/>
    <w:pPr>
      <w:spacing w:after="0" w:line="240" w:lineRule="auto"/>
    </w:pPr>
    <w:tblPr>
      <w:tblStyleRowBandSize w:val="1"/>
      <w:tblStyleColBandSize w:val="1"/>
      <w:tblCellMar>
        <w:left w:w="115.0" w:type="dxa"/>
        <w:right w:w="115.0" w:type="dxa"/>
      </w:tblCellMar>
    </w:tblPr>
  </w:style>
  <w:style w:type="table" w:styleId="afffff8" w:customStyle="1">
    <w:basedOn w:val="TableNormal"/>
    <w:pPr>
      <w:spacing w:after="0" w:line="240" w:lineRule="auto"/>
    </w:pPr>
    <w:tblPr>
      <w:tblStyleRowBandSize w:val="1"/>
      <w:tblStyleColBandSize w:val="1"/>
      <w:tblCellMar>
        <w:left w:w="115.0" w:type="dxa"/>
        <w:right w:w="115.0" w:type="dxa"/>
      </w:tblCellMar>
    </w:tblPr>
  </w:style>
  <w:style w:type="table" w:styleId="afffff9" w:customStyle="1">
    <w:basedOn w:val="TableNormal"/>
    <w:pPr>
      <w:spacing w:after="0" w:line="240" w:lineRule="auto"/>
    </w:pPr>
    <w:tblPr>
      <w:tblStyleRowBandSize w:val="1"/>
      <w:tblStyleColBandSize w:val="1"/>
      <w:tblCellMar>
        <w:left w:w="115.0" w:type="dxa"/>
        <w:right w:w="115.0" w:type="dxa"/>
      </w:tblCellMar>
    </w:tblPr>
  </w:style>
  <w:style w:type="table" w:styleId="afffffa" w:customStyle="1">
    <w:basedOn w:val="TableNormal"/>
    <w:tblPr>
      <w:tblStyleRowBandSize w:val="1"/>
      <w:tblStyleColBandSize w:val="1"/>
      <w:tblCellMar>
        <w:left w:w="0.0" w:type="dxa"/>
        <w:right w:w="0.0" w:type="dxa"/>
      </w:tblCellMar>
    </w:tblPr>
  </w:style>
  <w:style w:type="table" w:styleId="afffffb" w:customStyle="1">
    <w:basedOn w:val="TableNormal"/>
    <w:pPr>
      <w:spacing w:after="0" w:line="240" w:lineRule="auto"/>
    </w:pPr>
    <w:tblPr>
      <w:tblStyleRowBandSize w:val="1"/>
      <w:tblStyleColBandSize w:val="1"/>
      <w:tblCellMar>
        <w:left w:w="0.0" w:type="dxa"/>
        <w:right w:w="0.0" w:type="dxa"/>
      </w:tblCellMar>
    </w:tblPr>
  </w:style>
  <w:style w:type="table" w:styleId="afffffc" w:customStyle="1">
    <w:basedOn w:val="TableNormal"/>
    <w:pPr>
      <w:spacing w:after="0" w:line="240" w:lineRule="auto"/>
    </w:pPr>
    <w:tblPr>
      <w:tblStyleRowBandSize w:val="1"/>
      <w:tblStyleColBandSize w:val="1"/>
      <w:tblCellMar>
        <w:left w:w="0.0" w:type="dxa"/>
        <w:right w:w="0.0" w:type="dxa"/>
      </w:tblCellMar>
    </w:tblPr>
  </w:style>
  <w:style w:type="table" w:styleId="afffffd" w:customStyle="1">
    <w:basedOn w:val="TableNormal"/>
    <w:pPr>
      <w:spacing w:after="0" w:line="240" w:lineRule="auto"/>
    </w:pPr>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108/qmr-06-2013-0041" TargetMode="External"/><Relationship Id="rId11" Type="http://schemas.openxmlformats.org/officeDocument/2006/relationships/hyperlink" Target="https://www.statista.com/statistics/1095186/tiktok-us-users-age/" TargetMode="External"/><Relationship Id="rId10" Type="http://schemas.openxmlformats.org/officeDocument/2006/relationships/hyperlink" Target="https://www.betterhealth.vic.gov.au/health/servicesandsupport/types-of-mental-health-issues-and-illnesses" TargetMode="External"/><Relationship Id="rId21" Type="http://schemas.openxmlformats.org/officeDocument/2006/relationships/hyperlink" Target="https://www.who.int/news-room/fact-sheets/detail/mental-disorders" TargetMode="External"/><Relationship Id="rId13" Type="http://schemas.openxmlformats.org/officeDocument/2006/relationships/hyperlink" Target="https://www.pewresearch.org/internet/2009/01/28/generations-online-in-2009/" TargetMode="External"/><Relationship Id="rId12" Type="http://schemas.openxmlformats.org/officeDocument/2006/relationships/hyperlink" Target="https://doi.org/10.1007/s10964-018-0901-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16/j.jadohealth.2020.07.042" TargetMode="External"/><Relationship Id="rId15" Type="http://schemas.openxmlformats.org/officeDocument/2006/relationships/hyperlink" Target="https://doi.org/10.1177/0734282916651537" TargetMode="External"/><Relationship Id="rId14" Type="http://schemas.openxmlformats.org/officeDocument/2006/relationships/hyperlink" Target="https://doi.org/10.1016/j.bushor.2009.09.003" TargetMode="External"/><Relationship Id="rId17" Type="http://schemas.openxmlformats.org/officeDocument/2006/relationships/hyperlink" Target="https://doi.org/10.1001/jama.2010.616" TargetMode="External"/><Relationship Id="rId16" Type="http://schemas.openxmlformats.org/officeDocument/2006/relationships/hyperlink" Target="https://doi.org/10.1038/s41562-018-0506-1" TargetMode="External"/><Relationship Id="rId5" Type="http://schemas.openxmlformats.org/officeDocument/2006/relationships/styles" Target="styles.xml"/><Relationship Id="rId19" Type="http://schemas.openxmlformats.org/officeDocument/2006/relationships/hyperlink" Target="https://doi.org/10.1001/jama.291.21.2581" TargetMode="External"/><Relationship Id="rId6" Type="http://schemas.openxmlformats.org/officeDocument/2006/relationships/customXml" Target="../customXML/item1.xml"/><Relationship Id="rId18" Type="http://schemas.openxmlformats.org/officeDocument/2006/relationships/hyperlink" Target="https://doi.org/10.1177/0163278711424282" TargetMode="External"/><Relationship Id="rId7" Type="http://schemas.openxmlformats.org/officeDocument/2006/relationships/hyperlink" Target="https://doi.org/10.1037/1040-3590.10.2.176" TargetMode="External"/><Relationship Id="rId8" Type="http://schemas.openxmlformats.org/officeDocument/2006/relationships/hyperlink" Target="https://www.pewresearch.org/internet/wp-content/uploads/sites/9/2021/04/PI_2021.04.07_Social-Media-Use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BTxYoTwQipN+VWJ/UjtMx8/snQ==">AMUW2mU7x5kcPZqwE4ktCFC1JIxGxFFVE5luUWpfl6+5eKAv3Ggx6HR0uLQeY/0PxAwpaOAMahZv1wH6PnVEhR1aHK6FqSDuvyMQpdmilAErHOf6R4gN59YWFMzafcOairiOYqXGqzWsW6WBvAo2BL1WVHHUmhC/0A==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2022-08-23T19:32:00Z</dcterms:created>
  <dc:creator>Pellosmaa, Hollie</dc:creator>
</cp:coreProperties>
</file>