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10B12" w14:textId="7C104C82" w:rsidR="003D07F7" w:rsidRPr="00203EB0" w:rsidRDefault="00993BE3" w:rsidP="00993BE3">
      <w:pPr>
        <w:spacing w:line="480" w:lineRule="auto"/>
        <w:jc w:val="center"/>
        <w:rPr>
          <w:rFonts w:cs="Times New Roman"/>
          <w:b/>
        </w:rPr>
      </w:pPr>
      <w:r w:rsidRPr="00203EB0">
        <w:rPr>
          <w:rFonts w:cs="Times New Roman"/>
          <w:b/>
        </w:rPr>
        <w:t xml:space="preserve">SOIL HEALTH, MICROBIAL COMMUNITIES, AND NITROGEN DYNAMICS IN AGROECOSYSTEMS: INSIGHTS FROM </w:t>
      </w:r>
      <w:r w:rsidR="00D71C35">
        <w:rPr>
          <w:rFonts w:cs="Times New Roman"/>
          <w:b/>
        </w:rPr>
        <w:t>LONG-TERM</w:t>
      </w:r>
      <w:r w:rsidRPr="00203EB0">
        <w:rPr>
          <w:rFonts w:cs="Times New Roman"/>
          <w:b/>
        </w:rPr>
        <w:t xml:space="preserve"> CROPPING SYSTEMS</w:t>
      </w:r>
    </w:p>
    <w:p w14:paraId="15026372" w14:textId="77777777" w:rsidR="00236E6D" w:rsidRPr="00203EB0" w:rsidRDefault="00236E6D" w:rsidP="00DF4F95">
      <w:pPr>
        <w:spacing w:line="480" w:lineRule="auto"/>
        <w:jc w:val="center"/>
        <w:rPr>
          <w:rFonts w:cs="Times New Roman"/>
        </w:rPr>
      </w:pPr>
    </w:p>
    <w:p w14:paraId="17ADBED8" w14:textId="77777777" w:rsidR="00236E6D" w:rsidRPr="00203EB0" w:rsidRDefault="00236E6D" w:rsidP="00DF4F95">
      <w:pPr>
        <w:spacing w:line="480" w:lineRule="auto"/>
        <w:jc w:val="center"/>
        <w:rPr>
          <w:rFonts w:cs="Times New Roman"/>
        </w:rPr>
      </w:pPr>
    </w:p>
    <w:p w14:paraId="7F7F214F" w14:textId="77777777" w:rsidR="00236E6D" w:rsidRPr="00203EB0" w:rsidRDefault="00236E6D" w:rsidP="00DF4F95">
      <w:pPr>
        <w:spacing w:line="480" w:lineRule="auto"/>
        <w:jc w:val="center"/>
        <w:rPr>
          <w:rFonts w:cs="Times New Roman"/>
        </w:rPr>
      </w:pPr>
    </w:p>
    <w:p w14:paraId="4B2DC06B" w14:textId="77777777" w:rsidR="00236E6D" w:rsidRPr="00203EB0" w:rsidRDefault="00236E6D" w:rsidP="00DF4F95">
      <w:pPr>
        <w:spacing w:line="480" w:lineRule="auto"/>
        <w:jc w:val="center"/>
        <w:rPr>
          <w:rFonts w:cs="Times New Roman"/>
        </w:rPr>
      </w:pPr>
    </w:p>
    <w:p w14:paraId="353BB84A" w14:textId="77777777" w:rsidR="00236E6D" w:rsidRPr="00203EB0" w:rsidRDefault="00236E6D" w:rsidP="00DF4F95">
      <w:pPr>
        <w:spacing w:line="480" w:lineRule="auto"/>
        <w:jc w:val="center"/>
        <w:rPr>
          <w:rFonts w:cs="Times New Roman"/>
        </w:rPr>
      </w:pPr>
    </w:p>
    <w:p w14:paraId="4F19CC8B" w14:textId="77777777" w:rsidR="00236E6D" w:rsidRPr="00203EB0" w:rsidRDefault="00236E6D" w:rsidP="00DF4F95">
      <w:pPr>
        <w:spacing w:line="480" w:lineRule="auto"/>
        <w:jc w:val="center"/>
        <w:rPr>
          <w:rFonts w:cs="Times New Roman"/>
        </w:rPr>
      </w:pPr>
    </w:p>
    <w:p w14:paraId="3D9E2EA9" w14:textId="066C874E" w:rsidR="00236E6D" w:rsidRPr="00203EB0" w:rsidRDefault="009C755C" w:rsidP="00DF4F95">
      <w:pPr>
        <w:spacing w:line="480" w:lineRule="auto"/>
        <w:jc w:val="center"/>
        <w:rPr>
          <w:rFonts w:cs="Times New Roman"/>
        </w:rPr>
      </w:pPr>
      <w:r w:rsidRPr="00203EB0">
        <w:rPr>
          <w:rFonts w:cs="Times New Roman"/>
        </w:rPr>
        <w:t xml:space="preserve">A </w:t>
      </w:r>
      <w:r w:rsidR="00545753" w:rsidRPr="00203EB0">
        <w:rPr>
          <w:rFonts w:cs="Times New Roman"/>
        </w:rPr>
        <w:t>Dissertation</w:t>
      </w:r>
      <w:r w:rsidRPr="00203EB0">
        <w:rPr>
          <w:rFonts w:cs="Times New Roman"/>
        </w:rPr>
        <w:t xml:space="preserve"> Presented for</w:t>
      </w:r>
      <w:r w:rsidR="008865B6" w:rsidRPr="00203EB0">
        <w:rPr>
          <w:rFonts w:cs="Times New Roman"/>
        </w:rPr>
        <w:t xml:space="preserve"> the</w:t>
      </w:r>
    </w:p>
    <w:p w14:paraId="7870E075" w14:textId="45C0E535" w:rsidR="009C755C" w:rsidRPr="00203EB0" w:rsidRDefault="00993BE3" w:rsidP="00DF4F95">
      <w:pPr>
        <w:spacing w:line="480" w:lineRule="auto"/>
        <w:jc w:val="center"/>
        <w:rPr>
          <w:rFonts w:cs="Times New Roman"/>
        </w:rPr>
      </w:pPr>
      <w:r w:rsidRPr="00203EB0">
        <w:rPr>
          <w:rFonts w:cs="Times New Roman"/>
        </w:rPr>
        <w:t>Doctor of Philosophy</w:t>
      </w:r>
    </w:p>
    <w:p w14:paraId="1D5FEB42" w14:textId="77777777" w:rsidR="009C755C" w:rsidRPr="00203EB0" w:rsidRDefault="009C755C" w:rsidP="00DF4F95">
      <w:pPr>
        <w:spacing w:line="480" w:lineRule="auto"/>
        <w:jc w:val="center"/>
        <w:rPr>
          <w:rFonts w:cs="Times New Roman"/>
        </w:rPr>
      </w:pPr>
      <w:r w:rsidRPr="00203EB0">
        <w:rPr>
          <w:rFonts w:cs="Times New Roman"/>
        </w:rPr>
        <w:t>Degree</w:t>
      </w:r>
    </w:p>
    <w:p w14:paraId="03D0F51C" w14:textId="77777777" w:rsidR="009C755C" w:rsidRPr="00203EB0" w:rsidRDefault="009C755C" w:rsidP="00DF4F95">
      <w:pPr>
        <w:spacing w:line="480" w:lineRule="auto"/>
        <w:jc w:val="center"/>
        <w:rPr>
          <w:rFonts w:cs="Times New Roman"/>
        </w:rPr>
      </w:pPr>
      <w:r w:rsidRPr="00203EB0">
        <w:rPr>
          <w:rFonts w:cs="Times New Roman"/>
        </w:rPr>
        <w:t>The University of Tennessee, Knoxville</w:t>
      </w:r>
    </w:p>
    <w:p w14:paraId="0257D425" w14:textId="77777777" w:rsidR="00236E6D" w:rsidRPr="00203EB0" w:rsidRDefault="00236E6D" w:rsidP="00DF4F95">
      <w:pPr>
        <w:spacing w:line="480" w:lineRule="auto"/>
        <w:jc w:val="center"/>
        <w:rPr>
          <w:rFonts w:cs="Times New Roman"/>
        </w:rPr>
      </w:pPr>
    </w:p>
    <w:p w14:paraId="7E723FEB" w14:textId="77777777" w:rsidR="00236E6D" w:rsidRPr="00203EB0" w:rsidRDefault="00236E6D" w:rsidP="00DF4F95">
      <w:pPr>
        <w:spacing w:line="480" w:lineRule="auto"/>
        <w:jc w:val="center"/>
        <w:rPr>
          <w:rFonts w:cs="Times New Roman"/>
        </w:rPr>
      </w:pPr>
    </w:p>
    <w:p w14:paraId="000B0839" w14:textId="77777777" w:rsidR="00236E6D" w:rsidRPr="00203EB0" w:rsidRDefault="00236E6D" w:rsidP="00DF4F95">
      <w:pPr>
        <w:spacing w:line="480" w:lineRule="auto"/>
        <w:jc w:val="center"/>
        <w:rPr>
          <w:rFonts w:cs="Times New Roman"/>
        </w:rPr>
      </w:pPr>
    </w:p>
    <w:p w14:paraId="424721D6" w14:textId="77777777" w:rsidR="00236E6D" w:rsidRPr="00203EB0" w:rsidRDefault="00236E6D" w:rsidP="00DF4F95">
      <w:pPr>
        <w:spacing w:line="480" w:lineRule="auto"/>
        <w:jc w:val="center"/>
        <w:rPr>
          <w:rFonts w:cs="Times New Roman"/>
        </w:rPr>
      </w:pPr>
    </w:p>
    <w:p w14:paraId="3DE9F240" w14:textId="77777777" w:rsidR="00236E6D" w:rsidRPr="00203EB0" w:rsidRDefault="00236E6D" w:rsidP="00DF4F95">
      <w:pPr>
        <w:spacing w:line="480" w:lineRule="auto"/>
        <w:jc w:val="center"/>
        <w:rPr>
          <w:rFonts w:cs="Times New Roman"/>
        </w:rPr>
      </w:pPr>
    </w:p>
    <w:p w14:paraId="52FF4AC1" w14:textId="77777777" w:rsidR="00236E6D" w:rsidRPr="00203EB0" w:rsidRDefault="00236E6D" w:rsidP="00DF4F95">
      <w:pPr>
        <w:spacing w:line="480" w:lineRule="auto"/>
        <w:jc w:val="center"/>
        <w:rPr>
          <w:rFonts w:cs="Times New Roman"/>
        </w:rPr>
      </w:pPr>
    </w:p>
    <w:p w14:paraId="014AC92A" w14:textId="3EC92C6A" w:rsidR="00236E6D" w:rsidRPr="00203EB0" w:rsidRDefault="00993BE3" w:rsidP="00612813">
      <w:pPr>
        <w:spacing w:line="480" w:lineRule="auto"/>
        <w:jc w:val="center"/>
        <w:rPr>
          <w:rFonts w:cs="Times New Roman"/>
        </w:rPr>
      </w:pPr>
      <w:r w:rsidRPr="00203EB0">
        <w:rPr>
          <w:rFonts w:cs="Times New Roman"/>
        </w:rPr>
        <w:t>Facundo Lussich Rachetti</w:t>
      </w:r>
    </w:p>
    <w:p w14:paraId="5D666768" w14:textId="11A417E2" w:rsidR="009D2AA9" w:rsidRPr="00203EB0" w:rsidRDefault="00672DDD" w:rsidP="006D303C">
      <w:pPr>
        <w:spacing w:line="480" w:lineRule="auto"/>
        <w:jc w:val="center"/>
        <w:rPr>
          <w:rFonts w:cs="Times New Roman"/>
        </w:rPr>
      </w:pPr>
      <w:r w:rsidRPr="00203EB0">
        <w:rPr>
          <w:rFonts w:cs="Times New Roman"/>
        </w:rPr>
        <w:t>December</w:t>
      </w:r>
      <w:r w:rsidR="009C755C" w:rsidRPr="00203EB0">
        <w:rPr>
          <w:rFonts w:cs="Times New Roman"/>
        </w:rPr>
        <w:t xml:space="preserve"> </w:t>
      </w:r>
      <w:r w:rsidR="00206090" w:rsidRPr="00203EB0">
        <w:rPr>
          <w:rFonts w:cs="Times New Roman"/>
        </w:rPr>
        <w:t>202</w:t>
      </w:r>
      <w:r w:rsidR="00993BE3" w:rsidRPr="00203EB0">
        <w:rPr>
          <w:rFonts w:cs="Times New Roman"/>
        </w:rPr>
        <w:t>5</w:t>
      </w:r>
    </w:p>
    <w:p w14:paraId="3C99DA3F" w14:textId="77777777" w:rsidR="009D2AA9" w:rsidRPr="00203EB0" w:rsidRDefault="009D2AA9" w:rsidP="009D2AA9">
      <w:pPr>
        <w:rPr>
          <w:rFonts w:cs="Times New Roman"/>
        </w:rPr>
      </w:pPr>
    </w:p>
    <w:p w14:paraId="1BD870A2" w14:textId="77777777" w:rsidR="00AE1B19" w:rsidRPr="00203EB0" w:rsidRDefault="00AE1B19" w:rsidP="009D2AA9">
      <w:pPr>
        <w:rPr>
          <w:rFonts w:cs="Times New Roman"/>
        </w:rPr>
      </w:pPr>
    </w:p>
    <w:p w14:paraId="11498543" w14:textId="77777777" w:rsidR="009D2AA9" w:rsidRPr="00203EB0" w:rsidRDefault="009D2AA9" w:rsidP="009D2AA9">
      <w:pPr>
        <w:rPr>
          <w:rFonts w:cs="Times New Roman"/>
        </w:rPr>
      </w:pPr>
    </w:p>
    <w:p w14:paraId="4C8A27B1" w14:textId="77777777" w:rsidR="00CD73A9" w:rsidRPr="00203EB0" w:rsidRDefault="00CD73A9" w:rsidP="00134D00">
      <w:pPr>
        <w:pStyle w:val="AltHeading1"/>
      </w:pPr>
      <w:bookmarkStart w:id="0" w:name="_Toc206060234"/>
      <w:bookmarkStart w:id="1" w:name="_Toc206669098"/>
      <w:r w:rsidRPr="00203EB0">
        <w:lastRenderedPageBreak/>
        <w:t>ACKNOWLEDGEMENTS</w:t>
      </w:r>
      <w:bookmarkEnd w:id="0"/>
      <w:bookmarkEnd w:id="1"/>
    </w:p>
    <w:p w14:paraId="1F23CAF6" w14:textId="77777777" w:rsidR="000F7913" w:rsidRPr="00203EB0" w:rsidRDefault="000F7913" w:rsidP="005B7AB7">
      <w:pPr>
        <w:spacing w:after="160" w:line="480" w:lineRule="auto"/>
        <w:contextualSpacing/>
        <w:rPr>
          <w:rFonts w:cs="Times New Roman"/>
        </w:rPr>
      </w:pPr>
      <w:r w:rsidRPr="00203EB0">
        <w:rPr>
          <w:rFonts w:cs="Times New Roman"/>
        </w:rPr>
        <w:t>First and foremost, I want to thank my advisor and mentor, Dr. Debasish Saha, for the time, energy, and guidance he has invested in me over these years. I’ve grown tremendously as a scientist, a writer, and a person under his mentorship, and I will always be grateful for his patience and support. I also owe deep thanks to my committee members: Dr. Shawn Brown, Dr. Sindhu Jagadamma, Dr. Melissa Cregger, and Dr. Sean Schaeffer. Your wisdom, encouragement, and faith in me have shaped not only this dissertation but also the scientist I’m becoming.</w:t>
      </w:r>
    </w:p>
    <w:p w14:paraId="3B2DF5B1" w14:textId="77777777" w:rsidR="000F7913" w:rsidRPr="00203EB0" w:rsidRDefault="000F7913" w:rsidP="000F7913">
      <w:pPr>
        <w:spacing w:after="160" w:line="480" w:lineRule="auto"/>
        <w:contextualSpacing/>
        <w:rPr>
          <w:rFonts w:cs="Times New Roman"/>
        </w:rPr>
      </w:pPr>
      <w:r w:rsidRPr="00203EB0">
        <w:rPr>
          <w:rFonts w:cs="Times New Roman"/>
        </w:rPr>
        <w:t>To my lab family, Ryan Ackett, Arjun Chhetri, Jashan Dhaliwal, and Presley Nickens, thank you for being there through the ups and downs. I couldn’t have asked for a kinder, more supportive group. A special shout-out to Jashan: we were a team through these four years, and beyond being an incredible colleague, I gained a lifelong friend. Our endless discussions (sometimes productive, sometimes completely random) were crucial for both my professional and personal growth.</w:t>
      </w:r>
    </w:p>
    <w:p w14:paraId="6D375539" w14:textId="77777777" w:rsidR="000F7913" w:rsidRPr="00203EB0" w:rsidRDefault="000F7913" w:rsidP="000F7913">
      <w:pPr>
        <w:spacing w:after="160" w:line="480" w:lineRule="auto"/>
        <w:contextualSpacing/>
        <w:rPr>
          <w:rFonts w:cs="Times New Roman"/>
        </w:rPr>
      </w:pPr>
      <w:r w:rsidRPr="00203EB0">
        <w:rPr>
          <w:rFonts w:cs="Times New Roman"/>
        </w:rPr>
        <w:t xml:space="preserve">I’m also grateful to the many others who guided me through soil analyses and lab work, especially Rachel Wooliver, Rounak Patra, and Ravi Teja. Huge thanks as well to everyone who made the field experiments in Jackson possible: Dr. </w:t>
      </w:r>
      <w:proofErr w:type="spellStart"/>
      <w:r w:rsidRPr="00203EB0">
        <w:rPr>
          <w:rFonts w:cs="Times New Roman"/>
        </w:rPr>
        <w:t>Nutifafa</w:t>
      </w:r>
      <w:proofErr w:type="spellEnd"/>
      <w:r w:rsidRPr="00203EB0">
        <w:rPr>
          <w:rFonts w:cs="Times New Roman"/>
        </w:rPr>
        <w:t xml:space="preserve"> Adotey, Kacey Cannon, and Randi Carole. Without your help, carrying out those experiments would have been impossible. And to Wesley Wright and David Smith, thank you for bringing to life all the crazy ideas we tried to pull off in the field.</w:t>
      </w:r>
    </w:p>
    <w:p w14:paraId="7ECD684F" w14:textId="0A979DE7" w:rsidR="000F7913" w:rsidRPr="00203EB0" w:rsidRDefault="000F7913" w:rsidP="000F7913">
      <w:pPr>
        <w:spacing w:after="160" w:line="480" w:lineRule="auto"/>
        <w:contextualSpacing/>
        <w:rPr>
          <w:rFonts w:cs="Times New Roman"/>
        </w:rPr>
      </w:pPr>
      <w:r w:rsidRPr="00203EB0">
        <w:rPr>
          <w:rFonts w:cs="Times New Roman"/>
        </w:rPr>
        <w:t xml:space="preserve">To my friends, both old and new. As the saying goes: </w:t>
      </w:r>
      <w:r w:rsidRPr="00203EB0">
        <w:rPr>
          <w:rFonts w:cs="Times New Roman"/>
          <w:i/>
          <w:iCs/>
        </w:rPr>
        <w:t xml:space="preserve">“Make new </w:t>
      </w:r>
      <w:proofErr w:type="gramStart"/>
      <w:r w:rsidRPr="00203EB0">
        <w:rPr>
          <w:rFonts w:cs="Times New Roman"/>
          <w:i/>
          <w:iCs/>
        </w:rPr>
        <w:t>friends, but</w:t>
      </w:r>
      <w:proofErr w:type="gramEnd"/>
      <w:r w:rsidRPr="00203EB0">
        <w:rPr>
          <w:rFonts w:cs="Times New Roman"/>
          <w:i/>
          <w:iCs/>
        </w:rPr>
        <w:t xml:space="preserve"> keep the old; those are silver, these are gold.”</w:t>
      </w:r>
      <w:r w:rsidRPr="00203EB0">
        <w:rPr>
          <w:rFonts w:cs="Times New Roman"/>
        </w:rPr>
        <w:t xml:space="preserve"> To my old friends, </w:t>
      </w:r>
      <w:proofErr w:type="spellStart"/>
      <w:r w:rsidRPr="00203EB0">
        <w:rPr>
          <w:rFonts w:cs="Times New Roman"/>
        </w:rPr>
        <w:t>Tablón</w:t>
      </w:r>
      <w:proofErr w:type="spellEnd"/>
      <w:r w:rsidRPr="00203EB0">
        <w:rPr>
          <w:rFonts w:cs="Times New Roman"/>
        </w:rPr>
        <w:t xml:space="preserve">: Manu, </w:t>
      </w:r>
      <w:proofErr w:type="spellStart"/>
      <w:r w:rsidRPr="00203EB0">
        <w:rPr>
          <w:rFonts w:cs="Times New Roman"/>
        </w:rPr>
        <w:t>Tsoro</w:t>
      </w:r>
      <w:proofErr w:type="spellEnd"/>
      <w:r w:rsidRPr="00203EB0">
        <w:rPr>
          <w:rFonts w:cs="Times New Roman"/>
        </w:rPr>
        <w:t xml:space="preserve">, Bola, Kl, Santi, </w:t>
      </w:r>
      <w:r w:rsidRPr="00203EB0">
        <w:rPr>
          <w:rFonts w:cs="Times New Roman"/>
        </w:rPr>
        <w:lastRenderedPageBreak/>
        <w:t xml:space="preserve">Simbo, Berner, Iri, Marvo; distance and years don’t matter, you’re always there. To the amazing </w:t>
      </w:r>
      <w:proofErr w:type="gramStart"/>
      <w:r w:rsidRPr="00203EB0">
        <w:rPr>
          <w:rFonts w:cs="Times New Roman"/>
        </w:rPr>
        <w:t>friends</w:t>
      </w:r>
      <w:proofErr w:type="gramEnd"/>
      <w:r w:rsidRPr="00203EB0">
        <w:rPr>
          <w:rFonts w:cs="Times New Roman"/>
        </w:rPr>
        <w:t xml:space="preserve"> life gifted me: Nico, Regla, Mathi, </w:t>
      </w:r>
      <w:proofErr w:type="spellStart"/>
      <w:r w:rsidRPr="00203EB0">
        <w:rPr>
          <w:rFonts w:cs="Times New Roman"/>
        </w:rPr>
        <w:t>Facu</w:t>
      </w:r>
      <w:proofErr w:type="spellEnd"/>
      <w:r w:rsidRPr="00203EB0">
        <w:rPr>
          <w:rFonts w:cs="Times New Roman"/>
        </w:rPr>
        <w:t xml:space="preserve">, Pande, Pilar, and Nacho; thank you for being part of this journey. To my close friends and colleagues who shaped the </w:t>
      </w:r>
      <w:proofErr w:type="gramStart"/>
      <w:r w:rsidRPr="00203EB0">
        <w:rPr>
          <w:rFonts w:cs="Times New Roman"/>
        </w:rPr>
        <w:t>professional</w:t>
      </w:r>
      <w:proofErr w:type="gramEnd"/>
      <w:r w:rsidRPr="00203EB0">
        <w:rPr>
          <w:rFonts w:cs="Times New Roman"/>
        </w:rPr>
        <w:t xml:space="preserve"> I am today: Turco, Alejo, Mario, Mono, Agus, Belu, Mandorla, Mochi, Coco, </w:t>
      </w:r>
      <w:proofErr w:type="spellStart"/>
      <w:r w:rsidRPr="00203EB0">
        <w:rPr>
          <w:rFonts w:cs="Times New Roman"/>
        </w:rPr>
        <w:t>Joaco</w:t>
      </w:r>
      <w:proofErr w:type="spellEnd"/>
      <w:r w:rsidRPr="00203EB0">
        <w:rPr>
          <w:rFonts w:cs="Times New Roman"/>
        </w:rPr>
        <w:t xml:space="preserve">, La </w:t>
      </w:r>
      <w:proofErr w:type="spellStart"/>
      <w:r w:rsidRPr="00203EB0">
        <w:rPr>
          <w:rFonts w:cs="Times New Roman"/>
        </w:rPr>
        <w:t>Letra</w:t>
      </w:r>
      <w:proofErr w:type="spellEnd"/>
      <w:r w:rsidRPr="00203EB0">
        <w:rPr>
          <w:rFonts w:cs="Times New Roman"/>
        </w:rPr>
        <w:t xml:space="preserve">, Juan, Ele, Nico, and Vale. I couldn’t have made it without you. And to my Tennessee crew, who quickly became my family: Santi, Pablito, Kev, Caio, Ceci, Christoph, Anna, Agu, Pedrito, Gabi, Edu, </w:t>
      </w:r>
      <w:r w:rsidR="00746EF3" w:rsidRPr="00203EB0">
        <w:rPr>
          <w:rFonts w:cs="Times New Roman"/>
        </w:rPr>
        <w:t xml:space="preserve">Rodri, </w:t>
      </w:r>
      <w:r w:rsidRPr="00203EB0">
        <w:rPr>
          <w:rFonts w:cs="Times New Roman"/>
        </w:rPr>
        <w:t xml:space="preserve">Patrick, Josh, Dominic, and Fede. As the quote says: </w:t>
      </w:r>
      <w:r w:rsidRPr="00203EB0">
        <w:rPr>
          <w:rFonts w:cs="Times New Roman"/>
          <w:i/>
          <w:iCs/>
        </w:rPr>
        <w:t>“Call it a clan, call it a network, call it a tribe, call it a family: whatever you call it, whoever you are, you need one.”</w:t>
      </w:r>
      <w:r w:rsidRPr="00203EB0">
        <w:rPr>
          <w:rFonts w:cs="Times New Roman"/>
        </w:rPr>
        <w:t xml:space="preserve"> I’m so lucky to have found mine here.</w:t>
      </w:r>
    </w:p>
    <w:p w14:paraId="2927A19A" w14:textId="77777777" w:rsidR="000F7913" w:rsidRPr="00203EB0" w:rsidRDefault="000F7913" w:rsidP="000F7913">
      <w:pPr>
        <w:spacing w:after="160" w:line="480" w:lineRule="auto"/>
        <w:contextualSpacing/>
        <w:rPr>
          <w:rFonts w:cs="Times New Roman"/>
        </w:rPr>
      </w:pPr>
      <w:r w:rsidRPr="00203EB0">
        <w:rPr>
          <w:rFonts w:cs="Times New Roman"/>
        </w:rPr>
        <w:t xml:space="preserve">To my family, the ones I never chose but could never live without. </w:t>
      </w:r>
      <w:r w:rsidRPr="00203EB0">
        <w:rPr>
          <w:rFonts w:cs="Times New Roman"/>
          <w:i/>
          <w:iCs/>
        </w:rPr>
        <w:t>“You don’t choose your family. They are God’s gift to you, as you are to them.”</w:t>
      </w:r>
      <w:r w:rsidRPr="00203EB0">
        <w:rPr>
          <w:rFonts w:cs="Times New Roman"/>
        </w:rPr>
        <w:t xml:space="preserve"> To my extended family, Los </w:t>
      </w:r>
      <w:proofErr w:type="spellStart"/>
      <w:r w:rsidRPr="00203EB0">
        <w:rPr>
          <w:rFonts w:cs="Times New Roman"/>
        </w:rPr>
        <w:t>Rachettitos</w:t>
      </w:r>
      <w:proofErr w:type="spellEnd"/>
      <w:r w:rsidRPr="00203EB0">
        <w:rPr>
          <w:rFonts w:cs="Times New Roman"/>
        </w:rPr>
        <w:t xml:space="preserve"> y La </w:t>
      </w:r>
      <w:proofErr w:type="spellStart"/>
      <w:r w:rsidRPr="00203EB0">
        <w:rPr>
          <w:rFonts w:cs="Times New Roman"/>
        </w:rPr>
        <w:t>Lussichada</w:t>
      </w:r>
      <w:proofErr w:type="spellEnd"/>
      <w:r w:rsidRPr="00203EB0">
        <w:rPr>
          <w:rFonts w:cs="Times New Roman"/>
        </w:rPr>
        <w:t>, thank you for always rooting for me and for making every return home feel like a celebration. A special mention to Tommy, Javi, Paulita, and Nico - you always made me feel your support, even from afar.</w:t>
      </w:r>
    </w:p>
    <w:p w14:paraId="706F5102" w14:textId="77777777" w:rsidR="000F7913" w:rsidRPr="00203EB0" w:rsidRDefault="000F7913" w:rsidP="000F7913">
      <w:pPr>
        <w:spacing w:after="160" w:line="480" w:lineRule="auto"/>
        <w:contextualSpacing/>
        <w:rPr>
          <w:rFonts w:cs="Times New Roman"/>
        </w:rPr>
      </w:pPr>
      <w:r w:rsidRPr="00203EB0">
        <w:rPr>
          <w:rFonts w:cs="Times New Roman"/>
        </w:rPr>
        <w:t xml:space="preserve">The biggest thanks go to my parents, Diego and Rosina. You not only shaped my values and personality, but also, from the very beginning, taught me the importance of education and dreaming big. For your endless love and support, THANK YOU! To my siblings: Mili, </w:t>
      </w:r>
      <w:proofErr w:type="spellStart"/>
      <w:r w:rsidRPr="00203EB0">
        <w:rPr>
          <w:rFonts w:cs="Times New Roman"/>
        </w:rPr>
        <w:t>Diegui</w:t>
      </w:r>
      <w:proofErr w:type="spellEnd"/>
      <w:r w:rsidRPr="00203EB0">
        <w:rPr>
          <w:rFonts w:cs="Times New Roman"/>
        </w:rPr>
        <w:t>, Nico, Dioni, Ro, and Mati, thank you for always supporting my craziest endeavors. And to my nephews and nieces, the little people I can’t wait to hug every time I go home, you remind me of what really matters.</w:t>
      </w:r>
    </w:p>
    <w:p w14:paraId="79839F2D" w14:textId="28EABB5E" w:rsidR="000F7913" w:rsidRPr="00203EB0" w:rsidRDefault="000F7913" w:rsidP="000F7913">
      <w:pPr>
        <w:spacing w:after="160" w:line="480" w:lineRule="auto"/>
        <w:contextualSpacing/>
        <w:rPr>
          <w:rFonts w:cs="Times New Roman"/>
        </w:rPr>
      </w:pPr>
      <w:r w:rsidRPr="00203EB0">
        <w:rPr>
          <w:rFonts w:cs="Times New Roman"/>
        </w:rPr>
        <w:t xml:space="preserve">And finally, to Nico, my soulmate and the greatest gift life has given me. I don’t know what I did to deserve you, but I’m grateful every single day. Thank you for your </w:t>
      </w:r>
      <w:r w:rsidRPr="00203EB0">
        <w:rPr>
          <w:rFonts w:cs="Times New Roman"/>
        </w:rPr>
        <w:lastRenderedPageBreak/>
        <w:t xml:space="preserve">unconditional love and support, for grounding me when things </w:t>
      </w:r>
      <w:r w:rsidR="000D6A27" w:rsidRPr="00203EB0">
        <w:rPr>
          <w:rFonts w:cs="Times New Roman"/>
        </w:rPr>
        <w:t>get</w:t>
      </w:r>
      <w:r w:rsidRPr="00203EB0">
        <w:rPr>
          <w:rFonts w:cs="Times New Roman"/>
        </w:rPr>
        <w:t xml:space="preserve"> hard, and for celebrating every victory along the way. I truly couldn’t have done this without you.</w:t>
      </w:r>
    </w:p>
    <w:p w14:paraId="3BC3AECD" w14:textId="6833D4D2" w:rsidR="007F7A99" w:rsidRPr="00203EB0" w:rsidRDefault="00CD73A9" w:rsidP="00ED1E27">
      <w:pPr>
        <w:spacing w:line="480" w:lineRule="auto"/>
        <w:ind w:firstLine="720"/>
        <w:rPr>
          <w:rFonts w:cs="Times New Roman"/>
        </w:rPr>
      </w:pPr>
      <w:r w:rsidRPr="00203EB0">
        <w:rPr>
          <w:rFonts w:cs="Times New Roman"/>
        </w:rPr>
        <w:br w:type="page"/>
      </w:r>
    </w:p>
    <w:p w14:paraId="5D15B4C1" w14:textId="77777777" w:rsidR="007F7A99" w:rsidRPr="00203EB0" w:rsidRDefault="007F7A99" w:rsidP="008F60C3">
      <w:pPr>
        <w:jc w:val="center"/>
        <w:rPr>
          <w:rFonts w:cs="Times New Roman"/>
        </w:rPr>
      </w:pPr>
    </w:p>
    <w:p w14:paraId="24C4387E" w14:textId="77777777" w:rsidR="00236E6D" w:rsidRPr="00203EB0" w:rsidRDefault="00236E6D" w:rsidP="00134D00">
      <w:pPr>
        <w:pStyle w:val="AltHeading1"/>
      </w:pPr>
      <w:bookmarkStart w:id="2" w:name="_Toc206060235"/>
      <w:bookmarkStart w:id="3" w:name="_Toc206669099"/>
      <w:r w:rsidRPr="00203EB0">
        <w:t>ABSTRACT</w:t>
      </w:r>
      <w:bookmarkEnd w:id="2"/>
      <w:bookmarkEnd w:id="3"/>
    </w:p>
    <w:p w14:paraId="6C1D8970" w14:textId="25EA7881" w:rsidR="00365DEB" w:rsidRPr="00203EB0" w:rsidRDefault="00365DEB" w:rsidP="00365DEB">
      <w:pPr>
        <w:spacing w:line="480" w:lineRule="auto"/>
        <w:rPr>
          <w:rFonts w:cs="Times New Roman"/>
        </w:rPr>
      </w:pPr>
      <w:r w:rsidRPr="00203EB0">
        <w:rPr>
          <w:rFonts w:cs="Times New Roman"/>
        </w:rPr>
        <w:t>This dissertation examines the legacy effects of long-term soil health practices on nitrogen cycling, soil aeration, microbial ecology, and predictive modeling of nitrous oxide (N₂O) emissions in continuous cotton systems</w:t>
      </w:r>
      <w:r w:rsidR="00D6337E" w:rsidRPr="00203EB0">
        <w:rPr>
          <w:rFonts w:cs="Times New Roman"/>
        </w:rPr>
        <w:t xml:space="preserve">. </w:t>
      </w:r>
      <w:r w:rsidR="000A72A4" w:rsidRPr="00203EB0">
        <w:rPr>
          <w:rFonts w:cs="Times New Roman"/>
        </w:rPr>
        <w:t>Specifically, i</w:t>
      </w:r>
      <w:r w:rsidR="00D6337E" w:rsidRPr="00203EB0">
        <w:rPr>
          <w:rFonts w:cs="Times New Roman"/>
        </w:rPr>
        <w:t xml:space="preserve">t </w:t>
      </w:r>
      <w:r w:rsidRPr="00203EB0">
        <w:rPr>
          <w:rFonts w:cs="Times New Roman"/>
        </w:rPr>
        <w:t>integrat</w:t>
      </w:r>
      <w:r w:rsidR="00D6337E" w:rsidRPr="00203EB0">
        <w:rPr>
          <w:rFonts w:cs="Times New Roman"/>
        </w:rPr>
        <w:t>es</w:t>
      </w:r>
      <w:r w:rsidRPr="00203EB0">
        <w:rPr>
          <w:rFonts w:cs="Times New Roman"/>
        </w:rPr>
        <w:t xml:space="preserve"> five complementary studies</w:t>
      </w:r>
      <w:r w:rsidR="00D6337E" w:rsidRPr="00203EB0">
        <w:rPr>
          <w:rFonts w:cs="Times New Roman"/>
        </w:rPr>
        <w:t xml:space="preserve"> conducted within a 41-year </w:t>
      </w:r>
      <w:r w:rsidR="00975E65" w:rsidRPr="00203EB0">
        <w:rPr>
          <w:rFonts w:cs="Times New Roman"/>
        </w:rPr>
        <w:t xml:space="preserve">cotton </w:t>
      </w:r>
      <w:r w:rsidR="00D6337E" w:rsidRPr="00203EB0">
        <w:rPr>
          <w:rFonts w:cs="Times New Roman"/>
        </w:rPr>
        <w:t xml:space="preserve">field experiment, </w:t>
      </w:r>
      <w:r w:rsidRPr="00203EB0">
        <w:rPr>
          <w:rFonts w:cs="Times New Roman"/>
        </w:rPr>
        <w:t>including a laboratory incubation and four field-based investigation</w:t>
      </w:r>
      <w:r w:rsidR="00D6337E" w:rsidRPr="00203EB0">
        <w:rPr>
          <w:rFonts w:cs="Times New Roman"/>
        </w:rPr>
        <w:t>s under</w:t>
      </w:r>
      <w:r w:rsidRPr="00203EB0">
        <w:rPr>
          <w:rFonts w:cs="Times New Roman"/>
        </w:rPr>
        <w:t xml:space="preserve"> contrasting tillage, cover cropping, and nitrogen (N) fertilization</w:t>
      </w:r>
      <w:r w:rsidR="00ED5D03" w:rsidRPr="00203EB0">
        <w:rPr>
          <w:rFonts w:cs="Times New Roman"/>
        </w:rPr>
        <w:t xml:space="preserve"> regimes</w:t>
      </w:r>
      <w:r w:rsidR="000A72A4" w:rsidRPr="00203EB0">
        <w:rPr>
          <w:rFonts w:cs="Times New Roman"/>
        </w:rPr>
        <w:t>, that collectively link management, process responses, and predictive modeling.</w:t>
      </w:r>
      <w:r w:rsidRPr="00203EB0">
        <w:rPr>
          <w:rFonts w:cs="Times New Roman"/>
        </w:rPr>
        <w:t xml:space="preserve"> Results showed that tillage and N inputs shaped nitrogen acquisition strategies in hairy vetch (HV) cover crops, with no-till (NT) enhancing</w:t>
      </w:r>
      <w:r w:rsidR="007A290F" w:rsidRPr="00203EB0">
        <w:rPr>
          <w:rFonts w:cs="Times New Roman"/>
        </w:rPr>
        <w:t xml:space="preserve"> </w:t>
      </w:r>
      <w:r w:rsidRPr="00203EB0">
        <w:rPr>
          <w:rFonts w:cs="Times New Roman"/>
        </w:rPr>
        <w:t>soil-derived N uptake,</w:t>
      </w:r>
      <w:r w:rsidR="007A290F" w:rsidRPr="00203EB0">
        <w:rPr>
          <w:rFonts w:cs="Times New Roman"/>
        </w:rPr>
        <w:t xml:space="preserve"> which was associated with greater soil organic matter accumulation,</w:t>
      </w:r>
      <w:r w:rsidRPr="00203EB0">
        <w:rPr>
          <w:rFonts w:cs="Times New Roman"/>
        </w:rPr>
        <w:t xml:space="preserve"> while conventional tillage increased reliance on biological nitrogen fixation (BNF), particularly under low fertilization. </w:t>
      </w:r>
      <w:r w:rsidR="000A72A4" w:rsidRPr="00203EB0">
        <w:rPr>
          <w:rFonts w:cs="Times New Roman"/>
        </w:rPr>
        <w:t>In parallel, l</w:t>
      </w:r>
      <w:r w:rsidRPr="00203EB0">
        <w:rPr>
          <w:rFonts w:cs="Times New Roman"/>
        </w:rPr>
        <w:t xml:space="preserve">ong-term NT and HV cover cropping improved soil oxygen (O₂) availability and resilience after heavy rainfall, </w:t>
      </w:r>
      <w:r w:rsidR="002550B8" w:rsidRPr="00203EB0">
        <w:rPr>
          <w:rFonts w:cs="Times New Roman"/>
        </w:rPr>
        <w:t xml:space="preserve">resulting in 3- to 4-fold fewer hours of hypoxia across </w:t>
      </w:r>
      <w:r w:rsidR="007B0390" w:rsidRPr="00203EB0">
        <w:rPr>
          <w:rFonts w:cs="Times New Roman"/>
        </w:rPr>
        <w:t xml:space="preserve">the </w:t>
      </w:r>
      <w:r w:rsidR="002550B8" w:rsidRPr="00203EB0">
        <w:rPr>
          <w:rFonts w:cs="Times New Roman"/>
        </w:rPr>
        <w:t>cotton growing season compared with</w:t>
      </w:r>
      <w:r w:rsidRPr="00203EB0">
        <w:rPr>
          <w:rFonts w:cs="Times New Roman"/>
        </w:rPr>
        <w:t xml:space="preserve"> conventional tillage and no cover crops. </w:t>
      </w:r>
      <w:r w:rsidR="000A72A4" w:rsidRPr="00203EB0">
        <w:rPr>
          <w:rFonts w:cs="Times New Roman"/>
        </w:rPr>
        <w:t>Complementary l</w:t>
      </w:r>
      <w:r w:rsidRPr="00203EB0">
        <w:rPr>
          <w:rFonts w:cs="Times New Roman"/>
        </w:rPr>
        <w:t xml:space="preserve">aboratory experiments </w:t>
      </w:r>
      <w:r w:rsidR="000A72A4" w:rsidRPr="00203EB0">
        <w:rPr>
          <w:rFonts w:cs="Times New Roman"/>
        </w:rPr>
        <w:t>show</w:t>
      </w:r>
      <w:r w:rsidRPr="00203EB0">
        <w:rPr>
          <w:rFonts w:cs="Times New Roman"/>
        </w:rPr>
        <w:t xml:space="preserve">ed that cover crop residue decomposition, especially from high-quality vetch, accelerated O₂ depletion and promoted high N₂O emissions even under suboptimal water-filled pore space (WFPS) for denitrification, with aerobic-condition emissions posing greater environmental risks than water-induced anoxia. </w:t>
      </w:r>
      <w:r w:rsidR="000A72A4" w:rsidRPr="00203EB0">
        <w:rPr>
          <w:rFonts w:cs="Times New Roman"/>
        </w:rPr>
        <w:t xml:space="preserve">These results indicate that cover crop residues can decouple </w:t>
      </w:r>
      <w:r w:rsidR="002C1284" w:rsidRPr="00203EB0">
        <w:rPr>
          <w:rFonts w:cs="Times New Roman"/>
        </w:rPr>
        <w:t>the typical relationship between soil moisture and N</w:t>
      </w:r>
      <w:r w:rsidR="002C1284" w:rsidRPr="00203EB0">
        <w:rPr>
          <w:rFonts w:cs="Times New Roman"/>
          <w:vertAlign w:val="subscript"/>
        </w:rPr>
        <w:t>2</w:t>
      </w:r>
      <w:r w:rsidR="002C1284" w:rsidRPr="00203EB0">
        <w:rPr>
          <w:rFonts w:cs="Times New Roman"/>
        </w:rPr>
        <w:t>O emissions, showing that moisture alone may be an insufficient proxy for soil O</w:t>
      </w:r>
      <w:r w:rsidR="002C1284" w:rsidRPr="00203EB0">
        <w:rPr>
          <w:rFonts w:cs="Times New Roman"/>
          <w:vertAlign w:val="subscript"/>
        </w:rPr>
        <w:t>2</w:t>
      </w:r>
      <w:r w:rsidR="002C1284" w:rsidRPr="00203EB0">
        <w:rPr>
          <w:rFonts w:cs="Times New Roman"/>
        </w:rPr>
        <w:t xml:space="preserve"> availability under residue-rich conditions.</w:t>
      </w:r>
      <w:r w:rsidR="00BF55A6">
        <w:rPr>
          <w:rFonts w:cs="Times New Roman"/>
        </w:rPr>
        <w:t xml:space="preserve"> </w:t>
      </w:r>
      <w:r w:rsidRPr="00203EB0">
        <w:rPr>
          <w:rFonts w:cs="Times New Roman"/>
        </w:rPr>
        <w:t>Microbial</w:t>
      </w:r>
      <w:r w:rsidR="00BF55A6">
        <w:rPr>
          <w:rFonts w:cs="Times New Roman"/>
        </w:rPr>
        <w:t xml:space="preserve"> </w:t>
      </w:r>
      <w:r w:rsidRPr="00203EB0">
        <w:rPr>
          <w:rFonts w:cs="Times New Roman"/>
        </w:rPr>
        <w:t xml:space="preserve">analyses identified depth-specific and seasonally dynamic </w:t>
      </w:r>
      <w:r w:rsidRPr="00203EB0">
        <w:rPr>
          <w:rFonts w:cs="Times New Roman"/>
        </w:rPr>
        <w:lastRenderedPageBreak/>
        <w:t>associations between microbial taxa and N₂O fluxes, with N fertilization exerting the strongest influence through long-term acidification, favoring taxa linked to higher emissions</w:t>
      </w:r>
      <w:r w:rsidR="00C30D60" w:rsidRPr="00203EB0">
        <w:rPr>
          <w:rFonts w:cs="Times New Roman"/>
        </w:rPr>
        <w:t xml:space="preserve"> potential</w:t>
      </w:r>
      <w:r w:rsidRPr="00203EB0">
        <w:rPr>
          <w:rFonts w:cs="Times New Roman"/>
        </w:rPr>
        <w:t xml:space="preserve">. Finally, a novel “Class-Swap” machine learning approach, which classifies emissions into hot-moments and background before modeling, significantly improved prediction accuracy </w:t>
      </w:r>
      <w:r w:rsidR="005F6DEA" w:rsidRPr="00203EB0">
        <w:rPr>
          <w:rFonts w:cs="Times New Roman"/>
        </w:rPr>
        <w:t>for both temporal dynamics and cumulative N</w:t>
      </w:r>
      <w:r w:rsidR="005F6DEA" w:rsidRPr="00203EB0">
        <w:rPr>
          <w:rFonts w:cs="Times New Roman"/>
          <w:vertAlign w:val="subscript"/>
        </w:rPr>
        <w:t>2</w:t>
      </w:r>
      <w:r w:rsidR="005F6DEA" w:rsidRPr="00203EB0">
        <w:rPr>
          <w:rFonts w:cs="Times New Roman"/>
        </w:rPr>
        <w:t>O emissions compared with</w:t>
      </w:r>
      <w:r w:rsidRPr="00203EB0">
        <w:rPr>
          <w:rFonts w:cs="Times New Roman"/>
        </w:rPr>
        <w:t xml:space="preserve"> traditional random forest models</w:t>
      </w:r>
      <w:r w:rsidR="005F6DEA" w:rsidRPr="00203EB0">
        <w:rPr>
          <w:rFonts w:cs="Times New Roman"/>
        </w:rPr>
        <w:t>,</w:t>
      </w:r>
      <w:r w:rsidRPr="00203EB0">
        <w:rPr>
          <w:rFonts w:cs="Times New Roman"/>
        </w:rPr>
        <w:t xml:space="preserve"> by capturing the distinct drivers of each emission type. Together, these findings reveal how long-term management shapes plant-soil-microbe interactions, controls biogeochemical processes underlying N₂O production, and advances predictive tools</w:t>
      </w:r>
      <w:r w:rsidR="006265C1" w:rsidRPr="00203EB0">
        <w:rPr>
          <w:rFonts w:cs="Times New Roman"/>
        </w:rPr>
        <w:t>.</w:t>
      </w:r>
      <w:r w:rsidR="005F6DEA" w:rsidRPr="00203EB0">
        <w:rPr>
          <w:rFonts w:cs="Times New Roman"/>
        </w:rPr>
        <w:t xml:space="preserve"> </w:t>
      </w:r>
      <w:r w:rsidR="006265C1" w:rsidRPr="00203EB0">
        <w:rPr>
          <w:rFonts w:cs="Times New Roman"/>
        </w:rPr>
        <w:t xml:space="preserve">The insights generated provide </w:t>
      </w:r>
      <w:r w:rsidRPr="00203EB0">
        <w:rPr>
          <w:rFonts w:cs="Times New Roman"/>
        </w:rPr>
        <w:t>actionable</w:t>
      </w:r>
      <w:r w:rsidR="006265C1" w:rsidRPr="00203EB0">
        <w:rPr>
          <w:rFonts w:cs="Times New Roman"/>
        </w:rPr>
        <w:t xml:space="preserve"> guidance</w:t>
      </w:r>
      <w:r w:rsidRPr="00203EB0">
        <w:rPr>
          <w:rFonts w:cs="Times New Roman"/>
        </w:rPr>
        <w:t xml:space="preserve"> for optimizing nutrient management, enhancing soil function</w:t>
      </w:r>
      <w:r w:rsidR="006265C1" w:rsidRPr="00203EB0">
        <w:rPr>
          <w:rFonts w:cs="Times New Roman"/>
        </w:rPr>
        <w:t>ing</w:t>
      </w:r>
      <w:r w:rsidRPr="00203EB0">
        <w:rPr>
          <w:rFonts w:cs="Times New Roman"/>
        </w:rPr>
        <w:t>, and improving greenhouse gas forecasting in agroecosystems.</w:t>
      </w:r>
    </w:p>
    <w:p w14:paraId="4B1CAFBF" w14:textId="77777777" w:rsidR="003F7FED" w:rsidRPr="00203EB0" w:rsidRDefault="009C755C" w:rsidP="00441DFB">
      <w:pPr>
        <w:spacing w:line="480" w:lineRule="auto"/>
        <w:rPr>
          <w:rFonts w:cs="Times New Roman"/>
          <w:b/>
          <w:bCs/>
        </w:rPr>
      </w:pPr>
      <w:r w:rsidRPr="00203EB0">
        <w:rPr>
          <w:rFonts w:cs="Times New Roman"/>
          <w:b/>
          <w:bCs/>
        </w:rPr>
        <w:br w:type="page"/>
      </w:r>
    </w:p>
    <w:bookmarkStart w:id="4" w:name="_Toc206060236" w:displacedByCustomXml="next"/>
    <w:bookmarkStart w:id="5" w:name="_Toc206669100" w:displacedByCustomXml="next"/>
    <w:sdt>
      <w:sdtPr>
        <w:rPr>
          <w:rFonts w:ascii="Arial" w:hAnsi="Arial" w:cs="Arial"/>
          <w:b w:val="0"/>
          <w:caps w:val="0"/>
          <w:color w:val="auto"/>
        </w:rPr>
        <w:id w:val="607165129"/>
        <w:docPartObj>
          <w:docPartGallery w:val="Table of Contents"/>
          <w:docPartUnique/>
        </w:docPartObj>
      </w:sdtPr>
      <w:sdtEndPr>
        <w:rPr>
          <w:rFonts w:ascii="Times New Roman" w:hAnsi="Times New Roman" w:cs="Times New Roman"/>
          <w:bCs/>
        </w:rPr>
      </w:sdtEndPr>
      <w:sdtContent>
        <w:p w14:paraId="36C2D0BC" w14:textId="77777777" w:rsidR="007C1A13" w:rsidRPr="00203EB0" w:rsidRDefault="00E91931" w:rsidP="00134D00">
          <w:pPr>
            <w:pStyle w:val="AltHeading1"/>
            <w:rPr>
              <w:noProof/>
            </w:rPr>
          </w:pPr>
          <w:r w:rsidRPr="00203EB0">
            <w:t>Table of Contents</w:t>
          </w:r>
          <w:bookmarkEnd w:id="5"/>
          <w:bookmarkEnd w:id="4"/>
          <w:r w:rsidRPr="00203EB0">
            <w:fldChar w:fldCharType="begin"/>
          </w:r>
          <w:r w:rsidRPr="002C44FB">
            <w:instrText xml:space="preserve"> TOC \o "1-3" \h \z \u </w:instrText>
          </w:r>
          <w:r w:rsidRPr="00203EB0">
            <w:fldChar w:fldCharType="separate"/>
          </w:r>
        </w:p>
        <w:p w14:paraId="7E2F964C" w14:textId="1BB939A6" w:rsidR="007C1A13" w:rsidRPr="00203EB0" w:rsidRDefault="007C1A13" w:rsidP="00D04874">
          <w:pPr>
            <w:pStyle w:val="TOC1"/>
            <w:tabs>
              <w:tab w:val="left" w:pos="480"/>
              <w:tab w:val="right" w:leader="dot" w:pos="8630"/>
            </w:tabs>
            <w:spacing w:line="480" w:lineRule="auto"/>
            <w:jc w:val="left"/>
            <w:rPr>
              <w:rFonts w:eastAsiaTheme="minorEastAsia" w:cs="Times New Roman"/>
              <w:noProof/>
              <w:kern w:val="2"/>
              <w14:ligatures w14:val="standardContextual"/>
            </w:rPr>
          </w:pPr>
          <w:hyperlink w:anchor="_Toc206669101" w:history="1">
            <w:r w:rsidRPr="00203EB0">
              <w:rPr>
                <w:rStyle w:val="Hyperlink"/>
                <w:rFonts w:ascii="Times New Roman" w:hAnsi="Times New Roman" w:cs="Times New Roman"/>
                <w:noProof/>
              </w:rPr>
              <w:t>Introduction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_Toc206669101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w:t>
            </w:r>
            <w:r w:rsidRPr="00203EB0">
              <w:rPr>
                <w:rFonts w:cs="Times New Roman"/>
                <w:noProof/>
                <w:webHidden/>
              </w:rPr>
              <w:fldChar w:fldCharType="end"/>
            </w:r>
          </w:hyperlink>
        </w:p>
        <w:p w14:paraId="02A5EB1B" w14:textId="2991D973" w:rsidR="007C1A13" w:rsidRPr="00203EB0" w:rsidRDefault="006D472F" w:rsidP="00D04874">
          <w:pPr>
            <w:pStyle w:val="TOC1"/>
            <w:tabs>
              <w:tab w:val="left" w:pos="480"/>
              <w:tab w:val="right" w:leader="dot" w:pos="8630"/>
            </w:tabs>
            <w:spacing w:line="480" w:lineRule="auto"/>
            <w:jc w:val="left"/>
            <w:rPr>
              <w:rFonts w:eastAsiaTheme="minorEastAsia" w:cs="Times New Roman"/>
              <w:noProof/>
              <w:kern w:val="2"/>
              <w14:ligatures w14:val="standardContextual"/>
            </w:rPr>
          </w:pPr>
          <w:hyperlink w:anchor="_Toc206669102" w:history="1">
            <w:r>
              <w:rPr>
                <w:rStyle w:val="Hyperlink"/>
                <w:rFonts w:ascii="Times New Roman" w:hAnsi="Times New Roman" w:cs="Times New Roman"/>
                <w:noProof/>
              </w:rPr>
              <w:t xml:space="preserve">Chapter 1: </w:t>
            </w:r>
            <w:r w:rsidR="007C1A13" w:rsidRPr="00203EB0">
              <w:rPr>
                <w:rStyle w:val="Hyperlink"/>
                <w:rFonts w:ascii="Times New Roman" w:hAnsi="Times New Roman" w:cs="Times New Roman"/>
                <w:noProof/>
              </w:rPr>
              <w:t>Legacy of 41-year of tillage and nitrogen fertilization on biological nitrogen fixation and nutritional status of hairy vetch</w:t>
            </w:r>
            <w:r w:rsidR="005F3627">
              <w:rPr>
                <w:rStyle w:val="Hyperlink"/>
                <w:rFonts w:ascii="Times New Roman" w:hAnsi="Times New Roman" w:cs="Times New Roman"/>
                <w:noProof/>
              </w:rPr>
              <w:t xml:space="preserve"> cover crop</w:t>
            </w:r>
            <w:r w:rsidR="007C1A13" w:rsidRPr="00203EB0">
              <w:rPr>
                <w:rStyle w:val="Hyperlink"/>
                <w:rFonts w:ascii="Times New Roman" w:hAnsi="Times New Roman" w:cs="Times New Roman"/>
                <w:noProof/>
              </w:rPr>
              <w:t xml:space="preserve"> in</w:t>
            </w:r>
            <w:r w:rsidR="00340003">
              <w:rPr>
                <w:rStyle w:val="Hyperlink"/>
                <w:rFonts w:ascii="Times New Roman" w:hAnsi="Times New Roman" w:cs="Times New Roman"/>
                <w:noProof/>
              </w:rPr>
              <w:t xml:space="preserve"> a</w:t>
            </w:r>
            <w:r w:rsidR="007C1A13" w:rsidRPr="00203EB0">
              <w:rPr>
                <w:rStyle w:val="Hyperlink"/>
                <w:rFonts w:ascii="Times New Roman" w:hAnsi="Times New Roman" w:cs="Times New Roman"/>
                <w:noProof/>
              </w:rPr>
              <w:t xml:space="preserve"> continuous cotton system</w:t>
            </w:r>
            <w:r w:rsidR="00D04874">
              <w:rPr>
                <w:rFonts w:cs="Times New Roman"/>
                <w:noProof/>
                <w:webHidden/>
              </w:rPr>
              <w:t>...</w:t>
            </w:r>
            <w:r w:rsidR="00546691">
              <w:rPr>
                <w:rFonts w:cs="Times New Roman"/>
                <w:noProof/>
                <w:webHidden/>
              </w:rPr>
              <w:t>..</w:t>
            </w:r>
            <w:r w:rsidR="007C1A13" w:rsidRPr="00203EB0">
              <w:rPr>
                <w:rFonts w:cs="Times New Roman"/>
                <w:noProof/>
                <w:webHidden/>
              </w:rPr>
              <w:fldChar w:fldCharType="begin"/>
            </w:r>
            <w:r w:rsidR="007C1A13" w:rsidRPr="00203EB0">
              <w:rPr>
                <w:rFonts w:cs="Times New Roman"/>
                <w:noProof/>
                <w:webHidden/>
              </w:rPr>
              <w:instrText xml:space="preserve"> PAGEREF _Toc206669102 \h </w:instrText>
            </w:r>
            <w:r w:rsidR="007C1A13" w:rsidRPr="00203EB0">
              <w:rPr>
                <w:rFonts w:cs="Times New Roman"/>
                <w:noProof/>
                <w:webHidden/>
              </w:rPr>
            </w:r>
            <w:r w:rsidR="007C1A13" w:rsidRPr="00203EB0">
              <w:rPr>
                <w:rFonts w:cs="Times New Roman"/>
                <w:noProof/>
                <w:webHidden/>
              </w:rPr>
              <w:fldChar w:fldCharType="separate"/>
            </w:r>
            <w:r w:rsidR="00B10387">
              <w:rPr>
                <w:rFonts w:cs="Times New Roman"/>
                <w:noProof/>
                <w:webHidden/>
              </w:rPr>
              <w:t>8</w:t>
            </w:r>
            <w:r w:rsidR="007C1A13" w:rsidRPr="00203EB0">
              <w:rPr>
                <w:rFonts w:cs="Times New Roman"/>
                <w:noProof/>
                <w:webHidden/>
              </w:rPr>
              <w:fldChar w:fldCharType="end"/>
            </w:r>
          </w:hyperlink>
        </w:p>
        <w:p w14:paraId="32392A46" w14:textId="0EBDCA1A" w:rsidR="007C1A13" w:rsidRPr="00203EB0" w:rsidRDefault="007C1A13" w:rsidP="00D04874">
          <w:pPr>
            <w:pStyle w:val="TOC2"/>
            <w:jc w:val="left"/>
            <w:rPr>
              <w:rFonts w:eastAsiaTheme="minorEastAsia" w:cs="Times New Roman"/>
              <w:noProof/>
              <w:kern w:val="2"/>
              <w14:ligatures w14:val="standardContextual"/>
            </w:rPr>
          </w:pPr>
          <w:hyperlink w:anchor="_Toc206669103" w:history="1">
            <w:r w:rsidRPr="00203EB0">
              <w:rPr>
                <w:rStyle w:val="Hyperlink"/>
                <w:rFonts w:ascii="Times New Roman" w:hAnsi="Times New Roman" w:cs="Times New Roman"/>
                <w:noProof/>
              </w:rPr>
              <w:t>Abstract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_Toc206669103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9</w:t>
            </w:r>
            <w:r w:rsidRPr="00203EB0">
              <w:rPr>
                <w:rFonts w:cs="Times New Roman"/>
                <w:noProof/>
                <w:webHidden/>
              </w:rPr>
              <w:fldChar w:fldCharType="end"/>
            </w:r>
          </w:hyperlink>
        </w:p>
        <w:p w14:paraId="56179380" w14:textId="23516B80" w:rsidR="007C1A13" w:rsidRPr="00203EB0" w:rsidRDefault="007C1A13" w:rsidP="00D04874">
          <w:pPr>
            <w:pStyle w:val="TOC2"/>
            <w:jc w:val="left"/>
            <w:rPr>
              <w:rFonts w:eastAsiaTheme="minorEastAsia" w:cs="Times New Roman"/>
              <w:noProof/>
              <w:kern w:val="2"/>
              <w14:ligatures w14:val="standardContextual"/>
            </w:rPr>
          </w:pPr>
          <w:hyperlink w:anchor="_Toc206669104" w:history="1">
            <w:r w:rsidRPr="00203EB0">
              <w:rPr>
                <w:rStyle w:val="Hyperlink"/>
                <w:rFonts w:ascii="Times New Roman" w:hAnsi="Times New Roman" w:cs="Times New Roman"/>
                <w:noProof/>
              </w:rPr>
              <w:t>Introduction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_Toc206669104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10</w:t>
            </w:r>
            <w:r w:rsidRPr="00203EB0">
              <w:rPr>
                <w:rFonts w:cs="Times New Roman"/>
                <w:noProof/>
                <w:webHidden/>
              </w:rPr>
              <w:fldChar w:fldCharType="end"/>
            </w:r>
          </w:hyperlink>
        </w:p>
        <w:p w14:paraId="61827EB3" w14:textId="3E6DEF61" w:rsidR="007C1A13" w:rsidRPr="00203EB0" w:rsidRDefault="007C1A13" w:rsidP="00D04874">
          <w:pPr>
            <w:pStyle w:val="TOC2"/>
            <w:jc w:val="left"/>
            <w:rPr>
              <w:rFonts w:eastAsiaTheme="minorEastAsia" w:cs="Times New Roman"/>
              <w:noProof/>
              <w:kern w:val="2"/>
              <w14:ligatures w14:val="standardContextual"/>
            </w:rPr>
          </w:pPr>
          <w:hyperlink w:anchor="_Toc206669105" w:history="1">
            <w:r w:rsidRPr="00203EB0">
              <w:rPr>
                <w:rStyle w:val="Hyperlink"/>
                <w:rFonts w:ascii="Times New Roman" w:hAnsi="Times New Roman" w:cs="Times New Roman"/>
                <w:noProof/>
              </w:rPr>
              <w:t>Materials and Methods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_Toc206669105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11</w:t>
            </w:r>
            <w:r w:rsidRPr="00203EB0">
              <w:rPr>
                <w:rFonts w:cs="Times New Roman"/>
                <w:noProof/>
                <w:webHidden/>
              </w:rPr>
              <w:fldChar w:fldCharType="end"/>
            </w:r>
          </w:hyperlink>
        </w:p>
        <w:p w14:paraId="664373C3" w14:textId="456E47ED"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06" w:history="1">
            <w:r w:rsidRPr="00203EB0">
              <w:rPr>
                <w:rStyle w:val="Hyperlink"/>
                <w:rFonts w:ascii="Times New Roman" w:hAnsi="Times New Roman" w:cs="Times New Roman"/>
                <w:noProof/>
              </w:rPr>
              <w:t>Study site and experimental design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_Toc206669106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11</w:t>
            </w:r>
            <w:r w:rsidRPr="00203EB0">
              <w:rPr>
                <w:rFonts w:cs="Times New Roman"/>
                <w:noProof/>
                <w:webHidden/>
              </w:rPr>
              <w:fldChar w:fldCharType="end"/>
            </w:r>
          </w:hyperlink>
        </w:p>
        <w:p w14:paraId="44BCFEC5" w14:textId="16E03CFE"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07" w:history="1">
            <w:r w:rsidRPr="00203EB0">
              <w:rPr>
                <w:rStyle w:val="Hyperlink"/>
                <w:rFonts w:ascii="Times New Roman" w:hAnsi="Times New Roman" w:cs="Times New Roman"/>
                <w:noProof/>
              </w:rPr>
              <w:t>Plant and soil measurements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_Toc206669107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12</w:t>
            </w:r>
            <w:r w:rsidRPr="00203EB0">
              <w:rPr>
                <w:rFonts w:cs="Times New Roman"/>
                <w:noProof/>
                <w:webHidden/>
              </w:rPr>
              <w:fldChar w:fldCharType="end"/>
            </w:r>
          </w:hyperlink>
        </w:p>
        <w:p w14:paraId="218699DE" w14:textId="613CDC2C"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08" w:history="1">
            <w:r w:rsidRPr="00203EB0">
              <w:rPr>
                <w:rStyle w:val="Hyperlink"/>
                <w:rFonts w:ascii="Times New Roman" w:hAnsi="Times New Roman" w:cs="Times New Roman"/>
                <w:noProof/>
              </w:rPr>
              <w:t>Statistical analysis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_Toc206669108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13</w:t>
            </w:r>
            <w:r w:rsidRPr="00203EB0">
              <w:rPr>
                <w:rFonts w:cs="Times New Roman"/>
                <w:noProof/>
                <w:webHidden/>
              </w:rPr>
              <w:fldChar w:fldCharType="end"/>
            </w:r>
          </w:hyperlink>
        </w:p>
        <w:p w14:paraId="43C9AC5F" w14:textId="78019CAA" w:rsidR="007C1A13" w:rsidRPr="00203EB0" w:rsidRDefault="007C1A13" w:rsidP="00D04874">
          <w:pPr>
            <w:pStyle w:val="TOC2"/>
            <w:jc w:val="left"/>
            <w:rPr>
              <w:rFonts w:eastAsiaTheme="minorEastAsia" w:cs="Times New Roman"/>
              <w:noProof/>
              <w:kern w:val="2"/>
              <w14:ligatures w14:val="standardContextual"/>
            </w:rPr>
          </w:pPr>
          <w:hyperlink w:anchor="_Toc206669109" w:history="1">
            <w:r w:rsidRPr="00203EB0">
              <w:rPr>
                <w:rStyle w:val="Hyperlink"/>
                <w:rFonts w:ascii="Times New Roman" w:hAnsi="Times New Roman" w:cs="Times New Roman"/>
                <w:noProof/>
              </w:rPr>
              <w:t>Results and discussion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_Toc206669109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14</w:t>
            </w:r>
            <w:r w:rsidRPr="00203EB0">
              <w:rPr>
                <w:rFonts w:cs="Times New Roman"/>
                <w:noProof/>
                <w:webHidden/>
              </w:rPr>
              <w:fldChar w:fldCharType="end"/>
            </w:r>
          </w:hyperlink>
        </w:p>
        <w:p w14:paraId="2AE6805F" w14:textId="15B1ECB8" w:rsidR="007C1A13" w:rsidRPr="00203EB0" w:rsidRDefault="007C1A13" w:rsidP="00D04874">
          <w:pPr>
            <w:pStyle w:val="TOC2"/>
            <w:jc w:val="left"/>
            <w:rPr>
              <w:rFonts w:eastAsiaTheme="minorEastAsia" w:cs="Times New Roman"/>
              <w:noProof/>
              <w:kern w:val="2"/>
              <w14:ligatures w14:val="standardContextual"/>
            </w:rPr>
          </w:pPr>
          <w:hyperlink w:anchor="_Toc206669110" w:history="1">
            <w:r w:rsidRPr="00203EB0">
              <w:rPr>
                <w:rStyle w:val="Hyperlink"/>
                <w:rFonts w:ascii="Times New Roman" w:hAnsi="Times New Roman" w:cs="Times New Roman"/>
                <w:noProof/>
              </w:rPr>
              <w:t>Conclusions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_Toc206669110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22</w:t>
            </w:r>
            <w:r w:rsidRPr="00203EB0">
              <w:rPr>
                <w:rFonts w:cs="Times New Roman"/>
                <w:noProof/>
                <w:webHidden/>
              </w:rPr>
              <w:fldChar w:fldCharType="end"/>
            </w:r>
          </w:hyperlink>
        </w:p>
        <w:p w14:paraId="67D77767" w14:textId="1E170F25" w:rsidR="007C1A13" w:rsidRPr="00203EB0" w:rsidRDefault="006D472F" w:rsidP="00D04874">
          <w:pPr>
            <w:pStyle w:val="TOC1"/>
            <w:tabs>
              <w:tab w:val="left" w:pos="480"/>
              <w:tab w:val="right" w:leader="dot" w:pos="8630"/>
            </w:tabs>
            <w:spacing w:line="480" w:lineRule="auto"/>
            <w:jc w:val="left"/>
            <w:rPr>
              <w:rFonts w:eastAsiaTheme="minorEastAsia" w:cs="Times New Roman"/>
              <w:noProof/>
              <w:kern w:val="2"/>
              <w14:ligatures w14:val="standardContextual"/>
            </w:rPr>
          </w:pPr>
          <w:hyperlink w:anchor="_Toc206669111" w:history="1">
            <w:r>
              <w:rPr>
                <w:rStyle w:val="Hyperlink"/>
                <w:rFonts w:ascii="Times New Roman" w:hAnsi="Times New Roman" w:cs="Times New Roman"/>
                <w:noProof/>
              </w:rPr>
              <w:t xml:space="preserve">Chapter 2: </w:t>
            </w:r>
            <w:r w:rsidR="007C1A13" w:rsidRPr="00203EB0">
              <w:rPr>
                <w:rStyle w:val="Hyperlink"/>
                <w:rFonts w:ascii="Times New Roman" w:hAnsi="Times New Roman" w:cs="Times New Roman"/>
                <w:noProof/>
              </w:rPr>
              <w:t>42 years of no-tillage and cover cropping improved soil oxygen availability and resilience</w:t>
            </w:r>
            <w:r w:rsidR="007C1A13" w:rsidRPr="00203EB0">
              <w:rPr>
                <w:rFonts w:cs="Times New Roman"/>
                <w:noProof/>
                <w:webHidden/>
              </w:rPr>
              <w:tab/>
            </w:r>
            <w:r w:rsidR="007C1A13" w:rsidRPr="00203EB0">
              <w:rPr>
                <w:rFonts w:cs="Times New Roman"/>
                <w:noProof/>
                <w:webHidden/>
              </w:rPr>
              <w:fldChar w:fldCharType="begin"/>
            </w:r>
            <w:r w:rsidR="007C1A13" w:rsidRPr="00203EB0">
              <w:rPr>
                <w:rFonts w:cs="Times New Roman"/>
                <w:noProof/>
                <w:webHidden/>
              </w:rPr>
              <w:instrText xml:space="preserve"> PAGEREF _Toc206669111 \h </w:instrText>
            </w:r>
            <w:r w:rsidR="007C1A13" w:rsidRPr="00203EB0">
              <w:rPr>
                <w:rFonts w:cs="Times New Roman"/>
                <w:noProof/>
                <w:webHidden/>
              </w:rPr>
            </w:r>
            <w:r w:rsidR="007C1A13" w:rsidRPr="00203EB0">
              <w:rPr>
                <w:rFonts w:cs="Times New Roman"/>
                <w:noProof/>
                <w:webHidden/>
              </w:rPr>
              <w:fldChar w:fldCharType="separate"/>
            </w:r>
            <w:r w:rsidR="00B10387">
              <w:rPr>
                <w:rFonts w:cs="Times New Roman"/>
                <w:noProof/>
                <w:webHidden/>
              </w:rPr>
              <w:t>23</w:t>
            </w:r>
            <w:r w:rsidR="007C1A13" w:rsidRPr="00203EB0">
              <w:rPr>
                <w:rFonts w:cs="Times New Roman"/>
                <w:noProof/>
                <w:webHidden/>
              </w:rPr>
              <w:fldChar w:fldCharType="end"/>
            </w:r>
          </w:hyperlink>
        </w:p>
        <w:p w14:paraId="500CA1C7" w14:textId="46BAE56C" w:rsidR="007C1A13" w:rsidRPr="00203EB0" w:rsidRDefault="007C1A13" w:rsidP="00D04874">
          <w:pPr>
            <w:pStyle w:val="TOC2"/>
            <w:jc w:val="left"/>
            <w:rPr>
              <w:rFonts w:eastAsiaTheme="minorEastAsia" w:cs="Times New Roman"/>
              <w:noProof/>
              <w:kern w:val="2"/>
              <w14:ligatures w14:val="standardContextual"/>
            </w:rPr>
          </w:pPr>
          <w:hyperlink w:anchor="_Toc206669112" w:history="1">
            <w:r w:rsidRPr="00203EB0">
              <w:rPr>
                <w:rStyle w:val="Hyperlink"/>
                <w:rFonts w:ascii="Times New Roman" w:hAnsi="Times New Roman" w:cs="Times New Roman"/>
                <w:noProof/>
              </w:rPr>
              <w:t>Abstract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_Toc206669112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24</w:t>
            </w:r>
            <w:r w:rsidRPr="00203EB0">
              <w:rPr>
                <w:rFonts w:cs="Times New Roman"/>
                <w:noProof/>
                <w:webHidden/>
              </w:rPr>
              <w:fldChar w:fldCharType="end"/>
            </w:r>
          </w:hyperlink>
        </w:p>
        <w:p w14:paraId="0FA736B3" w14:textId="020365CF" w:rsidR="007C1A13" w:rsidRPr="00203EB0" w:rsidRDefault="007C1A13" w:rsidP="00D04874">
          <w:pPr>
            <w:pStyle w:val="TOC2"/>
            <w:jc w:val="left"/>
            <w:rPr>
              <w:rFonts w:eastAsiaTheme="minorEastAsia" w:cs="Times New Roman"/>
              <w:noProof/>
              <w:kern w:val="2"/>
              <w14:ligatures w14:val="standardContextual"/>
            </w:rPr>
          </w:pPr>
          <w:hyperlink w:anchor="_Toc206669113" w:history="1">
            <w:r w:rsidRPr="00203EB0">
              <w:rPr>
                <w:rStyle w:val="Hyperlink"/>
                <w:rFonts w:ascii="Times New Roman" w:hAnsi="Times New Roman" w:cs="Times New Roman"/>
                <w:noProof/>
              </w:rPr>
              <w:t>Introduction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_Toc206669113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25</w:t>
            </w:r>
            <w:r w:rsidRPr="00203EB0">
              <w:rPr>
                <w:rFonts w:cs="Times New Roman"/>
                <w:noProof/>
                <w:webHidden/>
              </w:rPr>
              <w:fldChar w:fldCharType="end"/>
            </w:r>
          </w:hyperlink>
        </w:p>
        <w:p w14:paraId="1CEA179E" w14:textId="76BCA363" w:rsidR="007C1A13" w:rsidRPr="00203EB0" w:rsidRDefault="007C1A13" w:rsidP="00D04874">
          <w:pPr>
            <w:pStyle w:val="TOC2"/>
            <w:jc w:val="left"/>
            <w:rPr>
              <w:rFonts w:eastAsiaTheme="minorEastAsia" w:cs="Times New Roman"/>
              <w:noProof/>
              <w:kern w:val="2"/>
              <w14:ligatures w14:val="standardContextual"/>
            </w:rPr>
          </w:pPr>
          <w:hyperlink w:anchor="_Toc206669114" w:history="1">
            <w:r w:rsidRPr="00203EB0">
              <w:rPr>
                <w:rStyle w:val="Hyperlink"/>
                <w:rFonts w:ascii="Times New Roman" w:hAnsi="Times New Roman" w:cs="Times New Roman"/>
                <w:noProof/>
              </w:rPr>
              <w:t>Materials and Methods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_Toc206669114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26</w:t>
            </w:r>
            <w:r w:rsidRPr="00203EB0">
              <w:rPr>
                <w:rFonts w:cs="Times New Roman"/>
                <w:noProof/>
                <w:webHidden/>
              </w:rPr>
              <w:fldChar w:fldCharType="end"/>
            </w:r>
          </w:hyperlink>
        </w:p>
        <w:p w14:paraId="5B98D0C7" w14:textId="1BFB791C" w:rsidR="007C1A13" w:rsidRPr="00203EB0" w:rsidRDefault="007C1A13" w:rsidP="00D04874">
          <w:pPr>
            <w:pStyle w:val="TOC2"/>
            <w:jc w:val="left"/>
            <w:rPr>
              <w:rFonts w:eastAsiaTheme="minorEastAsia" w:cs="Times New Roman"/>
              <w:noProof/>
              <w:kern w:val="2"/>
              <w14:ligatures w14:val="standardContextual"/>
            </w:rPr>
          </w:pPr>
          <w:hyperlink w:anchor="_Toc206669115" w:history="1">
            <w:r w:rsidRPr="00203EB0">
              <w:rPr>
                <w:rStyle w:val="Hyperlink"/>
                <w:rFonts w:ascii="Times New Roman" w:hAnsi="Times New Roman" w:cs="Times New Roman"/>
                <w:noProof/>
              </w:rPr>
              <w:t>Results and discussion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_Toc206669115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28</w:t>
            </w:r>
            <w:r w:rsidRPr="00203EB0">
              <w:rPr>
                <w:rFonts w:cs="Times New Roman"/>
                <w:noProof/>
                <w:webHidden/>
              </w:rPr>
              <w:fldChar w:fldCharType="end"/>
            </w:r>
          </w:hyperlink>
        </w:p>
        <w:p w14:paraId="108E4DF8" w14:textId="14EB0C7A" w:rsidR="007C1A13" w:rsidRPr="00203EB0" w:rsidRDefault="007C1A13" w:rsidP="00D04874">
          <w:pPr>
            <w:pStyle w:val="TOC2"/>
            <w:jc w:val="left"/>
            <w:rPr>
              <w:rFonts w:eastAsiaTheme="minorEastAsia" w:cs="Times New Roman"/>
              <w:noProof/>
              <w:kern w:val="2"/>
              <w14:ligatures w14:val="standardContextual"/>
            </w:rPr>
          </w:pPr>
          <w:hyperlink w:anchor="_Toc206669116" w:history="1">
            <w:r w:rsidRPr="00203EB0">
              <w:rPr>
                <w:rStyle w:val="Hyperlink"/>
                <w:rFonts w:ascii="Times New Roman" w:hAnsi="Times New Roman" w:cs="Times New Roman"/>
                <w:noProof/>
              </w:rPr>
              <w:t>Conclusions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_Toc206669116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34</w:t>
            </w:r>
            <w:r w:rsidRPr="00203EB0">
              <w:rPr>
                <w:rFonts w:cs="Times New Roman"/>
                <w:noProof/>
                <w:webHidden/>
              </w:rPr>
              <w:fldChar w:fldCharType="end"/>
            </w:r>
          </w:hyperlink>
        </w:p>
        <w:p w14:paraId="3E51D73F" w14:textId="0DA24EF3" w:rsidR="007C1A13" w:rsidRPr="00203EB0" w:rsidRDefault="006D472F" w:rsidP="00D04874">
          <w:pPr>
            <w:pStyle w:val="TOC1"/>
            <w:tabs>
              <w:tab w:val="left" w:pos="480"/>
              <w:tab w:val="right" w:leader="dot" w:pos="8630"/>
            </w:tabs>
            <w:spacing w:line="480" w:lineRule="auto"/>
            <w:jc w:val="left"/>
            <w:rPr>
              <w:rFonts w:eastAsiaTheme="minorEastAsia" w:cs="Times New Roman"/>
              <w:noProof/>
              <w:kern w:val="2"/>
              <w14:ligatures w14:val="standardContextual"/>
            </w:rPr>
          </w:pPr>
          <w:hyperlink w:anchor="_Toc206669117" w:history="1">
            <w:r>
              <w:rPr>
                <w:rStyle w:val="Hyperlink"/>
                <w:rFonts w:ascii="Times New Roman" w:hAnsi="Times New Roman" w:cs="Times New Roman"/>
                <w:noProof/>
              </w:rPr>
              <w:t xml:space="preserve">Chapter 3: </w:t>
            </w:r>
            <w:r w:rsidR="007C1A13" w:rsidRPr="00203EB0">
              <w:rPr>
                <w:rStyle w:val="Hyperlink"/>
                <w:rFonts w:ascii="Times New Roman" w:hAnsi="Times New Roman" w:cs="Times New Roman"/>
                <w:noProof/>
              </w:rPr>
              <w:t>Cover crop residue decomposition exacerbated soil oxygen depletion and promoted nitrous oxide emissions</w:t>
            </w:r>
            <w:r w:rsidR="007C1A13" w:rsidRPr="00203EB0">
              <w:rPr>
                <w:rFonts w:cs="Times New Roman"/>
                <w:noProof/>
                <w:webHidden/>
              </w:rPr>
              <w:tab/>
            </w:r>
            <w:r w:rsidR="007C1A13" w:rsidRPr="00203EB0">
              <w:rPr>
                <w:rFonts w:cs="Times New Roman"/>
                <w:noProof/>
                <w:webHidden/>
              </w:rPr>
              <w:fldChar w:fldCharType="begin"/>
            </w:r>
            <w:r w:rsidR="007C1A13" w:rsidRPr="00203EB0">
              <w:rPr>
                <w:rFonts w:cs="Times New Roman"/>
                <w:noProof/>
                <w:webHidden/>
              </w:rPr>
              <w:instrText xml:space="preserve"> PAGEREF _Toc206669117 \h </w:instrText>
            </w:r>
            <w:r w:rsidR="007C1A13" w:rsidRPr="00203EB0">
              <w:rPr>
                <w:rFonts w:cs="Times New Roman"/>
                <w:noProof/>
                <w:webHidden/>
              </w:rPr>
            </w:r>
            <w:r w:rsidR="007C1A13" w:rsidRPr="00203EB0">
              <w:rPr>
                <w:rFonts w:cs="Times New Roman"/>
                <w:noProof/>
                <w:webHidden/>
              </w:rPr>
              <w:fldChar w:fldCharType="separate"/>
            </w:r>
            <w:r w:rsidR="00B10387">
              <w:rPr>
                <w:rFonts w:cs="Times New Roman"/>
                <w:noProof/>
                <w:webHidden/>
              </w:rPr>
              <w:t>35</w:t>
            </w:r>
            <w:r w:rsidR="007C1A13" w:rsidRPr="00203EB0">
              <w:rPr>
                <w:rFonts w:cs="Times New Roman"/>
                <w:noProof/>
                <w:webHidden/>
              </w:rPr>
              <w:fldChar w:fldCharType="end"/>
            </w:r>
          </w:hyperlink>
        </w:p>
        <w:p w14:paraId="64BB4F8C" w14:textId="57B1C96C" w:rsidR="007C1A13" w:rsidRPr="00203EB0" w:rsidRDefault="007C1A13" w:rsidP="00D04874">
          <w:pPr>
            <w:pStyle w:val="TOC2"/>
            <w:jc w:val="left"/>
            <w:rPr>
              <w:rFonts w:eastAsiaTheme="minorEastAsia" w:cs="Times New Roman"/>
              <w:noProof/>
              <w:kern w:val="2"/>
              <w14:ligatures w14:val="standardContextual"/>
            </w:rPr>
          </w:pPr>
          <w:hyperlink w:anchor="_Toc206669118" w:history="1">
            <w:r w:rsidRPr="00203EB0">
              <w:rPr>
                <w:rStyle w:val="Hyperlink"/>
                <w:rFonts w:ascii="Times New Roman" w:hAnsi="Times New Roman" w:cs="Times New Roman"/>
                <w:noProof/>
              </w:rPr>
              <w:t>Abstract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_Toc206669118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36</w:t>
            </w:r>
            <w:r w:rsidRPr="00203EB0">
              <w:rPr>
                <w:rFonts w:cs="Times New Roman"/>
                <w:noProof/>
                <w:webHidden/>
              </w:rPr>
              <w:fldChar w:fldCharType="end"/>
            </w:r>
          </w:hyperlink>
        </w:p>
        <w:p w14:paraId="00E78887" w14:textId="4FC9CC33" w:rsidR="007C1A13" w:rsidRPr="00203EB0" w:rsidRDefault="007C1A13" w:rsidP="00D04874">
          <w:pPr>
            <w:pStyle w:val="TOC2"/>
            <w:jc w:val="left"/>
            <w:rPr>
              <w:rFonts w:eastAsiaTheme="minorEastAsia" w:cs="Times New Roman"/>
              <w:noProof/>
              <w:kern w:val="2"/>
              <w14:ligatures w14:val="standardContextual"/>
            </w:rPr>
          </w:pPr>
          <w:hyperlink w:anchor="_Toc206669119" w:history="1">
            <w:r w:rsidRPr="00203EB0">
              <w:rPr>
                <w:rStyle w:val="Hyperlink"/>
                <w:rFonts w:ascii="Times New Roman" w:hAnsi="Times New Roman" w:cs="Times New Roman"/>
                <w:noProof/>
              </w:rPr>
              <w:t>Introduction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_Toc206669119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37</w:t>
            </w:r>
            <w:r w:rsidRPr="00203EB0">
              <w:rPr>
                <w:rFonts w:cs="Times New Roman"/>
                <w:noProof/>
                <w:webHidden/>
              </w:rPr>
              <w:fldChar w:fldCharType="end"/>
            </w:r>
          </w:hyperlink>
        </w:p>
        <w:p w14:paraId="4D6D4E47" w14:textId="60B2A01E" w:rsidR="007C1A13" w:rsidRPr="00203EB0" w:rsidRDefault="007C1A13" w:rsidP="00D04874">
          <w:pPr>
            <w:pStyle w:val="TOC2"/>
            <w:jc w:val="left"/>
            <w:rPr>
              <w:rFonts w:eastAsiaTheme="minorEastAsia" w:cs="Times New Roman"/>
              <w:noProof/>
              <w:kern w:val="2"/>
              <w14:ligatures w14:val="standardContextual"/>
            </w:rPr>
          </w:pPr>
          <w:hyperlink w:anchor="_Toc206669120" w:history="1">
            <w:r w:rsidRPr="00203EB0">
              <w:rPr>
                <w:rStyle w:val="Hyperlink"/>
                <w:rFonts w:ascii="Times New Roman" w:hAnsi="Times New Roman" w:cs="Times New Roman"/>
                <w:noProof/>
              </w:rPr>
              <w:t>Materials and Methods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_Toc206669120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41</w:t>
            </w:r>
            <w:r w:rsidRPr="00203EB0">
              <w:rPr>
                <w:rFonts w:cs="Times New Roman"/>
                <w:noProof/>
                <w:webHidden/>
              </w:rPr>
              <w:fldChar w:fldCharType="end"/>
            </w:r>
          </w:hyperlink>
        </w:p>
        <w:p w14:paraId="7560CC36" w14:textId="092F5397"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21" w:history="1">
            <w:r w:rsidRPr="00203EB0">
              <w:rPr>
                <w:rStyle w:val="Hyperlink"/>
                <w:rFonts w:ascii="Times New Roman" w:hAnsi="Times New Roman" w:cs="Times New Roman"/>
                <w:noProof/>
              </w:rPr>
              <w:t>Experimental site and soil sampling</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_Toc206669121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41</w:t>
            </w:r>
            <w:r w:rsidRPr="00203EB0">
              <w:rPr>
                <w:rFonts w:cs="Times New Roman"/>
                <w:noProof/>
                <w:webHidden/>
              </w:rPr>
              <w:fldChar w:fldCharType="end"/>
            </w:r>
          </w:hyperlink>
        </w:p>
        <w:p w14:paraId="1D8737CB" w14:textId="338E3104"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22" w:history="1">
            <w:r w:rsidRPr="00203EB0">
              <w:rPr>
                <w:rStyle w:val="Hyperlink"/>
                <w:rFonts w:ascii="Times New Roman" w:hAnsi="Times New Roman" w:cs="Times New Roman"/>
                <w:noProof/>
              </w:rPr>
              <w:t>Cover crop biomass sampling</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_Toc206669122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41</w:t>
            </w:r>
            <w:r w:rsidRPr="00203EB0">
              <w:rPr>
                <w:rFonts w:cs="Times New Roman"/>
                <w:noProof/>
                <w:webHidden/>
              </w:rPr>
              <w:fldChar w:fldCharType="end"/>
            </w:r>
          </w:hyperlink>
        </w:p>
        <w:p w14:paraId="67742A1B" w14:textId="4DE21C2E"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23" w:history="1">
            <w:r w:rsidRPr="00203EB0">
              <w:rPr>
                <w:rStyle w:val="Hyperlink"/>
                <w:rFonts w:ascii="Times New Roman" w:hAnsi="Times New Roman" w:cs="Times New Roman"/>
                <w:noProof/>
              </w:rPr>
              <w:t>Incubation experimental set up</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_Toc206669123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42</w:t>
            </w:r>
            <w:r w:rsidRPr="00203EB0">
              <w:rPr>
                <w:rFonts w:cs="Times New Roman"/>
                <w:noProof/>
                <w:webHidden/>
              </w:rPr>
              <w:fldChar w:fldCharType="end"/>
            </w:r>
          </w:hyperlink>
        </w:p>
        <w:p w14:paraId="6E8032F6" w14:textId="78D756EA"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24" w:history="1">
            <w:r w:rsidRPr="00203EB0">
              <w:rPr>
                <w:rStyle w:val="Hyperlink"/>
                <w:rFonts w:ascii="Times New Roman" w:hAnsi="Times New Roman" w:cs="Times New Roman"/>
                <w:noProof/>
              </w:rPr>
              <w:t>Gas sampling, analysis, and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source calculations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_Toc206669124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43</w:t>
            </w:r>
            <w:r w:rsidRPr="00203EB0">
              <w:rPr>
                <w:rFonts w:cs="Times New Roman"/>
                <w:noProof/>
                <w:webHidden/>
              </w:rPr>
              <w:fldChar w:fldCharType="end"/>
            </w:r>
          </w:hyperlink>
        </w:p>
        <w:p w14:paraId="472FE973" w14:textId="151469DC"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25" w:history="1">
            <w:r w:rsidRPr="00203EB0">
              <w:rPr>
                <w:rStyle w:val="Hyperlink"/>
                <w:rFonts w:ascii="Times New Roman" w:hAnsi="Times New Roman" w:cs="Times New Roman"/>
                <w:noProof/>
              </w:rPr>
              <w:t>Soil O</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 measurements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_Toc206669125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44</w:t>
            </w:r>
            <w:r w:rsidRPr="00203EB0">
              <w:rPr>
                <w:rFonts w:cs="Times New Roman"/>
                <w:noProof/>
                <w:webHidden/>
              </w:rPr>
              <w:fldChar w:fldCharType="end"/>
            </w:r>
          </w:hyperlink>
        </w:p>
        <w:p w14:paraId="141BB1C7" w14:textId="6C534166"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26" w:history="1">
            <w:r w:rsidRPr="00203EB0">
              <w:rPr>
                <w:rStyle w:val="Hyperlink"/>
                <w:rFonts w:ascii="Times New Roman" w:hAnsi="Times New Roman" w:cs="Times New Roman"/>
                <w:noProof/>
              </w:rPr>
              <w:t>Soil analysis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_Toc206669126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46</w:t>
            </w:r>
            <w:r w:rsidRPr="00203EB0">
              <w:rPr>
                <w:rFonts w:cs="Times New Roman"/>
                <w:noProof/>
                <w:webHidden/>
              </w:rPr>
              <w:fldChar w:fldCharType="end"/>
            </w:r>
          </w:hyperlink>
        </w:p>
        <w:p w14:paraId="057FE056" w14:textId="5CFEC7E7"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27" w:history="1">
            <w:r w:rsidRPr="00203EB0">
              <w:rPr>
                <w:rStyle w:val="Hyperlink"/>
                <w:rFonts w:ascii="Times New Roman" w:hAnsi="Times New Roman" w:cs="Times New Roman"/>
                <w:noProof/>
              </w:rPr>
              <w:t>Statistical analysis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_Toc206669127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46</w:t>
            </w:r>
            <w:r w:rsidRPr="00203EB0">
              <w:rPr>
                <w:rFonts w:cs="Times New Roman"/>
                <w:noProof/>
                <w:webHidden/>
              </w:rPr>
              <w:fldChar w:fldCharType="end"/>
            </w:r>
          </w:hyperlink>
        </w:p>
        <w:p w14:paraId="15CDE9D5" w14:textId="1ADC30F8" w:rsidR="007C1A13" w:rsidRPr="00203EB0" w:rsidRDefault="007C1A13" w:rsidP="00D04874">
          <w:pPr>
            <w:pStyle w:val="TOC2"/>
            <w:jc w:val="left"/>
            <w:rPr>
              <w:rFonts w:eastAsiaTheme="minorEastAsia" w:cs="Times New Roman"/>
              <w:noProof/>
              <w:kern w:val="2"/>
              <w14:ligatures w14:val="standardContextual"/>
            </w:rPr>
          </w:pPr>
          <w:hyperlink w:anchor="_Toc206669128" w:history="1">
            <w:r w:rsidRPr="00203EB0">
              <w:rPr>
                <w:rStyle w:val="Hyperlink"/>
                <w:rFonts w:ascii="Times New Roman" w:hAnsi="Times New Roman" w:cs="Times New Roman"/>
                <w:noProof/>
              </w:rPr>
              <w:t>Results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_Toc206669128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47</w:t>
            </w:r>
            <w:r w:rsidRPr="00203EB0">
              <w:rPr>
                <w:rFonts w:cs="Times New Roman"/>
                <w:noProof/>
                <w:webHidden/>
              </w:rPr>
              <w:fldChar w:fldCharType="end"/>
            </w:r>
          </w:hyperlink>
        </w:p>
        <w:p w14:paraId="179058C3" w14:textId="518A772D"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29" w:history="1">
            <w:r w:rsidRPr="00203EB0">
              <w:rPr>
                <w:rStyle w:val="Hyperlink"/>
                <w:rFonts w:ascii="Times New Roman" w:hAnsi="Times New Roman" w:cs="Times New Roman"/>
                <w:noProof/>
              </w:rPr>
              <w:t>Cover crop residue and N fertilization impacts on temporal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and CO</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 emissions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_Toc206669129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47</w:t>
            </w:r>
            <w:r w:rsidRPr="00203EB0">
              <w:rPr>
                <w:rFonts w:cs="Times New Roman"/>
                <w:noProof/>
                <w:webHidden/>
              </w:rPr>
              <w:fldChar w:fldCharType="end"/>
            </w:r>
          </w:hyperlink>
        </w:p>
        <w:p w14:paraId="17A9F627" w14:textId="4E8BA063"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30" w:history="1">
            <w:r w:rsidRPr="00203EB0">
              <w:rPr>
                <w:rStyle w:val="Hyperlink"/>
                <w:rFonts w:ascii="Times New Roman" w:hAnsi="Times New Roman" w:cs="Times New Roman"/>
                <w:noProof/>
              </w:rPr>
              <w:t>Cumulative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and CO</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 emissions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_Toc206669130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51</w:t>
            </w:r>
            <w:r w:rsidRPr="00203EB0">
              <w:rPr>
                <w:rFonts w:cs="Times New Roman"/>
                <w:noProof/>
                <w:webHidden/>
              </w:rPr>
              <w:fldChar w:fldCharType="end"/>
            </w:r>
          </w:hyperlink>
        </w:p>
        <w:p w14:paraId="6E54EA51" w14:textId="41A12993"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31" w:history="1">
            <w:r w:rsidRPr="00203EB0">
              <w:rPr>
                <w:rStyle w:val="Hyperlink"/>
                <w:rFonts w:ascii="Times New Roman" w:hAnsi="Times New Roman" w:cs="Times New Roman"/>
                <w:noProof/>
              </w:rPr>
              <w:t>Soil O</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C, and N availability</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_Toc206669131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54</w:t>
            </w:r>
            <w:r w:rsidRPr="00203EB0">
              <w:rPr>
                <w:rFonts w:cs="Times New Roman"/>
                <w:noProof/>
                <w:webHidden/>
              </w:rPr>
              <w:fldChar w:fldCharType="end"/>
            </w:r>
          </w:hyperlink>
        </w:p>
        <w:p w14:paraId="4AAE0F73" w14:textId="0D4AB0D8"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32" w:history="1">
            <w:r w:rsidRPr="00203EB0">
              <w:rPr>
                <w:rStyle w:val="Hyperlink"/>
                <w:rFonts w:ascii="Times New Roman" w:hAnsi="Times New Roman" w:cs="Times New Roman"/>
                <w:noProof/>
              </w:rPr>
              <w:t>Drivers of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_Toc206669132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61</w:t>
            </w:r>
            <w:r w:rsidRPr="00203EB0">
              <w:rPr>
                <w:rFonts w:cs="Times New Roman"/>
                <w:noProof/>
                <w:webHidden/>
              </w:rPr>
              <w:fldChar w:fldCharType="end"/>
            </w:r>
          </w:hyperlink>
        </w:p>
        <w:p w14:paraId="12938985" w14:textId="37E10F9D" w:rsidR="007C1A13" w:rsidRPr="00203EB0" w:rsidRDefault="007C1A13" w:rsidP="00D04874">
          <w:pPr>
            <w:pStyle w:val="TOC2"/>
            <w:jc w:val="left"/>
            <w:rPr>
              <w:rFonts w:eastAsiaTheme="minorEastAsia" w:cs="Times New Roman"/>
              <w:noProof/>
              <w:kern w:val="2"/>
              <w14:ligatures w14:val="standardContextual"/>
            </w:rPr>
          </w:pPr>
          <w:hyperlink w:anchor="_Toc206669133" w:history="1">
            <w:r w:rsidRPr="00203EB0">
              <w:rPr>
                <w:rStyle w:val="Hyperlink"/>
                <w:rFonts w:ascii="Times New Roman" w:hAnsi="Times New Roman" w:cs="Times New Roman"/>
                <w:noProof/>
              </w:rPr>
              <w:t>Discussion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_Toc206669133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62</w:t>
            </w:r>
            <w:r w:rsidRPr="00203EB0">
              <w:rPr>
                <w:rFonts w:cs="Times New Roman"/>
                <w:noProof/>
                <w:webHidden/>
              </w:rPr>
              <w:fldChar w:fldCharType="end"/>
            </w:r>
          </w:hyperlink>
        </w:p>
        <w:p w14:paraId="410F6585" w14:textId="3F41608F"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34" w:history="1">
            <w:r w:rsidRPr="00203EB0">
              <w:rPr>
                <w:rStyle w:val="Hyperlink"/>
                <w:rFonts w:ascii="Times New Roman" w:hAnsi="Times New Roman" w:cs="Times New Roman"/>
                <w:noProof/>
              </w:rPr>
              <w:t>Respiration induced anoxia during cover crop residue decomposition decouples WFPS control on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_Toc206669134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63</w:t>
            </w:r>
            <w:r w:rsidRPr="00203EB0">
              <w:rPr>
                <w:rFonts w:cs="Times New Roman"/>
                <w:noProof/>
                <w:webHidden/>
              </w:rPr>
              <w:fldChar w:fldCharType="end"/>
            </w:r>
          </w:hyperlink>
        </w:p>
        <w:p w14:paraId="06B66D9F" w14:textId="62D45C50"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35" w:history="1">
            <w:r w:rsidRPr="00203EB0">
              <w:rPr>
                <w:rStyle w:val="Hyperlink"/>
                <w:rFonts w:ascii="Times New Roman" w:hAnsi="Times New Roman" w:cs="Times New Roman"/>
                <w:noProof/>
              </w:rPr>
              <w:t>Cover crop residue influenced nitrogen fertilizer derived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losses under different WFPS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_Toc206669135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65</w:t>
            </w:r>
            <w:r w:rsidRPr="00203EB0">
              <w:rPr>
                <w:rFonts w:cs="Times New Roman"/>
                <w:noProof/>
                <w:webHidden/>
              </w:rPr>
              <w:fldChar w:fldCharType="end"/>
            </w:r>
          </w:hyperlink>
        </w:p>
        <w:p w14:paraId="1F98191F" w14:textId="1EA1ED23"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36" w:history="1">
            <w:r w:rsidRPr="00203EB0">
              <w:rPr>
                <w:rStyle w:val="Hyperlink"/>
                <w:rFonts w:ascii="Times New Roman" w:hAnsi="Times New Roman" w:cs="Times New Roman"/>
                <w:noProof/>
              </w:rPr>
              <w:t>Differential drivers and processes of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in response to cover crops and WFPS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_Toc206669136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66</w:t>
            </w:r>
            <w:r w:rsidRPr="00203EB0">
              <w:rPr>
                <w:rFonts w:cs="Times New Roman"/>
                <w:noProof/>
                <w:webHidden/>
              </w:rPr>
              <w:fldChar w:fldCharType="end"/>
            </w:r>
          </w:hyperlink>
        </w:p>
        <w:p w14:paraId="2908821F" w14:textId="7DA0E0E6"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37" w:history="1">
            <w:r w:rsidRPr="00203EB0">
              <w:rPr>
                <w:rStyle w:val="Hyperlink"/>
                <w:rFonts w:ascii="Times New Roman" w:hAnsi="Times New Roman" w:cs="Times New Roman"/>
                <w:noProof/>
              </w:rPr>
              <w:t>Cover crop type did not significantly influence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under both 50 and 80% WFPS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_Toc206669137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69</w:t>
            </w:r>
            <w:r w:rsidRPr="00203EB0">
              <w:rPr>
                <w:rFonts w:cs="Times New Roman"/>
                <w:noProof/>
                <w:webHidden/>
              </w:rPr>
              <w:fldChar w:fldCharType="end"/>
            </w:r>
          </w:hyperlink>
        </w:p>
        <w:p w14:paraId="46749A28" w14:textId="0BABA505" w:rsidR="007C1A13" w:rsidRPr="00203EB0" w:rsidRDefault="007C1A13" w:rsidP="00D04874">
          <w:pPr>
            <w:pStyle w:val="TOC2"/>
            <w:jc w:val="left"/>
            <w:rPr>
              <w:rFonts w:eastAsiaTheme="minorEastAsia" w:cs="Times New Roman"/>
              <w:noProof/>
              <w:kern w:val="2"/>
              <w14:ligatures w14:val="standardContextual"/>
            </w:rPr>
          </w:pPr>
          <w:hyperlink w:anchor="_Toc206669138" w:history="1">
            <w:r w:rsidRPr="00203EB0">
              <w:rPr>
                <w:rStyle w:val="Hyperlink"/>
                <w:rFonts w:ascii="Times New Roman" w:hAnsi="Times New Roman" w:cs="Times New Roman"/>
                <w:noProof/>
              </w:rPr>
              <w:t>Conclusions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_Toc206669138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70</w:t>
            </w:r>
            <w:r w:rsidRPr="00203EB0">
              <w:rPr>
                <w:rFonts w:cs="Times New Roman"/>
                <w:noProof/>
                <w:webHidden/>
              </w:rPr>
              <w:fldChar w:fldCharType="end"/>
            </w:r>
          </w:hyperlink>
        </w:p>
        <w:p w14:paraId="024AC188" w14:textId="282E064B" w:rsidR="007C1A13" w:rsidRPr="00203EB0" w:rsidRDefault="006D472F" w:rsidP="00D04874">
          <w:pPr>
            <w:pStyle w:val="TOC1"/>
            <w:tabs>
              <w:tab w:val="left" w:pos="480"/>
              <w:tab w:val="right" w:leader="dot" w:pos="8630"/>
            </w:tabs>
            <w:spacing w:line="480" w:lineRule="auto"/>
            <w:jc w:val="left"/>
            <w:rPr>
              <w:rFonts w:eastAsiaTheme="minorEastAsia" w:cs="Times New Roman"/>
              <w:noProof/>
              <w:kern w:val="2"/>
              <w14:ligatures w14:val="standardContextual"/>
            </w:rPr>
          </w:pPr>
          <w:hyperlink w:anchor="_Toc206669139" w:history="1">
            <w:r>
              <w:rPr>
                <w:rStyle w:val="Hyperlink"/>
                <w:rFonts w:ascii="Times New Roman" w:hAnsi="Times New Roman" w:cs="Times New Roman"/>
                <w:noProof/>
              </w:rPr>
              <w:t xml:space="preserve">Chapter 4: </w:t>
            </w:r>
            <w:r w:rsidR="007C1A13" w:rsidRPr="00203EB0">
              <w:rPr>
                <w:rStyle w:val="Hyperlink"/>
                <w:rFonts w:ascii="Times New Roman" w:hAnsi="Times New Roman" w:cs="Times New Roman"/>
                <w:noProof/>
              </w:rPr>
              <w:t>Depth-dependent links between microbial taxa and nitrous oxide emissions in a long-term cotton cropping system employing soil health practices</w:t>
            </w:r>
            <w:r w:rsidR="007C1A13" w:rsidRPr="00203EB0">
              <w:rPr>
                <w:rFonts w:cs="Times New Roman"/>
                <w:noProof/>
                <w:webHidden/>
              </w:rPr>
              <w:tab/>
            </w:r>
            <w:r w:rsidR="007C1A13" w:rsidRPr="00203EB0">
              <w:rPr>
                <w:rFonts w:cs="Times New Roman"/>
                <w:noProof/>
                <w:webHidden/>
              </w:rPr>
              <w:fldChar w:fldCharType="begin"/>
            </w:r>
            <w:r w:rsidR="007C1A13" w:rsidRPr="00203EB0">
              <w:rPr>
                <w:rFonts w:cs="Times New Roman"/>
                <w:noProof/>
                <w:webHidden/>
              </w:rPr>
              <w:instrText xml:space="preserve"> PAGEREF _Toc206669139 \h </w:instrText>
            </w:r>
            <w:r w:rsidR="007C1A13" w:rsidRPr="00203EB0">
              <w:rPr>
                <w:rFonts w:cs="Times New Roman"/>
                <w:noProof/>
                <w:webHidden/>
              </w:rPr>
            </w:r>
            <w:r w:rsidR="007C1A13" w:rsidRPr="00203EB0">
              <w:rPr>
                <w:rFonts w:cs="Times New Roman"/>
                <w:noProof/>
                <w:webHidden/>
              </w:rPr>
              <w:fldChar w:fldCharType="separate"/>
            </w:r>
            <w:r w:rsidR="00B10387">
              <w:rPr>
                <w:rFonts w:cs="Times New Roman"/>
                <w:noProof/>
                <w:webHidden/>
              </w:rPr>
              <w:t>72</w:t>
            </w:r>
            <w:r w:rsidR="007C1A13" w:rsidRPr="00203EB0">
              <w:rPr>
                <w:rFonts w:cs="Times New Roman"/>
                <w:noProof/>
                <w:webHidden/>
              </w:rPr>
              <w:fldChar w:fldCharType="end"/>
            </w:r>
          </w:hyperlink>
        </w:p>
        <w:p w14:paraId="08EF3F73" w14:textId="772FE219" w:rsidR="007C1A13" w:rsidRPr="00203EB0" w:rsidRDefault="007C1A13" w:rsidP="00D04874">
          <w:pPr>
            <w:pStyle w:val="TOC2"/>
            <w:jc w:val="left"/>
            <w:rPr>
              <w:rFonts w:eastAsiaTheme="minorEastAsia" w:cs="Times New Roman"/>
              <w:noProof/>
              <w:kern w:val="2"/>
              <w14:ligatures w14:val="standardContextual"/>
            </w:rPr>
          </w:pPr>
          <w:hyperlink w:anchor="_Toc206669140" w:history="1">
            <w:r w:rsidRPr="00203EB0">
              <w:rPr>
                <w:rStyle w:val="Hyperlink"/>
                <w:rFonts w:ascii="Times New Roman" w:hAnsi="Times New Roman" w:cs="Times New Roman"/>
                <w:noProof/>
              </w:rPr>
              <w:t>Abstract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_Toc206669140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73</w:t>
            </w:r>
            <w:r w:rsidRPr="00203EB0">
              <w:rPr>
                <w:rFonts w:cs="Times New Roman"/>
                <w:noProof/>
                <w:webHidden/>
              </w:rPr>
              <w:fldChar w:fldCharType="end"/>
            </w:r>
          </w:hyperlink>
        </w:p>
        <w:p w14:paraId="5D61C55E" w14:textId="1624DF62" w:rsidR="007C1A13" w:rsidRPr="00203EB0" w:rsidRDefault="007C1A13" w:rsidP="00D04874">
          <w:pPr>
            <w:pStyle w:val="TOC2"/>
            <w:jc w:val="left"/>
            <w:rPr>
              <w:rFonts w:eastAsiaTheme="minorEastAsia" w:cs="Times New Roman"/>
              <w:noProof/>
              <w:kern w:val="2"/>
              <w14:ligatures w14:val="standardContextual"/>
            </w:rPr>
          </w:pPr>
          <w:hyperlink w:anchor="_Toc206669141" w:history="1">
            <w:r w:rsidRPr="00203EB0">
              <w:rPr>
                <w:rStyle w:val="Hyperlink"/>
                <w:rFonts w:ascii="Times New Roman" w:hAnsi="Times New Roman" w:cs="Times New Roman"/>
                <w:noProof/>
              </w:rPr>
              <w:t>Introduction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_Toc206669141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75</w:t>
            </w:r>
            <w:r w:rsidRPr="00203EB0">
              <w:rPr>
                <w:rFonts w:cs="Times New Roman"/>
                <w:noProof/>
                <w:webHidden/>
              </w:rPr>
              <w:fldChar w:fldCharType="end"/>
            </w:r>
          </w:hyperlink>
        </w:p>
        <w:p w14:paraId="0ADD8687" w14:textId="01CEF670" w:rsidR="007C1A13" w:rsidRPr="00203EB0" w:rsidRDefault="007C1A13" w:rsidP="00D04874">
          <w:pPr>
            <w:pStyle w:val="TOC2"/>
            <w:jc w:val="left"/>
            <w:rPr>
              <w:rFonts w:eastAsiaTheme="minorEastAsia" w:cs="Times New Roman"/>
              <w:noProof/>
              <w:kern w:val="2"/>
              <w14:ligatures w14:val="standardContextual"/>
            </w:rPr>
          </w:pPr>
          <w:hyperlink w:anchor="_Toc206669142" w:history="1">
            <w:r w:rsidRPr="00203EB0">
              <w:rPr>
                <w:rStyle w:val="Hyperlink"/>
                <w:rFonts w:ascii="Times New Roman" w:hAnsi="Times New Roman" w:cs="Times New Roman"/>
                <w:noProof/>
              </w:rPr>
              <w:t>Materials and Methods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_Toc206669142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79</w:t>
            </w:r>
            <w:r w:rsidRPr="00203EB0">
              <w:rPr>
                <w:rFonts w:cs="Times New Roman"/>
                <w:noProof/>
                <w:webHidden/>
              </w:rPr>
              <w:fldChar w:fldCharType="end"/>
            </w:r>
          </w:hyperlink>
        </w:p>
        <w:p w14:paraId="6F7E95FF" w14:textId="62A2D95A"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43" w:history="1">
            <w:r w:rsidRPr="00203EB0">
              <w:rPr>
                <w:rStyle w:val="Hyperlink"/>
                <w:rFonts w:ascii="Times New Roman" w:hAnsi="Times New Roman" w:cs="Times New Roman"/>
                <w:noProof/>
              </w:rPr>
              <w:t>Experimental site and soil sample collection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_Toc206669143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79</w:t>
            </w:r>
            <w:r w:rsidRPr="00203EB0">
              <w:rPr>
                <w:rFonts w:cs="Times New Roman"/>
                <w:noProof/>
                <w:webHidden/>
              </w:rPr>
              <w:fldChar w:fldCharType="end"/>
            </w:r>
          </w:hyperlink>
        </w:p>
        <w:p w14:paraId="664D573D" w14:textId="66D30D34"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44" w:history="1">
            <w:r w:rsidRPr="00203EB0">
              <w:rPr>
                <w:rStyle w:val="Hyperlink"/>
                <w:rFonts w:ascii="Times New Roman" w:hAnsi="Times New Roman" w:cs="Times New Roman"/>
                <w:noProof/>
              </w:rPr>
              <w:t>Soil chemical properties, greenhouse gas, and environmental data collection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_Toc206669144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80</w:t>
            </w:r>
            <w:r w:rsidRPr="00203EB0">
              <w:rPr>
                <w:rFonts w:cs="Times New Roman"/>
                <w:noProof/>
                <w:webHidden/>
              </w:rPr>
              <w:fldChar w:fldCharType="end"/>
            </w:r>
          </w:hyperlink>
        </w:p>
        <w:p w14:paraId="4018A5E3" w14:textId="06309812"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45" w:history="1">
            <w:r w:rsidRPr="00203EB0">
              <w:rPr>
                <w:rStyle w:val="Hyperlink"/>
                <w:rFonts w:ascii="Times New Roman" w:hAnsi="Times New Roman" w:cs="Times New Roman"/>
                <w:noProof/>
              </w:rPr>
              <w:t>DNA extraction and MiSeq sequencing</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_Toc206669145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82</w:t>
            </w:r>
            <w:r w:rsidRPr="00203EB0">
              <w:rPr>
                <w:rFonts w:cs="Times New Roman"/>
                <w:noProof/>
                <w:webHidden/>
              </w:rPr>
              <w:fldChar w:fldCharType="end"/>
            </w:r>
          </w:hyperlink>
        </w:p>
        <w:p w14:paraId="0CA0D06E" w14:textId="637142BF"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46" w:history="1">
            <w:r w:rsidRPr="00203EB0">
              <w:rPr>
                <w:rStyle w:val="Hyperlink"/>
                <w:rFonts w:ascii="Times New Roman" w:hAnsi="Times New Roman" w:cs="Times New Roman"/>
                <w:noProof/>
              </w:rPr>
              <w:t>Bioinformatics and statistical analysis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_Toc206669146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83</w:t>
            </w:r>
            <w:r w:rsidRPr="00203EB0">
              <w:rPr>
                <w:rFonts w:cs="Times New Roman"/>
                <w:noProof/>
                <w:webHidden/>
              </w:rPr>
              <w:fldChar w:fldCharType="end"/>
            </w:r>
          </w:hyperlink>
        </w:p>
        <w:p w14:paraId="1068D312" w14:textId="2A4FD720" w:rsidR="007C1A13" w:rsidRPr="00203EB0" w:rsidRDefault="007C1A13" w:rsidP="00D04874">
          <w:pPr>
            <w:pStyle w:val="TOC2"/>
            <w:jc w:val="left"/>
            <w:rPr>
              <w:rFonts w:eastAsiaTheme="minorEastAsia" w:cs="Times New Roman"/>
              <w:noProof/>
              <w:kern w:val="2"/>
              <w14:ligatures w14:val="standardContextual"/>
            </w:rPr>
          </w:pPr>
          <w:hyperlink w:anchor="_Toc206669147" w:history="1">
            <w:r w:rsidRPr="00203EB0">
              <w:rPr>
                <w:rStyle w:val="Hyperlink"/>
                <w:rFonts w:ascii="Times New Roman" w:hAnsi="Times New Roman" w:cs="Times New Roman"/>
                <w:noProof/>
              </w:rPr>
              <w:t>Results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_Toc206669147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87</w:t>
            </w:r>
            <w:r w:rsidRPr="00203EB0">
              <w:rPr>
                <w:rFonts w:cs="Times New Roman"/>
                <w:noProof/>
                <w:webHidden/>
              </w:rPr>
              <w:fldChar w:fldCharType="end"/>
            </w:r>
          </w:hyperlink>
        </w:p>
        <w:p w14:paraId="20761B7A" w14:textId="12C514B6"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48" w:history="1">
            <w:r w:rsidRPr="00203EB0">
              <w:rPr>
                <w:rStyle w:val="Hyperlink"/>
                <w:rFonts w:ascii="Times New Roman" w:hAnsi="Times New Roman" w:cs="Times New Roman"/>
                <w:noProof/>
              </w:rPr>
              <w:t>Effect of management practices on temporal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_Toc206669148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87</w:t>
            </w:r>
            <w:r w:rsidRPr="00203EB0">
              <w:rPr>
                <w:rFonts w:cs="Times New Roman"/>
                <w:noProof/>
                <w:webHidden/>
              </w:rPr>
              <w:fldChar w:fldCharType="end"/>
            </w:r>
          </w:hyperlink>
        </w:p>
        <w:p w14:paraId="6E08EB2A" w14:textId="4532A2A1"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49" w:history="1">
            <w:r w:rsidRPr="00203EB0">
              <w:rPr>
                <w:rStyle w:val="Hyperlink"/>
                <w:rFonts w:ascii="Times New Roman" w:hAnsi="Times New Roman" w:cs="Times New Roman"/>
                <w:noProof/>
              </w:rPr>
              <w:t>Influence of management practices, sampling time-point, and biochemical variables on microbial community composition across soil depths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_Toc206669149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89</w:t>
            </w:r>
            <w:r w:rsidRPr="00203EB0">
              <w:rPr>
                <w:rFonts w:cs="Times New Roman"/>
                <w:noProof/>
                <w:webHidden/>
              </w:rPr>
              <w:fldChar w:fldCharType="end"/>
            </w:r>
          </w:hyperlink>
        </w:p>
        <w:p w14:paraId="67328DE9" w14:textId="28D0A1A6"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50" w:history="1">
            <w:r w:rsidRPr="00203EB0">
              <w:rPr>
                <w:rStyle w:val="Hyperlink"/>
                <w:rFonts w:ascii="Times New Roman" w:hAnsi="Times New Roman" w:cs="Times New Roman"/>
                <w:noProof/>
              </w:rPr>
              <w:t>Microbial taxa associated with nitrous oxide emissions and their relationship with biochemical variables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_Toc206669150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91</w:t>
            </w:r>
            <w:r w:rsidRPr="00203EB0">
              <w:rPr>
                <w:rFonts w:cs="Times New Roman"/>
                <w:noProof/>
                <w:webHidden/>
              </w:rPr>
              <w:fldChar w:fldCharType="end"/>
            </w:r>
          </w:hyperlink>
        </w:p>
        <w:p w14:paraId="197B13F7" w14:textId="40DFDE25"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51" w:history="1">
            <w:r w:rsidRPr="00203EB0">
              <w:rPr>
                <w:rStyle w:val="Hyperlink"/>
                <w:rFonts w:ascii="Times New Roman" w:hAnsi="Times New Roman" w:cs="Times New Roman"/>
                <w:noProof/>
              </w:rPr>
              <w:t>Management-driven temporal dynamics of key microbial taxa across soil depths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_Toc206669151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97</w:t>
            </w:r>
            <w:r w:rsidRPr="00203EB0">
              <w:rPr>
                <w:rFonts w:cs="Times New Roman"/>
                <w:noProof/>
                <w:webHidden/>
              </w:rPr>
              <w:fldChar w:fldCharType="end"/>
            </w:r>
          </w:hyperlink>
        </w:p>
        <w:p w14:paraId="21B9A8EC" w14:textId="34C2A221" w:rsidR="007C1A13" w:rsidRPr="00203EB0" w:rsidRDefault="007C1A13" w:rsidP="00D04874">
          <w:pPr>
            <w:pStyle w:val="TOC2"/>
            <w:jc w:val="left"/>
            <w:rPr>
              <w:rFonts w:eastAsiaTheme="minorEastAsia" w:cs="Times New Roman"/>
              <w:noProof/>
              <w:kern w:val="2"/>
              <w14:ligatures w14:val="standardContextual"/>
            </w:rPr>
          </w:pPr>
          <w:hyperlink w:anchor="_Toc206669152" w:history="1">
            <w:r w:rsidRPr="00203EB0">
              <w:rPr>
                <w:rStyle w:val="Hyperlink"/>
                <w:rFonts w:ascii="Times New Roman" w:hAnsi="Times New Roman" w:cs="Times New Roman"/>
                <w:noProof/>
              </w:rPr>
              <w:t>Discussion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_Toc206669152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106</w:t>
            </w:r>
            <w:r w:rsidRPr="00203EB0">
              <w:rPr>
                <w:rFonts w:cs="Times New Roman"/>
                <w:noProof/>
                <w:webHidden/>
              </w:rPr>
              <w:fldChar w:fldCharType="end"/>
            </w:r>
          </w:hyperlink>
        </w:p>
        <w:p w14:paraId="6A92366E" w14:textId="1D42557B"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53" w:history="1">
            <w:r w:rsidRPr="00203EB0">
              <w:rPr>
                <w:rStyle w:val="Hyperlink"/>
                <w:rFonts w:ascii="Times New Roman" w:hAnsi="Times New Roman" w:cs="Times New Roman"/>
                <w:noProof/>
              </w:rPr>
              <w:t>Influence of management practices on microbial communities across soil depths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_Toc206669153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106</w:t>
            </w:r>
            <w:r w:rsidRPr="00203EB0">
              <w:rPr>
                <w:rFonts w:cs="Times New Roman"/>
                <w:noProof/>
                <w:webHidden/>
              </w:rPr>
              <w:fldChar w:fldCharType="end"/>
            </w:r>
          </w:hyperlink>
        </w:p>
        <w:p w14:paraId="063F0BDB" w14:textId="4C930840"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54" w:history="1">
            <w:r w:rsidRPr="00203EB0">
              <w:rPr>
                <w:rStyle w:val="Hyperlink"/>
                <w:rFonts w:ascii="Times New Roman" w:hAnsi="Times New Roman" w:cs="Times New Roman"/>
                <w:noProof/>
              </w:rPr>
              <w:t>Soil biochemical drivers of microbial community structure and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O-associated taxa</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_Toc206669154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108</w:t>
            </w:r>
            <w:r w:rsidRPr="00203EB0">
              <w:rPr>
                <w:rFonts w:cs="Times New Roman"/>
                <w:noProof/>
                <w:webHidden/>
              </w:rPr>
              <w:fldChar w:fldCharType="end"/>
            </w:r>
          </w:hyperlink>
        </w:p>
        <w:p w14:paraId="3BB687A2" w14:textId="5F4F0896"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55" w:history="1">
            <w:r w:rsidRPr="00203EB0">
              <w:rPr>
                <w:rStyle w:val="Hyperlink"/>
                <w:rFonts w:ascii="Times New Roman" w:hAnsi="Times New Roman" w:cs="Times New Roman"/>
                <w:noProof/>
              </w:rPr>
              <w:t>Management and soil depth shape key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O-associated microbial taxa</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_Toc206669155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111</w:t>
            </w:r>
            <w:r w:rsidRPr="00203EB0">
              <w:rPr>
                <w:rFonts w:cs="Times New Roman"/>
                <w:noProof/>
                <w:webHidden/>
              </w:rPr>
              <w:fldChar w:fldCharType="end"/>
            </w:r>
          </w:hyperlink>
        </w:p>
        <w:p w14:paraId="647E18BB" w14:textId="69A85D3D"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56" w:history="1">
            <w:r w:rsidRPr="00203EB0">
              <w:rPr>
                <w:rStyle w:val="Hyperlink"/>
                <w:rFonts w:ascii="Times New Roman" w:hAnsi="Times New Roman" w:cs="Times New Roman"/>
                <w:noProof/>
              </w:rPr>
              <w:t>Linking temporal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flux variability to shifts in microbial communities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_Toc206669156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116</w:t>
            </w:r>
            <w:r w:rsidRPr="00203EB0">
              <w:rPr>
                <w:rFonts w:cs="Times New Roman"/>
                <w:noProof/>
                <w:webHidden/>
              </w:rPr>
              <w:fldChar w:fldCharType="end"/>
            </w:r>
          </w:hyperlink>
        </w:p>
        <w:p w14:paraId="5487B7B1" w14:textId="00413C6E" w:rsidR="007C1A13" w:rsidRPr="00203EB0" w:rsidRDefault="007C1A13" w:rsidP="00D04874">
          <w:pPr>
            <w:pStyle w:val="TOC2"/>
            <w:jc w:val="left"/>
            <w:rPr>
              <w:rFonts w:eastAsiaTheme="minorEastAsia" w:cs="Times New Roman"/>
              <w:noProof/>
              <w:kern w:val="2"/>
              <w14:ligatures w14:val="standardContextual"/>
            </w:rPr>
          </w:pPr>
          <w:hyperlink w:anchor="_Toc206669157" w:history="1">
            <w:r w:rsidRPr="00203EB0">
              <w:rPr>
                <w:rStyle w:val="Hyperlink"/>
                <w:rFonts w:ascii="Times New Roman" w:hAnsi="Times New Roman" w:cs="Times New Roman"/>
                <w:noProof/>
              </w:rPr>
              <w:t>Conclusions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_Toc206669157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118</w:t>
            </w:r>
            <w:r w:rsidRPr="00203EB0">
              <w:rPr>
                <w:rFonts w:cs="Times New Roman"/>
                <w:noProof/>
                <w:webHidden/>
              </w:rPr>
              <w:fldChar w:fldCharType="end"/>
            </w:r>
          </w:hyperlink>
        </w:p>
        <w:p w14:paraId="759EE181" w14:textId="68831D3A" w:rsidR="007C1A13" w:rsidRPr="00203EB0" w:rsidRDefault="006D472F" w:rsidP="00D04874">
          <w:pPr>
            <w:pStyle w:val="TOC1"/>
            <w:tabs>
              <w:tab w:val="left" w:pos="480"/>
              <w:tab w:val="right" w:leader="dot" w:pos="8630"/>
            </w:tabs>
            <w:spacing w:line="480" w:lineRule="auto"/>
            <w:jc w:val="left"/>
            <w:rPr>
              <w:rFonts w:eastAsiaTheme="minorEastAsia" w:cs="Times New Roman"/>
              <w:noProof/>
              <w:kern w:val="2"/>
              <w14:ligatures w14:val="standardContextual"/>
            </w:rPr>
          </w:pPr>
          <w:hyperlink w:anchor="_Toc206669158" w:history="1">
            <w:r>
              <w:rPr>
                <w:rStyle w:val="Hyperlink"/>
                <w:rFonts w:ascii="Times New Roman" w:hAnsi="Times New Roman" w:cs="Times New Roman"/>
                <w:noProof/>
              </w:rPr>
              <w:t xml:space="preserve">Chapter 5: </w:t>
            </w:r>
            <w:r w:rsidR="007C1A13" w:rsidRPr="00203EB0">
              <w:rPr>
                <w:rStyle w:val="Hyperlink"/>
                <w:rFonts w:ascii="Times New Roman" w:hAnsi="Times New Roman" w:cs="Times New Roman"/>
                <w:noProof/>
              </w:rPr>
              <w:t>Enhancing predictions of nitrous oxide emissions from agricultural soils using a classification-swap machine learning approach</w:t>
            </w:r>
            <w:r w:rsidR="007C1A13" w:rsidRPr="00203EB0">
              <w:rPr>
                <w:rFonts w:cs="Times New Roman"/>
                <w:noProof/>
                <w:webHidden/>
              </w:rPr>
              <w:tab/>
            </w:r>
            <w:r w:rsidR="007C1A13" w:rsidRPr="00203EB0">
              <w:rPr>
                <w:rFonts w:cs="Times New Roman"/>
                <w:noProof/>
                <w:webHidden/>
              </w:rPr>
              <w:fldChar w:fldCharType="begin"/>
            </w:r>
            <w:r w:rsidR="007C1A13" w:rsidRPr="00203EB0">
              <w:rPr>
                <w:rFonts w:cs="Times New Roman"/>
                <w:noProof/>
                <w:webHidden/>
              </w:rPr>
              <w:instrText xml:space="preserve"> PAGEREF _Toc206669158 \h </w:instrText>
            </w:r>
            <w:r w:rsidR="007C1A13" w:rsidRPr="00203EB0">
              <w:rPr>
                <w:rFonts w:cs="Times New Roman"/>
                <w:noProof/>
                <w:webHidden/>
              </w:rPr>
            </w:r>
            <w:r w:rsidR="007C1A13" w:rsidRPr="00203EB0">
              <w:rPr>
                <w:rFonts w:cs="Times New Roman"/>
                <w:noProof/>
                <w:webHidden/>
              </w:rPr>
              <w:fldChar w:fldCharType="separate"/>
            </w:r>
            <w:r w:rsidR="00B10387">
              <w:rPr>
                <w:rFonts w:cs="Times New Roman"/>
                <w:noProof/>
                <w:webHidden/>
              </w:rPr>
              <w:t>120</w:t>
            </w:r>
            <w:r w:rsidR="007C1A13" w:rsidRPr="00203EB0">
              <w:rPr>
                <w:rFonts w:cs="Times New Roman"/>
                <w:noProof/>
                <w:webHidden/>
              </w:rPr>
              <w:fldChar w:fldCharType="end"/>
            </w:r>
          </w:hyperlink>
        </w:p>
        <w:p w14:paraId="6B3E1AC1" w14:textId="4BEE25DC" w:rsidR="007C1A13" w:rsidRPr="00203EB0" w:rsidRDefault="007C1A13" w:rsidP="00D04874">
          <w:pPr>
            <w:pStyle w:val="TOC2"/>
            <w:jc w:val="left"/>
            <w:rPr>
              <w:rFonts w:eastAsiaTheme="minorEastAsia" w:cs="Times New Roman"/>
              <w:noProof/>
              <w:kern w:val="2"/>
              <w14:ligatures w14:val="standardContextual"/>
            </w:rPr>
          </w:pPr>
          <w:hyperlink w:anchor="_Toc206669159" w:history="1">
            <w:r w:rsidRPr="00203EB0">
              <w:rPr>
                <w:rStyle w:val="Hyperlink"/>
                <w:rFonts w:ascii="Times New Roman" w:hAnsi="Times New Roman" w:cs="Times New Roman"/>
                <w:noProof/>
              </w:rPr>
              <w:t>Abstract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_Toc206669159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121</w:t>
            </w:r>
            <w:r w:rsidRPr="00203EB0">
              <w:rPr>
                <w:rFonts w:cs="Times New Roman"/>
                <w:noProof/>
                <w:webHidden/>
              </w:rPr>
              <w:fldChar w:fldCharType="end"/>
            </w:r>
          </w:hyperlink>
        </w:p>
        <w:p w14:paraId="489558EC" w14:textId="29B4995B" w:rsidR="007C1A13" w:rsidRPr="00203EB0" w:rsidRDefault="007C1A13" w:rsidP="00D04874">
          <w:pPr>
            <w:pStyle w:val="TOC2"/>
            <w:jc w:val="left"/>
            <w:rPr>
              <w:rFonts w:eastAsiaTheme="minorEastAsia" w:cs="Times New Roman"/>
              <w:noProof/>
              <w:kern w:val="2"/>
              <w14:ligatures w14:val="standardContextual"/>
            </w:rPr>
          </w:pPr>
          <w:hyperlink w:anchor="_Toc206669160" w:history="1">
            <w:r w:rsidRPr="00203EB0">
              <w:rPr>
                <w:rStyle w:val="Hyperlink"/>
                <w:rFonts w:ascii="Times New Roman" w:hAnsi="Times New Roman" w:cs="Times New Roman"/>
                <w:noProof/>
              </w:rPr>
              <w:t>Introduction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_Toc206669160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123</w:t>
            </w:r>
            <w:r w:rsidRPr="00203EB0">
              <w:rPr>
                <w:rFonts w:cs="Times New Roman"/>
                <w:noProof/>
                <w:webHidden/>
              </w:rPr>
              <w:fldChar w:fldCharType="end"/>
            </w:r>
          </w:hyperlink>
        </w:p>
        <w:p w14:paraId="2481247C" w14:textId="24FAE641" w:rsidR="007C1A13" w:rsidRPr="00203EB0" w:rsidRDefault="007C1A13" w:rsidP="00D04874">
          <w:pPr>
            <w:pStyle w:val="TOC2"/>
            <w:jc w:val="left"/>
            <w:rPr>
              <w:rFonts w:eastAsiaTheme="minorEastAsia" w:cs="Times New Roman"/>
              <w:noProof/>
              <w:kern w:val="2"/>
              <w14:ligatures w14:val="standardContextual"/>
            </w:rPr>
          </w:pPr>
          <w:hyperlink w:anchor="_Toc206669161" w:history="1">
            <w:r w:rsidRPr="00203EB0">
              <w:rPr>
                <w:rStyle w:val="Hyperlink"/>
                <w:rFonts w:ascii="Times New Roman" w:hAnsi="Times New Roman" w:cs="Times New Roman"/>
                <w:noProof/>
              </w:rPr>
              <w:t>Materials and Methods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_Toc206669161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127</w:t>
            </w:r>
            <w:r w:rsidRPr="00203EB0">
              <w:rPr>
                <w:rFonts w:cs="Times New Roman"/>
                <w:noProof/>
                <w:webHidden/>
              </w:rPr>
              <w:fldChar w:fldCharType="end"/>
            </w:r>
          </w:hyperlink>
        </w:p>
        <w:p w14:paraId="09617F38" w14:textId="1A2E960A"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62" w:history="1">
            <w:r w:rsidRPr="00203EB0">
              <w:rPr>
                <w:rStyle w:val="Hyperlink"/>
                <w:rFonts w:ascii="Times New Roman" w:hAnsi="Times New Roman" w:cs="Times New Roman"/>
                <w:noProof/>
              </w:rPr>
              <w:t>Study site and experimental design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_Toc206669162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127</w:t>
            </w:r>
            <w:r w:rsidRPr="00203EB0">
              <w:rPr>
                <w:rFonts w:cs="Times New Roman"/>
                <w:noProof/>
                <w:webHidden/>
              </w:rPr>
              <w:fldChar w:fldCharType="end"/>
            </w:r>
          </w:hyperlink>
        </w:p>
        <w:p w14:paraId="7C5A3678" w14:textId="6D4CFB4D"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63" w:history="1">
            <w:r w:rsidRPr="00203EB0">
              <w:rPr>
                <w:rStyle w:val="Hyperlink"/>
                <w:rFonts w:ascii="Times New Roman" w:hAnsi="Times New Roman" w:cs="Times New Roman"/>
                <w:noProof/>
              </w:rPr>
              <w:t>Greenhouse gas flux measurements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_Toc206669163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128</w:t>
            </w:r>
            <w:r w:rsidRPr="00203EB0">
              <w:rPr>
                <w:rFonts w:cs="Times New Roman"/>
                <w:noProof/>
                <w:webHidden/>
              </w:rPr>
              <w:fldChar w:fldCharType="end"/>
            </w:r>
          </w:hyperlink>
        </w:p>
        <w:p w14:paraId="2BE8A377" w14:textId="3CA27BC9"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64" w:history="1">
            <w:r w:rsidRPr="00203EB0">
              <w:rPr>
                <w:rStyle w:val="Hyperlink"/>
                <w:rFonts w:ascii="Times New Roman" w:hAnsi="Times New Roman" w:cs="Times New Roman"/>
                <w:noProof/>
              </w:rPr>
              <w:t>Soil measurements and environmental data collection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_Toc206669164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128</w:t>
            </w:r>
            <w:r w:rsidRPr="00203EB0">
              <w:rPr>
                <w:rFonts w:cs="Times New Roman"/>
                <w:noProof/>
                <w:webHidden/>
              </w:rPr>
              <w:fldChar w:fldCharType="end"/>
            </w:r>
          </w:hyperlink>
        </w:p>
        <w:p w14:paraId="16D3C81A" w14:textId="7A402892"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65" w:history="1">
            <w:r w:rsidRPr="00203EB0">
              <w:rPr>
                <w:rStyle w:val="Hyperlink"/>
                <w:rFonts w:ascii="Times New Roman" w:hAnsi="Times New Roman" w:cs="Times New Roman"/>
                <w:noProof/>
              </w:rPr>
              <w:t>Data for model training and validation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_Toc206669165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129</w:t>
            </w:r>
            <w:r w:rsidRPr="00203EB0">
              <w:rPr>
                <w:rFonts w:cs="Times New Roman"/>
                <w:noProof/>
                <w:webHidden/>
              </w:rPr>
              <w:fldChar w:fldCharType="end"/>
            </w:r>
          </w:hyperlink>
        </w:p>
        <w:p w14:paraId="55B045F1" w14:textId="22372A31"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66" w:history="1">
            <w:r w:rsidRPr="00203EB0">
              <w:rPr>
                <w:rStyle w:val="Hyperlink"/>
                <w:rFonts w:ascii="Times New Roman" w:hAnsi="Times New Roman" w:cs="Times New Roman"/>
                <w:noProof/>
              </w:rPr>
              <w:t>Model training</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_Toc206669166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129</w:t>
            </w:r>
            <w:r w:rsidRPr="00203EB0">
              <w:rPr>
                <w:rFonts w:cs="Times New Roman"/>
                <w:noProof/>
                <w:webHidden/>
              </w:rPr>
              <w:fldChar w:fldCharType="end"/>
            </w:r>
          </w:hyperlink>
        </w:p>
        <w:p w14:paraId="667806BD" w14:textId="30BE9F64"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67" w:history="1">
            <w:r w:rsidRPr="00203EB0">
              <w:rPr>
                <w:rStyle w:val="Hyperlink"/>
                <w:rFonts w:ascii="Times New Roman" w:hAnsi="Times New Roman" w:cs="Times New Roman"/>
                <w:noProof/>
              </w:rPr>
              <w:t>Traditional Random Forest: Base Model</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_Toc206669167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131</w:t>
            </w:r>
            <w:r w:rsidRPr="00203EB0">
              <w:rPr>
                <w:rFonts w:cs="Times New Roman"/>
                <w:noProof/>
                <w:webHidden/>
              </w:rPr>
              <w:fldChar w:fldCharType="end"/>
            </w:r>
          </w:hyperlink>
        </w:p>
        <w:p w14:paraId="25A778D9" w14:textId="514CEFD4"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68" w:history="1">
            <w:r w:rsidRPr="00203EB0">
              <w:rPr>
                <w:rStyle w:val="Hyperlink"/>
                <w:rFonts w:ascii="Times New Roman" w:hAnsi="Times New Roman" w:cs="Times New Roman"/>
                <w:noProof/>
              </w:rPr>
              <w:t>Classification of background and hot-moment emissions: Class-Swap Model</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_Toc206669168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131</w:t>
            </w:r>
            <w:r w:rsidRPr="00203EB0">
              <w:rPr>
                <w:rFonts w:cs="Times New Roman"/>
                <w:noProof/>
                <w:webHidden/>
              </w:rPr>
              <w:fldChar w:fldCharType="end"/>
            </w:r>
          </w:hyperlink>
        </w:p>
        <w:p w14:paraId="24D3DDCC" w14:textId="4C4C1016"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69" w:history="1">
            <w:r w:rsidRPr="00203EB0">
              <w:rPr>
                <w:rStyle w:val="Hyperlink"/>
                <w:rFonts w:ascii="Times New Roman" w:hAnsi="Times New Roman" w:cs="Times New Roman"/>
                <w:noProof/>
              </w:rPr>
              <w:t>Traditional Random Forest with oversampling techniques: Base-Over Model</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_Toc206669169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135</w:t>
            </w:r>
            <w:r w:rsidRPr="00203EB0">
              <w:rPr>
                <w:rFonts w:cs="Times New Roman"/>
                <w:noProof/>
                <w:webHidden/>
              </w:rPr>
              <w:fldChar w:fldCharType="end"/>
            </w:r>
          </w:hyperlink>
        </w:p>
        <w:p w14:paraId="6EF0A117" w14:textId="600FCEB2"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70" w:history="1">
            <w:r w:rsidRPr="00203EB0">
              <w:rPr>
                <w:rStyle w:val="Hyperlink"/>
                <w:rFonts w:ascii="Times New Roman" w:hAnsi="Times New Roman" w:cs="Times New Roman"/>
                <w:noProof/>
              </w:rPr>
              <w:t>Classification of emissions with oversampling techniques: Class-Swap-Over Model</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_Toc206669170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135</w:t>
            </w:r>
            <w:r w:rsidRPr="00203EB0">
              <w:rPr>
                <w:rFonts w:cs="Times New Roman"/>
                <w:noProof/>
                <w:webHidden/>
              </w:rPr>
              <w:fldChar w:fldCharType="end"/>
            </w:r>
          </w:hyperlink>
        </w:p>
        <w:p w14:paraId="2060E239" w14:textId="0C7C97CD"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71" w:history="1">
            <w:r w:rsidRPr="00203EB0">
              <w:rPr>
                <w:rStyle w:val="Hyperlink"/>
                <w:rFonts w:ascii="Times New Roman" w:hAnsi="Times New Roman" w:cs="Times New Roman"/>
                <w:noProof/>
              </w:rPr>
              <w:t>Model performance evaluation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_Toc206669171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136</w:t>
            </w:r>
            <w:r w:rsidRPr="00203EB0">
              <w:rPr>
                <w:rFonts w:cs="Times New Roman"/>
                <w:noProof/>
                <w:webHidden/>
              </w:rPr>
              <w:fldChar w:fldCharType="end"/>
            </w:r>
          </w:hyperlink>
        </w:p>
        <w:p w14:paraId="3FD369B7" w14:textId="43A77CD6" w:rsidR="007C1A13" w:rsidRPr="00203EB0" w:rsidRDefault="007C1A13" w:rsidP="00D04874">
          <w:pPr>
            <w:pStyle w:val="TOC2"/>
            <w:jc w:val="left"/>
            <w:rPr>
              <w:rFonts w:eastAsiaTheme="minorEastAsia" w:cs="Times New Roman"/>
              <w:noProof/>
              <w:kern w:val="2"/>
              <w14:ligatures w14:val="standardContextual"/>
            </w:rPr>
          </w:pPr>
          <w:hyperlink w:anchor="_Toc206669172" w:history="1">
            <w:r w:rsidRPr="00203EB0">
              <w:rPr>
                <w:rStyle w:val="Hyperlink"/>
                <w:rFonts w:ascii="Times New Roman" w:hAnsi="Times New Roman" w:cs="Times New Roman"/>
                <w:noProof/>
              </w:rPr>
              <w:t>Results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_Toc206669172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138</w:t>
            </w:r>
            <w:r w:rsidRPr="00203EB0">
              <w:rPr>
                <w:rFonts w:cs="Times New Roman"/>
                <w:noProof/>
                <w:webHidden/>
              </w:rPr>
              <w:fldChar w:fldCharType="end"/>
            </w:r>
          </w:hyperlink>
        </w:p>
        <w:p w14:paraId="2C8B767C" w14:textId="3A0899F4"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73" w:history="1">
            <w:r w:rsidRPr="00203EB0">
              <w:rPr>
                <w:rStyle w:val="Hyperlink"/>
                <w:rFonts w:ascii="Times New Roman" w:hAnsi="Times New Roman" w:cs="Times New Roman"/>
                <w:noProof/>
              </w:rPr>
              <w:t>Predictive performance of models for daily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fluxes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_Toc206669173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138</w:t>
            </w:r>
            <w:r w:rsidRPr="00203EB0">
              <w:rPr>
                <w:rFonts w:cs="Times New Roman"/>
                <w:noProof/>
                <w:webHidden/>
              </w:rPr>
              <w:fldChar w:fldCharType="end"/>
            </w:r>
          </w:hyperlink>
        </w:p>
        <w:p w14:paraId="7D4D4730" w14:textId="5ADDCEDD"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74" w:history="1">
            <w:r w:rsidRPr="00203EB0">
              <w:rPr>
                <w:rStyle w:val="Hyperlink"/>
                <w:rFonts w:ascii="Times New Roman" w:hAnsi="Times New Roman" w:cs="Times New Roman"/>
                <w:noProof/>
              </w:rPr>
              <w:t>Cumulative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_Toc206669174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145</w:t>
            </w:r>
            <w:r w:rsidRPr="00203EB0">
              <w:rPr>
                <w:rFonts w:cs="Times New Roman"/>
                <w:noProof/>
                <w:webHidden/>
              </w:rPr>
              <w:fldChar w:fldCharType="end"/>
            </w:r>
          </w:hyperlink>
        </w:p>
        <w:p w14:paraId="18B0FBF8" w14:textId="3A79F619"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75" w:history="1">
            <w:r w:rsidRPr="00203EB0">
              <w:rPr>
                <w:rStyle w:val="Hyperlink"/>
                <w:rFonts w:ascii="Times New Roman" w:hAnsi="Times New Roman" w:cs="Times New Roman"/>
                <w:noProof/>
              </w:rPr>
              <w:t>Differential drivers of low and high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 events as identified by the Class-Swap model</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_Toc206669175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151</w:t>
            </w:r>
            <w:r w:rsidRPr="00203EB0">
              <w:rPr>
                <w:rFonts w:cs="Times New Roman"/>
                <w:noProof/>
                <w:webHidden/>
              </w:rPr>
              <w:fldChar w:fldCharType="end"/>
            </w:r>
          </w:hyperlink>
        </w:p>
        <w:p w14:paraId="58BF1290" w14:textId="203488A5" w:rsidR="007C1A13" w:rsidRPr="00203EB0" w:rsidRDefault="007C1A13" w:rsidP="00D04874">
          <w:pPr>
            <w:pStyle w:val="TOC2"/>
            <w:jc w:val="left"/>
            <w:rPr>
              <w:rFonts w:eastAsiaTheme="minorEastAsia" w:cs="Times New Roman"/>
              <w:noProof/>
              <w:kern w:val="2"/>
              <w14:ligatures w14:val="standardContextual"/>
            </w:rPr>
          </w:pPr>
          <w:hyperlink w:anchor="_Toc206669176" w:history="1">
            <w:r w:rsidRPr="00203EB0">
              <w:rPr>
                <w:rStyle w:val="Hyperlink"/>
                <w:rFonts w:ascii="Times New Roman" w:hAnsi="Times New Roman" w:cs="Times New Roman"/>
                <w:noProof/>
              </w:rPr>
              <w:t>Discussion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_Toc206669176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154</w:t>
            </w:r>
            <w:r w:rsidRPr="00203EB0">
              <w:rPr>
                <w:rFonts w:cs="Times New Roman"/>
                <w:noProof/>
                <w:webHidden/>
              </w:rPr>
              <w:fldChar w:fldCharType="end"/>
            </w:r>
          </w:hyperlink>
        </w:p>
        <w:p w14:paraId="3538045E" w14:textId="4BE21F22"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77" w:history="1">
            <w:r w:rsidRPr="00203EB0">
              <w:rPr>
                <w:rStyle w:val="Hyperlink"/>
                <w:rFonts w:ascii="Times New Roman" w:hAnsi="Times New Roman" w:cs="Times New Roman"/>
                <w:noProof/>
              </w:rPr>
              <w:t>Predictability and interpretability of Class-Swap ML models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_Toc206669177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154</w:t>
            </w:r>
            <w:r w:rsidRPr="00203EB0">
              <w:rPr>
                <w:rFonts w:cs="Times New Roman"/>
                <w:noProof/>
                <w:webHidden/>
              </w:rPr>
              <w:fldChar w:fldCharType="end"/>
            </w:r>
          </w:hyperlink>
        </w:p>
        <w:p w14:paraId="410C4CC3" w14:textId="3EDBC7E1" w:rsidR="007C1A13" w:rsidRPr="00203EB0" w:rsidRDefault="007C1A13" w:rsidP="00D04874">
          <w:pPr>
            <w:pStyle w:val="TOC3"/>
            <w:tabs>
              <w:tab w:val="right" w:leader="dot" w:pos="8630"/>
            </w:tabs>
            <w:spacing w:line="480" w:lineRule="auto"/>
            <w:jc w:val="left"/>
            <w:rPr>
              <w:rFonts w:eastAsiaTheme="minorEastAsia" w:cs="Times New Roman"/>
              <w:noProof/>
              <w:kern w:val="2"/>
              <w14:ligatures w14:val="standardContextual"/>
            </w:rPr>
          </w:pPr>
          <w:hyperlink w:anchor="_Toc206669178" w:history="1">
            <w:r w:rsidRPr="00203EB0">
              <w:rPr>
                <w:rStyle w:val="Hyperlink"/>
                <w:rFonts w:ascii="Times New Roman" w:hAnsi="Times New Roman" w:cs="Times New Roman"/>
                <w:noProof/>
              </w:rPr>
              <w:t>Limitations and possible improvement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_Toc206669178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157</w:t>
            </w:r>
            <w:r w:rsidRPr="00203EB0">
              <w:rPr>
                <w:rFonts w:cs="Times New Roman"/>
                <w:noProof/>
                <w:webHidden/>
              </w:rPr>
              <w:fldChar w:fldCharType="end"/>
            </w:r>
          </w:hyperlink>
        </w:p>
        <w:p w14:paraId="0FE99AAD" w14:textId="224CBFA8" w:rsidR="007C1A13" w:rsidRPr="00203EB0" w:rsidRDefault="007C1A13" w:rsidP="00D04874">
          <w:pPr>
            <w:pStyle w:val="TOC2"/>
            <w:jc w:val="left"/>
            <w:rPr>
              <w:rFonts w:eastAsiaTheme="minorEastAsia" w:cs="Times New Roman"/>
              <w:noProof/>
              <w:kern w:val="2"/>
              <w14:ligatures w14:val="standardContextual"/>
            </w:rPr>
          </w:pPr>
          <w:hyperlink w:anchor="_Toc206669179" w:history="1">
            <w:r w:rsidRPr="00203EB0">
              <w:rPr>
                <w:rStyle w:val="Hyperlink"/>
                <w:rFonts w:ascii="Times New Roman" w:hAnsi="Times New Roman" w:cs="Times New Roman"/>
                <w:noProof/>
              </w:rPr>
              <w:t>Conclusions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_Toc206669179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159</w:t>
            </w:r>
            <w:r w:rsidRPr="00203EB0">
              <w:rPr>
                <w:rFonts w:cs="Times New Roman"/>
                <w:noProof/>
                <w:webHidden/>
              </w:rPr>
              <w:fldChar w:fldCharType="end"/>
            </w:r>
          </w:hyperlink>
        </w:p>
        <w:p w14:paraId="0FDF9D6B" w14:textId="584A3E64" w:rsidR="007C1A13" w:rsidRPr="00203EB0" w:rsidRDefault="004E6C39" w:rsidP="00D04874">
          <w:pPr>
            <w:pStyle w:val="TOC1"/>
            <w:tabs>
              <w:tab w:val="left" w:pos="480"/>
              <w:tab w:val="right" w:leader="dot" w:pos="8630"/>
            </w:tabs>
            <w:spacing w:line="480" w:lineRule="auto"/>
            <w:jc w:val="left"/>
            <w:rPr>
              <w:rFonts w:eastAsiaTheme="minorEastAsia" w:cs="Times New Roman"/>
              <w:noProof/>
              <w:kern w:val="2"/>
              <w14:ligatures w14:val="standardContextual"/>
            </w:rPr>
          </w:pPr>
          <w:r>
            <w:t xml:space="preserve">General </w:t>
          </w:r>
          <w:hyperlink w:anchor="_Toc206669180" w:history="1">
            <w:r>
              <w:rPr>
                <w:rStyle w:val="Hyperlink"/>
                <w:rFonts w:ascii="Times New Roman" w:hAnsi="Times New Roman" w:cs="Times New Roman"/>
                <w:noProof/>
              </w:rPr>
              <w:t>c</w:t>
            </w:r>
            <w:r w:rsidR="007C1A13" w:rsidRPr="00203EB0">
              <w:rPr>
                <w:rStyle w:val="Hyperlink"/>
                <w:rFonts w:ascii="Times New Roman" w:hAnsi="Times New Roman" w:cs="Times New Roman"/>
                <w:noProof/>
              </w:rPr>
              <w:t>onclusions</w:t>
            </w:r>
            <w:r w:rsidR="007C1A13" w:rsidRPr="00203EB0">
              <w:rPr>
                <w:rFonts w:cs="Times New Roman"/>
                <w:noProof/>
                <w:webHidden/>
              </w:rPr>
              <w:tab/>
            </w:r>
            <w:r w:rsidR="007C1A13" w:rsidRPr="00203EB0">
              <w:rPr>
                <w:rFonts w:cs="Times New Roman"/>
                <w:noProof/>
                <w:webHidden/>
              </w:rPr>
              <w:fldChar w:fldCharType="begin"/>
            </w:r>
            <w:r w:rsidR="007C1A13" w:rsidRPr="00203EB0">
              <w:rPr>
                <w:rFonts w:cs="Times New Roman"/>
                <w:noProof/>
                <w:webHidden/>
              </w:rPr>
              <w:instrText xml:space="preserve"> PAGEREF _Toc206669180 \h </w:instrText>
            </w:r>
            <w:r w:rsidR="007C1A13" w:rsidRPr="00203EB0">
              <w:rPr>
                <w:rFonts w:cs="Times New Roman"/>
                <w:noProof/>
                <w:webHidden/>
              </w:rPr>
            </w:r>
            <w:r w:rsidR="007C1A13" w:rsidRPr="00203EB0">
              <w:rPr>
                <w:rFonts w:cs="Times New Roman"/>
                <w:noProof/>
                <w:webHidden/>
              </w:rPr>
              <w:fldChar w:fldCharType="separate"/>
            </w:r>
            <w:r w:rsidR="00B10387">
              <w:rPr>
                <w:rFonts w:cs="Times New Roman"/>
                <w:noProof/>
                <w:webHidden/>
              </w:rPr>
              <w:t>161</w:t>
            </w:r>
            <w:r w:rsidR="007C1A13" w:rsidRPr="00203EB0">
              <w:rPr>
                <w:rFonts w:cs="Times New Roman"/>
                <w:noProof/>
                <w:webHidden/>
              </w:rPr>
              <w:fldChar w:fldCharType="end"/>
            </w:r>
          </w:hyperlink>
        </w:p>
        <w:p w14:paraId="10A6B8B0" w14:textId="0589A272" w:rsidR="007C1A13" w:rsidRPr="00203EB0" w:rsidRDefault="007C1A13" w:rsidP="00D04874">
          <w:pPr>
            <w:pStyle w:val="TOC1"/>
            <w:tabs>
              <w:tab w:val="right" w:leader="dot" w:pos="8630"/>
            </w:tabs>
            <w:spacing w:line="480" w:lineRule="auto"/>
            <w:jc w:val="left"/>
            <w:rPr>
              <w:rFonts w:eastAsiaTheme="minorEastAsia" w:cs="Times New Roman"/>
              <w:noProof/>
              <w:kern w:val="2"/>
              <w14:ligatures w14:val="standardContextual"/>
            </w:rPr>
          </w:pPr>
          <w:hyperlink w:anchor="_Toc206669181" w:history="1">
            <w:r w:rsidRPr="00203EB0">
              <w:rPr>
                <w:rStyle w:val="Hyperlink"/>
                <w:rFonts w:ascii="Times New Roman" w:hAnsi="Times New Roman" w:cs="Times New Roman"/>
                <w:noProof/>
              </w:rPr>
              <w:t>References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_Toc206669181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165</w:t>
            </w:r>
            <w:r w:rsidRPr="00203EB0">
              <w:rPr>
                <w:rFonts w:cs="Times New Roman"/>
                <w:noProof/>
                <w:webHidden/>
              </w:rPr>
              <w:fldChar w:fldCharType="end"/>
            </w:r>
          </w:hyperlink>
        </w:p>
        <w:p w14:paraId="6707EEDC" w14:textId="2D26AC15" w:rsidR="007C1A13" w:rsidRPr="00203EB0" w:rsidRDefault="007C1A13" w:rsidP="00D04874">
          <w:pPr>
            <w:pStyle w:val="TOC1"/>
            <w:tabs>
              <w:tab w:val="right" w:leader="dot" w:pos="8630"/>
            </w:tabs>
            <w:spacing w:line="480" w:lineRule="auto"/>
            <w:jc w:val="left"/>
            <w:rPr>
              <w:rFonts w:asciiTheme="minorHAnsi" w:eastAsiaTheme="minorEastAsia" w:hAnsiTheme="minorHAnsi" w:cstheme="minorBidi"/>
              <w:noProof/>
              <w:kern w:val="2"/>
              <w14:ligatures w14:val="standardContextual"/>
            </w:rPr>
          </w:pPr>
          <w:hyperlink w:anchor="_Toc206669182" w:history="1">
            <w:r w:rsidRPr="00203EB0">
              <w:rPr>
                <w:rStyle w:val="Hyperlink"/>
                <w:rFonts w:ascii="Times New Roman" w:hAnsi="Times New Roman" w:cs="Times New Roman"/>
                <w:noProof/>
              </w:rPr>
              <w:t>Vita</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_Toc206669182 \h </w:instrText>
            </w:r>
            <w:r w:rsidRPr="00203EB0">
              <w:rPr>
                <w:rFonts w:cs="Times New Roman"/>
                <w:noProof/>
                <w:webHidden/>
              </w:rPr>
            </w:r>
            <w:r w:rsidRPr="00203EB0">
              <w:rPr>
                <w:rFonts w:cs="Times New Roman"/>
                <w:noProof/>
                <w:webHidden/>
              </w:rPr>
              <w:fldChar w:fldCharType="separate"/>
            </w:r>
            <w:r w:rsidR="00B10387">
              <w:rPr>
                <w:rFonts w:cs="Times New Roman"/>
                <w:noProof/>
                <w:webHidden/>
              </w:rPr>
              <w:t>208</w:t>
            </w:r>
            <w:r w:rsidRPr="00203EB0">
              <w:rPr>
                <w:rFonts w:cs="Times New Roman"/>
                <w:noProof/>
                <w:webHidden/>
              </w:rPr>
              <w:fldChar w:fldCharType="end"/>
            </w:r>
          </w:hyperlink>
        </w:p>
        <w:p w14:paraId="00E6785B" w14:textId="3046164E" w:rsidR="00E91931" w:rsidRPr="00203EB0" w:rsidRDefault="00E91931" w:rsidP="00D04874">
          <w:pPr>
            <w:spacing w:line="480" w:lineRule="auto"/>
            <w:jc w:val="left"/>
            <w:rPr>
              <w:rFonts w:cs="Times New Roman"/>
            </w:rPr>
          </w:pPr>
          <w:r w:rsidRPr="00203EB0">
            <w:rPr>
              <w:rFonts w:cs="Times New Roman"/>
              <w:b/>
              <w:bCs/>
            </w:rPr>
            <w:fldChar w:fldCharType="end"/>
          </w:r>
        </w:p>
      </w:sdtContent>
    </w:sdt>
    <w:p w14:paraId="24A3FE32" w14:textId="77777777" w:rsidR="003F7FED" w:rsidRPr="00203EB0" w:rsidRDefault="003F7FED" w:rsidP="00D04874">
      <w:pPr>
        <w:jc w:val="left"/>
        <w:rPr>
          <w:rFonts w:cs="Times New Roman"/>
        </w:rPr>
      </w:pPr>
    </w:p>
    <w:p w14:paraId="412DA51E" w14:textId="77777777" w:rsidR="00451273" w:rsidRPr="00203EB0" w:rsidRDefault="00451273" w:rsidP="00441DFB">
      <w:pPr>
        <w:spacing w:line="480" w:lineRule="auto"/>
        <w:jc w:val="center"/>
        <w:rPr>
          <w:rFonts w:cs="Times New Roman"/>
          <w:b/>
          <w:bCs/>
        </w:rPr>
      </w:pPr>
    </w:p>
    <w:p w14:paraId="7EA38407" w14:textId="77777777" w:rsidR="00451273" w:rsidRPr="00203EB0" w:rsidRDefault="00451273" w:rsidP="00441DFB">
      <w:pPr>
        <w:spacing w:line="480" w:lineRule="auto"/>
        <w:jc w:val="center"/>
        <w:rPr>
          <w:rFonts w:cs="Times New Roman"/>
          <w:b/>
          <w:bCs/>
        </w:rPr>
      </w:pPr>
    </w:p>
    <w:p w14:paraId="257E2CC2" w14:textId="77777777" w:rsidR="00451273" w:rsidRPr="00203EB0" w:rsidRDefault="00451273" w:rsidP="00441DFB">
      <w:pPr>
        <w:spacing w:line="480" w:lineRule="auto"/>
        <w:jc w:val="center"/>
        <w:rPr>
          <w:rFonts w:cs="Times New Roman"/>
          <w:b/>
          <w:bCs/>
        </w:rPr>
      </w:pPr>
    </w:p>
    <w:p w14:paraId="187E8FED" w14:textId="77777777" w:rsidR="00451273" w:rsidRPr="00203EB0" w:rsidRDefault="00451273" w:rsidP="00441DFB">
      <w:pPr>
        <w:spacing w:line="480" w:lineRule="auto"/>
        <w:jc w:val="center"/>
        <w:rPr>
          <w:rFonts w:cs="Times New Roman"/>
          <w:b/>
          <w:bCs/>
        </w:rPr>
      </w:pPr>
    </w:p>
    <w:p w14:paraId="00F2CD5F" w14:textId="77777777" w:rsidR="00451273" w:rsidRPr="00203EB0" w:rsidRDefault="00451273" w:rsidP="00441DFB">
      <w:pPr>
        <w:spacing w:line="480" w:lineRule="auto"/>
        <w:jc w:val="center"/>
        <w:rPr>
          <w:rFonts w:cs="Times New Roman"/>
          <w:b/>
          <w:bCs/>
        </w:rPr>
      </w:pPr>
    </w:p>
    <w:p w14:paraId="64271DF7" w14:textId="77777777" w:rsidR="00451273" w:rsidRPr="00203EB0" w:rsidRDefault="00451273" w:rsidP="00441DFB">
      <w:pPr>
        <w:spacing w:line="480" w:lineRule="auto"/>
        <w:jc w:val="center"/>
        <w:rPr>
          <w:rFonts w:cs="Times New Roman"/>
          <w:b/>
          <w:bCs/>
        </w:rPr>
      </w:pPr>
    </w:p>
    <w:p w14:paraId="046F6D77" w14:textId="77777777" w:rsidR="00B35119" w:rsidRPr="00203EB0" w:rsidRDefault="00B35119" w:rsidP="004C0222">
      <w:pPr>
        <w:spacing w:line="480" w:lineRule="auto"/>
        <w:rPr>
          <w:rFonts w:cs="Times New Roman"/>
          <w:b/>
          <w:bCs/>
        </w:rPr>
      </w:pPr>
    </w:p>
    <w:p w14:paraId="7FC91753" w14:textId="77777777" w:rsidR="00AE1B19" w:rsidRPr="00203EB0" w:rsidRDefault="00AE1B19" w:rsidP="004C0222">
      <w:pPr>
        <w:spacing w:line="480" w:lineRule="auto"/>
        <w:rPr>
          <w:rFonts w:cs="Times New Roman"/>
          <w:b/>
          <w:bCs/>
        </w:rPr>
      </w:pPr>
    </w:p>
    <w:p w14:paraId="47D4CC6D" w14:textId="77777777" w:rsidR="00AF3355" w:rsidRPr="00203EB0" w:rsidRDefault="00AF3355" w:rsidP="004C0222">
      <w:pPr>
        <w:spacing w:line="480" w:lineRule="auto"/>
        <w:rPr>
          <w:rFonts w:cs="Times New Roman"/>
          <w:b/>
          <w:bCs/>
        </w:rPr>
      </w:pPr>
    </w:p>
    <w:p w14:paraId="0A57B344" w14:textId="77777777" w:rsidR="00451273" w:rsidRPr="00203EB0" w:rsidRDefault="00451273" w:rsidP="00441DFB">
      <w:pPr>
        <w:spacing w:line="480" w:lineRule="auto"/>
        <w:jc w:val="center"/>
        <w:rPr>
          <w:rFonts w:cs="Times New Roman"/>
          <w:b/>
          <w:bCs/>
        </w:rPr>
      </w:pPr>
    </w:p>
    <w:p w14:paraId="59ADA2C4" w14:textId="4BB56E5D" w:rsidR="00236E6D" w:rsidRPr="00203EB0" w:rsidRDefault="00236E6D" w:rsidP="00441DFB">
      <w:pPr>
        <w:spacing w:line="480" w:lineRule="auto"/>
        <w:jc w:val="center"/>
        <w:rPr>
          <w:rFonts w:cs="Times New Roman"/>
          <w:b/>
          <w:bCs/>
        </w:rPr>
      </w:pPr>
      <w:r w:rsidRPr="00203EB0">
        <w:rPr>
          <w:rFonts w:cs="Times New Roman"/>
          <w:b/>
          <w:bCs/>
        </w:rPr>
        <w:lastRenderedPageBreak/>
        <w:t>LIST OF TABLE</w:t>
      </w:r>
      <w:r w:rsidR="00441DFB" w:rsidRPr="00203EB0">
        <w:rPr>
          <w:rFonts w:cs="Times New Roman"/>
          <w:b/>
          <w:bCs/>
        </w:rPr>
        <w:t>S</w:t>
      </w:r>
    </w:p>
    <w:p w14:paraId="0436CF5B" w14:textId="6196BA1B" w:rsidR="00AF3355" w:rsidRPr="00203EB0" w:rsidRDefault="00665C7E" w:rsidP="00D04874">
      <w:pPr>
        <w:pStyle w:val="TableofFigures"/>
        <w:tabs>
          <w:tab w:val="right" w:leader="dot" w:pos="8630"/>
        </w:tabs>
        <w:spacing w:line="480" w:lineRule="auto"/>
        <w:jc w:val="left"/>
        <w:rPr>
          <w:rFonts w:eastAsiaTheme="minorEastAsia" w:cs="Times New Roman"/>
          <w:noProof/>
          <w:kern w:val="2"/>
          <w14:ligatures w14:val="standardContextual"/>
        </w:rPr>
      </w:pPr>
      <w:r w:rsidRPr="00203EB0">
        <w:rPr>
          <w:rFonts w:cs="Times New Roman"/>
        </w:rPr>
        <w:fldChar w:fldCharType="begin"/>
      </w:r>
      <w:r w:rsidR="00236E6D" w:rsidRPr="00203EB0">
        <w:rPr>
          <w:rFonts w:cs="Times New Roman"/>
        </w:rPr>
        <w:instrText xml:space="preserve"> TOC \h \z \c "Table" </w:instrText>
      </w:r>
      <w:r w:rsidRPr="00203EB0">
        <w:rPr>
          <w:rFonts w:cs="Times New Roman"/>
        </w:rPr>
        <w:fldChar w:fldCharType="separate"/>
      </w:r>
      <w:hyperlink w:anchor="_Toc206669217" w:history="1">
        <w:r w:rsidR="00AF3355" w:rsidRPr="00203EB0">
          <w:rPr>
            <w:rStyle w:val="Hyperlink"/>
            <w:rFonts w:ascii="Times New Roman" w:hAnsi="Times New Roman" w:cs="Times New Roman"/>
            <w:b/>
            <w:bCs/>
            <w:noProof/>
          </w:rPr>
          <w:t>Table 2.1:</w:t>
        </w:r>
        <w:r w:rsidR="00AF3355" w:rsidRPr="00203EB0">
          <w:rPr>
            <w:rStyle w:val="Hyperlink"/>
            <w:rFonts w:ascii="Times New Roman" w:hAnsi="Times New Roman" w:cs="Times New Roman"/>
            <w:noProof/>
          </w:rPr>
          <w:t xml:space="preserve"> Effect of nitrogen fertilization rate and tillage on nitrogen sources in hairy vetch, expressed as the amount of nitrogen (kg N) per </w:t>
        </w:r>
        <w:r w:rsidR="006220D1">
          <w:rPr>
            <w:rStyle w:val="Hyperlink"/>
            <w:rFonts w:ascii="Times New Roman" w:hAnsi="Times New Roman" w:cs="Times New Roman"/>
            <w:noProof/>
          </w:rPr>
          <w:t>Mg</w:t>
        </w:r>
        <w:r w:rsidR="00AF3355" w:rsidRPr="00203EB0">
          <w:rPr>
            <w:rStyle w:val="Hyperlink"/>
            <w:rFonts w:ascii="Times New Roman" w:hAnsi="Times New Roman" w:cs="Times New Roman"/>
            <w:noProof/>
          </w:rPr>
          <w:t xml:space="preserve"> of dry matter in plant biomass.</w:t>
        </w:r>
        <w:r w:rsidR="00AF3355" w:rsidRPr="00203EB0">
          <w:rPr>
            <w:rFonts w:cs="Times New Roman"/>
            <w:noProof/>
            <w:webHidden/>
          </w:rPr>
          <w:tab/>
        </w:r>
        <w:r w:rsidR="00AF3355" w:rsidRPr="00203EB0">
          <w:rPr>
            <w:rFonts w:cs="Times New Roman"/>
            <w:noProof/>
            <w:webHidden/>
          </w:rPr>
          <w:fldChar w:fldCharType="begin"/>
        </w:r>
        <w:r w:rsidR="00AF3355" w:rsidRPr="00203EB0">
          <w:rPr>
            <w:rFonts w:cs="Times New Roman"/>
            <w:noProof/>
            <w:webHidden/>
          </w:rPr>
          <w:instrText xml:space="preserve"> PAGEREF _Toc206669217 \h </w:instrText>
        </w:r>
        <w:r w:rsidR="00AF3355" w:rsidRPr="00203EB0">
          <w:rPr>
            <w:rFonts w:cs="Times New Roman"/>
            <w:noProof/>
            <w:webHidden/>
          </w:rPr>
        </w:r>
        <w:r w:rsidR="00AF3355" w:rsidRPr="00203EB0">
          <w:rPr>
            <w:rFonts w:cs="Times New Roman"/>
            <w:noProof/>
            <w:webHidden/>
          </w:rPr>
          <w:fldChar w:fldCharType="separate"/>
        </w:r>
        <w:r w:rsidR="00C55F6B">
          <w:rPr>
            <w:rFonts w:cs="Times New Roman"/>
            <w:noProof/>
            <w:webHidden/>
          </w:rPr>
          <w:t>16</w:t>
        </w:r>
        <w:r w:rsidR="00AF3355" w:rsidRPr="00203EB0">
          <w:rPr>
            <w:rFonts w:cs="Times New Roman"/>
            <w:noProof/>
            <w:webHidden/>
          </w:rPr>
          <w:fldChar w:fldCharType="end"/>
        </w:r>
      </w:hyperlink>
    </w:p>
    <w:p w14:paraId="45BD7621" w14:textId="21AB6D8D"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18" w:history="1">
        <w:r w:rsidRPr="00203EB0">
          <w:rPr>
            <w:rStyle w:val="Hyperlink"/>
            <w:rFonts w:ascii="Times New Roman" w:hAnsi="Times New Roman" w:cs="Times New Roman"/>
            <w:b/>
            <w:bCs/>
            <w:noProof/>
          </w:rPr>
          <w:t>Table 2.2:</w:t>
        </w:r>
        <w:r w:rsidRPr="00203EB0">
          <w:rPr>
            <w:rStyle w:val="Hyperlink"/>
            <w:rFonts w:ascii="Times New Roman" w:hAnsi="Times New Roman" w:cs="Times New Roman"/>
            <w:noProof/>
          </w:rPr>
          <w:t xml:space="preserve"> Loadings of response variables on the first two RDA axes (RDA1 and RDA2). Values represent the contribution (correlation coefficients) of each variable to the constrained ordination space. Higher absolute values indicate stronger influence on the corresponding axis. Loadings were derived from PCA performed on the fitted values of the multivariate linear model constrained by Tillage, Fertilization, Block, and Year.</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_Toc206669218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18</w:t>
        </w:r>
        <w:r w:rsidRPr="00203EB0">
          <w:rPr>
            <w:rFonts w:cs="Times New Roman"/>
            <w:noProof/>
            <w:webHidden/>
          </w:rPr>
          <w:fldChar w:fldCharType="end"/>
        </w:r>
      </w:hyperlink>
    </w:p>
    <w:p w14:paraId="10699FF1" w14:textId="531442FC"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19" w:history="1">
        <w:r w:rsidRPr="00203EB0">
          <w:rPr>
            <w:rStyle w:val="Hyperlink"/>
            <w:rFonts w:ascii="Times New Roman" w:hAnsi="Times New Roman" w:cs="Times New Roman"/>
            <w:b/>
            <w:bCs/>
            <w:noProof/>
          </w:rPr>
          <w:t>Table 3.1:</w:t>
        </w:r>
        <w:r w:rsidRPr="00203EB0">
          <w:rPr>
            <w:rStyle w:val="Hyperlink"/>
            <w:rFonts w:ascii="Times New Roman" w:hAnsi="Times New Roman" w:cs="Times New Roman"/>
            <w:noProof/>
          </w:rPr>
          <w:t xml:space="preserve"> Average soil oxygen concentration and cumulative hours under soil oxygen &lt;10% throughout the growing season, July, and August (1st-15th) in response to long-term tillage and cover cropping.</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_Toc206669219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28</w:t>
        </w:r>
        <w:r w:rsidRPr="00203EB0">
          <w:rPr>
            <w:rFonts w:cs="Times New Roman"/>
            <w:noProof/>
            <w:webHidden/>
          </w:rPr>
          <w:fldChar w:fldCharType="end"/>
        </w:r>
      </w:hyperlink>
    </w:p>
    <w:p w14:paraId="3F298CC2" w14:textId="6EB07426"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20" w:history="1">
        <w:r w:rsidRPr="00203EB0">
          <w:rPr>
            <w:rStyle w:val="Hyperlink"/>
            <w:rFonts w:ascii="Times New Roman" w:hAnsi="Times New Roman" w:cs="Times New Roman"/>
            <w:b/>
            <w:bCs/>
            <w:noProof/>
          </w:rPr>
          <w:t>Table 4.1:</w:t>
        </w:r>
        <w:r w:rsidRPr="00203EB0">
          <w:rPr>
            <w:rStyle w:val="Hyperlink"/>
            <w:rFonts w:ascii="Times New Roman" w:hAnsi="Times New Roman" w:cs="Times New Roman"/>
            <w:noProof/>
          </w:rPr>
          <w:t xml:space="preserve"> Cumulative CO</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 emissions from all eight treatments after 21-day incubation.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_Toc206669220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52</w:t>
        </w:r>
        <w:r w:rsidRPr="00203EB0">
          <w:rPr>
            <w:rFonts w:cs="Times New Roman"/>
            <w:noProof/>
            <w:webHidden/>
          </w:rPr>
          <w:fldChar w:fldCharType="end"/>
        </w:r>
      </w:hyperlink>
    </w:p>
    <w:p w14:paraId="3809CEC3" w14:textId="71339F51"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21" w:history="1">
        <w:r w:rsidRPr="00203EB0">
          <w:rPr>
            <w:rStyle w:val="Hyperlink"/>
            <w:rFonts w:ascii="Times New Roman" w:hAnsi="Times New Roman" w:cs="Times New Roman"/>
            <w:b/>
            <w:bCs/>
            <w:noProof/>
          </w:rPr>
          <w:t>Table 4.2:</w:t>
        </w:r>
        <w:r w:rsidRPr="00203EB0">
          <w:rPr>
            <w:rStyle w:val="Hyperlink"/>
            <w:rFonts w:ascii="Times New Roman" w:hAnsi="Times New Roman" w:cs="Times New Roman"/>
            <w:noProof/>
          </w:rPr>
          <w:t xml:space="preserve"> Nitrate (</w:t>
        </w:r>
        <m:oMath>
          <m:r>
            <m:rPr>
              <m:sty m:val="p"/>
            </m:rPr>
            <w:rPr>
              <w:rStyle w:val="Hyperlink"/>
              <w:rFonts w:ascii="Cambria Math" w:hAnsi="Cambria Math" w:cs="Times New Roman"/>
              <w:noProof/>
            </w:rPr>
            <m:t>NO3-</m:t>
          </m:r>
        </m:oMath>
        <w:r w:rsidRPr="00203EB0">
          <w:rPr>
            <w:rStyle w:val="Hyperlink"/>
            <w:rFonts w:ascii="Times New Roman" w:hAnsi="Times New Roman" w:cs="Times New Roman"/>
            <w:noProof/>
          </w:rPr>
          <w:t>) and ammonium (</w:t>
        </w:r>
        <m:oMath>
          <m:r>
            <m:rPr>
              <m:sty m:val="p"/>
            </m:rPr>
            <w:rPr>
              <w:rStyle w:val="Hyperlink"/>
              <w:rFonts w:ascii="Cambria Math" w:hAnsi="Cambria Math" w:cs="Times New Roman"/>
              <w:noProof/>
            </w:rPr>
            <m:t>NH4+</m:t>
          </m:r>
        </m:oMath>
        <w:r w:rsidRPr="00203EB0">
          <w:rPr>
            <w:rStyle w:val="Hyperlink"/>
            <w:rFonts w:ascii="Times New Roman" w:hAnsi="Times New Roman" w:cs="Times New Roman"/>
            <w:noProof/>
          </w:rPr>
          <w:t>) concentration over the incubation period for four cover crop treatments at 50% and 80% WFPS.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_Toc206669221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59</w:t>
        </w:r>
        <w:r w:rsidRPr="00203EB0">
          <w:rPr>
            <w:rFonts w:cs="Times New Roman"/>
            <w:noProof/>
            <w:webHidden/>
          </w:rPr>
          <w:fldChar w:fldCharType="end"/>
        </w:r>
      </w:hyperlink>
    </w:p>
    <w:p w14:paraId="6B4DD1F9" w14:textId="4AB49626"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22" w:history="1">
        <w:r w:rsidRPr="00203EB0">
          <w:rPr>
            <w:rStyle w:val="Hyperlink"/>
            <w:rFonts w:ascii="Times New Roman" w:hAnsi="Times New Roman" w:cs="Times New Roman"/>
            <w:b/>
            <w:bCs/>
            <w:noProof/>
          </w:rPr>
          <w:t>Table 4.3:</w:t>
        </w:r>
        <w:r w:rsidRPr="00203EB0">
          <w:rPr>
            <w:rStyle w:val="Hyperlink"/>
            <w:rFonts w:ascii="Times New Roman" w:hAnsi="Times New Roman" w:cs="Times New Roman"/>
            <w:noProof/>
          </w:rPr>
          <w:t xml:space="preserve"> Soil permanganate oxidizable carbon (POXC) over the incubation period for four cover crop treatments at 50% and 80% WFPS.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_Toc206669222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60</w:t>
        </w:r>
        <w:r w:rsidRPr="00203EB0">
          <w:rPr>
            <w:rFonts w:cs="Times New Roman"/>
            <w:noProof/>
            <w:webHidden/>
          </w:rPr>
          <w:fldChar w:fldCharType="end"/>
        </w:r>
      </w:hyperlink>
    </w:p>
    <w:p w14:paraId="237D3412" w14:textId="13CA0A9C"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23" w:history="1">
        <w:r w:rsidRPr="00203EB0">
          <w:rPr>
            <w:rStyle w:val="Hyperlink"/>
            <w:rFonts w:ascii="Times New Roman" w:hAnsi="Times New Roman" w:cs="Times New Roman"/>
            <w:b/>
            <w:bCs/>
            <w:noProof/>
          </w:rPr>
          <w:t>Table 4.4:</w:t>
        </w:r>
        <w:r w:rsidRPr="00203EB0">
          <w:rPr>
            <w:rStyle w:val="Hyperlink"/>
            <w:rFonts w:ascii="Times New Roman" w:hAnsi="Times New Roman" w:cs="Times New Roman"/>
            <w:noProof/>
          </w:rPr>
          <w:t xml:space="preserve"> Features importance to predict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under 50% and 80% WFPS conditions as predicted by the Random Forest. Model R</w:t>
        </w:r>
        <w:r w:rsidRPr="00203EB0">
          <w:rPr>
            <w:rStyle w:val="Hyperlink"/>
            <w:rFonts w:ascii="Times New Roman" w:hAnsi="Times New Roman" w:cs="Times New Roman"/>
            <w:noProof/>
            <w:vertAlign w:val="superscript"/>
          </w:rPr>
          <w:t xml:space="preserve">2 </w:t>
        </w:r>
        <w:r w:rsidRPr="00203EB0">
          <w:rPr>
            <w:rStyle w:val="Hyperlink"/>
            <w:rFonts w:ascii="Times New Roman" w:hAnsi="Times New Roman" w:cs="Times New Roman"/>
            <w:noProof/>
          </w:rPr>
          <w:t>value indicates variability explained on the test data set.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_Toc206669223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61</w:t>
        </w:r>
        <w:r w:rsidRPr="00203EB0">
          <w:rPr>
            <w:rFonts w:cs="Times New Roman"/>
            <w:noProof/>
            <w:webHidden/>
          </w:rPr>
          <w:fldChar w:fldCharType="end"/>
        </w:r>
      </w:hyperlink>
    </w:p>
    <w:p w14:paraId="15435EB3" w14:textId="7E7F5B10"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24" w:history="1">
        <w:r w:rsidRPr="00203EB0">
          <w:rPr>
            <w:rStyle w:val="Hyperlink"/>
            <w:rFonts w:ascii="Times New Roman" w:hAnsi="Times New Roman" w:cs="Times New Roman"/>
            <w:b/>
            <w:noProof/>
          </w:rPr>
          <w:t>Table 5.1:</w:t>
        </w:r>
        <w:r w:rsidRPr="00203EB0">
          <w:rPr>
            <w:rStyle w:val="Hyperlink"/>
            <w:rFonts w:ascii="Times New Roman" w:hAnsi="Times New Roman" w:cs="Times New Roman"/>
            <w:noProof/>
          </w:rPr>
          <w:t xml:space="preserve"> Four-way factorial PERMANOVA results for soil microbial community composition (846 taxa) across depths (0-10 and 10-20 cm), based on Bray-Curtis dissimilarities of relative abundances. Shown are pseudo-F statistics, degrees of freedom (total df =153 for 0-10 cm and 109 for 10-20 cm), p-values, and partial omega-squared effect sizes for significant factors.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_Toc206669224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89</w:t>
        </w:r>
        <w:r w:rsidRPr="00203EB0">
          <w:rPr>
            <w:rFonts w:cs="Times New Roman"/>
            <w:noProof/>
            <w:webHidden/>
          </w:rPr>
          <w:fldChar w:fldCharType="end"/>
        </w:r>
      </w:hyperlink>
    </w:p>
    <w:p w14:paraId="5494A96E" w14:textId="767286B6"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25" w:history="1">
        <w:r w:rsidRPr="00203EB0">
          <w:rPr>
            <w:rStyle w:val="Hyperlink"/>
            <w:rFonts w:ascii="Times New Roman" w:hAnsi="Times New Roman" w:cs="Times New Roman"/>
            <w:b/>
            <w:bCs/>
            <w:noProof/>
          </w:rPr>
          <w:t>Table 5.2:</w:t>
        </w:r>
        <w:r w:rsidRPr="00203EB0">
          <w:rPr>
            <w:rStyle w:val="Hyperlink"/>
            <w:rFonts w:ascii="Times New Roman" w:hAnsi="Times New Roman" w:cs="Times New Roman"/>
            <w:noProof/>
          </w:rPr>
          <w:t xml:space="preserve"> Taxonomic classification of top ten microbial taxa identified by the random forest analysis across soil depths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_Toc206669225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96</w:t>
        </w:r>
        <w:r w:rsidRPr="00203EB0">
          <w:rPr>
            <w:rFonts w:cs="Times New Roman"/>
            <w:noProof/>
            <w:webHidden/>
          </w:rPr>
          <w:fldChar w:fldCharType="end"/>
        </w:r>
      </w:hyperlink>
    </w:p>
    <w:p w14:paraId="6634C7D6" w14:textId="7870D11F"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26" w:history="1">
        <w:r w:rsidRPr="00203EB0">
          <w:rPr>
            <w:rStyle w:val="Hyperlink"/>
            <w:rFonts w:ascii="Times New Roman" w:hAnsi="Times New Roman" w:cs="Times New Roman"/>
            <w:b/>
            <w:bCs/>
            <w:noProof/>
          </w:rPr>
          <w:t>Table 5.3:</w:t>
        </w:r>
        <w:r w:rsidRPr="00203EB0">
          <w:rPr>
            <w:rStyle w:val="Hyperlink"/>
            <w:rFonts w:ascii="Times New Roman" w:hAnsi="Times New Roman" w:cs="Times New Roman"/>
            <w:noProof/>
          </w:rPr>
          <w:t xml:space="preserve"> Effects of management practices and sampling time-point on the relative abundance of microbial taxa associated with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O emissions in the 0-10 cm soil layer. F-test statistics are shown, with significance levels indicated as follows: * 0.05 &lt; P </w:t>
        </w:r>
        <m:oMath>
          <m:r>
            <w:rPr>
              <w:rStyle w:val="Hyperlink"/>
              <w:rFonts w:ascii="Cambria Math" w:hAnsi="Cambria Math" w:cs="Times New Roman"/>
              <w:noProof/>
            </w:rPr>
            <m:t>≤</m:t>
          </m:r>
        </m:oMath>
        <w:r w:rsidRPr="00203EB0">
          <w:rPr>
            <w:rStyle w:val="Hyperlink"/>
            <w:rFonts w:ascii="Times New Roman" w:hAnsi="Times New Roman" w:cs="Times New Roman"/>
            <w:noProof/>
          </w:rPr>
          <w:t xml:space="preserve"> 0.10, ** 0.001 &lt; P </w:t>
        </w:r>
        <m:oMath>
          <m:r>
            <w:rPr>
              <w:rStyle w:val="Hyperlink"/>
              <w:rFonts w:ascii="Cambria Math" w:hAnsi="Cambria Math" w:cs="Times New Roman"/>
              <w:noProof/>
            </w:rPr>
            <m:t>≤</m:t>
          </m:r>
        </m:oMath>
        <w:r w:rsidRPr="00203EB0">
          <w:rPr>
            <w:rStyle w:val="Hyperlink"/>
            <w:rFonts w:ascii="Times New Roman" w:hAnsi="Times New Roman" w:cs="Times New Roman"/>
            <w:noProof/>
          </w:rPr>
          <w:t xml:space="preserve"> 0.05, *** P </w:t>
        </w:r>
        <m:oMath>
          <m:r>
            <w:rPr>
              <w:rStyle w:val="Hyperlink"/>
              <w:rFonts w:ascii="Cambria Math" w:hAnsi="Cambria Math" w:cs="Times New Roman"/>
              <w:noProof/>
            </w:rPr>
            <m:t>≤</m:t>
          </m:r>
        </m:oMath>
        <w:r w:rsidRPr="00203EB0">
          <w:rPr>
            <w:rStyle w:val="Hyperlink"/>
            <w:rFonts w:ascii="Times New Roman" w:hAnsi="Times New Roman" w:cs="Times New Roman"/>
            <w:noProof/>
          </w:rPr>
          <w:t xml:space="preserve"> 0.001, and NS (not significant) P &gt; 0.10. When significant, the direction of relative abundance shifts is indicated based on Tukey’s HSD test.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_Toc206669226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100</w:t>
        </w:r>
        <w:r w:rsidRPr="00203EB0">
          <w:rPr>
            <w:rFonts w:cs="Times New Roman"/>
            <w:noProof/>
            <w:webHidden/>
          </w:rPr>
          <w:fldChar w:fldCharType="end"/>
        </w:r>
      </w:hyperlink>
    </w:p>
    <w:p w14:paraId="11E345A5" w14:textId="57A1DFAA"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27" w:history="1">
        <w:r w:rsidRPr="00203EB0">
          <w:rPr>
            <w:rStyle w:val="Hyperlink"/>
            <w:rFonts w:ascii="Times New Roman" w:hAnsi="Times New Roman" w:cs="Times New Roman"/>
            <w:b/>
            <w:bCs/>
            <w:noProof/>
          </w:rPr>
          <w:t>Table 5.4:</w:t>
        </w:r>
        <w:r w:rsidRPr="00203EB0">
          <w:rPr>
            <w:rStyle w:val="Hyperlink"/>
            <w:rFonts w:ascii="Times New Roman" w:hAnsi="Times New Roman" w:cs="Times New Roman"/>
            <w:noProof/>
          </w:rPr>
          <w:t xml:space="preserve"> Effects of management practices and sampling time-point on the relative abundance of microbial taxa associated with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O emissions in the 10-20 cm soil layer. F-test statistics are shown, with significance levels indicated as follows: * 0.05 &lt; P </w:t>
        </w:r>
        <m:oMath>
          <m:r>
            <w:rPr>
              <w:rStyle w:val="Hyperlink"/>
              <w:rFonts w:ascii="Cambria Math" w:hAnsi="Cambria Math" w:cs="Times New Roman"/>
              <w:noProof/>
            </w:rPr>
            <m:t>≤</m:t>
          </m:r>
        </m:oMath>
        <w:r w:rsidRPr="00203EB0">
          <w:rPr>
            <w:rStyle w:val="Hyperlink"/>
            <w:rFonts w:ascii="Times New Roman" w:hAnsi="Times New Roman" w:cs="Times New Roman"/>
            <w:noProof/>
          </w:rPr>
          <w:t xml:space="preserve"> 0.10, ** 0.001 &lt; P </w:t>
        </w:r>
        <m:oMath>
          <m:r>
            <w:rPr>
              <w:rStyle w:val="Hyperlink"/>
              <w:rFonts w:ascii="Cambria Math" w:hAnsi="Cambria Math" w:cs="Times New Roman"/>
              <w:noProof/>
            </w:rPr>
            <m:t>≤</m:t>
          </m:r>
        </m:oMath>
        <w:r w:rsidRPr="00203EB0">
          <w:rPr>
            <w:rStyle w:val="Hyperlink"/>
            <w:rFonts w:ascii="Times New Roman" w:hAnsi="Times New Roman" w:cs="Times New Roman"/>
            <w:noProof/>
          </w:rPr>
          <w:t xml:space="preserve"> 0.05, *** P </w:t>
        </w:r>
        <m:oMath>
          <m:r>
            <w:rPr>
              <w:rStyle w:val="Hyperlink"/>
              <w:rFonts w:ascii="Cambria Math" w:hAnsi="Cambria Math" w:cs="Times New Roman"/>
              <w:noProof/>
            </w:rPr>
            <m:t>≤</m:t>
          </m:r>
        </m:oMath>
        <w:r w:rsidRPr="00203EB0">
          <w:rPr>
            <w:rStyle w:val="Hyperlink"/>
            <w:rFonts w:ascii="Times New Roman" w:hAnsi="Times New Roman" w:cs="Times New Roman"/>
            <w:noProof/>
          </w:rPr>
          <w:t xml:space="preserve"> 0.001, and NS (not significant) P &gt; 0.10. When significant, the direction of relative abundance shifts is indicated based on Tukey’s HSD test.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_Toc206669227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102</w:t>
        </w:r>
        <w:r w:rsidRPr="00203EB0">
          <w:rPr>
            <w:rFonts w:cs="Times New Roman"/>
            <w:noProof/>
            <w:webHidden/>
          </w:rPr>
          <w:fldChar w:fldCharType="end"/>
        </w:r>
      </w:hyperlink>
    </w:p>
    <w:p w14:paraId="56F389CE" w14:textId="5BEE7CCB"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28" w:history="1">
        <w:r w:rsidRPr="00203EB0">
          <w:rPr>
            <w:rStyle w:val="Hyperlink"/>
            <w:rFonts w:ascii="Times New Roman" w:hAnsi="Times New Roman" w:cs="Times New Roman"/>
            <w:b/>
            <w:bCs/>
            <w:noProof/>
          </w:rPr>
          <w:t>Table 5.5:</w:t>
        </w:r>
        <w:r w:rsidRPr="00203EB0">
          <w:rPr>
            <w:rStyle w:val="Hyperlink"/>
            <w:rFonts w:ascii="Times New Roman" w:hAnsi="Times New Roman" w:cs="Times New Roman"/>
            <w:noProof/>
          </w:rPr>
          <w:t xml:space="preserve"> Functional annotation of microbial taxa associated with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based on FAPROTAX database and additional literature sources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_Toc206669228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103</w:t>
        </w:r>
        <w:r w:rsidRPr="00203EB0">
          <w:rPr>
            <w:rFonts w:cs="Times New Roman"/>
            <w:noProof/>
            <w:webHidden/>
          </w:rPr>
          <w:fldChar w:fldCharType="end"/>
        </w:r>
      </w:hyperlink>
    </w:p>
    <w:p w14:paraId="57FA8CE2" w14:textId="2A0CF75B"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29" w:history="1">
        <w:r w:rsidRPr="00203EB0">
          <w:rPr>
            <w:rStyle w:val="Hyperlink"/>
            <w:rFonts w:ascii="Times New Roman" w:hAnsi="Times New Roman" w:cs="Times New Roman"/>
            <w:b/>
            <w:bCs/>
            <w:noProof/>
          </w:rPr>
          <w:t>Table 6.1:</w:t>
        </w:r>
        <w:r w:rsidRPr="00203EB0">
          <w:rPr>
            <w:rStyle w:val="Hyperlink"/>
            <w:rFonts w:ascii="Times New Roman" w:hAnsi="Times New Roman" w:cs="Times New Roman"/>
            <w:noProof/>
          </w:rPr>
          <w:t xml:space="preserve"> Optimized hyperparameters for each model following tuning process.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_Toc206669229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130</w:t>
        </w:r>
        <w:r w:rsidRPr="00203EB0">
          <w:rPr>
            <w:rFonts w:cs="Times New Roman"/>
            <w:noProof/>
            <w:webHidden/>
          </w:rPr>
          <w:fldChar w:fldCharType="end"/>
        </w:r>
      </w:hyperlink>
    </w:p>
    <w:p w14:paraId="41FBAD44" w14:textId="3EC8665E"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30" w:history="1">
        <w:r w:rsidRPr="00203EB0">
          <w:rPr>
            <w:rStyle w:val="Hyperlink"/>
            <w:rFonts w:ascii="Times New Roman" w:hAnsi="Times New Roman" w:cs="Times New Roman"/>
            <w:b/>
            <w:bCs/>
            <w:noProof/>
          </w:rPr>
          <w:t>Table 6.2:</w:t>
        </w:r>
        <w:r w:rsidRPr="00203EB0">
          <w:rPr>
            <w:rStyle w:val="Hyperlink"/>
            <w:rFonts w:ascii="Times New Roman" w:hAnsi="Times New Roman" w:cs="Times New Roman"/>
            <w:noProof/>
          </w:rPr>
          <w:t xml:space="preserve"> Hyperparameters for HBOS Outlier Detection Algorithm</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_Toc206669230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132</w:t>
        </w:r>
        <w:r w:rsidRPr="00203EB0">
          <w:rPr>
            <w:rFonts w:cs="Times New Roman"/>
            <w:noProof/>
            <w:webHidden/>
          </w:rPr>
          <w:fldChar w:fldCharType="end"/>
        </w:r>
      </w:hyperlink>
    </w:p>
    <w:p w14:paraId="6F32EA82" w14:textId="4E1B4D90"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31" w:history="1">
        <w:r w:rsidRPr="00203EB0">
          <w:rPr>
            <w:rStyle w:val="Hyperlink"/>
            <w:rFonts w:ascii="Times New Roman" w:hAnsi="Times New Roman" w:cs="Times New Roman"/>
            <w:b/>
            <w:bCs/>
            <w:noProof/>
          </w:rPr>
          <w:t>Table 6.3:</w:t>
        </w:r>
        <w:r w:rsidRPr="00203EB0">
          <w:rPr>
            <w:rStyle w:val="Hyperlink"/>
            <w:rFonts w:ascii="Times New Roman" w:hAnsi="Times New Roman" w:cs="Times New Roman"/>
            <w:noProof/>
          </w:rPr>
          <w:t xml:space="preserve"> Performance metrics of all models evaluated using the 2022 independent validation dataset.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_Toc206669231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145</w:t>
        </w:r>
        <w:r w:rsidRPr="00203EB0">
          <w:rPr>
            <w:rFonts w:cs="Times New Roman"/>
            <w:noProof/>
            <w:webHidden/>
          </w:rPr>
          <w:fldChar w:fldCharType="end"/>
        </w:r>
      </w:hyperlink>
    </w:p>
    <w:p w14:paraId="0F5B7125" w14:textId="006D9DA3"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32" w:history="1">
        <w:r w:rsidRPr="00203EB0">
          <w:rPr>
            <w:rStyle w:val="Hyperlink"/>
            <w:rFonts w:ascii="Times New Roman" w:hAnsi="Times New Roman" w:cs="Times New Roman"/>
            <w:b/>
            <w:bCs/>
            <w:noProof/>
          </w:rPr>
          <w:t>Table 6.4:</w:t>
        </w:r>
        <w:r w:rsidRPr="00203EB0">
          <w:rPr>
            <w:rStyle w:val="Hyperlink"/>
            <w:rFonts w:ascii="Times New Roman" w:hAnsi="Times New Roman" w:cs="Times New Roman"/>
            <w:noProof/>
          </w:rPr>
          <w:t xml:space="preserve"> Performance metrics of all models evaluated using the 2023 training dataset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_Toc206669232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145</w:t>
        </w:r>
        <w:r w:rsidRPr="00203EB0">
          <w:rPr>
            <w:rFonts w:cs="Times New Roman"/>
            <w:noProof/>
            <w:webHidden/>
          </w:rPr>
          <w:fldChar w:fldCharType="end"/>
        </w:r>
      </w:hyperlink>
    </w:p>
    <w:p w14:paraId="42104BEB" w14:textId="620C6993"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33" w:history="1">
        <w:r w:rsidRPr="00203EB0">
          <w:rPr>
            <w:rStyle w:val="Hyperlink"/>
            <w:rFonts w:ascii="Times New Roman" w:hAnsi="Times New Roman" w:cs="Times New Roman"/>
            <w:b/>
            <w:bCs/>
            <w:noProof/>
          </w:rPr>
          <w:t>Table 6.5:</w:t>
        </w:r>
        <w:r w:rsidRPr="00203EB0">
          <w:rPr>
            <w:rStyle w:val="Hyperlink"/>
            <w:rFonts w:ascii="Times New Roman" w:hAnsi="Times New Roman" w:cs="Times New Roman"/>
            <w:noProof/>
          </w:rPr>
          <w:t xml:space="preserve"> Observed and predicted cumulative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by treatment, based on the 2023 training dataset.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_Toc206669233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149</w:t>
        </w:r>
        <w:r w:rsidRPr="00203EB0">
          <w:rPr>
            <w:rFonts w:cs="Times New Roman"/>
            <w:noProof/>
            <w:webHidden/>
          </w:rPr>
          <w:fldChar w:fldCharType="end"/>
        </w:r>
      </w:hyperlink>
    </w:p>
    <w:p w14:paraId="063D480C" w14:textId="216C8EA9"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34" w:history="1">
        <w:r w:rsidRPr="00203EB0">
          <w:rPr>
            <w:rStyle w:val="Hyperlink"/>
            <w:rFonts w:ascii="Times New Roman" w:hAnsi="Times New Roman" w:cs="Times New Roman"/>
            <w:b/>
            <w:bCs/>
            <w:noProof/>
          </w:rPr>
          <w:t>Table 6.6:</w:t>
        </w:r>
        <w:r w:rsidRPr="00203EB0">
          <w:rPr>
            <w:rStyle w:val="Hyperlink"/>
            <w:rFonts w:ascii="Times New Roman" w:hAnsi="Times New Roman" w:cs="Times New Roman"/>
            <w:noProof/>
          </w:rPr>
          <w:t xml:space="preserve"> Observed and predicted cumulative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by treatment, based on the 2022 independent validation dataset.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_Toc206669234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150</w:t>
        </w:r>
        <w:r w:rsidRPr="00203EB0">
          <w:rPr>
            <w:rFonts w:cs="Times New Roman"/>
            <w:noProof/>
            <w:webHidden/>
          </w:rPr>
          <w:fldChar w:fldCharType="end"/>
        </w:r>
      </w:hyperlink>
    </w:p>
    <w:p w14:paraId="3E8D7F19" w14:textId="7801A762" w:rsidR="00236E6D" w:rsidRPr="00203EB0" w:rsidRDefault="00665C7E" w:rsidP="00D048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jc w:val="left"/>
        <w:rPr>
          <w:rFonts w:cs="Times New Roman"/>
        </w:rPr>
      </w:pPr>
      <w:r w:rsidRPr="00203EB0">
        <w:rPr>
          <w:rFonts w:cs="Times New Roman"/>
        </w:rPr>
        <w:fldChar w:fldCharType="end"/>
      </w:r>
    </w:p>
    <w:p w14:paraId="5551A4C4" w14:textId="77777777" w:rsidR="00236E6D" w:rsidRPr="00203EB0" w:rsidRDefault="00236E6D" w:rsidP="00D04874">
      <w:pPr>
        <w:spacing w:line="480" w:lineRule="auto"/>
        <w:jc w:val="left"/>
        <w:rPr>
          <w:rFonts w:cs="Times New Roman"/>
        </w:rPr>
      </w:pPr>
    </w:p>
    <w:p w14:paraId="382AE65E" w14:textId="77777777" w:rsidR="00236E6D" w:rsidRPr="00203EB0" w:rsidRDefault="00236E6D" w:rsidP="00D04874">
      <w:pPr>
        <w:spacing w:line="480" w:lineRule="auto"/>
        <w:jc w:val="left"/>
        <w:rPr>
          <w:rFonts w:cs="Times New Roman"/>
        </w:rPr>
      </w:pPr>
    </w:p>
    <w:p w14:paraId="60D484F4" w14:textId="77777777" w:rsidR="00236E6D" w:rsidRPr="00203EB0" w:rsidRDefault="00236E6D" w:rsidP="00D04874">
      <w:pPr>
        <w:pStyle w:val="Level1"/>
        <w:tabs>
          <w:tab w:val="right" w:leader="dot" w:pos="8228"/>
        </w:tabs>
        <w:spacing w:line="480" w:lineRule="auto"/>
        <w:ind w:left="0"/>
        <w:rPr>
          <w:rFonts w:cs="Times New Roman"/>
          <w:b/>
          <w:bCs/>
        </w:rPr>
      </w:pPr>
    </w:p>
    <w:p w14:paraId="3E06B95A" w14:textId="1546BE62" w:rsidR="00236E6D" w:rsidRPr="00203EB0" w:rsidRDefault="00236E6D" w:rsidP="00D04874">
      <w:pPr>
        <w:spacing w:line="480" w:lineRule="auto"/>
        <w:jc w:val="left"/>
        <w:rPr>
          <w:rFonts w:cs="Times New Roman"/>
          <w:b/>
        </w:rPr>
      </w:pPr>
      <w:r w:rsidRPr="00203EB0">
        <w:rPr>
          <w:rFonts w:cs="Times New Roman"/>
        </w:rPr>
        <w:br w:type="page"/>
      </w:r>
      <w:r w:rsidRPr="00203EB0">
        <w:rPr>
          <w:rFonts w:cs="Times New Roman"/>
          <w:b/>
        </w:rPr>
        <w:lastRenderedPageBreak/>
        <w:t>LIST OF FIGURES</w:t>
      </w:r>
    </w:p>
    <w:p w14:paraId="23017C67" w14:textId="77777777" w:rsidR="00236E6D" w:rsidRPr="00203EB0"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25875936" w14:textId="78CB1449" w:rsidR="00AF3355" w:rsidRPr="00203EB0" w:rsidRDefault="00665C7E" w:rsidP="00D04874">
      <w:pPr>
        <w:pStyle w:val="TableofFigures"/>
        <w:tabs>
          <w:tab w:val="right" w:leader="dot" w:pos="8630"/>
        </w:tabs>
        <w:spacing w:line="480" w:lineRule="auto"/>
        <w:jc w:val="left"/>
        <w:rPr>
          <w:rFonts w:eastAsiaTheme="minorEastAsia" w:cs="Times New Roman"/>
          <w:noProof/>
          <w:kern w:val="2"/>
          <w14:ligatures w14:val="standardContextual"/>
        </w:rPr>
      </w:pPr>
      <w:r w:rsidRPr="00203EB0">
        <w:rPr>
          <w:rFonts w:cs="Times New Roman"/>
        </w:rPr>
        <w:fldChar w:fldCharType="begin"/>
      </w:r>
      <w:r w:rsidR="00304BD0" w:rsidRPr="00203EB0">
        <w:rPr>
          <w:rFonts w:cs="Times New Roman"/>
        </w:rPr>
        <w:instrText xml:space="preserve"> TOC \h \z \c "Figure" </w:instrText>
      </w:r>
      <w:r w:rsidRPr="00203EB0">
        <w:rPr>
          <w:rFonts w:cs="Times New Roman"/>
        </w:rPr>
        <w:fldChar w:fldCharType="separate"/>
      </w:r>
      <w:hyperlink w:anchor="_Toc206669260" w:history="1">
        <w:r w:rsidR="00AF3355" w:rsidRPr="00203EB0">
          <w:rPr>
            <w:rStyle w:val="Hyperlink"/>
            <w:rFonts w:ascii="Times New Roman" w:hAnsi="Times New Roman" w:cs="Times New Roman"/>
            <w:b/>
            <w:bCs/>
            <w:noProof/>
          </w:rPr>
          <w:t>Figure 2.1:</w:t>
        </w:r>
        <w:r w:rsidR="00AF3355" w:rsidRPr="00203EB0">
          <w:rPr>
            <w:rStyle w:val="Hyperlink"/>
            <w:rFonts w:ascii="Times New Roman" w:hAnsi="Times New Roman" w:cs="Times New Roman"/>
            <w:noProof/>
          </w:rPr>
          <w:t xml:space="preserve"> Scattered boxplots showing the effects of fertilization and tillage on (A) nitrogen nutrition index (NNI), (B) proportion of nitrogen derived from the atmosphere (Ndfa), (C) nitrogen fixed (kg N fix</w:t>
        </w:r>
        <w:r w:rsidR="006220D1">
          <w:rPr>
            <w:rStyle w:val="Hyperlink"/>
            <w:rFonts w:ascii="Times New Roman" w:hAnsi="Times New Roman" w:cs="Times New Roman"/>
            <w:noProof/>
          </w:rPr>
          <w:t>ed</w:t>
        </w:r>
        <w:r w:rsidR="00AF3355" w:rsidRPr="00203EB0">
          <w:rPr>
            <w:rStyle w:val="Hyperlink"/>
            <w:rFonts w:ascii="Times New Roman" w:hAnsi="Times New Roman" w:cs="Times New Roman"/>
            <w:noProof/>
          </w:rPr>
          <w:t xml:space="preserve">), and </w:t>
        </w:r>
        <w:r w:rsidR="006220D1">
          <w:rPr>
            <w:rStyle w:val="Hyperlink"/>
            <w:rFonts w:ascii="Times New Roman" w:hAnsi="Times New Roman" w:cs="Times New Roman"/>
            <w:noProof/>
          </w:rPr>
          <w:t xml:space="preserve">(D) </w:t>
        </w:r>
        <w:r w:rsidR="00AF3355" w:rsidRPr="00203EB0">
          <w:rPr>
            <w:rStyle w:val="Hyperlink"/>
            <w:rFonts w:ascii="Times New Roman" w:hAnsi="Times New Roman" w:cs="Times New Roman"/>
            <w:noProof/>
          </w:rPr>
          <w:t>nitrogen derived from soil (kg N soil). Points represent individual observations; boxes indicate the interquartile range, with median shown as horizontal lines. In panel A, the solid red line indicates NNI = 1, representing optimal nitrogen status, while the dashed red line marks NNI = 0.9, below which nitrogen limitation become more pronounced.</w:t>
        </w:r>
        <w:r w:rsidR="00AF3355" w:rsidRPr="00203EB0">
          <w:rPr>
            <w:rFonts w:cs="Times New Roman"/>
            <w:noProof/>
            <w:webHidden/>
          </w:rPr>
          <w:tab/>
        </w:r>
        <w:r w:rsidR="00AF3355" w:rsidRPr="00203EB0">
          <w:rPr>
            <w:rFonts w:cs="Times New Roman"/>
            <w:noProof/>
            <w:webHidden/>
          </w:rPr>
          <w:fldChar w:fldCharType="begin"/>
        </w:r>
        <w:r w:rsidR="00AF3355" w:rsidRPr="00203EB0">
          <w:rPr>
            <w:rFonts w:cs="Times New Roman"/>
            <w:noProof/>
            <w:webHidden/>
          </w:rPr>
          <w:instrText xml:space="preserve"> PAGEREF _Toc206669260 \h </w:instrText>
        </w:r>
        <w:r w:rsidR="00AF3355" w:rsidRPr="00203EB0">
          <w:rPr>
            <w:rFonts w:cs="Times New Roman"/>
            <w:noProof/>
            <w:webHidden/>
          </w:rPr>
        </w:r>
        <w:r w:rsidR="00AF3355" w:rsidRPr="00203EB0">
          <w:rPr>
            <w:rFonts w:cs="Times New Roman"/>
            <w:noProof/>
            <w:webHidden/>
          </w:rPr>
          <w:fldChar w:fldCharType="separate"/>
        </w:r>
        <w:r w:rsidR="00C55F6B">
          <w:rPr>
            <w:rFonts w:cs="Times New Roman"/>
            <w:noProof/>
            <w:webHidden/>
          </w:rPr>
          <w:t>15</w:t>
        </w:r>
        <w:r w:rsidR="00AF3355" w:rsidRPr="00203EB0">
          <w:rPr>
            <w:rFonts w:cs="Times New Roman"/>
            <w:noProof/>
            <w:webHidden/>
          </w:rPr>
          <w:fldChar w:fldCharType="end"/>
        </w:r>
      </w:hyperlink>
    </w:p>
    <w:p w14:paraId="54763C91" w14:textId="1D834B8D"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61" w:history="1">
        <w:r w:rsidRPr="00203EB0">
          <w:rPr>
            <w:rStyle w:val="Hyperlink"/>
            <w:rFonts w:ascii="Times New Roman" w:hAnsi="Times New Roman" w:cs="Times New Roman"/>
            <w:b/>
            <w:bCs/>
            <w:noProof/>
          </w:rPr>
          <w:t>Figure 2.2:</w:t>
        </w:r>
        <w:r w:rsidRPr="00203EB0">
          <w:rPr>
            <w:rStyle w:val="Hyperlink"/>
            <w:rFonts w:ascii="Times New Roman" w:hAnsi="Times New Roman" w:cs="Times New Roman"/>
            <w:noProof/>
          </w:rPr>
          <w:t xml:space="preserve"> Scattered boxplots showing the effects of fertilization and tillage on soil organic matter (SOM) in 2013.</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_Toc206669261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16</w:t>
        </w:r>
        <w:r w:rsidRPr="00203EB0">
          <w:rPr>
            <w:rFonts w:cs="Times New Roman"/>
            <w:noProof/>
            <w:webHidden/>
          </w:rPr>
          <w:fldChar w:fldCharType="end"/>
        </w:r>
      </w:hyperlink>
    </w:p>
    <w:p w14:paraId="56FE593F" w14:textId="32669C33"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62" w:history="1">
        <w:r w:rsidRPr="00203EB0">
          <w:rPr>
            <w:rStyle w:val="Hyperlink"/>
            <w:rFonts w:ascii="Times New Roman" w:hAnsi="Times New Roman" w:cs="Times New Roman"/>
            <w:b/>
            <w:noProof/>
          </w:rPr>
          <w:t>Figure 2.3 :</w:t>
        </w:r>
        <w:r w:rsidRPr="00203EB0">
          <w:rPr>
            <w:rStyle w:val="Hyperlink"/>
            <w:rFonts w:ascii="Times New Roman" w:hAnsi="Times New Roman" w:cs="Times New Roman"/>
            <w:noProof/>
          </w:rPr>
          <w:t xml:space="preserve"> Scattered boxplots showing the effects of fertilization and tillage on dry matter production.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_Toc206669262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18</w:t>
        </w:r>
        <w:r w:rsidRPr="00203EB0">
          <w:rPr>
            <w:rFonts w:cs="Times New Roman"/>
            <w:noProof/>
            <w:webHidden/>
          </w:rPr>
          <w:fldChar w:fldCharType="end"/>
        </w:r>
      </w:hyperlink>
    </w:p>
    <w:p w14:paraId="76B2A62B" w14:textId="6860A8B5"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63" w:history="1">
        <w:r w:rsidRPr="00203EB0">
          <w:rPr>
            <w:rStyle w:val="Hyperlink"/>
            <w:rFonts w:ascii="Times New Roman" w:hAnsi="Times New Roman" w:cs="Times New Roman"/>
            <w:b/>
            <w:noProof/>
          </w:rPr>
          <w:t>Figure 2.4:</w:t>
        </w:r>
        <w:r w:rsidRPr="00203EB0">
          <w:rPr>
            <w:rStyle w:val="Hyperlink"/>
            <w:rFonts w:ascii="Times New Roman" w:hAnsi="Times New Roman" w:cs="Times New Roman"/>
            <w:noProof/>
          </w:rPr>
          <w:t xml:space="preserve"> Redundancy Analysis (RDA) biplot showing individual samples and treatments centroids based on nitrogen-related variables. Transparent markers represent individual observations, while solid, enlarged markers indicate group centroids for each Tillage × Fertilization treatment combination. Black arrows represent the response variables (NNI, Ndfa, kg N fix, kg N soil, and SOM), with direction and length indicating their contribution to the constrained ordination axes.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_Toc206669263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19</w:t>
        </w:r>
        <w:r w:rsidRPr="00203EB0">
          <w:rPr>
            <w:rFonts w:cs="Times New Roman"/>
            <w:noProof/>
            <w:webHidden/>
          </w:rPr>
          <w:fldChar w:fldCharType="end"/>
        </w:r>
      </w:hyperlink>
    </w:p>
    <w:p w14:paraId="3E9DA91F" w14:textId="2413A4CE"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64" w:history="1">
        <w:r w:rsidRPr="00203EB0">
          <w:rPr>
            <w:rStyle w:val="Hyperlink"/>
            <w:rFonts w:ascii="Times New Roman" w:hAnsi="Times New Roman" w:cs="Times New Roman"/>
            <w:b/>
            <w:noProof/>
          </w:rPr>
          <w:t>Figure 3.1:</w:t>
        </w:r>
        <w:r w:rsidRPr="00203EB0">
          <w:rPr>
            <w:rStyle w:val="Hyperlink"/>
            <w:rFonts w:ascii="Times New Roman" w:hAnsi="Times New Roman" w:cs="Times New Roman"/>
            <w:noProof/>
          </w:rPr>
          <w:t xml:space="preserve"> Soil oxygen availability and its resilience following rainfall events during the 2023 cotton growing season (A), during July (B), and during August (C) in response </w:t>
        </w:r>
        <w:r w:rsidRPr="00203EB0">
          <w:rPr>
            <w:rStyle w:val="Hyperlink"/>
            <w:rFonts w:ascii="Times New Roman" w:hAnsi="Times New Roman" w:cs="Times New Roman"/>
            <w:noProof/>
          </w:rPr>
          <w:lastRenderedPageBreak/>
          <w:t xml:space="preserve">to long-term tillage and cover cropping practices. </w:t>
        </w:r>
        <w:r w:rsidRPr="00203EB0">
          <w:rPr>
            <w:rStyle w:val="Hyperlink"/>
            <w:rFonts w:ascii="Times New Roman" w:hAnsi="Times New Roman" w:cs="Times New Roman"/>
            <w:bCs/>
            <w:iCs/>
            <w:noProof/>
          </w:rPr>
          <w:t>NT, no tillage; CT, conventional tillage; HV, Hairy vetch; NC, no cover crop</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_Toc206669264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30</w:t>
        </w:r>
        <w:r w:rsidRPr="00203EB0">
          <w:rPr>
            <w:rFonts w:cs="Times New Roman"/>
            <w:noProof/>
            <w:webHidden/>
          </w:rPr>
          <w:fldChar w:fldCharType="end"/>
        </w:r>
      </w:hyperlink>
    </w:p>
    <w:p w14:paraId="416DDA83" w14:textId="1847F18B"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65" w:history="1">
        <w:r w:rsidRPr="00203EB0">
          <w:rPr>
            <w:rStyle w:val="Hyperlink"/>
            <w:rFonts w:ascii="Times New Roman" w:hAnsi="Times New Roman" w:cs="Times New Roman"/>
            <w:b/>
            <w:noProof/>
          </w:rPr>
          <w:t>Figure 3.2:</w:t>
        </w:r>
        <w:r w:rsidRPr="00203EB0">
          <w:rPr>
            <w:rStyle w:val="Hyperlink"/>
            <w:rFonts w:ascii="Times New Roman" w:hAnsi="Times New Roman" w:cs="Times New Roman"/>
            <w:noProof/>
          </w:rPr>
          <w:t xml:space="preserve"> Average soil oxygen content for the days since an extreme precipitation event for tillage and cover crop treatments. The soil oxygen average includes three large precipitation events each receiving more than 67 mm of rain within a 48-hour period. Bars indicate standard deviation. Different letters associated with the treatments under each level of day since extreme precipitation event indicate significance at </w:t>
        </w:r>
        <w:r w:rsidRPr="00203EB0">
          <w:rPr>
            <w:rStyle w:val="Hyperlink"/>
            <w:rFonts w:ascii="Times New Roman" w:hAnsi="Times New Roman" w:cs="Times New Roman"/>
            <w:i/>
            <w:iCs/>
            <w:noProof/>
          </w:rPr>
          <w:t>P &lt; 0.05</w:t>
        </w:r>
        <w:r w:rsidRPr="00203EB0">
          <w:rPr>
            <w:rStyle w:val="Hyperlink"/>
            <w:rFonts w:ascii="Times New Roman" w:hAnsi="Times New Roman" w:cs="Times New Roman"/>
            <w:noProof/>
          </w:rPr>
          <w:t xml:space="preserve">. </w:t>
        </w:r>
        <w:r w:rsidRPr="00203EB0">
          <w:rPr>
            <w:rStyle w:val="Hyperlink"/>
            <w:rFonts w:ascii="Times New Roman" w:hAnsi="Times New Roman" w:cs="Times New Roman"/>
            <w:bCs/>
            <w:iCs/>
            <w:noProof/>
          </w:rPr>
          <w:t xml:space="preserve"> NT, no tillage; CT, conventional tillage; HV, Hairy vetch; NC, no cover crop.</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_Toc206669265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32</w:t>
        </w:r>
        <w:r w:rsidRPr="00203EB0">
          <w:rPr>
            <w:rFonts w:cs="Times New Roman"/>
            <w:noProof/>
            <w:webHidden/>
          </w:rPr>
          <w:fldChar w:fldCharType="end"/>
        </w:r>
      </w:hyperlink>
    </w:p>
    <w:p w14:paraId="2E649BAC" w14:textId="2D79C349"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66" w:history="1">
        <w:r w:rsidRPr="00203EB0">
          <w:rPr>
            <w:rStyle w:val="Hyperlink"/>
            <w:rFonts w:ascii="Times New Roman" w:hAnsi="Times New Roman" w:cs="Times New Roman"/>
            <w:b/>
            <w:bCs/>
            <w:noProof/>
          </w:rPr>
          <w:t>Figure 4.1:</w:t>
        </w:r>
        <w:r w:rsidRPr="00203EB0">
          <w:rPr>
            <w:rStyle w:val="Hyperlink"/>
            <w:rFonts w:ascii="Times New Roman" w:hAnsi="Times New Roman" w:cs="Times New Roman"/>
            <w:noProof/>
          </w:rPr>
          <w:t xml:space="preserve"> Illustration of the experimental set-up (not to scale) and calibration image.</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_Toc206669266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46</w:t>
        </w:r>
        <w:r w:rsidRPr="00203EB0">
          <w:rPr>
            <w:rFonts w:cs="Times New Roman"/>
            <w:noProof/>
            <w:webHidden/>
          </w:rPr>
          <w:fldChar w:fldCharType="end"/>
        </w:r>
      </w:hyperlink>
    </w:p>
    <w:p w14:paraId="64B4E548" w14:textId="3CE5F570"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67" w:history="1">
        <w:r w:rsidRPr="00203EB0">
          <w:rPr>
            <w:rStyle w:val="Hyperlink"/>
            <w:rFonts w:ascii="Times New Roman" w:hAnsi="Times New Roman" w:cs="Times New Roman"/>
            <w:b/>
            <w:bCs/>
            <w:noProof/>
          </w:rPr>
          <w:t>Figure 4.2:</w:t>
        </w:r>
        <w:r w:rsidRPr="00203EB0">
          <w:rPr>
            <w:rStyle w:val="Hyperlink"/>
            <w:rFonts w:ascii="Times New Roman" w:hAnsi="Times New Roman" w:cs="Times New Roman"/>
            <w:noProof/>
          </w:rPr>
          <w:t xml:space="preserve"> Daily nitrous oxide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(a, b) and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derived from N fertilizer (c, d) over the incubation period from four cover crops treatments at 50% WFPS (a, c), and 80% WFPS (b, d). Nitrogen fertilizer was added at the beginning of the incubation experiment as indicated by black arrow in panels (a) and (b). Bars in panels (a) and (b) indicate mean standard error. HV, Hairy vetch; WW, Winter wheat; No cover, No cover crop; No cover+0 N, Control.</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_Toc206669267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49</w:t>
        </w:r>
        <w:r w:rsidRPr="00203EB0">
          <w:rPr>
            <w:rFonts w:cs="Times New Roman"/>
            <w:noProof/>
            <w:webHidden/>
          </w:rPr>
          <w:fldChar w:fldCharType="end"/>
        </w:r>
      </w:hyperlink>
    </w:p>
    <w:p w14:paraId="0ACCE628" w14:textId="5B5CEFCC"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68" w:history="1">
        <w:r w:rsidRPr="00203EB0">
          <w:rPr>
            <w:rStyle w:val="Hyperlink"/>
            <w:rFonts w:ascii="Times New Roman" w:hAnsi="Times New Roman" w:cs="Times New Roman"/>
            <w:b/>
            <w:bCs/>
            <w:noProof/>
          </w:rPr>
          <w:t>Figure 4.3:</w:t>
        </w:r>
        <w:r w:rsidRPr="00203EB0">
          <w:rPr>
            <w:rStyle w:val="Hyperlink"/>
            <w:rFonts w:ascii="Times New Roman" w:hAnsi="Times New Roman" w:cs="Times New Roman"/>
            <w:noProof/>
          </w:rPr>
          <w:t xml:space="preserve">  Daily carbon dioxide (CO</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emissions over the incubation period from four cover crops treatments at (a) 50% WFPS, and (b) 80% WFPS. Bars represents mean standard error. HV, Hairy vetch; WW, Winter wheat; No cover, No cover crop; No cover + 0 N, Control.</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_Toc206669268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50</w:t>
        </w:r>
        <w:r w:rsidRPr="00203EB0">
          <w:rPr>
            <w:rFonts w:cs="Times New Roman"/>
            <w:noProof/>
            <w:webHidden/>
          </w:rPr>
          <w:fldChar w:fldCharType="end"/>
        </w:r>
      </w:hyperlink>
    </w:p>
    <w:p w14:paraId="71A64EB1" w14:textId="0462BD69"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69" w:history="1">
        <w:r w:rsidRPr="00203EB0">
          <w:rPr>
            <w:rStyle w:val="Hyperlink"/>
            <w:rFonts w:ascii="Times New Roman" w:hAnsi="Times New Roman" w:cs="Times New Roman"/>
            <w:b/>
            <w:noProof/>
          </w:rPr>
          <w:t>Figure 4.4:</w:t>
        </w:r>
        <w:r w:rsidRPr="00203EB0">
          <w:rPr>
            <w:rStyle w:val="Hyperlink"/>
            <w:rFonts w:ascii="Times New Roman" w:hAnsi="Times New Roman" w:cs="Times New Roman"/>
            <w:noProof/>
          </w:rPr>
          <w:t xml:space="preserve"> Cumulative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O emissions over the experiment incubation period derived from the fertilizer (yellow) and soil organic matter and/or cover crops (brown) for </w:t>
        </w:r>
        <w:r w:rsidRPr="00203EB0">
          <w:rPr>
            <w:rStyle w:val="Hyperlink"/>
            <w:rFonts w:ascii="Times New Roman" w:hAnsi="Times New Roman" w:cs="Times New Roman"/>
            <w:noProof/>
          </w:rPr>
          <w:lastRenderedPageBreak/>
          <w:t>four cover crops treatments at 50% and 80% WFPS. The error bars represent the mean standard errors for the total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and the percentage shown in the columns represents the proportion of cumulative total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from each source. Uppercase letters indicate significant differences (</w:t>
        </w:r>
        <w:r w:rsidRPr="00203EB0">
          <w:rPr>
            <w:rStyle w:val="Hyperlink"/>
            <w:rFonts w:ascii="Times New Roman" w:hAnsi="Times New Roman" w:cs="Times New Roman"/>
            <w:i/>
            <w:noProof/>
          </w:rPr>
          <w:t>p</w:t>
        </w:r>
        <w:r w:rsidRPr="00203EB0">
          <w:rPr>
            <w:rStyle w:val="Hyperlink"/>
            <w:rFonts w:ascii="Times New Roman" w:hAnsi="Times New Roman" w:cs="Times New Roman"/>
            <w:noProof/>
          </w:rPr>
          <w:t xml:space="preserve"> &lt; 0.05) in cumulative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and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derived from N fertilizer among the treatments, while lowercase letters indicate differences in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derived from SOM and/or cover crops among the treatments. HV: Hairy vetch, WW: Winter wheat, NC: No cover crop, NC + 0 N: Control.</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_Toc206669269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51</w:t>
        </w:r>
        <w:r w:rsidRPr="00203EB0">
          <w:rPr>
            <w:rFonts w:cs="Times New Roman"/>
            <w:noProof/>
            <w:webHidden/>
          </w:rPr>
          <w:fldChar w:fldCharType="end"/>
        </w:r>
      </w:hyperlink>
    </w:p>
    <w:p w14:paraId="1425C50E" w14:textId="0575676E"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70" w:history="1">
        <w:r w:rsidRPr="00203EB0">
          <w:rPr>
            <w:rStyle w:val="Hyperlink"/>
            <w:rFonts w:ascii="Times New Roman" w:hAnsi="Times New Roman" w:cs="Times New Roman"/>
            <w:b/>
            <w:bCs/>
            <w:noProof/>
          </w:rPr>
          <w:t>Figure 4.5:</w:t>
        </w:r>
        <w:r w:rsidRPr="00203EB0">
          <w:rPr>
            <w:rStyle w:val="Hyperlink"/>
            <w:rFonts w:ascii="Times New Roman" w:hAnsi="Times New Roman" w:cs="Times New Roman"/>
            <w:noProof/>
          </w:rPr>
          <w:t xml:space="preserve">  Average soil O</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 content expressed as percentage of air saturation at 0 to 3 cm depth over the incubation period from four cover crops treatments at (a) 50% WFPS and (b) 80% WFPS. Bars represent the mean standard error. HV, Hairy vetch; WW, Winter wheat; No Cover, No cover crop; No cover+0 N, Control.</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_Toc206669270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54</w:t>
        </w:r>
        <w:r w:rsidRPr="00203EB0">
          <w:rPr>
            <w:rFonts w:cs="Times New Roman"/>
            <w:noProof/>
            <w:webHidden/>
          </w:rPr>
          <w:fldChar w:fldCharType="end"/>
        </w:r>
      </w:hyperlink>
    </w:p>
    <w:p w14:paraId="08055B2B" w14:textId="026A4F25"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71" w:history="1">
        <w:r w:rsidRPr="00203EB0">
          <w:rPr>
            <w:rStyle w:val="Hyperlink"/>
            <w:rFonts w:ascii="Times New Roman" w:hAnsi="Times New Roman" w:cs="Times New Roman"/>
            <w:b/>
            <w:bCs/>
            <w:noProof/>
          </w:rPr>
          <w:t>Figure 4.6:</w:t>
        </w:r>
        <w:r w:rsidRPr="00203EB0">
          <w:rPr>
            <w:rStyle w:val="Hyperlink"/>
            <w:rFonts w:ascii="Times New Roman" w:hAnsi="Times New Roman" w:cs="Times New Roman"/>
            <w:noProof/>
          </w:rPr>
          <w:t xml:space="preserve"> Selected images of O</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 content expressed as percentage of air saturation in 0 to 3 cm soil depth over the incubation period from different treatments: A) 50% WFPS with hairy vetch, B) 50% WFPS control, and C) all 80% WFPS treatments. Images (one of the four replicates) are an example of the effect of the different treatments.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_Toc206669271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56</w:t>
        </w:r>
        <w:r w:rsidRPr="00203EB0">
          <w:rPr>
            <w:rFonts w:cs="Times New Roman"/>
            <w:noProof/>
            <w:webHidden/>
          </w:rPr>
          <w:fldChar w:fldCharType="end"/>
        </w:r>
      </w:hyperlink>
    </w:p>
    <w:p w14:paraId="5087331F" w14:textId="584D2058"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72" w:history="1">
        <w:r w:rsidRPr="00203EB0">
          <w:rPr>
            <w:rStyle w:val="Hyperlink"/>
            <w:rFonts w:ascii="Times New Roman" w:hAnsi="Times New Roman" w:cs="Times New Roman"/>
            <w:b/>
            <w:bCs/>
            <w:noProof/>
          </w:rPr>
          <w:t>Figure 4.7:</w:t>
        </w:r>
        <w:r w:rsidRPr="00203EB0">
          <w:rPr>
            <w:rStyle w:val="Hyperlink"/>
            <w:rFonts w:ascii="Times New Roman" w:hAnsi="Times New Roman" w:cs="Times New Roman"/>
            <w:noProof/>
          </w:rPr>
          <w:t xml:space="preserve"> Selected images of O</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 content expressed as percentage of air saturation in 0–3 cm soil depth over the incubation period from two treatments: (A) 50% WFPS with winter wheat+160 N, (B) 50% WFPS with no cover crop+160 N. Images (one of the four replicates) illustrate the maximum achieved O</w:t>
        </w:r>
        <w:r w:rsidRPr="00203EB0">
          <w:rPr>
            <w:rStyle w:val="Hyperlink"/>
            <w:rFonts w:ascii="Times New Roman" w:hAnsi="Times New Roman" w:cs="Times New Roman"/>
            <w:noProof/>
            <w:vertAlign w:val="subscript"/>
          </w:rPr>
          <w:t xml:space="preserve">2 </w:t>
        </w:r>
        <w:r w:rsidRPr="00203EB0">
          <w:rPr>
            <w:rStyle w:val="Hyperlink"/>
            <w:rFonts w:ascii="Times New Roman" w:hAnsi="Times New Roman" w:cs="Times New Roman"/>
            <w:noProof/>
          </w:rPr>
          <w:t>depletion effect resulting from cover crop addition.</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_Toc206669272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58</w:t>
        </w:r>
        <w:r w:rsidRPr="00203EB0">
          <w:rPr>
            <w:rFonts w:cs="Times New Roman"/>
            <w:noProof/>
            <w:webHidden/>
          </w:rPr>
          <w:fldChar w:fldCharType="end"/>
        </w:r>
      </w:hyperlink>
    </w:p>
    <w:p w14:paraId="6DC1166F" w14:textId="320C251B"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73" w:history="1">
        <w:r w:rsidRPr="00203EB0">
          <w:rPr>
            <w:rStyle w:val="Hyperlink"/>
            <w:rFonts w:ascii="Times New Roman" w:hAnsi="Times New Roman" w:cs="Times New Roman"/>
            <w:b/>
            <w:bCs/>
            <w:noProof/>
          </w:rPr>
          <w:t>Figure 4.8:</w:t>
        </w:r>
        <w:r w:rsidRPr="00203EB0">
          <w:rPr>
            <w:rStyle w:val="Hyperlink"/>
            <w:rFonts w:ascii="Times New Roman" w:hAnsi="Times New Roman" w:cs="Times New Roman"/>
            <w:noProof/>
          </w:rPr>
          <w:t xml:space="preserve"> Predicted vs observed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from the Random Forest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flux model on the test data set: a) 50% WFPS and b) 80% WFPS. HV: Hairy vetch, WW: Winter wheat, No cover: No cover crop, No cover + 0 N: Control.</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_Toc206669273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61</w:t>
        </w:r>
        <w:r w:rsidRPr="00203EB0">
          <w:rPr>
            <w:rFonts w:cs="Times New Roman"/>
            <w:noProof/>
            <w:webHidden/>
          </w:rPr>
          <w:fldChar w:fldCharType="end"/>
        </w:r>
      </w:hyperlink>
    </w:p>
    <w:p w14:paraId="238688ED" w14:textId="18F5EB31"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74" w:history="1">
        <w:r w:rsidRPr="00203EB0">
          <w:rPr>
            <w:rStyle w:val="Hyperlink"/>
            <w:rFonts w:ascii="Times New Roman" w:hAnsi="Times New Roman" w:cs="Times New Roman"/>
            <w:b/>
            <w:noProof/>
          </w:rPr>
          <w:t>Figure 5.1:</w:t>
        </w:r>
        <w:r w:rsidRPr="00203EB0">
          <w:rPr>
            <w:rStyle w:val="Hyperlink"/>
            <w:rFonts w:ascii="Times New Roman" w:hAnsi="Times New Roman" w:cs="Times New Roman"/>
            <w:noProof/>
          </w:rPr>
          <w:t xml:space="preserve"> Effect of fertilizer (A), tillage (B), and cover cropping (C) on average nitrous oxide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O) fluxes during the 25 days prior to five sampling dates in the 2022 cotton growing season. Arrows indicate timing of key management practices. Asterisks (*) indicate statistically significant differences (p </w:t>
        </w:r>
        <m:oMath>
          <m:r>
            <w:rPr>
              <w:rStyle w:val="Hyperlink"/>
              <w:rFonts w:ascii="Cambria Math" w:hAnsi="Cambria Math" w:cs="Times New Roman"/>
              <w:noProof/>
            </w:rPr>
            <m:t>≤</m:t>
          </m:r>
        </m:oMath>
        <w:r w:rsidRPr="00203EB0">
          <w:rPr>
            <w:rStyle w:val="Hyperlink"/>
            <w:rFonts w:ascii="Times New Roman" w:hAnsi="Times New Roman" w:cs="Times New Roman"/>
            <w:noProof/>
          </w:rPr>
          <w:t xml:space="preserve"> 0.05). Cover Crop (CC); No-till (NT), Conventional tillage (CT); No-Cover crop (NC), Vetch (V).</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_Toc206669274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87</w:t>
        </w:r>
        <w:r w:rsidRPr="00203EB0">
          <w:rPr>
            <w:rFonts w:cs="Times New Roman"/>
            <w:noProof/>
            <w:webHidden/>
          </w:rPr>
          <w:fldChar w:fldCharType="end"/>
        </w:r>
      </w:hyperlink>
    </w:p>
    <w:p w14:paraId="7B3FB573" w14:textId="09104220"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75" w:history="1">
        <w:r w:rsidRPr="00203EB0">
          <w:rPr>
            <w:rStyle w:val="Hyperlink"/>
            <w:rFonts w:ascii="Times New Roman" w:hAnsi="Times New Roman" w:cs="Times New Roman"/>
            <w:b/>
            <w:bCs/>
            <w:noProof/>
          </w:rPr>
          <w:t>Figure 5.2:</w:t>
        </w:r>
        <w:r w:rsidRPr="00203EB0">
          <w:rPr>
            <w:rStyle w:val="Hyperlink"/>
            <w:rFonts w:ascii="Times New Roman" w:hAnsi="Times New Roman" w:cs="Times New Roman"/>
            <w:noProof/>
          </w:rPr>
          <w:t xml:space="preserve"> Distance-based Redundancy Analysis (db-RDA) of microbial community composition (Bray-Curtis dissimilarity) by fertilization level at (A) 0-10 cm and (B) 10-20 cm depth. Arrows represent biochemical variables with </w:t>
        </w:r>
        <w:r w:rsidRPr="00203EB0">
          <w:rPr>
            <w:rStyle w:val="Hyperlink"/>
            <w:rFonts w:ascii="Times New Roman" w:hAnsi="Times New Roman" w:cs="Times New Roman"/>
            <w:i/>
            <w:noProof/>
          </w:rPr>
          <w:t>p-</w:t>
        </w:r>
        <w:r w:rsidRPr="00203EB0">
          <w:rPr>
            <w:rStyle w:val="Hyperlink"/>
            <w:rFonts w:ascii="Times New Roman" w:hAnsi="Times New Roman" w:cs="Times New Roman"/>
            <w:noProof/>
          </w:rPr>
          <w:t xml:space="preserve">values </w:t>
        </w:r>
        <m:oMath>
          <m:r>
            <m:rPr>
              <m:sty m:val="bi"/>
            </m:rPr>
            <w:rPr>
              <w:rStyle w:val="Hyperlink"/>
              <w:rFonts w:ascii="Cambria Math" w:hAnsi="Cambria Math" w:cs="Times New Roman"/>
              <w:noProof/>
            </w:rPr>
            <m:t>≤</m:t>
          </m:r>
        </m:oMath>
        <w:r w:rsidRPr="00203EB0">
          <w:rPr>
            <w:rStyle w:val="Hyperlink"/>
            <w:rFonts w:ascii="Times New Roman" w:hAnsi="Times New Roman" w:cs="Times New Roman"/>
            <w:noProof/>
          </w:rPr>
          <w:t xml:space="preserve"> 0.10 identified through permutation tests.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_Toc206669275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90</w:t>
        </w:r>
        <w:r w:rsidRPr="00203EB0">
          <w:rPr>
            <w:rFonts w:cs="Times New Roman"/>
            <w:noProof/>
            <w:webHidden/>
          </w:rPr>
          <w:fldChar w:fldCharType="end"/>
        </w:r>
      </w:hyperlink>
    </w:p>
    <w:p w14:paraId="5620F64F" w14:textId="1F089814"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76" w:history="1">
        <w:r w:rsidRPr="00203EB0">
          <w:rPr>
            <w:rStyle w:val="Hyperlink"/>
            <w:rFonts w:ascii="Times New Roman" w:hAnsi="Times New Roman" w:cs="Times New Roman"/>
            <w:b/>
            <w:noProof/>
          </w:rPr>
          <w:t>Figure 5.3:</w:t>
        </w:r>
        <w:r w:rsidRPr="00203EB0">
          <w:rPr>
            <w:rStyle w:val="Hyperlink"/>
            <w:rFonts w:ascii="Times New Roman" w:hAnsi="Times New Roman" w:cs="Times New Roman"/>
            <w:noProof/>
          </w:rPr>
          <w:t xml:space="preserve"> Venn diagram showing (A) the total soil microbial taxa (n = 846) and (B) the subset of taxa associated with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(n = 57), comparing their presence across two soil depths (0-10 cm and 10-20 cm).</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_Toc206669276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91</w:t>
        </w:r>
        <w:r w:rsidRPr="00203EB0">
          <w:rPr>
            <w:rFonts w:cs="Times New Roman"/>
            <w:noProof/>
            <w:webHidden/>
          </w:rPr>
          <w:fldChar w:fldCharType="end"/>
        </w:r>
      </w:hyperlink>
    </w:p>
    <w:p w14:paraId="49962684" w14:textId="6B5D64FF"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77" w:history="1">
        <w:r w:rsidRPr="00203EB0">
          <w:rPr>
            <w:rStyle w:val="Hyperlink"/>
            <w:rFonts w:ascii="Times New Roman" w:hAnsi="Times New Roman" w:cs="Times New Roman"/>
            <w:b/>
            <w:noProof/>
          </w:rPr>
          <w:t>Figure 5.4:</w:t>
        </w:r>
        <w:r w:rsidRPr="00203EB0">
          <w:rPr>
            <w:rStyle w:val="Hyperlink"/>
            <w:rFonts w:ascii="Times New Roman" w:hAnsi="Times New Roman" w:cs="Times New Roman"/>
            <w:noProof/>
          </w:rPr>
          <w:t xml:space="preserve"> Heatmap showing correlations between soil microbial taxa associated with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O emissions and soil biochemical variables across depths. Asterisks (*) indicate statistically significant correlations (p </w:t>
        </w:r>
        <m:oMath>
          <m:r>
            <w:rPr>
              <w:rStyle w:val="Hyperlink"/>
              <w:rFonts w:ascii="Cambria Math" w:hAnsi="Cambria Math" w:cs="Times New Roman"/>
              <w:noProof/>
            </w:rPr>
            <m:t>≤</m:t>
          </m:r>
        </m:oMath>
        <w:r w:rsidRPr="00203EB0">
          <w:rPr>
            <w:rStyle w:val="Hyperlink"/>
            <w:rFonts w:ascii="Times New Roman" w:hAnsi="Times New Roman" w:cs="Times New Roman"/>
            <w:noProof/>
          </w:rPr>
          <w:t xml:space="preserve"> 0.05), as determined using generalized linear models (GLMs). POXC (PC); WFPS (WF).</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_Toc206669277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92</w:t>
        </w:r>
        <w:r w:rsidRPr="00203EB0">
          <w:rPr>
            <w:rFonts w:cs="Times New Roman"/>
            <w:noProof/>
            <w:webHidden/>
          </w:rPr>
          <w:fldChar w:fldCharType="end"/>
        </w:r>
      </w:hyperlink>
    </w:p>
    <w:p w14:paraId="20506C6C" w14:textId="5D1A3D4B"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78" w:history="1">
        <w:r w:rsidRPr="00203EB0">
          <w:rPr>
            <w:rStyle w:val="Hyperlink"/>
            <w:rFonts w:ascii="Times New Roman" w:hAnsi="Times New Roman" w:cs="Times New Roman"/>
            <w:b/>
            <w:bCs/>
            <w:noProof/>
          </w:rPr>
          <w:t>Figure 5.5:</w:t>
        </w:r>
        <w:r w:rsidRPr="00203EB0">
          <w:rPr>
            <w:rStyle w:val="Hyperlink"/>
            <w:rFonts w:ascii="Times New Roman" w:hAnsi="Times New Roman" w:cs="Times New Roman"/>
            <w:noProof/>
          </w:rPr>
          <w:t xml:space="preserve"> Key microbial taxa contributing to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O fluxes across soils depths, identified using random forest analysis. Panels A and B show the top 10 taxa with the highest increases in mean squared error (MSE) when permuted, at 0-10 cm and 10-20 cm </w:t>
        </w:r>
        <w:r w:rsidRPr="00203EB0">
          <w:rPr>
            <w:rStyle w:val="Hyperlink"/>
            <w:rFonts w:ascii="Times New Roman" w:hAnsi="Times New Roman" w:cs="Times New Roman"/>
            <w:noProof/>
          </w:rPr>
          <w:lastRenderedPageBreak/>
          <w:t>depths, respectively. Panels C and D present partial dependence plots illustrating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flux predictions for these taxa at 0-10 cm and 10-20 cm, respectively.</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_Toc206669278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95</w:t>
        </w:r>
        <w:r w:rsidRPr="00203EB0">
          <w:rPr>
            <w:rFonts w:cs="Times New Roman"/>
            <w:noProof/>
            <w:webHidden/>
          </w:rPr>
          <w:fldChar w:fldCharType="end"/>
        </w:r>
      </w:hyperlink>
    </w:p>
    <w:p w14:paraId="485C363D" w14:textId="095EBD16"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79" w:history="1">
        <w:r w:rsidRPr="00203EB0">
          <w:rPr>
            <w:rStyle w:val="Hyperlink"/>
            <w:rFonts w:ascii="Times New Roman" w:hAnsi="Times New Roman" w:cs="Times New Roman"/>
            <w:b/>
            <w:bCs/>
            <w:noProof/>
          </w:rPr>
          <w:t>Figure 5.6:</w:t>
        </w:r>
        <w:r w:rsidRPr="00203EB0">
          <w:rPr>
            <w:rStyle w:val="Hyperlink"/>
            <w:rFonts w:ascii="Times New Roman" w:hAnsi="Times New Roman" w:cs="Times New Roman"/>
            <w:noProof/>
          </w:rPr>
          <w:t xml:space="preserve"> Time-series horizon plots showing the relative abundance of microbial taxa associated with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as identified by the Random Forest model, at 0-10 (A) and 10-20 cm (B) depths. Each plot shows one taxon’s relative abundance over time, with the median (depth-specific) as baseline. Blue shades indicate above-median values and red below, with color intensity reflecting the magnitude of deviation. Note: color scales are not comparable across taxa or depths, as medians are calculated independently.</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_Toc206669279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98</w:t>
        </w:r>
        <w:r w:rsidRPr="00203EB0">
          <w:rPr>
            <w:rFonts w:cs="Times New Roman"/>
            <w:noProof/>
            <w:webHidden/>
          </w:rPr>
          <w:fldChar w:fldCharType="end"/>
        </w:r>
      </w:hyperlink>
    </w:p>
    <w:p w14:paraId="1499952F" w14:textId="43FD53AD"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80" w:history="1">
        <w:r w:rsidRPr="00203EB0">
          <w:rPr>
            <w:rStyle w:val="Hyperlink"/>
            <w:rFonts w:ascii="Times New Roman" w:hAnsi="Times New Roman" w:cs="Times New Roman"/>
            <w:b/>
            <w:bCs/>
            <w:noProof/>
          </w:rPr>
          <w:t>Figure 5.7:</w:t>
        </w:r>
        <w:r w:rsidRPr="00203EB0">
          <w:rPr>
            <w:rStyle w:val="Hyperlink"/>
            <w:rFonts w:ascii="Times New Roman" w:hAnsi="Times New Roman" w:cs="Times New Roman"/>
            <w:noProof/>
          </w:rPr>
          <w:t xml:space="preserve"> Time-series horizon plots of microbial taxa relative abundance linked to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O emissions, identified by the Random Forest model and associated with N fertilization (A), tillage (B), and cover cropping (C) practices. Taxa shown had </w:t>
        </w:r>
        <w:r w:rsidRPr="00203EB0">
          <w:rPr>
            <w:rStyle w:val="Hyperlink"/>
            <w:rFonts w:ascii="Times New Roman" w:hAnsi="Times New Roman" w:cs="Times New Roman"/>
            <w:i/>
            <w:noProof/>
          </w:rPr>
          <w:t>p-</w:t>
        </w:r>
        <w:r w:rsidRPr="00203EB0">
          <w:rPr>
            <w:rStyle w:val="Hyperlink"/>
            <w:rFonts w:ascii="Times New Roman" w:hAnsi="Times New Roman" w:cs="Times New Roman"/>
            <w:noProof/>
          </w:rPr>
          <w:t xml:space="preserve">values </w:t>
        </w:r>
        <m:oMath>
          <m:r>
            <m:rPr>
              <m:sty m:val="bi"/>
            </m:rPr>
            <w:rPr>
              <w:rStyle w:val="Hyperlink"/>
              <w:rFonts w:ascii="Cambria Math" w:hAnsi="Cambria Math" w:cs="Times New Roman"/>
              <w:noProof/>
            </w:rPr>
            <m:t>≤</m:t>
          </m:r>
        </m:oMath>
        <w:r w:rsidRPr="00203EB0">
          <w:rPr>
            <w:rStyle w:val="Hyperlink"/>
            <w:rFonts w:ascii="Times New Roman" w:hAnsi="Times New Roman" w:cs="Times New Roman"/>
            <w:noProof/>
          </w:rPr>
          <w:t xml:space="preserve"> 0.10, see Tables 2 and 3 for details. Median relative abundance was centered at zero, with a bandwidth of 0.7% and five bands used to standardize abundance dynamics across treatments and depths.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_Toc206669280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105</w:t>
        </w:r>
        <w:r w:rsidRPr="00203EB0">
          <w:rPr>
            <w:rFonts w:cs="Times New Roman"/>
            <w:noProof/>
            <w:webHidden/>
          </w:rPr>
          <w:fldChar w:fldCharType="end"/>
        </w:r>
      </w:hyperlink>
    </w:p>
    <w:p w14:paraId="62FCE970" w14:textId="71C9DF3E"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81" w:history="1">
        <w:r w:rsidRPr="00203EB0">
          <w:rPr>
            <w:rStyle w:val="Hyperlink"/>
            <w:rFonts w:ascii="Times New Roman" w:hAnsi="Times New Roman" w:cs="Times New Roman"/>
            <w:b/>
            <w:bCs/>
            <w:noProof/>
          </w:rPr>
          <w:t>Figure 6.1:</w:t>
        </w:r>
        <w:r w:rsidRPr="00203EB0">
          <w:rPr>
            <w:rStyle w:val="Hyperlink"/>
            <w:rFonts w:ascii="Times New Roman" w:hAnsi="Times New Roman" w:cs="Times New Roman"/>
            <w:noProof/>
          </w:rPr>
          <w:t xml:space="preserve"> HBOS-based classification of hot-moments (red, n = 137) and background emissions (blue, n = 535) across 32 plots in the 2023 training dataset.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_Toc206669281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133</w:t>
        </w:r>
        <w:r w:rsidRPr="00203EB0">
          <w:rPr>
            <w:rFonts w:cs="Times New Roman"/>
            <w:noProof/>
            <w:webHidden/>
          </w:rPr>
          <w:fldChar w:fldCharType="end"/>
        </w:r>
      </w:hyperlink>
    </w:p>
    <w:p w14:paraId="1B9464D3" w14:textId="48EC79DC"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82" w:history="1">
        <w:r w:rsidRPr="00203EB0">
          <w:rPr>
            <w:rStyle w:val="Hyperlink"/>
            <w:rFonts w:ascii="Times New Roman" w:hAnsi="Times New Roman" w:cs="Times New Roman"/>
            <w:b/>
            <w:bCs/>
            <w:noProof/>
          </w:rPr>
          <w:t>Figure 6.2:</w:t>
        </w:r>
        <w:r w:rsidRPr="00203EB0">
          <w:rPr>
            <w:rStyle w:val="Hyperlink"/>
            <w:rFonts w:ascii="Times New Roman" w:hAnsi="Times New Roman" w:cs="Times New Roman"/>
            <w:noProof/>
          </w:rPr>
          <w:t xml:space="preserve"> HBOS-based classification of hot-moments (red, n = 286) and background emissions (blue, n = 573) across 32 plots in the 2022 independent validation dataset.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_Toc206669282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134</w:t>
        </w:r>
        <w:r w:rsidRPr="00203EB0">
          <w:rPr>
            <w:rFonts w:cs="Times New Roman"/>
            <w:noProof/>
            <w:webHidden/>
          </w:rPr>
          <w:fldChar w:fldCharType="end"/>
        </w:r>
      </w:hyperlink>
    </w:p>
    <w:p w14:paraId="26ECC526" w14:textId="1DB87F25"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83" w:history="1">
        <w:r w:rsidRPr="00203EB0">
          <w:rPr>
            <w:rStyle w:val="Hyperlink"/>
            <w:rFonts w:ascii="Times New Roman" w:hAnsi="Times New Roman" w:cs="Times New Roman"/>
            <w:b/>
            <w:bCs/>
            <w:noProof/>
          </w:rPr>
          <w:t>Figure 6.3:</w:t>
        </w:r>
        <w:r w:rsidRPr="00203EB0">
          <w:rPr>
            <w:rStyle w:val="Hyperlink"/>
            <w:rFonts w:ascii="Times New Roman" w:hAnsi="Times New Roman" w:cs="Times New Roman"/>
            <w:noProof/>
          </w:rPr>
          <w:t xml:space="preserve"> Observed and predicted nitrous oxide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O) fluxes with Base and Class-Swap models across treatments over the 2022 independent validation period. Dashed </w:t>
        </w:r>
        <w:r w:rsidRPr="00203EB0">
          <w:rPr>
            <w:rStyle w:val="Hyperlink"/>
            <w:rFonts w:ascii="Times New Roman" w:hAnsi="Times New Roman" w:cs="Times New Roman"/>
            <w:noProof/>
          </w:rPr>
          <w:lastRenderedPageBreak/>
          <w:t>T-lines represent standard deviation (± SD). Vertical black dashed lines indicate transitions between treatments, and black arrows indicate the timing of nitrogen fertilization in fertilized treatments.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_Toc206669283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140</w:t>
        </w:r>
        <w:r w:rsidRPr="00203EB0">
          <w:rPr>
            <w:rFonts w:cs="Times New Roman"/>
            <w:noProof/>
            <w:webHidden/>
          </w:rPr>
          <w:fldChar w:fldCharType="end"/>
        </w:r>
      </w:hyperlink>
    </w:p>
    <w:p w14:paraId="64541C1E" w14:textId="5BAE14C9"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84" w:history="1">
        <w:r w:rsidRPr="00203EB0">
          <w:rPr>
            <w:rStyle w:val="Hyperlink"/>
            <w:rFonts w:ascii="Times New Roman" w:hAnsi="Times New Roman" w:cs="Times New Roman"/>
            <w:b/>
            <w:bCs/>
            <w:noProof/>
          </w:rPr>
          <w:t>Figure 6.4:</w:t>
        </w:r>
        <w:r w:rsidRPr="00203EB0">
          <w:rPr>
            <w:rStyle w:val="Hyperlink"/>
            <w:rFonts w:ascii="Times New Roman" w:hAnsi="Times New Roman" w:cs="Times New Roman"/>
            <w:noProof/>
          </w:rPr>
          <w:t xml:space="preserve"> Observed and predicted nitrous oxide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fluxes with Base-Over and Class-Swap-Over models across treatments over the 2022 independent validation period. Dashed T-lines represent standard deviation (± SD). Vertical black dashed lines indicate transitions between treatments, and black arrows indicate the timing of nitrogen fertilization in fertilized treatments.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_Toc206669284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141</w:t>
        </w:r>
        <w:r w:rsidRPr="00203EB0">
          <w:rPr>
            <w:rFonts w:cs="Times New Roman"/>
            <w:noProof/>
            <w:webHidden/>
          </w:rPr>
          <w:fldChar w:fldCharType="end"/>
        </w:r>
      </w:hyperlink>
    </w:p>
    <w:p w14:paraId="09C79886" w14:textId="5C913D55"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85" w:history="1">
        <w:r w:rsidRPr="00203EB0">
          <w:rPr>
            <w:rStyle w:val="Hyperlink"/>
            <w:rFonts w:ascii="Times New Roman" w:hAnsi="Times New Roman" w:cs="Times New Roman"/>
            <w:b/>
            <w:bCs/>
            <w:noProof/>
          </w:rPr>
          <w:t>Figure 6.5:</w:t>
        </w:r>
        <w:r w:rsidRPr="00203EB0">
          <w:rPr>
            <w:rStyle w:val="Hyperlink"/>
            <w:rFonts w:ascii="Times New Roman" w:hAnsi="Times New Roman" w:cs="Times New Roman"/>
            <w:noProof/>
          </w:rPr>
          <w:t xml:space="preserve"> Observed versus predicted nitrous oxide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fluxes by the Base and Class-Swap models across treatments for the 2022 independent dataset. The dashed black line denotes the 1:1 reference line, indicating perfect prediction accuracy. r</w:t>
        </w:r>
        <w:r w:rsidRPr="00203EB0">
          <w:rPr>
            <w:rStyle w:val="Hyperlink"/>
            <w:rFonts w:ascii="Times New Roman" w:hAnsi="Times New Roman" w:cs="Times New Roman"/>
            <w:noProof/>
            <w:vertAlign w:val="superscript"/>
          </w:rPr>
          <w:t>2</w:t>
        </w:r>
        <w:r w:rsidRPr="00203EB0">
          <w:rPr>
            <w:rStyle w:val="Hyperlink"/>
            <w:rFonts w:ascii="Times New Roman" w:hAnsi="Times New Roman" w:cs="Times New Roman"/>
            <w:noProof/>
          </w:rPr>
          <w:t>: coefficient of determination (square of the Pearson correlation coefficient).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_Toc206669285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142</w:t>
        </w:r>
        <w:r w:rsidRPr="00203EB0">
          <w:rPr>
            <w:rFonts w:cs="Times New Roman"/>
            <w:noProof/>
            <w:webHidden/>
          </w:rPr>
          <w:fldChar w:fldCharType="end"/>
        </w:r>
      </w:hyperlink>
    </w:p>
    <w:p w14:paraId="4932F631" w14:textId="35E126D7"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86" w:history="1">
        <w:r w:rsidRPr="00203EB0">
          <w:rPr>
            <w:rStyle w:val="Hyperlink"/>
            <w:rFonts w:ascii="Times New Roman" w:hAnsi="Times New Roman" w:cs="Times New Roman"/>
            <w:b/>
            <w:bCs/>
            <w:noProof/>
          </w:rPr>
          <w:t>Figure 6.6:</w:t>
        </w:r>
        <w:r w:rsidRPr="00203EB0">
          <w:rPr>
            <w:rStyle w:val="Hyperlink"/>
            <w:rFonts w:ascii="Times New Roman" w:hAnsi="Times New Roman" w:cs="Times New Roman"/>
            <w:noProof/>
          </w:rPr>
          <w:t xml:space="preserve"> Observed versus predicted nitrous oxide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fluxes by the Base Over and Class-Swap Over models across treatments for the 2022 independent dataset. The dashed black line denotes the 1:1 reference line, indicating perfect prediction accuracy. r</w:t>
        </w:r>
        <w:r w:rsidRPr="00203EB0">
          <w:rPr>
            <w:rStyle w:val="Hyperlink"/>
            <w:rFonts w:ascii="Times New Roman" w:hAnsi="Times New Roman" w:cs="Times New Roman"/>
            <w:noProof/>
            <w:vertAlign w:val="superscript"/>
          </w:rPr>
          <w:t>2</w:t>
        </w:r>
        <w:r w:rsidRPr="00203EB0">
          <w:rPr>
            <w:rStyle w:val="Hyperlink"/>
            <w:rFonts w:ascii="Times New Roman" w:hAnsi="Times New Roman" w:cs="Times New Roman"/>
            <w:noProof/>
          </w:rPr>
          <w:t>: coefficient of determination (square of the Pearson correlation coefficient).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_Toc206669286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143</w:t>
        </w:r>
        <w:r w:rsidRPr="00203EB0">
          <w:rPr>
            <w:rFonts w:cs="Times New Roman"/>
            <w:noProof/>
            <w:webHidden/>
          </w:rPr>
          <w:fldChar w:fldCharType="end"/>
        </w:r>
      </w:hyperlink>
    </w:p>
    <w:p w14:paraId="431B8167" w14:textId="2019A4D7"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87" w:history="1">
        <w:r w:rsidRPr="00203EB0">
          <w:rPr>
            <w:rStyle w:val="Hyperlink"/>
            <w:rFonts w:ascii="Times New Roman" w:hAnsi="Times New Roman" w:cs="Times New Roman"/>
            <w:b/>
            <w:bCs/>
            <w:noProof/>
          </w:rPr>
          <w:t>Figure 6.7:</w:t>
        </w:r>
        <w:r w:rsidRPr="00203EB0">
          <w:rPr>
            <w:rStyle w:val="Hyperlink"/>
            <w:rFonts w:ascii="Times New Roman" w:hAnsi="Times New Roman" w:cs="Times New Roman"/>
            <w:noProof/>
          </w:rPr>
          <w:t xml:space="preserve"> Violin plot comparing observed and predicted nitrous oxide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fluxes from the Base, Base-Over, Class-Swap, and Class-Swap-Over models, based on the 2023 training dataset.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_Toc206669287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144</w:t>
        </w:r>
        <w:r w:rsidRPr="00203EB0">
          <w:rPr>
            <w:rFonts w:cs="Times New Roman"/>
            <w:noProof/>
            <w:webHidden/>
          </w:rPr>
          <w:fldChar w:fldCharType="end"/>
        </w:r>
      </w:hyperlink>
    </w:p>
    <w:p w14:paraId="114030D3" w14:textId="66DF9CB7"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88" w:history="1">
        <w:r w:rsidRPr="00203EB0">
          <w:rPr>
            <w:rStyle w:val="Hyperlink"/>
            <w:rFonts w:ascii="Times New Roman" w:hAnsi="Times New Roman" w:cs="Times New Roman"/>
            <w:b/>
            <w:bCs/>
            <w:noProof/>
          </w:rPr>
          <w:t>Figure 6.8:</w:t>
        </w:r>
        <w:r w:rsidRPr="00203EB0">
          <w:rPr>
            <w:rStyle w:val="Hyperlink"/>
            <w:rFonts w:ascii="Times New Roman" w:hAnsi="Times New Roman" w:cs="Times New Roman"/>
            <w:noProof/>
          </w:rPr>
          <w:t xml:space="preserve"> Violin plot comparing observed and predicted nitrous oxide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fluxes from the Base, Base-Over, Class-Swap, and Class-Swap-Over models, based on the 2022 independent validation dataset.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_Toc206669288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144</w:t>
        </w:r>
        <w:r w:rsidRPr="00203EB0">
          <w:rPr>
            <w:rFonts w:cs="Times New Roman"/>
            <w:noProof/>
            <w:webHidden/>
          </w:rPr>
          <w:fldChar w:fldCharType="end"/>
        </w:r>
      </w:hyperlink>
    </w:p>
    <w:p w14:paraId="669DD169" w14:textId="0D33DD2E"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89" w:history="1">
        <w:r w:rsidRPr="00203EB0">
          <w:rPr>
            <w:rStyle w:val="Hyperlink"/>
            <w:rFonts w:ascii="Times New Roman" w:hAnsi="Times New Roman" w:cs="Times New Roman"/>
            <w:b/>
            <w:bCs/>
            <w:noProof/>
          </w:rPr>
          <w:t>Figure 6.9</w:t>
        </w:r>
        <w:r w:rsidRPr="00203EB0">
          <w:rPr>
            <w:rStyle w:val="Hyperlink"/>
            <w:rFonts w:ascii="Times New Roman" w:hAnsi="Times New Roman" w:cs="Times New Roman"/>
            <w:noProof/>
          </w:rPr>
          <w:t>: Observed and model-predicted cumulative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average across all treatments, based on the 2022 independent validation dataset.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_Toc206669289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146</w:t>
        </w:r>
        <w:r w:rsidRPr="00203EB0">
          <w:rPr>
            <w:rFonts w:cs="Times New Roman"/>
            <w:noProof/>
            <w:webHidden/>
          </w:rPr>
          <w:fldChar w:fldCharType="end"/>
        </w:r>
      </w:hyperlink>
    </w:p>
    <w:p w14:paraId="4F77A347" w14:textId="3928C387"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90" w:history="1">
        <w:r w:rsidRPr="00203EB0">
          <w:rPr>
            <w:rStyle w:val="Hyperlink"/>
            <w:rFonts w:ascii="Times New Roman" w:hAnsi="Times New Roman" w:cs="Times New Roman"/>
            <w:b/>
            <w:bCs/>
            <w:noProof/>
          </w:rPr>
          <w:t>Figure 6.10:</w:t>
        </w:r>
        <w:r w:rsidRPr="00203EB0">
          <w:rPr>
            <w:rStyle w:val="Hyperlink"/>
            <w:rFonts w:ascii="Times New Roman" w:hAnsi="Times New Roman" w:cs="Times New Roman"/>
            <w:noProof/>
          </w:rPr>
          <w:t xml:space="preserve"> Observed and predicted cumulative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emissions by treatment, based on the 2022 independent validation dataset.</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_Toc206669290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147</w:t>
        </w:r>
        <w:r w:rsidRPr="00203EB0">
          <w:rPr>
            <w:rFonts w:cs="Times New Roman"/>
            <w:noProof/>
            <w:webHidden/>
          </w:rPr>
          <w:fldChar w:fldCharType="end"/>
        </w:r>
      </w:hyperlink>
    </w:p>
    <w:p w14:paraId="3BBFB77B" w14:textId="668E3D77"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91" w:history="1">
        <w:r w:rsidRPr="00203EB0">
          <w:rPr>
            <w:rStyle w:val="Hyperlink"/>
            <w:rFonts w:ascii="Times New Roman" w:hAnsi="Times New Roman" w:cs="Times New Roman"/>
            <w:b/>
            <w:bCs/>
            <w:noProof/>
          </w:rPr>
          <w:t>Figure 6.11:</w:t>
        </w:r>
        <w:r w:rsidRPr="00203EB0">
          <w:rPr>
            <w:rStyle w:val="Hyperlink"/>
            <w:rFonts w:ascii="Times New Roman" w:hAnsi="Times New Roman" w:cs="Times New Roman"/>
            <w:noProof/>
          </w:rPr>
          <w:t xml:space="preserve"> Variable importance in the Class-Swap model for (a) low (background emissions) and (b) high (hot-moments)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 scenarios.</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_Toc206669291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151</w:t>
        </w:r>
        <w:r w:rsidRPr="00203EB0">
          <w:rPr>
            <w:rFonts w:cs="Times New Roman"/>
            <w:noProof/>
            <w:webHidden/>
          </w:rPr>
          <w:fldChar w:fldCharType="end"/>
        </w:r>
      </w:hyperlink>
    </w:p>
    <w:p w14:paraId="44EEB79C" w14:textId="7C89D24A" w:rsidR="00AF3355" w:rsidRPr="00203EB0" w:rsidRDefault="00AF3355" w:rsidP="00D04874">
      <w:pPr>
        <w:pStyle w:val="TableofFigures"/>
        <w:tabs>
          <w:tab w:val="right" w:leader="dot" w:pos="8630"/>
        </w:tabs>
        <w:spacing w:line="480" w:lineRule="auto"/>
        <w:jc w:val="left"/>
        <w:rPr>
          <w:rFonts w:eastAsiaTheme="minorEastAsia" w:cs="Times New Roman"/>
          <w:noProof/>
          <w:kern w:val="2"/>
          <w14:ligatures w14:val="standardContextual"/>
        </w:rPr>
      </w:pPr>
      <w:hyperlink w:anchor="_Toc206669292" w:history="1">
        <w:r w:rsidRPr="00203EB0">
          <w:rPr>
            <w:rStyle w:val="Hyperlink"/>
            <w:rFonts w:ascii="Times New Roman" w:hAnsi="Times New Roman" w:cs="Times New Roman"/>
            <w:b/>
            <w:bCs/>
            <w:noProof/>
          </w:rPr>
          <w:t>Figure 6.12:</w:t>
        </w:r>
        <w:r w:rsidRPr="00203EB0">
          <w:rPr>
            <w:rStyle w:val="Hyperlink"/>
            <w:rFonts w:ascii="Times New Roman" w:hAnsi="Times New Roman" w:cs="Times New Roman"/>
            <w:noProof/>
          </w:rPr>
          <w:t xml:space="preserve"> Partial dependence plots for the most influential variables in the Class-Swap model under low (a-d) and high (e-f) N</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O emission scenarios: a,e) 48 hours cumulative precipitation, b,f) WFPS, c) CO</w:t>
        </w:r>
        <w:r w:rsidRPr="00203EB0">
          <w:rPr>
            <w:rStyle w:val="Hyperlink"/>
            <w:rFonts w:ascii="Times New Roman" w:hAnsi="Times New Roman" w:cs="Times New Roman"/>
            <w:noProof/>
            <w:vertAlign w:val="subscript"/>
          </w:rPr>
          <w:t>2</w:t>
        </w:r>
        <w:r w:rsidRPr="00203EB0">
          <w:rPr>
            <w:rStyle w:val="Hyperlink"/>
            <w:rFonts w:ascii="Times New Roman" w:hAnsi="Times New Roman" w:cs="Times New Roman"/>
            <w:noProof/>
          </w:rPr>
          <w:t xml:space="preserve"> fluxes, and d) ammonium.</w:t>
        </w:r>
        <w:r w:rsidRPr="00203EB0">
          <w:rPr>
            <w:rFonts w:cs="Times New Roman"/>
            <w:noProof/>
            <w:webHidden/>
          </w:rPr>
          <w:tab/>
        </w:r>
        <w:r w:rsidRPr="00203EB0">
          <w:rPr>
            <w:rFonts w:cs="Times New Roman"/>
            <w:noProof/>
            <w:webHidden/>
          </w:rPr>
          <w:fldChar w:fldCharType="begin"/>
        </w:r>
        <w:r w:rsidRPr="00203EB0">
          <w:rPr>
            <w:rFonts w:cs="Times New Roman"/>
            <w:noProof/>
            <w:webHidden/>
          </w:rPr>
          <w:instrText xml:space="preserve"> PAGEREF _Toc206669292 \h </w:instrText>
        </w:r>
        <w:r w:rsidRPr="00203EB0">
          <w:rPr>
            <w:rFonts w:cs="Times New Roman"/>
            <w:noProof/>
            <w:webHidden/>
          </w:rPr>
        </w:r>
        <w:r w:rsidRPr="00203EB0">
          <w:rPr>
            <w:rFonts w:cs="Times New Roman"/>
            <w:noProof/>
            <w:webHidden/>
          </w:rPr>
          <w:fldChar w:fldCharType="separate"/>
        </w:r>
        <w:r w:rsidR="00C55F6B">
          <w:rPr>
            <w:rFonts w:cs="Times New Roman"/>
            <w:noProof/>
            <w:webHidden/>
          </w:rPr>
          <w:t>153</w:t>
        </w:r>
        <w:r w:rsidRPr="00203EB0">
          <w:rPr>
            <w:rFonts w:cs="Times New Roman"/>
            <w:noProof/>
            <w:webHidden/>
          </w:rPr>
          <w:fldChar w:fldCharType="end"/>
        </w:r>
      </w:hyperlink>
    </w:p>
    <w:p w14:paraId="54D13DD3" w14:textId="07F43146" w:rsidR="002C339C" w:rsidRDefault="00665C7E" w:rsidP="002C339C">
      <w:pPr>
        <w:numPr>
          <w:ilvl w:val="12"/>
          <w:numId w:val="0"/>
        </w:numPr>
        <w:spacing w:line="480" w:lineRule="auto"/>
        <w:jc w:val="left"/>
        <w:rPr>
          <w:rFonts w:cs="Times New Roman"/>
        </w:rPr>
      </w:pPr>
      <w:r w:rsidRPr="00203EB0">
        <w:rPr>
          <w:rFonts w:cs="Times New Roman"/>
        </w:rPr>
        <w:fldChar w:fldCharType="end"/>
      </w:r>
    </w:p>
    <w:p w14:paraId="25F63522" w14:textId="48E807AF" w:rsidR="002C339C" w:rsidRPr="002C339C" w:rsidRDefault="002C339C" w:rsidP="002C339C">
      <w:pPr>
        <w:tabs>
          <w:tab w:val="left" w:pos="2148"/>
        </w:tabs>
        <w:rPr>
          <w:rFonts w:cs="Times New Roman"/>
        </w:rPr>
        <w:sectPr w:rsidR="002C339C" w:rsidRPr="002C339C"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r>
        <w:rPr>
          <w:rFonts w:cs="Times New Roman"/>
        </w:rPr>
        <w:tab/>
      </w:r>
    </w:p>
    <w:p w14:paraId="15E1A11C" w14:textId="56790991" w:rsidR="004F08CE" w:rsidRPr="00203EB0" w:rsidRDefault="00965FBD" w:rsidP="00940343">
      <w:pPr>
        <w:pStyle w:val="Heading1"/>
        <w:contextualSpacing/>
      </w:pPr>
      <w:bookmarkStart w:id="6" w:name="_Toc420995890"/>
      <w:bookmarkStart w:id="7" w:name="_Toc422997477"/>
      <w:r w:rsidRPr="00203EB0">
        <w:lastRenderedPageBreak/>
        <w:br/>
      </w:r>
      <w:bookmarkStart w:id="8" w:name="_Toc206669101"/>
      <w:bookmarkEnd w:id="6"/>
      <w:bookmarkEnd w:id="7"/>
      <w:r w:rsidR="006551A2" w:rsidRPr="00203EB0">
        <w:t>Introduction</w:t>
      </w:r>
      <w:bookmarkEnd w:id="8"/>
    </w:p>
    <w:p w14:paraId="44069925" w14:textId="7B86B2EB" w:rsidR="006D303C" w:rsidRPr="00203EB0" w:rsidRDefault="006D303C" w:rsidP="00940343">
      <w:pPr>
        <w:pStyle w:val="NormalWeb"/>
        <w:spacing w:line="480" w:lineRule="auto"/>
        <w:contextualSpacing/>
      </w:pPr>
      <w:r w:rsidRPr="00203EB0">
        <w:t>Soil health practices, such as cover cropping and no-tillage (NT), provide a wide range of environmental benefits to agricultural systems, including carbon sequestration, reduced erosion, improved nutrient retention, enhanced biodiversity, and increased resilience of agroecosystems</w:t>
      </w:r>
      <w:r w:rsidR="00EB2F35" w:rsidRPr="00203EB0">
        <w:t xml:space="preserve"> </w:t>
      </w:r>
      <w:r w:rsidR="00EB2F35" w:rsidRPr="00203EB0">
        <w:fldChar w:fldCharType="begin" w:fldLock="1"/>
      </w:r>
      <w:r w:rsidR="00EB2F35" w:rsidRPr="00203EB0">
        <w:instrText>ADDIN CSL_CITATION {"citationItems":[{"id":"ITEM-1","itemData":{"DOI":"10.1016/j.agee.2014.10.024","ISSN":"01678809","abstract":"A promising option to sequester carbon in agricultural soils is the inclusion of cover crops in cropping systems. The advantage of cover crops as compared to other management practices that increase soil organic carbon (SOC) is that they neither cause a decline in yields, like extensification, nor carbon losses in other systems, like organic manure applications may do. However, the effect of cover crop green manuring on SOC stocks is widely overlooked. We therefore conducted a meta-analysis to derive a carbon response function describing SOC stock changes as a function of time. Data from 139 plots at 37 different sites were compiled. In total, the cover crop treatments had a significantly higher SOC stock than the reference croplands. The time since introduction of cover crops in crop rotations was linearly correlated with SOC stock change (R2=0.19) with an annual change rate of 0.32±0.08Mgha-1yr-1 in a mean soil depth of 22cm and during the observed period of up to 54 years. Elevation above sea level of the plot and sampling depth could be used as explanatory variables to improve the model fit. Assuming that the observed linear SOC accumulation would not proceed indefinitely, we modeled the average SOC stock change with the carbon turnover model RothC. The predicted new steady state was reached after 155 years of cover crop cultivation with a total mean SOC stock accumulation of 16.7±1.5Mgha-1 for a soil depth of 22cm. Thus, the C input driven SOC sequestration with the introduction of cover crops proved to be highly efficient. We estimated a potential global SOC sequestration of 0.12±0.03PgCyr-1, which would compensate for 8% of the direct annual greenhouse gas emissions from agriculture. However, altered N2O emissions and albedo due to cover crop cultivation have not been taken into account here. Data on those processes, which are most likely species-specific, would be needed for reliable greenhouse gas budgets.","author":[{"dropping-particle":"","family":"Poeplau","given":"Christopher","non-dropping-particle":"","parse-names":false,"suffix":""},{"dropping-particle":"","family":"Don","given":"Axel","non-dropping-particle":"","parse-names":false,"suffix":""}],"container-title":"Agriculture, Ecosystems and Environment","id":"ITEM-1","issued":{"date-parts":[["2015"]]},"page":"33-41","publisher":"Elsevier B.V.","title":"Carbon sequestration in agricultural soils via cultivation of cover crops - A meta-analysis","type":"article-journal","volume":"200"},"uris":["http://www.mendeley.com/documents/?uuid=91f08793-f8b2-419b-a289-f140ca85a4f4"]},{"id":"ITEM-2","itemData":{"DOI":"10.2489/jswc.2021.0324A","ISSN":"19413300","author":[{"dropping-particle":"","family":"Rejesus","given":"Roderick M.","non-dropping-particle":"","parse-names":false,"suffix":""},{"dropping-particle":"","family":"Aglasan","given":"Serkan","non-dropping-particle":"","parse-names":false,"suffix":""},{"dropping-particle":"","family":"Knight","given":"Lynn G.","non-dropping-particle":"","parse-names":false,"suffix":""},{"dropping-particle":"","family":"Cavigelli","given":"Michel A.","non-dropping-particle":"","parse-names":false,"suffix":""},{"dropping-particle":"","family":"Dell","given":"Curtis J.","non-dropping-particle":"","parse-names":false,"suffix":""},{"dropping-particle":"","family":"Lane","given":"Erin D.","non-dropping-particle":"","parse-names":false,"suffix":""},{"dropping-particle":"","family":"Hollinger","given":"David Y.","non-dropping-particle":"","parse-names":false,"suffix":""}],"container-title":"Journal of Soil and Water Conservation","id":"ITEM-2","issue":"3","issued":{"date-parts":[["2021"]]},"page":"55A-60A","title":"Economic dimensions of soil health practices that sequester carbon: Promising research directions","type":"article-journal","volume":"76"},"uris":["http://www.mendeley.com/documents/?uuid=a1336785-c941-4cac-b98d-4277044ba42e"]},{"id":"ITEM-3","itemData":{"DOI":"10.1139/cjss-2021-0187","ISSN":"19181841","abstract":"Healthy soils are fundamental to building prosperous and resilient farms and to efforts to reduce greenhouse gas emissions and enhance overall environmental impacts from agriculture. Understanding the adoption of beneficial management practices (BMPs) that promote soil health is necessary for these benefits to be obtained. Drawing from a survey of Ontario farmers (n = 247) with 60% being crop producers and 22% livestock farmers, we explore the variation in adoption for six soil health BMPs: cover crops, crop rotations, no-till, soil testing, conservation buffers, and organic amendments. Soil testing had the highest rate of adoption, while conservation buffers had the least. The majority of farmers (73%) implemented four or more BMPs as the use of practices such as a rotation with winter wheat, cover cropping, and no-till tend to be positively correlated. Adopters of the BMPs tend to operate larger farms both in the area operated and farm cash receipts than non-adopters. Improving soil health was the most widely selected motivation for adoption across all six BMPs. The most effective interventions to enhance adoption among non-adopters include financial incentives, easily accessible information and advice, and farmer-to-farmer learning. Our results suggest that farmers that adopt BMPs do so primarily to enhance soil health rather than solely for economic considerations. Encouraging use among non-adopters may require monitoring and promoting the benefits of soil health. The results should aid in the development of strategic frameworks that facilitate innovations in policy to enhance soil health.","author":[{"dropping-particle":"","family":"Shah","given":"Ananka","non-dropping-particle":"","parse-names":false,"suffix":""},{"dropping-particle":"","family":"Weersink","given":"Alfons","non-dropping-particle":"","parse-names":false,"suffix":""},{"dropping-particle":"","family":"Vyn","given":"Richard","non-dropping-particle":"","parse-names":false,"suffix":""}],"container-title":"Canadian Journal of Soil Science","id":"ITEM-3","issue":"4","issued":{"date-parts":[["2022"]]},"page":"825-834","title":"Adoption of beneficial management practices to improve soil health","type":"article-journal","volume":"102"},"uris":["http://www.mendeley.com/documents/?uuid=ae2bea17-6fb4-46e8-bc4a-3cc01d8884ec"]}],"mendeley":{"formattedCitation":"(Poeplau and Don, 2015; Rejesus et al., 2021; Shah et al., 2022)","plainTextFormattedCitation":"(Poeplau and Don, 2015; Rejesus et al., 2021; Shah et al., 2022)","previouslyFormattedCitation":"(Poeplau and Don, 2015; Rejesus et al., 2021; Shah et al., 2022)"},"properties":{"noteIndex":0},"schema":"https://github.com/citation-style-language/schema/raw/master/csl-citation.json"}</w:instrText>
      </w:r>
      <w:r w:rsidR="00EB2F35" w:rsidRPr="00203EB0">
        <w:fldChar w:fldCharType="separate"/>
      </w:r>
      <w:r w:rsidR="00EB2F35" w:rsidRPr="00203EB0">
        <w:rPr>
          <w:noProof/>
        </w:rPr>
        <w:t>(Poeplau and Don, 2015; Rejesus et al., 2021; Shah et al., 2022)</w:t>
      </w:r>
      <w:r w:rsidR="00EB2F35" w:rsidRPr="00203EB0">
        <w:fldChar w:fldCharType="end"/>
      </w:r>
      <w:r w:rsidR="00EB2F35" w:rsidRPr="00203EB0">
        <w:t xml:space="preserve">. </w:t>
      </w:r>
      <w:r w:rsidRPr="00203EB0">
        <w:t>The 2017 U.S. Department of Agriculture Census revealed a growing adoption of these practices across the country between 2012 and 2017. Notably, NT increased by 8.3%, covering 37% of U.S. cropland, while cover cropping rose by 50%. Tennessee led these trends, with 79% of arable lands under NT and an 85% increase in cover crop area during the same period</w:t>
      </w:r>
      <w:r w:rsidR="00EB2F35" w:rsidRPr="00203EB0">
        <w:t xml:space="preserve"> </w:t>
      </w:r>
      <w:r w:rsidR="00EB2F35" w:rsidRPr="00203EB0">
        <w:fldChar w:fldCharType="begin" w:fldLock="1"/>
      </w:r>
      <w:r w:rsidR="004179E3" w:rsidRPr="00203EB0">
        <w:instrText>ADDIN CSL_CITATION {"citationItems":[{"id":"ITEM-1","itemData":{"abstract":"This is the first of 3 articles that discuss land use practices as reported in the 2017 US Census of Agriculture (see farmdoc daily, July 25 and August 1). Cover crops is examined in this article. Cover crops have attracted intense interest as a practice that may reduce negative impacts of farming on the environment. Potential benefits noted by proponents include less soil erosion and reduced loss of nitrogen and other nutrients from the soil (Myers, Weber, and Tellatin, 2019). Despite the attention paid to cover crops over the last few years, acres planted to cover crops equaled only 3.9% of all US cropland in 2017. Only 2 states (Maine and Maryland) averaged a 1 percentage point per year increase in cover crops as a share of cropland between 2012 and 2017. Census Question Section 4 of the 2017 Census of Agriculture questionnaire addressed \"Land Use Practices.\" One practices was the use of cover crops. Respondents were specifically asked, \"During 2017, considering the cropland acres on this operation, how many acres were planted to a cover crop? (Cover crops are planted primarily for managing soil fertility, soil quality, and controlling weeds, pests, and diseases.) Exclude CRP.\" (Appendix B, page B-30). The wording of this question means a cover crop could be the only use of land during 2017 or it could have been planted after a harvested crop. Cover Crops in 2017 Cover crops in the US totaled 15.4 million acres in 2017, up 50% from the 10.3 million acres in the 2012 Census. Cover crop acres equaled 3.9% of all US cropland in 2017 vs. 2.6% in 2012. The 11 states with cover crops as the highest share of cropland all border the Atlantic Ocean: Maryland (29%), Delaware (20%), Connecticut (15%), New Jersey (14%), Virginia (13%), Rhode Island (13%); Pennsylvania (13%), Georgia (12%), Maine (12%), Massachusetts (10%), and North Carolina (10%) (see Figure 1). The 6 states with the smallest share are in the northern US and, with the exception of Alaska, are associated with drier climates during the growing season: Montana (1%); Alaska (1%), Colorado (1%), South Dakota (1%), North Dakota (1%), and Wyoming (2%). A significant correlation of-0.40 exists between cropland acres and share in cover crops. It differs from zero with 99% statistical confidence. While number of cropland acres explains only 16% (16% =-0.40 squared) of the variation in cover crop share across states; states with more cropland acres tend to have a smaller share in cover crops. A possible","author":[{"dropping-particle":"","family":"Zulauf","given":"Carl","non-dropping-particle":"","parse-names":false,"suffix":""},{"dropping-particle":"","family":"Brown","given":"Ben","non-dropping-particle":"","parse-names":false,"suffix":""}],"container-title":"Farmdoc Daily","id":"ITEM-1","issue":"141","issued":{"date-parts":[["2019"]]},"page":"1-4","title":"Cover crops, 2017 US census of agriculture","type":"article-journal","volume":"9"},"uris":["http://www.mendeley.com/documents/?uuid=af974448-c0c7-4f17-9bd8-2acd39c88ce4"]},{"id":"ITEM-2","itemData":{"abstract":"This is the first of 3 articles that discuss land use practices as reported in the 2017 US Census of Agriculture (see farmdoc daily, July 25 and August 1). Cover crops is examined in this article. Cover crops have attracted intense interest as a practice that may reduce negative impacts of farming on the environment. Potential benefits noted by proponents include less soil erosion and reduced loss of nitrogen and other nutrients from the soil (Myers, Weber, and Tellatin, 2019). Despite the attention paid to cover crops over the last few years, acres planted to cover crops equaled only 3.9% of all US cropland in 2017. Only 2 states (Maine and Maryland) averaged a 1 percentage point per year increase in cover crops as a share of cropland between 2012 and 2017. Census Question Section 4 of the 2017 Census of Agriculture questionnaire addressed \"Land Use Practices.\" One practices was the use of cover crops. Respondents were specifically asked, \"During 2017, considering the cropland acres on this operation, how many acres were planted to a cover crop? (Cover crops are planted primarily for managing soil fertility, soil quality, and controlling weeds, pests, and diseases.) Exclude CRP.\" (Appendix B, page B-30). The wording of this question means a cover crop could be the only use of land during 2017 or it could have been planted after a harvested crop. Cover Crops in 2017 Cover crops in the US totaled 15.4 million acres in 2017, up 50% from the 10.3 million acres in the 2012 Census. Cover crop acres equaled 3.9% of all US cropland in 2017 vs. 2.6% in 2012. The 11 states with cover crops as the highest share of cropland all border the Atlantic Ocean: Maryland (29%), Delaware (20%), Connecticut (15%), New Jersey (14%), Virginia (13%), Rhode Island (13%); Pennsylvania (13%), Georgia (12%), Maine (12%), Massachusetts (10%), and North Carolina (10%) (see Figure 1). The 6 states with the smallest share are in the northern US and, with the exception of Alaska, are associated with drier climates during the growing season: Montana (1%); Alaska (1%), Colorado (1%), South Dakota (1%), North Dakota (1%), and Wyoming (2%). A significant correlation of-0.40 exists between cropland acres and share in cover crops. It differs from zero with 99% statistical confidence. While number of cropland acres explains only 16% (16% =-0.40 squared) of the variation in cover crop share across states; states with more cropland acres tend to have a smaller share in cover crops. A possible","author":[{"dropping-particle":"","family":"Zulauf","given":"Carl","non-dropping-particle":"","parse-names":false,"suffix":""},{"dropping-particle":"","family":"Brown","given":"Ben","non-dropping-particle":"","parse-names":false,"suffix":""}],"container-title":"Farmdoc Daily","id":"ITEM-2","issue":"136","issued":{"date-parts":[["2019"]]},"page":"1-5","title":"Tillage practices, 2017 US census of agriculture","type":"article-journal","volume":"9"},"uris":["http://www.mendeley.com/documents/?uuid=6b53a9a5-d579-48ad-81a5-7071bf7a44b1"]}],"mendeley":{"formattedCitation":"(Zulauf and Brown, 2019a; b)","plainTextFormattedCitation":"(Zulauf and Brown, 2019a; b)","previouslyFormattedCitation":"(Zulauf and Brown, 2019a; b)"},"properties":{"noteIndex":0},"schema":"https://github.com/citation-style-language/schema/raw/master/csl-citation.json"}</w:instrText>
      </w:r>
      <w:r w:rsidR="00EB2F35" w:rsidRPr="00203EB0">
        <w:fldChar w:fldCharType="separate"/>
      </w:r>
      <w:r w:rsidR="00EB2F35" w:rsidRPr="00203EB0">
        <w:rPr>
          <w:noProof/>
        </w:rPr>
        <w:t>(Zulauf and Brown, 2019a; b)</w:t>
      </w:r>
      <w:r w:rsidR="00EB2F35" w:rsidRPr="00203EB0">
        <w:fldChar w:fldCharType="end"/>
      </w:r>
      <w:r w:rsidRPr="00203EB0">
        <w:t>.</w:t>
      </w:r>
    </w:p>
    <w:p w14:paraId="680D4C96" w14:textId="6C4749E8" w:rsidR="00931D55" w:rsidRDefault="006D303C" w:rsidP="00931D55">
      <w:pPr>
        <w:pStyle w:val="NormalWeb"/>
        <w:spacing w:line="480" w:lineRule="auto"/>
        <w:contextualSpacing/>
      </w:pPr>
      <w:r w:rsidRPr="00203EB0">
        <w:t xml:space="preserve">Long-term implementation of NT and cover cropping has been widely recognized for improving soil organic carbon (SOC) and soil quality across diverse agricultural systems in the U.S. </w:t>
      </w:r>
      <w:r w:rsidR="009F6F30" w:rsidRPr="00203EB0">
        <w:fldChar w:fldCharType="begin" w:fldLock="1"/>
      </w:r>
      <w:r w:rsidR="004179E3" w:rsidRPr="00203EB0">
        <w:instrText>ADDIN CSL_CITATION {"citationItems":[{"id":"ITEM-1","itemData":{"DOI":"10.1023/A:1006271331703","ISSN":"01682563","abstract":"Crop-based agriculture occupies 1.7 billion hectares, globally, with a soil C stock of about 170 Pg. Of the past anthropogenic CO2 additions to the atmosphere, about 50 Pg C came from the loss of soil organic matter (SOM) in cultivated soils. Improved management practices, however, can rebuild C stocks in agricultural soils and help mitigate CO2 emissions. Increasing soil C stocks requires increasing C inputs and/or reducing soil heterotrophic respiration. Management options that contribute to reduced soil respiration include reduced tillage practices (especially no-till) and increased cropping intensity. Physical disturbance associated with intensive soil tillage increases the turnover of soil aggregates and accelerates the decomposition of aggregate-associated SOM. No-till increases aggregate stability and promotes the formation of recalcitrant SOM fractions within stabilized micro- and macro-aggregate structures. Experiments using 13C natural abundance show up to a two-fold increase in mean residence time of SOM under no-till vs intensive tillage. Greater cropping intensity, i.e., by reducing the frequency of bare fallow in crop rotations and increasing the use of perennial vegetation, can increase water and nutrient use efficiency by plants, thereby increasing C inputs to soil and reducing organic matter decomposition rates. Management and policies to sequester C in soils need to consider that: soils have a finite capacity to store C, gains in soil C can be reversed if proper management is not maintained, and fossil fuel inputs for different management practices need to be factored into a total agricultural CO2 balance.","author":[{"dropping-particle":"","family":"Paustian","given":"K.","non-dropping-particle":"","parse-names":false,"suffix":""},{"dropping-particle":"","family":"Six","given":"J.","non-dropping-particle":"","parse-names":false,"suffix":""},{"dropping-particle":"","family":"Elliott","given":"E. T.","non-dropping-particle":"","parse-names":false,"suffix":""},{"dropping-particle":"","family":"Hunt","given":"H. W.","non-dropping-particle":"","parse-names":false,"suffix":""}],"container-title":"Biogeochemistry","id":"ITEM-1","issue":"1","issued":{"date-parts":[["2000"]]},"page":"147-163","title":"Management options for reducing CO2 emissions from agricultural soils","type":"article-journal","volume":"48"},"uris":["http://www.mendeley.com/documents/?uuid=c2343991-03ee-429b-8b74-094bdcb96466"]},{"id":"ITEM-2","itemData":{"DOI":"10.2136/sssaj2007.0233","ISSN":"0361-5995","abstract":"No‐tillage (NT) farming is superior to intensive tillage for conserving soil and water, yet its potential for sequestering soil organic carbon (SOC) in all environments as well as its impacts on soil profile SOC distribution are not well understood. Thus, we assessed the impacts of long‐term NT‐based cropping systems on SOC sequestration for the whole soil profile (0–60‐cm soil depth) across 11 Major Land Resource Areas (MLRAs: 121, 122, and 125 in Kentucky; 99, 124, 139A in Ohio; and 139B, 139C, 140, 147, and 148 in Pennsylvania) in the eastern United States. Soil was sampled in paired NT and plow tillage (PT) based cropping systems and an adjacent woodlot (WL). No‐tillage farming impacts on SOC and N were soil specific. The SOC and N concentrations in NT soils were greater than those in PT soils in 5 out of 11 MLRAs (121, 122, 124, 139A, and 148), but only within the 0‐ to 10‐cm depth. Below 10 cm, NT soils had lower SOC than PT soils in MLRA 124. The total SOC with NT for the whole soil profile (0–60 cm) did not differ from that with PT ( P &gt; 0.10) in accord with several previous studies. In fact, total soil profile SOC in PT soils was 50% higher in MLRA 125, 21% in MLRA 99, and 41% in MLRA 124 compared with that in NT soils. Overall, this study shows that NT farming increases SOC concentrations in the upper layers of some soils, but it does not store SOC more than PT soils for the whole soil profile.","author":[{"dropping-particle":"","family":"Blanco-Canqui","given":"Humberto","non-dropping-particle":"","parse-names":false,"suffix":""},{"dropping-particle":"","family":"Lal","given":"R.","non-dropping-particle":"","parse-names":false,"suffix":""}],"container-title":"Soil Science Society of America Journal","id":"ITEM-2","issue":"3","issued":{"date-parts":[["2008"]]},"page":"693-701","title":"No‐tillage and soil‐profile carbon sequestration: An on‐farm assessment","type":"article-journal","volume":"72"},"uris":["http://www.mendeley.com/documents/?uuid=1e8127c4-62ea-4c3c-b7f1-c7a1eb307b13"]},{"id":"ITEM-3","itemData":{"DOI":"10.2136/sssaj2010.0430","ISSN":"03615995","abstract":"Inclusion of cover crops (CCs) may be a potential strategy to boost no-till performance by improving soil physical properties. To assess this potential, we utilized a winter wheat (Triticum aestivum L.)-grain sorghum [Sorghum bicolor (L.) Moench] rotation, four N rates, and a hairy vetch (HV; Vicia villosa Roth) CC after wheat during the first rotation cycles, which was replaced in subsequent cycles with sunn hemp (SH; Crotalaria juncea L.) and late-maturing soybean [LMS; Glycine max (L.) Merr.] CCs in no-till on a silt loam. At the end of 15 yr, we studied the cumulative impacts of CCs on soil physical properties and assessed relationships between soil properties and soil organic C (SOC) concentration. Across N rates, SH reduced near-surface bulk density ( ρb ) by 4% and increased cumulative infiltration by three times relative to no-CC plots. Without N application, SH and LMS reduced Proctor maximum ρb , a parameter of soil compactibility, by 5%, indicating that soils under CCs may be less susceptible to compaction. Cover crops also increased mean weight diameter of aggregates (MWDA) by 80% in the 0- to 7.5-cm depth. The SOC concentration was 30% greater for SH and 20% greater for LMS than for no-CC plots in the 0- to 7.5-cm depth. The CC-induced increase in SOC concentration was negatively correlated with Proctor maximum ρb and positively with MWDA and cumulative infiltration. Overall, addition of CCs to no-till systems improved soil physical properties, and the CC-induced change in SOC concentration was correlated with soil physical properties. © Soil Science Society of America.","author":[{"dropping-particle":"","family":"Blanco-Canqui","given":"Humberto","non-dropping-particle":"","parse-names":false,"suffix":""},{"dropping-particle":"","family":"Mikha","given":"Maysoon M.","non-dropping-particle":"","parse-names":false,"suffix":""},{"dropping-particle":"","family":"Presley","given":"DeAnn R.","non-dropping-particle":"","parse-names":false,"suffix":""},{"dropping-particle":"","family":"Claassen","given":"Mark M.","non-dropping-particle":"","parse-names":false,"suffix":""}],"container-title":"Soil Science Society of America Journal","id":"ITEM-3","issue":"4","issued":{"date-parts":[["2011"]]},"page":"1471-1482","title":"Addition of cover crops enhances no-till potential for improving soil physical properties","type":"article-journal","volume":"75"},"uris":["http://www.mendeley.com/documents/?uuid=bd811282-56ce-4d24-98d6-fd580266fb1d"]},{"id":"ITEM-4","itemData":{"DOI":"10.2134/agronj15.0086","ISSN":"14350645","abstract":"Cover crops (CCs) can provide multiple soil, agricultural production, and environmental benefits. However, a better understanding of such potential ecosystem services is needed. We summarized the current state of knowledge of CC effects on soil C stocks, soil erosion, physical properties, soil water, nutrients, microbial properties, weed control, crop yields, expanded uses, and economics and highlighted research needs. Our review indicates that CCs are multifunctional. Cover crops increase soil organic C stocks (0.1-1. Mg ha-1 yr-1) with the magnitude depending on biomass amount, years in CCs, and initial soil C level. Runoff loss can decrease by up to 80% and sediment loss from 40 to 96% with CCs. Wind erosion potential also decreases with CCs, but studies are few. Cover crops alleviate soil compaction, improve soil structural and hydraulic properties, moderate soil temperature, improve microbial properties, recycle nutrients, and suppress weeds. Cover crops increase or have no effect on crop yields but reduce yields in water-limited regions by reducing available water for the subsequent crops. The few available studies indicate that grazing and haying of CCs do not adversely affect soil and crop production, which suggests that CC biomass removal for livestock or biofuel production can be another benefit from CCs. Overall, CCs provide numerous ecosystem services (i.e., soil, crop-livestock systems, and environment), although the magnitude of benefits is highly site specific. More research data are needed on the (i) multi-functionality of CCs for different climates and management scenarios and (ii) short-and long-term economic return from CCs.","author":[{"dropping-particle":"","family":"Blanco-Canqui","given":"Humberto","non-dropping-particle":"","parse-names":false,"suffix":""},{"dropping-particle":"","family":"Shaver","give</w:instrText>
      </w:r>
      <w:r w:rsidR="004179E3" w:rsidRPr="00622616">
        <w:rPr>
          <w:lang w:val="es-UY"/>
        </w:rPr>
        <w:instrText>n":"Tim M.","non-dropping-particle":"","parse-names":false,"suffix":""},{"dropping-particle":"","family":"Lindquist","given":"John L.","non-dropping-particle":"","parse-names":false,"suffix":""},{"dropping-particle":"","family":"Shapiro","given":"Charles A.","non-dropping-particle":"","parse-names":false,"suffix":""},{"dropping-particle":"","family":"Elmore","given":"Roger W.","non-dropping-particle":"","parse-names":false,"suffix":""},{"dropping-particle":"","family":"Francis","given":"Charles A.","non-dropping-particle":"","parse-names":false,"suffix":""},{"dropping-particle":"","family":"Hergert","given":"Gary W.","non-dropping-particle":"","parse-names":false,"suffix":""}],"container-title":"Agronomy Journal","id":"ITEM-4","issue":"6","issued":{"date-parts":[["2015"]]},"page":"2449-2474","title":"Cover crops and ecosystem services: Insights from studies in temperate soils","type":"article-journal","volume":"107"},"uris":["http://www.mendeley.com/documents/?uuid=20454a17-5493-4265-8396-8283e61f78b2"]}],"mendeley":{"formattedCitation":"(Paustian et al., 2000; Blanco-Canqui and Lal, 2008; Blanco-Canqui et al., 2011, 2015)","plainTextFormattedCitation":"(Paustian et al., 2000; Blanco-Canqui and Lal, 2008; Blanco-Canqui et al., 2011, 2015)","previouslyFormattedCitation":"(Paustian et al., 2000; Blanco-Canqui and Lal, 2008; Blanco-Canqui et al., 2011, 2015)"},"properties":{"noteIndex":0},"schema":"https://github.com/citation-style-language/schema/raw/master/csl-citation.json"}</w:instrText>
      </w:r>
      <w:r w:rsidR="009F6F30" w:rsidRPr="00203EB0">
        <w:fldChar w:fldCharType="separate"/>
      </w:r>
      <w:r w:rsidR="009F6F30" w:rsidRPr="00622616">
        <w:rPr>
          <w:noProof/>
          <w:lang w:val="es-UY"/>
        </w:rPr>
        <w:t>(Paustian et al., 2000; Blanco-Canqui and Lal, 2008; Blanco-Canqui et al., 2011, 2015)</w:t>
      </w:r>
      <w:r w:rsidR="009F6F30" w:rsidRPr="00203EB0">
        <w:fldChar w:fldCharType="end"/>
      </w:r>
      <w:r w:rsidR="009F6F30" w:rsidRPr="00622616">
        <w:rPr>
          <w:lang w:val="es-UY"/>
        </w:rPr>
        <w:t>.</w:t>
      </w:r>
      <w:r w:rsidR="00826D3B" w:rsidRPr="00622616">
        <w:rPr>
          <w:lang w:val="es-UY"/>
        </w:rPr>
        <w:t xml:space="preserve"> </w:t>
      </w:r>
      <w:r w:rsidRPr="00203EB0">
        <w:t xml:space="preserve">NT reduces soil disturbance, slows residue decomposition, and enhances soil aggregation, thereby protecting SOC from microbial breakdown </w:t>
      </w:r>
      <w:r w:rsidR="009F6F30" w:rsidRPr="00203EB0">
        <w:fldChar w:fldCharType="begin" w:fldLock="1"/>
      </w:r>
      <w:r w:rsidR="004179E3" w:rsidRPr="00203EB0">
        <w:instrText>ADDIN CSL_CITATION {"citationItems":[{"id":"ITEM-1","itemData":{"DOI":"10.2136/sssaj2000.642681x","ISSN":"0361-5995","abstract":"Cultivation reduces soil C content and changes the distribution and stability of soil aggregates. We investigated the effect of cultivation intensity on aggregate distribution and aggregate C in three soils dominated by 2:1 clay mineralogy and one soil characterized by a mixed (2:1 and 1:1) mineralogy. Each site had native vegetation (NV), no‐tillage (NT), and conventional tillage (CT) treatments. Slaked (i.e., air‐dried and fast‐rewetted) and capillary rewetted soils were separated into four aggregate‐size classes (&lt;53, 53–250, 250–2000, and &gt;2000 μm) by wet sieving. In rewetted soils, the proportion of macroaggregates accounted for 85% of the dry soil weight and was similar across management treatments. In contrast, aggregate distribution from slaked soils increasingly shifted toward more microaggregates and fewer macroaggregates with increasing cultivation intensity. In soils dominated by 2:1 clay mineralogy, the C content of macroaggregates was 1.65 times greater compared to microaggregates. These observations support an aggregate hierarchy in which microaggregates are bound together into macroaggregates by organic binding agents in 2:1 clay‐dominated soils. In the soil with mixed mineralogy, aggregate C did not increase with increasing aggregate size. At all sites, rewetted macro‐ and microaggregate C and slaked microaggregate C differed in the order NV &gt; NT &gt; CT. In contrast, slaked macroaggregate C concentration was similar across management treatments, except in the soil with mixed clay mineralogy. We conclude that increasing cultivation intensity leads to a loss of C‐rich macroaggregates and an increase of C‐depleted microaggregates in soils that express aggregate hierarchy.","author":[{"dropping-particle":"","family":"Six","given":"J.","non-dropping-particle":"","parse-names":false,"suffix":""},{"dropping-particle":"","family":"Paustian","given":"K.","non-dropping-particle":"","parse-names":false,"suffix":""},{"dropping-particle":"","family":"Elliott","given":"E. T.","non-dropping-particle":"","parse-names":false,"suffix":""},{"dropping-particle":"","family":"Combrink","given":"C.","non-dropping-particle":"","parse-names":false,"suffix":""}],"container-title":"Soil Science Society of America Journal","id":"ITEM-1","issue":"2","issued":{"date-parts":[["2000"]]},"page":"681-689","title":"Soil structure and organic matter I. distribution of aggregate‐size classes and aggregate‐associated carbon","type":"article-journal","volume":"64"},"uris":["http://www.mendeley.com/documents/?uuid=4336691b-6a87-4fff-a1cf-907f0a0b1863"]}],"mendeley":{"formattedCitation":"(Six et al., 2000)","plainTextFormattedCitation":"(Six et al., 2000)","previouslyFormattedCitation":"(Six et al., 2000)"},"properties":{"noteIndex":0},"schema":"https://github.com/citation-style-language/schema/raw/master/csl-citation.json"}</w:instrText>
      </w:r>
      <w:r w:rsidR="009F6F30" w:rsidRPr="00203EB0">
        <w:fldChar w:fldCharType="separate"/>
      </w:r>
      <w:r w:rsidR="009F6F30" w:rsidRPr="00203EB0">
        <w:rPr>
          <w:noProof/>
        </w:rPr>
        <w:t>(Six et al., 2000)</w:t>
      </w:r>
      <w:r w:rsidR="009F6F30" w:rsidRPr="00203EB0">
        <w:fldChar w:fldCharType="end"/>
      </w:r>
      <w:r w:rsidRPr="00203EB0">
        <w:t xml:space="preserve">. It also improves water retention by reducing evaporation and increasing infiltration </w:t>
      </w:r>
      <w:r w:rsidR="0024653C" w:rsidRPr="00203EB0">
        <w:fldChar w:fldCharType="begin" w:fldLock="1"/>
      </w:r>
      <w:r w:rsidR="004179E3" w:rsidRPr="00203EB0">
        <w:instrText>ADDIN CSL_CITATION {"citationItems":[{"id":"ITEM-1","itemData":{"DOI":"10.2136/sssaj1985.03615995004900050039x","ISSN":"0361-5995","abstract":"A study was conducted to determine the effects of conservation and conventional tillage on soil water retention and pore size distribution of two mollisols. Two locations were used, each having randomized complete‐block designs with three replications of continuous‐corn ( Zea mays L.) plots under no‐tillage, reduced tillage, and conventional tillage. One location, site 1, was in its 2nd yr of tillage experimentation on a Canisteo series soil (Typic Haplaquolls), and the other location, site 2, was in its 8th yr on a Nicollet series soil (Aquic Hapludolls). Undisturbed soil cores were obtained near the planted row at the 5.0‐ to 7.5‐cm and 10.0‐ to 12.5‐cm depths from the two sites. Soil water retention of the soil cores was measured at water matric potentials of 0 to −39.22 kPa. Pore size distribution was estimated by using a capillary model. Statistical differences in soil water retention due to tillage treatments appeared at site 1, with general means comparisons of reduced tillage &gt; no tillage &gt; conventional tillage in the amount of water retained at any matric potential. Reduced tilled soil generally retained a significantly (LSD 0.05) larger quantity of water than conventionally tilled soil. No‐tilled soil was not significantly different from reduced tilled or conventionally tilled soil in its water retention characteristics. Differences in water retention between tillage treatments were not significant at site 2, but trends in the means comparisons similar to those of site 1, were observed. Analysis of variance failed to show significant tillage effects for the pore size distribution regardless of pore radius interval partitioning. Trends indicated that soil under conventional tillage had a larger proportion of its pore volume in pores &gt; 15 µm radii compared with soils under conservation tillage. Conservation tilled soils appeared to have a larger portion of pores in the 15‐ to 0.1‐µm pore radius interval. Implications are that conventionally tilled soils should drain more rapidly than conservation tilled soils and that conservation tilled soils should retain more plant available water than conventionally tilled soils. The data indicate that bulk density increases occurred at the expense of larger pores (&gt;150‐µm radii). Because conventionally tilled soils have the greater proportion of large pores, these soils seem to be more susceptible to densification than the soils under the conservation tillage systems.","author":[{"dropping-particle":"","family":"Hill","given":"R. L.","non-dropping-particle":"","parse-names":false,"suffix":""},{"dropping-particle":"","family":"Horton","given":"R.","non-dropping-particle":"","parse-names":false,"suffix":""},{"dropping-particle":"","family":"Cruse","given":"R. M.","non-dropping-particle":"","parse-names":false,"suffix":""}],"container-title":"Soil Science Society of America Journal","id":"ITEM-1","issue":"5","issued":{"date-parts":[["1985"]]},"page":"1264-1270","title":"Tillage effects on soil water retention and pore size distribution of two Mollisols","type":"article-journal","volume":"49"},"uris":["http://www.mendeley.com/documents/?uuid=c98f7254-9cd5-4939-917e-5a21b983fed1"]},{"id":"ITEM-2","itemData":{"DOI":"10.2134/agronj2004.1651","ISSN":"00021962","abstract":"The development of well-structured soils is a goal for achieving sustainable and productive agricultural systems. Nevertheless, the maintenance of soil structure in continuous no-till (NT) soils has sometimes been thought to induce soil conditions that are detrimental to crop yields. The objectives of this research were to characterize the effects of periodic tillage disruption in otherwise NT systems on soil properties and the yields of winter wheat (Triticum aestivum L.), double-cropped soybean [Glycine max (L.) Merr.], and maize (Zea mays L.) in rotation and to determine if soil structural changes occurring in tilled soils are independent of changes in other soil properties. A field experiment was established in 1992 on a Huntington silt loam soil (Fluventic Hapludoll) at the University of Kentucky Research and Education Center in Princeton (KY) under a NT crop sequence with two seedbed preparation methods for winter wheat, (a) NT or (b) chisel plus disk tillage (Till). In fall 2000, similar soil chemical properties were observed between disrupted and continuous NT systems over the 0- to 20-cm layer. The geometric mean diameter of dry fragments and the soil water content retained between 0.0003 and 0.03 MPa water potential was greater in NT soils than in soils tilled for winter wheat. Tillage for winter wheat enhanced winter wheat yields (4.2% increase), mostly under low-yielding conditions, but it resulted in a reduction of subsequent summer crop yields (i.e., 3.7% for soybean and 7.0% for maize). The yields obtained in our study translate to an economic benefit for the continuous NT system. Net returns per hectare were estimated to be $73 higher for the winter wheat/double-crop soybean-maize rotation under NT than under Till treatments. The differences in maize yields between NT and tilled treatments were attributed to a better water supply in NT soil due to the maintenance of a larger number of mesopores and a great hydraulic conductivity. In the absence of significant changes in other physicochemical properties, periodic tillage appears to disrupt soil structure, which negatively affects crop productivity.","author":[{"dropping-particle":"","family":"Díaz-Zorita","given":"M.","non-dropping-particle":"","parse-names":false,"suffix":""},{"dropping-particle":"","family":"Grove","given":"J. H.","non-dropping-particle":"","parse-names":false,"suffix":""},{"dropping-particle":"","family":"Murdock","given":"L.","non-dropping-particle":"","parse-names":false,"suffix":""},{"dropping-particle":"","family":"Herbeck","given":"J.","non-dropping-particle":"","parse-names":false,"suffix":""},{"dropping-particle":"","family":"Perfect","given":"E.","non-dropping-particle":"","parse-names":false,"suffix":""}],"container-title":"Agronomy Journal","id":"ITEM-2","issue":"6","issued":{"date-parts":[["2004"]]},"page":"1651-1659","title":"Soil structural disturbance effects on crop yields and soil properties in a no-till production system","type":"article-journal","volume":"96"},"uris":["http://www.mendeley.com/documents/?uuid=4c5e5b61-7121-45e0-9edb-d6f916ef14fb"]}],"mendeley":{"formattedCitation":"(Hill et al., 1985; Díaz-Zorita et al., 2004)","plainTextFormattedCitation":"(Hill et al., 1985; Díaz-Zorita et al., 2004)","previouslyFormattedCitation":"(Hill et al., 1985; Díaz-Zorita et al., 2004)"},"properties":{"noteIndex":0},"schema":"https://github.com/citation-style-language/schema/raw/master/csl-citation.json"}</w:instrText>
      </w:r>
      <w:r w:rsidR="0024653C" w:rsidRPr="00203EB0">
        <w:fldChar w:fldCharType="separate"/>
      </w:r>
      <w:r w:rsidR="0024653C" w:rsidRPr="00203EB0">
        <w:rPr>
          <w:noProof/>
        </w:rPr>
        <w:t>(Hill et al., 1985; Díaz-Zorita et al., 2004)</w:t>
      </w:r>
      <w:r w:rsidR="0024653C" w:rsidRPr="00203EB0">
        <w:fldChar w:fldCharType="end"/>
      </w:r>
      <w:r w:rsidRPr="00203EB0">
        <w:t xml:space="preserve">. Meanwhile, cover crops, especially legumes, contribute organic inputs and atmospheric nitrogen, enhancing fertility and nutrient cycling </w:t>
      </w:r>
      <w:r w:rsidR="00732B3F" w:rsidRPr="00203EB0">
        <w:fldChar w:fldCharType="begin" w:fldLock="1"/>
      </w:r>
      <w:r w:rsidR="00DC3504" w:rsidRPr="00203EB0">
        <w:instrText>ADDIN CSL_CITATION {"citationItems":[{"id":"ITEM-1","itemData":{"DOI":"10.1016/j.agee.2014.10.024","ISSN":"01678809","abstract":"A promising option to sequester carbon in agricultural soils is the inclusion of cover crops in cropping systems. The advantage of cover crops as compared to other management practices that increase soil organic carbon (SOC) is that they neither cause a decline in yields, like extensification, nor carbon losses in other systems, like organic manure applications may do. However, the effect of cover crop green manuring on SOC stocks is widely overlooked. We therefore conducted a meta-analysis to derive a carbon response function describing SOC stock changes as a function of time. Data from 139 plots at 37 different sites were compiled. In total, the cover crop treatments had a significantly higher SOC stock than the reference croplands. The time since introduction of cover crops in crop rotations was linearly correlated with SOC stock change (R2=0.19) with an annual change rate of 0.32±0.08Mgha-1yr-1 in a mean soil depth of 22cm and during the observed period of up to 54 years. Elevation above sea level of the plot and sampling depth could be used as explanatory variables to improve the model fit. Assuming that the observed linear SOC accumulation would not proceed indefinitely, we modeled the average SOC stock change with the carbon turnover model RothC. The predicted new steady state was reached after 155 years of cover crop cultivation with a total mean SOC stock accumulation of 16.7±1.5Mgha-1 for a soil depth of 22cm. Thus, the C input driven SOC sequestration with the introduction of cover crops proved to be highly efficient. We estimated a potential global SOC sequestration of 0.12±0.03PgCyr-1, which would compensate for 8% of the direct annual greenhouse gas emissions from agriculture. However, altered N2O emissions and albedo due to cover crop cultivation have not been taken into account here. Data on those processes, which are most likely species-specific, would be needed for reliable greenhouse gas budgets.","author":[{"dropping-particle":"","family":"Poeplau","given":"Christopher","non-dropping-particle":"","parse-names":false,"suffix":""},{"dropping-particle":"","family":"Don","given":"Axel","non-dropping-particle":"","parse-names":false,"suffix":""}],"container-title":"Agriculture, Ecosystems and Environment","id":"ITEM-1","issued":{"date-parts":[["2015"]]},"page":"33-41","publisher":"Elsevier B.V.","title":"Carbon sequestration in agricultural soils via cultivation of cover crops - A meta-analysis","type":"article-journal","volume":"200"},"uris":["http://www.mendeley.com/documents/?uuid=91f08793-f8b2-419b-a289-f140ca85a4f4"]},{"id":"ITEM-2","itemData":{"DOI":"10.2134/agronj1994.00021962008600010024x","ISSN":"00021962","author":[{"dropping-particle":"","family":"Decker","given":"A. M.","non-dropping-particle":"","parse-names":false,"suffix":""},{"dropping-particle":"","family":"Clark","given":"A. J.","non-dropping-particle":"","parse-names":false,"suffix":""},{"dropping-particle":"","family":"Meisinger","given":"J. J.","non-dropping-particle":"","parse-names":false,"suffix":""},{"dropping-particle":"","family":"Mulford","given":"F. R.","non-dropping-particle":"","parse-names":false,"suffix":""},{"dropping-particle":"","family":"McIntosh","given":"M. S.","non-dropping-particle":"","parse-names":false,"suffix":""}],"container-title":"Agronomy Journal","id":"ITEM-2","issue":"1","issued":{"date-parts":[["1994"]]},"page":"126-135","title":"Legume cover crop contributions to no-tillage corn production","type":"article-journal","volume":"86"},"uris":["http://www.mendeley.com/documents/?uuid=3e7df9b0-db93-40b6-a686-85380783091c"]},{"id":"ITEM-3","itemData":{"DOI":"10.2134/agronj1996.00021962008800040005x","ISSN":"00021962","abstract":"The use of winter legume cover crops for erosion control and to provide additional N to the soil is well established. Other potential benefits to legume cover crops besides N additions have been recognized, but have not been quantified. The objective of this study was to separate the fixed-N effects from the rotation effects in a winter legume cover cropping system. A field study was initiated in 1989 on a Norfolk loamy sand (fine, loamy, siliceous, thermic Typic Kandiudult) in east-central Alabama. Corn (Zea mays L.) was grown following (i) 'Tibbee' crimson clover (Trifolium incarnatum L.), (ii) a partially ineffective-nodulating crimson clover, CH-1, (iii) rye (Secale cereale L), and (iv) winter fallow. The plots were split into four rates of fertilizer N (0, 56, 112, and 168 kg N ha-1) in a split-plot experimental plan. An evaluation of different methods of distinguishing fixed-N vs. rotation effects of the winter annual legume cover crop to a subsequent corn crop was made. Regression analysis of the effect of N application rates on N2 fixation by crimson clover (fertilized with 45 kg N ha-1) indicated that CH-1 clover biomass contained approximately 40 and 101 kg N ha-1 and Tibbee clover contained approximately 51 and 119 kg N ha-1 in 1990 and 1991, respectively. In both years of the study, crimson clover substantially increased corn yield compared with winter fallow, with a yield increase at the highest fertilizer N application level of 7 and 22% for 1990 and 1991, respectively. Estimates of yield increases due to rotation ranged from negative to 40%. The data indicated that winter cover crops improve corn yield and that besides soil N availability, there was very little difference between the beneficial effects of clover and the rye cover crops to corn.","author":[{"dropping-particle":"","family":"Torbert","given":"H. Allen","non-dropping-particle":"","parse-names":false,"suffix":""},{"dropping-particle":"","family":"Reeves","given":"Donald W.","non-dropping-particle":"","parse-names":false,"suffix":""},{"dropping-particle":"","family":"Mulvaney","given":"Richard L.","non-dropping-particle":"","parse-names":false,"suffix":""}],"container-title":"Agronomy Journal","id":"ITEM-3","issue":"4","issued":{"date-parts":[["1996"]]},"page":"527-535","title":"Winter legume cover crop benefits to corn: Rotation vs. fixed-nitrogen effects","type":"article-journal","volume":"88"},"uris":["http://www.mendeley.com/documents/?uuid=890a4a6a-9a3a-4424-87e6-2769938e6438"]}],"mendeley":{"formattedCitation":"(Decker et al., 1994; Torbert et al., 1996; Poeplau and Don, 2015)","plainTextFormattedCitation":"(Decker et al., 1994; Torbert et al., 1996; Poeplau and Don, 2015)","previouslyFormattedCitation":"(Decker et al., 1994; Torbert et al., 1996; Poeplau and Don, 2015)"},"properties":{"noteIndex":0},"schema":"https://github.com/citation-style-language/schema/raw/master/csl-citation.json"}</w:instrText>
      </w:r>
      <w:r w:rsidR="00732B3F" w:rsidRPr="00203EB0">
        <w:fldChar w:fldCharType="separate"/>
      </w:r>
      <w:r w:rsidR="00732B3F" w:rsidRPr="00203EB0">
        <w:rPr>
          <w:noProof/>
        </w:rPr>
        <w:t>(Decker et al., 1994; Torbert et al., 1996; Poeplau and Don, 2015)</w:t>
      </w:r>
      <w:r w:rsidR="00732B3F" w:rsidRPr="00203EB0">
        <w:fldChar w:fldCharType="end"/>
      </w:r>
      <w:r w:rsidR="00732B3F" w:rsidRPr="00203EB0">
        <w:t xml:space="preserve">. </w:t>
      </w:r>
      <w:r w:rsidRPr="00203EB0">
        <w:t>However, the long-term impacts of tillage and fertilization on biological nitrogen fixation (BNF)</w:t>
      </w:r>
      <w:r w:rsidR="008723DC" w:rsidRPr="00203EB0">
        <w:t xml:space="preserve"> </w:t>
      </w:r>
      <w:r w:rsidRPr="00203EB0">
        <w:t>and</w:t>
      </w:r>
      <w:r w:rsidR="008723DC" w:rsidRPr="00203EB0">
        <w:t xml:space="preserve"> the</w:t>
      </w:r>
      <w:r w:rsidRPr="00203EB0">
        <w:t xml:space="preserve"> N status</w:t>
      </w:r>
      <w:r w:rsidR="008723DC" w:rsidRPr="00203EB0">
        <w:t xml:space="preserve"> of legume cover crops </w:t>
      </w:r>
      <w:r w:rsidRPr="00203EB0">
        <w:t>remain poorly understood.</w:t>
      </w:r>
      <w:r w:rsidR="007F76F6">
        <w:t xml:space="preserve"> </w:t>
      </w:r>
      <w:r w:rsidRPr="00203EB0">
        <w:t>These processes are often assumed to be self-</w:t>
      </w:r>
      <w:r w:rsidRPr="00203EB0">
        <w:lastRenderedPageBreak/>
        <w:t xml:space="preserve">sustaining in legumes, yet legacy effects from decades of management could significantly alter the balance between </w:t>
      </w:r>
      <w:r w:rsidR="00551D88" w:rsidRPr="00203EB0">
        <w:t>soil-</w:t>
      </w:r>
      <w:r w:rsidRPr="00203EB0">
        <w:t xml:space="preserve">derived </w:t>
      </w:r>
      <w:r w:rsidR="007539E4" w:rsidRPr="00203EB0">
        <w:t xml:space="preserve">and </w:t>
      </w:r>
      <w:r w:rsidR="00551D88" w:rsidRPr="00203EB0">
        <w:t>atmosphere-</w:t>
      </w:r>
      <w:r w:rsidRPr="00203EB0">
        <w:t xml:space="preserve">derived </w:t>
      </w:r>
      <w:r w:rsidR="00551D88" w:rsidRPr="00203EB0">
        <w:t>N</w:t>
      </w:r>
      <w:r w:rsidRPr="00203EB0">
        <w:t xml:space="preserve">. Understanding how these legacy effects influence BNF is critical for evaluating the sustainability of low-input systems and for optimizing N management strategies. </w:t>
      </w:r>
    </w:p>
    <w:p w14:paraId="246A9BD8" w14:textId="77777777" w:rsidR="00127853" w:rsidRDefault="006D303C" w:rsidP="00127853">
      <w:pPr>
        <w:pStyle w:val="NormalWeb"/>
        <w:spacing w:line="480" w:lineRule="auto"/>
        <w:contextualSpacing/>
        <w:rPr>
          <w:iCs/>
        </w:rPr>
      </w:pPr>
      <w:r w:rsidRPr="00203EB0">
        <w:t xml:space="preserve">In addition to nutrient cycling, NT and cover cropping strongly affect the physical properties of soil that regulate air and water balance. Improvements in soil structure and hydrologic function under conservation </w:t>
      </w:r>
      <w:proofErr w:type="gramStart"/>
      <w:r w:rsidRPr="00203EB0">
        <w:t>practices</w:t>
      </w:r>
      <w:proofErr w:type="gramEnd"/>
      <w:r w:rsidRPr="00203EB0">
        <w:t xml:space="preserve"> promote better drainage, greater water retention, and enhanced aeration, all of which support healthy root development and stable crop productivity. These benefits are especially relevant in the context of increasing weather variability, which has brought more frequent </w:t>
      </w:r>
      <w:r w:rsidR="00F95810" w:rsidRPr="00203EB0">
        <w:t xml:space="preserve">and prolonged drought periods, as well as </w:t>
      </w:r>
      <w:r w:rsidRPr="00203EB0">
        <w:t>intense rainfall events that can cause waterlogging</w:t>
      </w:r>
      <w:r w:rsidR="00F95810" w:rsidRPr="00203EB0">
        <w:t xml:space="preserve"> </w:t>
      </w:r>
      <w:r w:rsidR="00DC3504" w:rsidRPr="00203EB0">
        <w:fldChar w:fldCharType="begin" w:fldLock="1"/>
      </w:r>
      <w:r w:rsidR="004179E3" w:rsidRPr="00203EB0">
        <w:instrText>ADDIN CSL_CITATION {"citationItems":[{"id":"ITEM-1","itemData":{"DOI":"10.1017/9781009157896.013.","ISBN":"9781009157896","abstract":"This chapter assesses changes in weather and climate extremes on regional and global scales, including observed changes and their attribution, as well as projected changes. The extremes considered include temperature extremes, heavy precipitation and pluvial floods, river floods, droughts, storms (including tropical cyclones), as well as compound events (multivariate and concurrent extremes). The assessment focuses on land regions excluding Antarctica. Changes in marine extremes are addressed in Chapter 9 and Cross-Chapter Box 9.1. Assessments of past changes and their drivers are from 1950 onward, unless indicated otherwise. Projections for changes in extremes are presented for different levels of global warming, supplemented with information for the conversion to emissions scenario-based projections (Cross- Chapter Box 11.1 and Table 4.2). Since the IPCC Fifth Assessment Report (AR5), there have been important new developments and knowledge advances on changes in weather and climate extremes, in particular regarding human influence on individual extreme events, on changes in droughts, tropical cyclones, and compound events, and on projections at different global warming levels (1.5°C–4°C). These, together with new evidence at regional scales, provide a stronger basis and more regional information for the AR6 assessment on weather and climate extremes","author":[{"dropping-particle":"","family":"Seneviratne","given":"S.I.","non-dropping-particle":"","parse-names":false,"suffix":""},{"dropping-particle":"","family":"Zhang","given":"X.","non-dropping-particle":"","parse-names":false,"suffix":""},{"dropping-particle":"","family":"Adnan","given":"M.","non-dropping-particle":"","parse-names":false,"suffix":""},{"dropping-particle":"","family":"Badi","given":"W.","non-dropping-particle":"","parse-names":false,"suffix":""},{"dropping-particle":"","family":"Dereczynski","given":"C.","non-dropping-particle":"","parse-names":false,"suffix":""},{"dropping-particle":"Di","family":"Luca","given":"A.","non-dropping-particle":"","parse-names":false,"suffix":""},{"dropping-particle":"","family":"Ghosh","given":"S.","non-dropping-particle":"","parse-names":false,"suffix":""},{"dropping-particle":"","family":"Iskandar","given":"I.","non-dropping-particle":"","parse-names":false,"suffix":""},{"dropping-particle":"","family":"Kossin","given":"J.","non-dropping-particle":"","parse-names":false,"suffix":""},{"dropping-particle":"","family":"Lewis","given":"S.","non-dropping-particle":"","parse-names":false,"suffix":""},{"dropping-particle":"","family":"Otto","given":"F.","non-dropping-particle":"","parse-names":false,"suffix":""},{"dropping-particle":"","family":"Pinto","given":"I.","non-dropping-particle":"","parse-names":false,"suffix":""},{"dropping-particle":"","family":"Satoh","given":"M.","non-dropping-particle":"","parse-names":false,"suffix":""},{"dropping-particle":"","family":"Vicente-Serrano","given":"S.M.","non-dropping-particle":"","parse-names":false,"suffix":""},{"dropping-particle":"","family":"Wehner","given":"M.","non-dropping-particle":"","parse-names":false,"suffix":""},{"dropping-particle":"","family":"Zhou","given":"B.","non-dropping-particle":"","parse-names":false,"suffix":""}],"container-title":"Climate Change 2021 – The Physical Science Basis","editor":[{"dropping-particle":"","family":"Masson-Delmotte","given":"V.","non-dropping-particle":"","parse-names":false,"suffix":""},{"dropping-particle":"","family":"Zhai","given":"P.","non-dropping-particle":"","parse-names":false,"suffix":""},{"dropping-particle":"","family":"Pirani","given":"A.","non-dropping-particle":"","parse-names":false,"suffix":""},{"dropping-particle":"","family":"Connors","given":"S.L.","non-dropping-particle":"","parse-names":false,"suffix":""},{"dropping-particle":"","family":"Péan","given":"C.","non-dropping-particle":"","parse-names":false,"suffix":""},{"dropping-particle":"","family":"Berger","given":"S.","non-dropping-particle":"","parse-names":false,"suffix":""},{"dropping-particle":"","family":"Caud","given":"N.","non-dropping-particle":"","parse-names":false,"suffix":""},{"dropping-particle":"","family":"Chen","given":"Y.","non-dropping-particle":"","parse-names":false,"suffix":""},{"dropping-particle":"","family":"Goldfarb","given":"L.","non-dropping-particle":"","parse-names":false,"suffix":""},{"dropping-particle":"","family":"Gomis","given":"M.I.","non-dropping-particle":"","parse-names":false,"suffix":""},{"dropping-particle":"","family":"Huang","given":"M.","non-dropping-particle":"","parse-names":false,"suffix":""},{"dropping-particle":"","family":"Leitzell","given":"K.","non-dropping-particle":"","parse-names":false,"suffix":""},{"dropping-particle":"","family":"Lonnoy","given":"E.","non-dropping-particle":"","parse-names":false,"suffix":""},{"dropping-particle":"","family":"Matthews","given":"J.B.R.","non-dropping-particle":"","parse-names":false,"suffix":""},{"dropping-particle":"","family":"Maycock","given":"T.K.","non-dropping-particle":"","parse-names":false,"suffix":""},{"dropping-particle":"","family":"Waterfield","given":"T.","non-dropping-particle":"","parse-names":false,"suffix":""},{"dropping-particle":"","family":"Yelekçi","given":"O.","non-dropping-particle":"","parse-names":false,"suffix":""},{"dropping-particle":"","family":"Yu","given":"R.","non-dropping-particle":"","parse-names":false,"suffix":""},{"dropping-particle":"","family":"Zhou","given":"B.","non-dropping-particle":"","parse-names":false,"suffix":""}],"id":"ITEM-1","issued":{"date-parts":[["2021"]]},"number-of-pages":"1513-1766","publisher":"Cambridge University Press","publisher-place":"Cambridge, New York","title":"Weather and climate extreme events in a changing climate. In climate change 2021: The physical science basis. Contribution of working group I to the sixth assessment report of the Intergovernmental Panel on Climate Change","type":"book"},"uris":["http://www.mendeley.com/documents/?uuid=6e40c145-3624-4bf0-825b-2862edfb848f"]}],"mendeley":{"formattedCitation":"(Seneviratne et al., 2021)","plainTextFormattedCitation":"(Seneviratne et al., 2021)","previouslyFormattedCitation":"(Seneviratne et al., 2021)"},"properties":{"noteIndex":0},"schema":"https://github.com/citation-style-language/schema/raw/master/csl-citation.json"}</w:instrText>
      </w:r>
      <w:r w:rsidR="00DC3504" w:rsidRPr="00203EB0">
        <w:fldChar w:fldCharType="separate"/>
      </w:r>
      <w:r w:rsidR="00DC3504" w:rsidRPr="00203EB0">
        <w:rPr>
          <w:noProof/>
        </w:rPr>
        <w:t>(Seneviratne et al., 2021)</w:t>
      </w:r>
      <w:r w:rsidR="00DC3504" w:rsidRPr="00203EB0">
        <w:fldChar w:fldCharType="end"/>
      </w:r>
      <w:r w:rsidRPr="00203EB0">
        <w:rPr>
          <w:iCs/>
        </w:rPr>
        <w:t>. Oxygen (O</w:t>
      </w:r>
      <w:r w:rsidRPr="00203EB0">
        <w:rPr>
          <w:iCs/>
          <w:vertAlign w:val="subscript"/>
        </w:rPr>
        <w:t>2</w:t>
      </w:r>
      <w:r w:rsidRPr="00203EB0">
        <w:t>) concentration below 10% in the soil can negatively affect plant growth</w:t>
      </w:r>
      <w:r w:rsidR="00DC3504" w:rsidRPr="00203EB0">
        <w:t xml:space="preserve"> </w:t>
      </w:r>
      <w:r w:rsidR="00DC3504" w:rsidRPr="00203EB0">
        <w:fldChar w:fldCharType="begin" w:fldLock="1"/>
      </w:r>
      <w:r w:rsidR="00DC3504" w:rsidRPr="00203EB0">
        <w:instrText>ADDIN CSL_CITATION {"citationItems":[{"id":"ITEM-1","itemData":{"DOI":"10.1016/S1369-5266(03)00038-4","ISSN":"13695266","PMID":"12753974","abstract":"Oxygen can fall to low concentrations within plant tissues, either because of environmental factors that decrease the external oxygen concentration or because the movement of oxygen through the plant tissues cannot keep pace with the rate of oxygen consumption. Recent studies document that plants can decrease their oxygen consumption in response to low oxygen concentrations to avoid internal anoxia. This adaptive response involves a restriction of respiration and a concomitant decrease in ATP consumption that results from the inhibition of a wide range of biosynthetic processes. The inhibition of respiration is rapid and occurs at oxygen concentrations well above the Km(oxygen) of cytochrome oxidase, indicating that an oxygen-sensing system triggers a coordinated inhibition of ATP formation and consumption. In addition to this, low oxygen concentrations lead to the induction of a plant-specific and energy-conserving pathway of sucrose degradation, which decreases oxygen consumption and improves plant performance. Low oxygen concentrations also lead to long-term morphological adaptations, which allow respiration per volume tissue to be decreased and oxygen entry to be increased. Recently, advances have been made in elucidating possible oxygen-sensing systems and regulatory components that are involved in these responses.","author":[{"dropping-particle":"","family":"Geigenberger","given":"Peter","non-dropping-particle":"","parse-names":false,"suffix":""}],"container-title":"Current Opinion in Plant Biology","id":"ITEM-1","issue":"3","issued":{"date-parts":[["2003"]]},"page":"247-256","title":"Response of plant metabolism to too little oxygen","type":"article-journal","volume":"6"},"uris":["http://www.mendeley.com/documents/?uuid=70687a6c-9b8c-4afa-8a7e-6dd43c4514ac"]},{"id":"ITEM-2","itemData":{"DOI":"10.1093/aobpla/plv080","ISSN":"20412851","abstract":"Climatic variability, typified by erratic heavy-rainfall events, causes waterlogging in intensively irrigated crops and is exacerbated under warm temperature regimes on soils with poor internal drainage. Irrigated cotton is often grown in precisely these conditions, exposing it to waterlogging-induced yield losses after substantial summer rainfall. This calls for a deeper understanding of mechanisms of waterlogging tolerance and its relevance to cotton. Hence this review suggests possible causes of waterlogging-induced yield loss in cotton and approaches to improvement of waterlogging tolerance, drawing upon the slight body of published data in cotton and principles from other species. The yield penalty depends on soil type, phenological stage and cumulative period of root exposure to air-filled porosities below 10 %. Events in the soil include O2 deficiency in the root zone that changes the redox state of nutrients, making them unavailable (e.g. nitrogen) or potentially toxic for plants. Furthermore, root-derived hormones that are transported in the xylem have long been associated with oxygen deficits. These belowground effects (impaired root growth, nutrient uptake and transport, hormonal signalling) affect the shoots, interfering with canopy development, photosynthesis and radiation-use efficiency. Compared with the more waterlogging-tolerant cereals, cotton does not have identified adaptations to waterlogging in the root zone, forming no conspicuous root aerenchyma and having low fermentative activity. We speculate that these factors contribute substantially to the sensitivity of cotton to sustained periods of waterlogging. We discuss the impact of these belowground factors on shoot performance, photosynthesis and yield components. Management practices, i.e. soil aeration, scheduling irrigation and fertilizer application, can reduce waterlogging-induced damage. Limiting ethylene biosynthesis using anti-ethylene agents and down-regulating expression of genes controlling ethylene biosynthesis are strong candidates to minimize yield losses in waterlogged cotton crops. Other key pathways of anoxia tolerance are also cited as potential tools towards waterlogging-tolerant cotton genotypes.","author":[{"dropping-particle":"","family":"Najeeb","given":"Ullah","non-dropping-particle":"","parse-names":false,"suffix":""},{"dropping-particle":"","family":"Bange","given":"Michael P.","non-dropping-particle":"","parse-names":false,"suffix":""},{"dropping-particle":"","family":"Tan","given":"Daniel K.Y.","non-dropping-particle":"","parse-names":false,"suffix":""},{"dropping-particle":"","family":"Atwell","given":"Brian J.","non-dropping-particle":"","parse-names":false,"suffix":""}],"container-title":"AoB PLANTS","id":"ITEM-2","issued":{"date-parts":[["2015"]]},"title":"Consequences of waterlogging in cotton and opportunities for mitigation of yield losses","type":"article-journal","volume":"7"},"uris":["http://www.mendeley.com/documents/?uuid=f807c4b0-ec7c-420b-a0f0-e49d9a5cc55e"]}],"mendeley":{"formattedCitation":"(Geigenberger, 2003; Najeeb et al., 2015)","plainTextFormattedCitation":"(Geigenberger, 2003; Najeeb et al., 2015)","previouslyFormattedCitation":"(Geigenberger, 2003; Najeeb et al., 2015)"},"properties":{"noteIndex":0},"schema":"https://github.com/citation-style-language/schema/raw/master/csl-citation.json"}</w:instrText>
      </w:r>
      <w:r w:rsidR="00DC3504" w:rsidRPr="00203EB0">
        <w:fldChar w:fldCharType="separate"/>
      </w:r>
      <w:r w:rsidR="00DC3504" w:rsidRPr="00203EB0">
        <w:rPr>
          <w:noProof/>
        </w:rPr>
        <w:t>(Geigenberger, 2003; Najeeb et al., 2015)</w:t>
      </w:r>
      <w:r w:rsidR="00DC3504" w:rsidRPr="00203EB0">
        <w:fldChar w:fldCharType="end"/>
      </w:r>
      <w:r w:rsidRPr="00203EB0">
        <w:t xml:space="preserve">, disrupt nutrient transformations through elemental reductions </w:t>
      </w:r>
      <w:r w:rsidRPr="00203EB0">
        <w:fldChar w:fldCharType="begin" w:fldLock="1"/>
      </w:r>
      <w:r w:rsidR="00EB2F35" w:rsidRPr="00203EB0">
        <w:instrText>ADDIN CSL_CITATION {"citationItems":[{"id":"ITEM-1","itemData":{"author":[{"dropping-particle":"","family":"Turner","given":"F.T","non-dropping-particle":"","parse-names":false,"suffix":""},{"dropping-particle":"","family":"Patrick","given":"W H","non-dropping-particle":"","parse-names":false,"suffix":""}],"container-title":"Transactions. 9th int. Congr. Soil Sci.","id":"ITEM-1","issued":{"date-parts":[["1968"]]},"page":"53-65","publisher-place":"Adelaide","title":"Chemical changes in waterlogged soils as a result of oxygen depletion","type":"paper-conference"},"uris":["http://www.mendeley.com/documents/?uuid=349c9b8e-96c4-4cce-b1cd-eaab84b3a75c"]}],"mendeley":{"formattedCitation":"(Turner and Patrick, 1968)","plainTextFormattedCitation":"(Turner and Patrick, 1968)","previouslyFormattedCitation":"(Turner and Patrick, 1968)"},"properties":{"noteIndex":0},"schema":"https://github.com/citation-style-language/schema/raw/master/csl-citation.json"}</w:instrText>
      </w:r>
      <w:r w:rsidRPr="00203EB0">
        <w:fldChar w:fldCharType="separate"/>
      </w:r>
      <w:r w:rsidR="00EB2F35" w:rsidRPr="00203EB0">
        <w:rPr>
          <w:noProof/>
        </w:rPr>
        <w:t>(Turner and Patrick, 1968)</w:t>
      </w:r>
      <w:r w:rsidRPr="00203EB0">
        <w:fldChar w:fldCharType="end"/>
      </w:r>
      <w:r w:rsidRPr="00203EB0">
        <w:t xml:space="preserve">, and negatively impacts soil biology </w:t>
      </w:r>
      <w:r w:rsidRPr="00203EB0">
        <w:fldChar w:fldCharType="begin" w:fldLock="1"/>
      </w:r>
      <w:r w:rsidR="00EB2F35" w:rsidRPr="00203EB0">
        <w:instrText>ADDIN CSL_CITATION {"citationItems":[{"id":"ITEM-1","itemData":{"DOI":"10.1128/AEM.71.11.6998-7007.2005","ISSN":"00992240","PMID":"16269735","abstract":"Frequent high-amplitude redox fluctuation may be a strong selective force on the phylogenetic and physiological composition of soil bacterial communities and may promote metabolic plasticity or redox tolerance mechanisms. To determine effects of fluctuating oxygen regimens, we incubated tropical soils under four treatments: aerobic, anaerobic, 12-h oxic/anoxic fluctuation, and 4-day oxic/anoxic fluctuation. Changes in soil bacterial community structure and diversity were monitored with terminal restriction fragment length polymorphism (T-RFLP) fingerprints. These profiles were correlated with gross N cycling rates, and a Web-based phylogenetic assignment tool was used to infer putative community composition from multiple fragment patterns. T-RFLP ordinations indicated that bacterial communities from 4-day oxic/anoxic incubations were most similar to field communities, whereas those incubated under consistently aerobic or anaerobic regimens developed distinctly different molecular profiles. Terminal fragments found in field soils persisted either in 4-day fluctuation/aerobic conditions or in anaerobic/12-h treatments but rarely in both. Only 3 of 179 total fragments were ubiquitous in all soils. Soil bacterial communities inferred from in silico phylogenetic assignment appeared to be dominated by Actinobacteria (especially Micrococcus and Streptomycetes), \"Bacilli,\" \"Clostridia,\" and Burkholderia and lost significant diversity under consistently or frequently anoxic incubations. Community patterns correlated well with redox-sensitive processes such as nitrification, dissimilatory nitrate reduction to ammonium (DNRA), and denitriflcation but did not predict patterns of more general functions such as N mineralization and consumption. The results suggest that this soil's indigenous bacteria are highly adapted to fluctuating redox regimens and generally possess physiological tolerance mechanisms which allow them to withstand unfavorable redox periods. Copyright © 2005, American Society for Microbiology. All Rights Reserved.","author":[{"dropping-particle":"","family":"Pett-Ridge","given":"J.","non-dropping-particle":"","parse-names":false,"suffix":""},{"dropping-particle":"","family":"Firestone","given":"M. K.","non-dropping-particle":"","parse-names":false,"suffix":""}],"container-title":"Applied and Environmental Microbiology","id":"ITEM-1","issue":"11","issued":{"date-parts":[["2005"]]},"page":"6998-7007","title":"Redox fluctuation structures microbial communities in a wet tropical soil","type":"article-journal","volume":"71"},"uris":["http://www.mendeley.com/documents/?uuid=9da0f219-996c-45c4-a960-5f4552ab107a"]}],"mendeley":{"formattedCitation":"(Pett-Ridge and Firestone, 2005)","plainTextFormattedCitation":"(Pett-Ridge and Firestone, 2005)","previouslyFormattedCitation":"(Pett-Ridge and Firestone, 2005)"},"properties":{"noteIndex":0},"schema":"https://github.com/citation-style-language/schema/raw/master/csl-citation.json"}</w:instrText>
      </w:r>
      <w:r w:rsidRPr="00203EB0">
        <w:fldChar w:fldCharType="separate"/>
      </w:r>
      <w:r w:rsidR="00EB2F35" w:rsidRPr="00203EB0">
        <w:rPr>
          <w:noProof/>
        </w:rPr>
        <w:t>(Pett-Ridge and Firestone, 2005)</w:t>
      </w:r>
      <w:r w:rsidRPr="00203EB0">
        <w:fldChar w:fldCharType="end"/>
      </w:r>
      <w:r w:rsidRPr="00203EB0">
        <w:t xml:space="preserve">. </w:t>
      </w:r>
      <w:r w:rsidRPr="00203EB0">
        <w:rPr>
          <w:iCs/>
        </w:rPr>
        <w:t>Despite the importance of soil O</w:t>
      </w:r>
      <w:r w:rsidRPr="00203EB0">
        <w:rPr>
          <w:iCs/>
          <w:vertAlign w:val="subscript"/>
        </w:rPr>
        <w:t>2</w:t>
      </w:r>
      <w:r w:rsidRPr="00203EB0">
        <w:rPr>
          <w:iCs/>
        </w:rPr>
        <w:t xml:space="preserve">, field-level </w:t>
      </w:r>
      <w:r w:rsidR="00C81A70" w:rsidRPr="00203EB0">
        <w:rPr>
          <w:iCs/>
        </w:rPr>
        <w:t xml:space="preserve">high-resolution </w:t>
      </w:r>
      <w:r w:rsidRPr="00203EB0">
        <w:rPr>
          <w:iCs/>
        </w:rPr>
        <w:t>measurements remain scarce</w:t>
      </w:r>
      <w:r w:rsidR="00C81A70" w:rsidRPr="00203EB0">
        <w:rPr>
          <w:iCs/>
        </w:rPr>
        <w:t xml:space="preserve"> due to methodological limitations</w:t>
      </w:r>
      <w:r w:rsidRPr="00203EB0">
        <w:rPr>
          <w:iCs/>
        </w:rPr>
        <w:t xml:space="preserve">. This lack of data limits our understanding of how soil health practices influence aeration and </w:t>
      </w:r>
      <w:r w:rsidR="002C4D2C" w:rsidRPr="00203EB0">
        <w:rPr>
          <w:iCs/>
        </w:rPr>
        <w:t xml:space="preserve">the </w:t>
      </w:r>
      <w:r w:rsidRPr="00203EB0">
        <w:rPr>
          <w:iCs/>
        </w:rPr>
        <w:t>resilien</w:t>
      </w:r>
      <w:r w:rsidR="002C4D2C" w:rsidRPr="00203EB0">
        <w:rPr>
          <w:iCs/>
        </w:rPr>
        <w:t>ce</w:t>
      </w:r>
      <w:r w:rsidRPr="00203EB0">
        <w:rPr>
          <w:iCs/>
        </w:rPr>
        <w:t xml:space="preserve"> </w:t>
      </w:r>
      <w:r w:rsidR="002C4D2C" w:rsidRPr="00203EB0">
        <w:rPr>
          <w:iCs/>
        </w:rPr>
        <w:t xml:space="preserve">of </w:t>
      </w:r>
      <w:r w:rsidRPr="00203EB0">
        <w:rPr>
          <w:iCs/>
        </w:rPr>
        <w:t>these systems to rapid environmental changes. Therefore, examining soil O</w:t>
      </w:r>
      <w:r w:rsidRPr="00203EB0">
        <w:rPr>
          <w:iCs/>
          <w:vertAlign w:val="subscript"/>
        </w:rPr>
        <w:t xml:space="preserve">2 </w:t>
      </w:r>
      <w:r w:rsidRPr="00203EB0">
        <w:rPr>
          <w:iCs/>
        </w:rPr>
        <w:t xml:space="preserve">dynamics is essential for understanding the ecological </w:t>
      </w:r>
      <w:r w:rsidR="00C81A70" w:rsidRPr="00203EB0">
        <w:rPr>
          <w:iCs/>
        </w:rPr>
        <w:t xml:space="preserve">functioning </w:t>
      </w:r>
      <w:r w:rsidRPr="00203EB0">
        <w:rPr>
          <w:iCs/>
        </w:rPr>
        <w:t>of long-term health practices, especially in relation to N cycling, crop productivity, and environmental quality.</w:t>
      </w:r>
    </w:p>
    <w:p w14:paraId="1F3F1E76" w14:textId="77777777" w:rsidR="007374BB" w:rsidRDefault="006D303C" w:rsidP="007374BB">
      <w:pPr>
        <w:pStyle w:val="NormalWeb"/>
        <w:spacing w:line="480" w:lineRule="auto"/>
        <w:contextualSpacing/>
      </w:pPr>
      <w:r w:rsidRPr="00203EB0">
        <w:t xml:space="preserve">Although the adoption of soil health practices continues to increase, their effect on </w:t>
      </w:r>
      <w:r w:rsidR="002C4D2C" w:rsidRPr="00203EB0">
        <w:t xml:space="preserve">N </w:t>
      </w:r>
      <w:r w:rsidRPr="00203EB0">
        <w:t xml:space="preserve">cycling and </w:t>
      </w:r>
      <w:r w:rsidR="002C4D2C" w:rsidRPr="00203EB0">
        <w:t>nitrous oxide (</w:t>
      </w:r>
      <w:r w:rsidRPr="00203EB0">
        <w:t>N₂O</w:t>
      </w:r>
      <w:r w:rsidR="002C4D2C" w:rsidRPr="00203EB0">
        <w:t>)</w:t>
      </w:r>
      <w:r w:rsidRPr="00203EB0">
        <w:t xml:space="preserve"> emissions remain complex and poorly understood. For </w:t>
      </w:r>
      <w:r w:rsidRPr="00203EB0">
        <w:lastRenderedPageBreak/>
        <w:t xml:space="preserve">example, NT can alter the vertical distribution of SOC, with gains in surface layers sometimes offset by losses in deeper layers </w:t>
      </w:r>
      <w:r w:rsidR="00DC3504" w:rsidRPr="00203EB0">
        <w:fldChar w:fldCharType="begin" w:fldLock="1"/>
      </w:r>
      <w:r w:rsidR="004179E3" w:rsidRPr="00203EB0">
        <w:instrText>ADDIN CSL_CITATION {"citationItems":[{"id":"ITEM-1","itemData":{"DOI":"10.1016/j.agee.2010.08.006","ISSN":"01678809","abstract":"Adopting no-tillage in agro-ecosystems has been widely recommended as a means of enhancing carbon (C) sequestration in soils. However, study results are inconsistent and varying from significant increase to significant decrease. It is unclear whether this variability is caused by environmental, or management factors or by sampling errors and analysis methodology. Using meta-analysis, we assessed the response of soil organic carbon (SOC) to conversion of management practice from conventional tillage (CT) to no-tillage (NT) based on global data from 69 paired-experiments, where soil sampling extended deeper than 40cm. We found that cultivation of natural soils for more than 5 years, on average, resulted in soil C loss of more than 20tha-1, with no significant difference between CT and NT. Conversion from CT to NT changed distribution of C in the soil profile significantly, but did not increase the total SOC except in double cropping systems. After adopting NT, soil C increased by 3.15±2.42tha-1 (mean±95% confidence interval) in the surface 10cm of soil, but declined by 3.30±1.61tha-1 in the 20-40cm soil layer. Overall, adopting NT did not enhance soil total C stock down to 40cm. Increased number of crop species in rotation resulted in less C accumulation in the surface soil and greater C loss in deeper layer. Increased crop frequency seemed to have the opposite effect and significantly increased soil C by 11% in the 0-60cm soil. Neither mean annual temperature and mean annual rainfall nor nitrogen fertilization and duration of adopting NT affected the response of soil C stock to the adoption of NT. Our results highlight that the role of adopting NT in sequestrating C is greatly regulated by cropping systems. Increasing cropping frequency might be a more efficient strategy to sequester C in agro-ecosystems. More information on the effects of increasing crop species and frequency on soil C input and decomposition processes is needed to further our understanding on the potential ability of C sequestration in agricultural soils. © 2010 Elsevier B.V.","author":[{"dropping-particle":"","family":"Luo","given":"Zhongkui","non-dropping-particle":"","parse-names":false,"suffix":""},{"dropping-particle":"","family":"Wang","given":"Enli","non-dropping-particle":"","parse-names":false,"suffix":""},{"dropping-particle":"","family":"Sun","given":"Osbert J.","non-dropping-particle":"","parse-names":false,"suffix":""}],"container-title":"Agriculture, Ecosystems and Environment","id":"ITEM-1","issue":"1-2","issued":{"date-parts":[["2010"]]},"page":"224-231","publisher":"Elsevier B.V.","title":"Can no-tillage stimulate carbon sequestration in agricultural soils? A meta-analysis of paired experiments","type":"article-journal","volume":"139"},"uris":["http://www.mendeley.com/documents/?uuid=af3bb832-db59-4084-980f-ef8efbcc7cfb"]},{"id":"ITEM-2","itemData":{"DOI":"10.2134/ael2018.11.0062","ISSN":"2471-9625","abstract":"Soil organic carbon (SOC) content is strongly influenced by agricultural management practices. Leveraging three long-term field experiments in Tennessee, this study analyzed the effect of crop rotation, tillage, and cover crops on SOC and permanganate-oxidizable C (POXC) at various soil depth increments (0-2.5, 2.5-5, 5-7.5, 7.5-10, 10-15, 15-22.5, 22.5-30, 30-45, and 45-60 cm), as well as at the 0-to 15-cm profile. Corn (Zea mays L.) and cotton (Gossypium hirsutum L.)-based systems showed increased SOC from 0 to 22.5 cm compared with soybean {[}Glycine max (L.), Merr.]-based systems. Additionally, no-till systems accumulated more SOC than tilled systems from 0 to 5 cm, but cover cropping showed no effects. Results also showed a significant positive relationship between SOC and POXC (P &lt; 0.0001, r(2) = 0.93). This study revealed that SOC and POXC are strongly influenced by management practices in the surface shallower depth increments of southeastern US croplands.","author":[{"dropping-particle":"","family":"Jagadamma","given":"Sindhu","non-dropping-particle":"","parse-names":false,"suffix":""},{"dropping-particle":"","family":"Essington","given":"Michael E.","non-dropping-particle":"","parse-names":false,"suffix":""},{"dropping-particle":"","family":"Xu","given":"Sutie","non-dropping-particle":"","parse-names":false,"suffix":""},{"dropping-particle":"","family":"Yin","given":"Xinhua","non-dropping-particle":"","parse-names":false,"suffix":""}],"container-title":"Agricultural &amp; Environmental Letters","id":"ITEM-2","issue":"1","issued":{"date-parts":[["2019"]]},"page":"1-5","title":"Total and active soil organic carbon from long‐term agricultural management practices in west Tennessee","type":"article-journal","volume":"4"},"uris":["http://www.mendeley.com/documents/?uuid=bd2e8665-bb77-4f2c-944c-2bbd91c099d5"]},{"id":"ITEM-3","itemData":{"DOI":"10.1016/j.still.2022.105521","ISSN":"01671987","abstract":"Long-term cover-cropping and no-tillage practices can facilitate soil organic carbon (SOC) accumulation in agroecosystems for soil health and climate mitigation benefits. However, the contribution of these conservation management practices to SOC gain from the subsoil layers is not extensively studied. To understand this knowledge gap, it is essential to determine the distribution of total SOC and SOC fractions in response to management practices across the soil profile. Therefore, this study was conducted by leveraging a 40-year replicated field experiment in a continuous cotton (Gossypium hirsutum) system. The management treatments examined included three cover crop treatments: 1) hairy vetch, HV (Vicia villosa); 2) winter wheat, WW (Triticum aestivum L.), and 3) no cover crop, NC; and two tillage treatments: 1) chisel-tillage, CT (10 cm deep) and 2) no-tillage, NT. Soil samples were collected from four depths (0–5, 5–10, 10–30, and 30–60 cm) and analyzed for total SOC and C fractions such as microbial biomass (MBC), particulate organic matter (POM-C), and mineral-associated organic matter (MAOM-C). Results showed that the profile-scale (0–60 cm) SOC stock was greater for WW (33.7 Mg ha −1) compared to HV (29.1 Mg ha −1) and NC (24.4 Mg ha −1), while the tillage effect was non-significant (28 Mg ha −1 for NT and 29.3 Mg ha −1 for CT). The NT increased SOC in the top 5-cm layer, which was reflected in the concentrations of POM-C and MBC. Below the tillage depth (10–30 cm), SOC accrual was greater under CT (10.4 Mg ha −1) than NT (8.9 Mg ha −1), despite similar profile-scale SOC stocks. Further analysis revealed that total SOC in topsoil and subsoil were driven by POM and MAOM-related parameters, respectively. We also observed a limited accumulation of C in POM fraction (0.2–6.1 g C kg−1 soil in tilled topsoil and 0.01–0.71 g C kg−1 soil in subsoil) with a weak relationship with total SOC concentration (topsoil slope = 0.29, subsoil slope = 0.13). Contrastingly, accumulation of C in MAOM fraction was greater (2.7–12.7 g C kg−1 soil in topsoil and 0.6–5.4 g C kg−1 soil in subsoil), and it was strongly related to total SOC concentration than POM-C, especially in the subsoil (topsoil slope = 0.43, subsoil slope = 0.71). Growing deep-rooted winter wheat cover crop increased SOC in the subsoil, indicating the need for climate, soil, and ecosystem-specific management practices for profile-scale net SOC accumulation and redistribution in agroecosystems.","author":[{"dropping-particle":"","family":"Patra","given":"Rounak","non-dropping-particle":"","parse-names":false,"suffix":""},{"dropping-particle":"","family":"Saha","given":"Debasish","non-dropping-particle":"","parse-names":false,"suffix":""},{"dropping-particle":"","family":"Jagadamma","given":"Sindhu","non-dropping-particle":"","parse-names":false,"suffix":""}],"container-title":"Soil and Tillage Research","id":"ITEM-3","issued":{"date-parts":[["2022"]]},"page":"105521","publisher":"Elsevier B.V.","title":"Winter wheat cover crop increased subsoil organic carbon in a long-term cotton cropping system in Tennessee","type":"article-journal","volume":"224"},"uris":["http://www.mendeley.com/documents/?uuid=839aa637-6dc6-4bc2-93cb-93243f7e60fb"]},{"id":"ITEM-4","itemData":{"DOI":"10.1016/j.agee.2025.109584","ISSN":"01678809","abstract":"Interest in managing agroecosystems for improving soil health has driven the application of conservation practices, such as reduced tillage. However, our understanding remains limited regarding changes in soil organic carbon (SOC), microbial resource limitations, and soil ecosystem multifunctionality across the soil profile (not just in the upper layers) following long-term reduced tillage as compared to conventional tillage. This study aimed to compare the impacts of reduced tillage (RT) and conventional tillage (CT) on SOC storage, soil enzyme activities, and ecosystem functionality in a 90 cm soil profile. Soil cores were collected from four different soil depths (0–10, 10–30, 30–50, 50–90 cm) in a 55-year field experiment (crop rotation primarily featured cereals) in central Germany comparing RT (rotary harrow, 5–8 cm depth) and CT (mouldboard plough, 25 cm depth). Results showed that RT increases SOC content by 24 % at 0–10 cm depth but decreases SOC content by 22 % at 10–30 cm depth relative to CT. The enhanced SOC content under RT further improved soil ecosystem multifunctionality by a factor of 2.8 at 0–10 cm compared to CT. Notably, higher available nitrogen (N) content increased vector length at 0–10 cm depth under RT, related to the higher production and release of C-acquisition enzymes. In contrast, the higher exudation of N-acquiring enzymes found at 10–50 cm depth indicated N limitation for microorganisms under RT. At this depth, CT alleviated microbial N limitation. Moreover, RT lowered SOC stock by 24 % compared to CT at 10–30 cm, resulting in an 11 % decrease in SOC across the entire 0–90 cm soil profile. In conclusion, while reduced tillage improved soil ecosystem functionality in the 0–10 cm, it may not enhance SOC sequestration, highlighting the importance of considering the whole soil profile when comparing the SOC sequestration potential of different tillage practices.","author":[{"dropping-particle":"","family":"Feng","given":"Wenhao","non-dropping-particle":"","parse-names":false,"suffix":""},{"dropping-particle":"","family":"Ai","given":"Juanjuan","non-dropping-particle":"","parse-names":false,"suffix":""},{"dropping-particle":"","family":"Sánchez-Rodríguez","given":"Antonio Rafael","non-dropping-particle":"","parse-names":false,"suffix":""},{"dropping-particle":"","family":"Li","given":"Shiwei","non-dropping-particle":"","parse-names":false,"suffix":""},{"dropping-particle":"","family":"Zhang","given":"Wentao","non-dropping-particle":"","parse-names":false,"suffix":""},{"dropping-particle":"","family":"Yang","given":"Haishui","non-dropping-particle":"","parse-names":false,"suffix":""},{"dropping-particle":"","family":"Apostolakis","given":"Antonios","non-dropping-particle":"","parse-names":false,"suffix":""},{"dropping-particle":"","family":"Muenter","given":"Christiane","non-dropping-particle":"","parse-names":fals</w:instrText>
      </w:r>
      <w:r w:rsidR="004179E3" w:rsidRPr="00622616">
        <w:rPr>
          <w:lang w:val="es-UY"/>
        </w:rPr>
        <w:instrText>e,"suffix":""},{"dropping-particle":"","family":"Li","given":"Feng Min","non-dropping-particle":"","parse-names":false,"suffix":""},{"dropping-particle":"","family":"Dippold","given":"Michaela A.","non-dropping-particle":"","parse-names":false,"suffix":""},{"dropping-particle":"","family":"Zhou","given":"Jie","non-dropping-particle":"","parse-names":false,"suffix":""},{"dropping-particle":"","family":"Dittert","given":"Klaus","non-dropping-particle":"","parse-names":false,"suffix":""},{"dropping-particle":"","family":"Wang","given":"Haitao","non-dropping-particle":"","parse-names":false,"suffix":""}],"container-title":"Agriculture, Ecosystems and Environment","id":"ITEM-4","issue":"November 2024","issued":{"date-parts":[["2025"]]},"title":"Depth-dependent patterns in soil organic C, enzymatic stochiometric ratio, and soil quality under conventional tillage and reduced tillage after 55-years","type":"article-journal","volume":"385"},"uris":["http://www.mendeley.com/documents/?uuid=c7828e68-1129-4afd-a916-5a58dd442986"]}],"mendeley":{"formattedCitation":"(Luo et al., 2010; Jagadamma et al., 2019; Patra et al., 2022; Feng et al., 2025)","plainTextFormattedCitation":"(Luo et al., 2010; Jagadamma et al., 2019; Patra et al., 2022; Feng et al., 2025)","previouslyFormattedCitation":"(Luo et al., 2010; Jagadamma et al., 2019; Patra et al., 2022; Feng et al., 2025)"},"properties":{"noteIndex":0},"schema":"https://github.com/citation-style-language/schema/raw/master/csl-citation.json"}</w:instrText>
      </w:r>
      <w:r w:rsidR="00DC3504" w:rsidRPr="00203EB0">
        <w:fldChar w:fldCharType="separate"/>
      </w:r>
      <w:r w:rsidR="00DC3504" w:rsidRPr="00622616">
        <w:rPr>
          <w:noProof/>
          <w:lang w:val="es-UY"/>
        </w:rPr>
        <w:t>(Luo et al., 2010; Jagadamma et al., 2019; Patra et al., 2022; Feng et al., 2025)</w:t>
      </w:r>
      <w:r w:rsidR="00DC3504" w:rsidRPr="00203EB0">
        <w:fldChar w:fldCharType="end"/>
      </w:r>
      <w:r w:rsidRPr="00622616">
        <w:rPr>
          <w:lang w:val="es-UY"/>
        </w:rPr>
        <w:t>.</w:t>
      </w:r>
      <w:r w:rsidR="00DC3504" w:rsidRPr="00622616">
        <w:rPr>
          <w:lang w:val="es-UY"/>
        </w:rPr>
        <w:t xml:space="preserve"> </w:t>
      </w:r>
      <w:r w:rsidRPr="00203EB0">
        <w:t>Similarly, although legume cover crops increase</w:t>
      </w:r>
      <w:r w:rsidR="00501858" w:rsidRPr="00203EB0">
        <w:t xml:space="preserve"> N</w:t>
      </w:r>
      <w:r w:rsidRPr="00203EB0">
        <w:t xml:space="preserve"> supply, asynchronies between N release and crop uptake can elevate the risk of N losses, including N₂O, a potent greenhouse gas</w:t>
      </w:r>
      <w:r w:rsidR="002C4D2C" w:rsidRPr="00203EB0">
        <w:t xml:space="preserve"> (GHG)</w:t>
      </w:r>
      <w:r w:rsidRPr="00203EB0">
        <w:t xml:space="preserve">, which may ultimately offset some of the intended environmental benefits of cover cropping practices. </w:t>
      </w:r>
    </w:p>
    <w:p w14:paraId="0D72A6E5" w14:textId="77777777" w:rsidR="007374BB" w:rsidRDefault="006D303C" w:rsidP="007374BB">
      <w:pPr>
        <w:pStyle w:val="NormalWeb"/>
        <w:spacing w:line="480" w:lineRule="auto"/>
        <w:contextualSpacing/>
      </w:pPr>
      <w:r w:rsidRPr="00203EB0">
        <w:t>Understanding the drivers of N₂O emissions from agricultural soils is essential for developing effective mitigation strategies. N₂O has a global warming potential approximately 273 times greater than that of carbon dioxide (CO</w:t>
      </w:r>
      <w:r w:rsidRPr="00203EB0">
        <w:rPr>
          <w:vertAlign w:val="subscript"/>
        </w:rPr>
        <w:t>2</w:t>
      </w:r>
      <w:r w:rsidRPr="00203EB0">
        <w:t xml:space="preserve">) over a 100-year period. Its contribution to total GHG emissions in the United States is estimated at 6.2%, with the agricultural sector responsible for 73% of all anthropogenic N₂O emissions </w:t>
      </w:r>
      <w:r w:rsidR="00FC2939" w:rsidRPr="00203EB0">
        <w:fldChar w:fldCharType="begin" w:fldLock="1"/>
      </w:r>
      <w:r w:rsidR="00FC2939" w:rsidRPr="00203EB0">
        <w:instrText>ADDIN CSL_CITATION {"citationItems":[{"id":"ITEM-1","itemData":{"author":[{"dropping-particle":"","family":"EPA","given":"","non-dropping-particle":"","parse-names":false,"suffix":""}],"container-title":"Environmental Protection Agency, EPA","id":"ITEM-1","issued":{"date-parts":[["2023"]]},"page":"205","title":"Inventory of U.S. greenhouse gas emissions and sinks: 1990-2021. U.S.","type":"article-journal"},"uris":["http://www.mendeley.com/documents/?uuid=d9a6675b-7cdf-494c-9bc9-48ce6b8f3ef4"]}],"mendeley":{"formattedCitation":"(EPA, 2023)","plainTextFormattedCitation":"(EPA, 2023)","previouslyFormattedCitation":"(EPA, 2023)"},"properties":{"noteIndex":0},"schema":"https://github.com/citation-style-language/schema/raw/master/csl-citation.json"}</w:instrText>
      </w:r>
      <w:r w:rsidR="00FC2939" w:rsidRPr="00203EB0">
        <w:fldChar w:fldCharType="separate"/>
      </w:r>
      <w:r w:rsidR="00FC2939" w:rsidRPr="00203EB0">
        <w:rPr>
          <w:noProof/>
        </w:rPr>
        <w:t>(EPA, 2023)</w:t>
      </w:r>
      <w:r w:rsidR="00FC2939" w:rsidRPr="00203EB0">
        <w:fldChar w:fldCharType="end"/>
      </w:r>
      <w:r w:rsidRPr="00203EB0">
        <w:t xml:space="preserve">. These emissions are closely linked to </w:t>
      </w:r>
      <w:r w:rsidR="0025580C" w:rsidRPr="00203EB0">
        <w:t>N</w:t>
      </w:r>
      <w:r w:rsidRPr="00203EB0">
        <w:t xml:space="preserve"> fertilization and microbial transformations in the soil, particularly under conditions of limited </w:t>
      </w:r>
      <w:r w:rsidR="000536AF" w:rsidRPr="00203EB0">
        <w:t>O</w:t>
      </w:r>
      <w:r w:rsidR="000536AF" w:rsidRPr="00203EB0">
        <w:rPr>
          <w:vertAlign w:val="subscript"/>
        </w:rPr>
        <w:t>2</w:t>
      </w:r>
      <w:r w:rsidRPr="00203EB0">
        <w:t xml:space="preserve"> and high substrate availability </w:t>
      </w:r>
      <w:r w:rsidR="00FC2939" w:rsidRPr="00203EB0">
        <w:fldChar w:fldCharType="begin" w:fldLock="1"/>
      </w:r>
      <w:r w:rsidR="00474630" w:rsidRPr="00203EB0">
        <w:instrText>ADDIN CSL_CITATION {"citationItems":[{"id":"ITEM-1","itemData":{"DOI":"10.1038/s41558-019-0613-7","ISBN":"4155801906","ISSN":"17586798","abstract":"Nitrous oxide (N2O) is the third most important long-lived GHG and an important stratospheric ozone depleting substance. Agricultural practices and the use of N-fertilizers have greatly enhanced emissions of N2O. Here, we present estimates of N2O emissions determined from three global atmospheric inversion frameworks during the period 1998–2016. We find that global N2O emissions increased substantially from 2009 and at a faster rate than estimated by the IPCC emission factor approach. The regions of East Asia and South America made the largest contributions to the global increase. From the inversion-based emissions, we estimate a global emission factor of 2.3 ± 0.6%, which is significantly larger than the IPCC Tier-1 default for combined direct and indirect emissions of 1.375%. The larger emission factor and accelerating emission increase found from the inversions suggest that N2O emission may have a nonlinear response at global and regional scales with high levels of N-input.","author":[{"dropping-particle":"","family":"Thompson","given":"R. L.","non-dropping-particle":"","parse-names":false,"suffix":""},{"dropping-particle":"","family":"Lassaletta","given":"L.","non-dropping-particle":"","parse-names":false,"suffix":""},{"dropping-particle":"","family":"Patra","given":"P. K.","non-dropping-particle":"","parse-names":false,"suffix":""},{"dropping-particle":"","family":"Wilson","given":"C.","non-dropping-particle":"","parse-names":false,"suffix":""},{"dropping-particle":"","family":"Wells","given":"K. C.","non-dropping-particle":"","parse-names":false,"suffix":""},{"dropping-particle":"","family":"Gressent","given":"A.","non-dropping-particle":"","parse-names":false,"suffix":""},{"dropping-particle":"","family":"Koffi","given":"E. N.","non-dropping-particle":"","parse-names":false,"suffix":""},{"dropping-particle":"","family":"Chipperfield","given":"M. P.","non-dropping-particle":"","parse-names":false,"suffix":""},{"dropping-particle":"","family":"Winiwarter","given":"W.","non-dropping-particle":"","parse-names":false,"suffix":""},{"dropping-particle":"","family":"Davidson","given":"E. A.","non-dropping-particle":"","parse-names":false,"suffix":""},{"dropping-particle":"","family":"Tian","given":"H.","non-dropping-particle":"","parse-names":false,"suffix":""},{"dropping-particle":"","family":"Canadell","given":"J. G.","non-dropping-particle":"","parse-names":false,"suffix":""}],"container-title":"Nature Climate Change","id":"ITEM-1","issue":"12","issued":{"date-parts":[["2019"]]},"page":"993-998","publisher":"Springer US","title":"Acceleration of global N2O emissions seen from two decades of atmospheric inversion","type":"article-journal","volume":"9"},"uris":["http://www.mendeley.com/documents/?uuid=008757cf-5fa6-4a2d-b513-5f9905dd1213"]},{"id":"ITEM-2","itemData":{"DOI":"10.1038/s41586-020-2780-0","ISSN":"14764687","PMID":"33028999","abstract":"Nitrous oxide (N2O), like carbon dioxide, is a long-lived greenhouse gas that accumulates in the atmosphere. Over the past 150 years, increasing atmospheric N2O concentrations have contributed to stratospheric ozone depletion1 and climate change2, with the current rate of increase estimated at 2 per cent per decade. Existing national inventories do not provide a full picture of N2O emissions, owing to their omission of natural sources and limitations in methodology for attributing anthropogenic sources. Here we present a global N2O inventory that incorporates both natural and anthropogenic sources and accounts for the interaction between nitrogen additions and the biochemical processes that control N2O emissions. We use bottom-up (inventory, statistical extrapolation of flux measurements, process-based land and ocean modelling) and top-down (atmospheric inversion) approaches to provide a comprehensive quantification of global N2O sources and sinks resulting from 21 natural and human sectors between 1980 and 2016. Global N2O emissions were 17.0 (minimum–maximum estimates: 12.2–23.5) teragrams of nitrogen per year (bottom-up) and 16.9 (15.9–17.7) teragrams of nitrogen per year (top-down) between 2007 and 2016. Global human-induced emissions, which are dominated by nitrogen additions to croplands, increased by 30% over the past four decades to 7.3 (4.2–11.4) teragrams of nitrogen per year. This increase was mainly responsible for the growth in the atmospheric burden. Our findings point to growing N2O emissions in emerging economies—particularly Brazil, China and India. Analysis of process-based model estimates reveals an emerging N2O–climate feedback resulting from interactions between nitrogen additions and climate change. The recent growth in N2O emissions exceeds some of the highest projected emission scenarios3,4, underscoring the urgency to mitigate N2O emissions.","author":[{"dropping-particle":"","family":"Tian","given":"Hanqin","non-dropping-particle":"","parse-names":false,"suffix":""},{"dropping-particle":"","family":"Xu","given":"Rongting","non-dropping-particle":"","parse-names":false,"suffix":""},{"dropping-particle":"","family":"Canadell","given":"Josep G.","non-dropping-particle":"","parse-names":false,"suffix":""},{"dropping-particle":"","family":"Thompson","given":"Rona L.","non-dropping-particle":"","parse-names":false,"suffix":""},{"dropping-particle":"","family":"Winiwarter","given":"Wilfried","non-dropping-particle":"","parse-names":false,"suffix":""},{"dropping-particle":"","family":"Suntharalingam","given":"Parvadha","non-dropping-particle":"","parse-names":false,"suffix":""},{"dropping-particle":"","family":"Davidson","given":"Eric A.","non-dropping-particle":"","parse-names":false,"suffix":""},{"dropping-particle":"","family":"Ciais","given":"Philippe","non-dropping-particle":"","parse-names":false,"suffix":""},{"dropping-particle":"","family":"Jackson","given":"Robert B.","non-dropping-particle":"","parse-names":false,"suffix":""},{"dropping-particle":"","family":"Janssens-Maenhout","given":"Greet","non-dropping-particle":"","parse-names":false,"suffix":""},{"dropping-particle":"","family":"Prather","given":"Michael J.","non-dropping-particle":"","parse-names":false,"suffix":""},{"dropping-particle":"","family":"Regnier","given":"Pierre","non-dropping-particle":"","parse-names":false,"suffix":""},{"dropping-particle":"","family":"Pan","given":"Naiqing","non-dropping-particle":"","parse-names":false,"suffix":""},{"dropping-particle":"","family":"Pan","given":"Shufen","non-dropping-particle":"","parse-names":false,"suffix":""},{"dropping-particle":"","family":"Peters","given":"Glen P.","non-dropping-particle":"","parse-names":false,"suffix":""},{"dropping-particle":"","family":"Shi","given":"Hao","non-dropping-particle":"","parse-names":false,"suffix":""},{"dropping-particle":"","family":"Tubiello","given":"Francesco N.","non-dropping-particle":"","parse-names":false,"suffix":""},{"dropping-particle":"","family":"Zaehle","given":"Sönke","non-dropping-particle":"","parse-names":false,"suffix":""},{"dropping-particle":"","family":"Zhou","given":"Feng","non-dropping-particle":"","parse-names":false,"suffix":""},{"dropping-particle":"","family":"Arneth","given":"Almut","non-dropping-particle":"","parse-names":false,"suffix":""},{"dropping-particle":"","family":"Battaglia","given":"Gianna","non-dropping-particle":"","parse-names":false,"suffix":""},{"dropping-particle":"","family":"Berthet","given":"Sarah","non-dropping-particle":"","parse-names":false,"suffix":""},{"dropping-particle":"","family":"Bopp","given":"Laurent","non-dropping-particle":"","parse-names":false,"suffix":""},{"dropping-particle":"","family":"Bouwman","given":"Alexander F.","non-dropping-particle":"","parse-names":false,"suffix":""},{"dropping-particle":"","family":"Buitenhuis","given":"Erik T.","non-dropping-particle":"","parse-names":false,"suffix":""},{"dropping-particle":"","family":"Chang","given":"Jinfeng","non-dropping-particle":"","parse-names":false,"suffix":""},{"dropping-particle":"","family":"Chipperfield","given":"Martyn P.","non-dropping-particle":"","parse-names":false,"suffix":""},{"dropping-particle":"","family":"Dangal","given":"Shree R.S.","non-dropping-particle":"","parse-names":false,"suffix":""},{"dropping-particle":"","family":"Dlugokencky","given":"Edward","non-dropping-particle":"","parse-names":false,"suffix":""},{"dropping-particle":"","family":"Elkins","given":"James W.","non-dropping-particle":"","parse-names":false,"suffix":""},{"dropping-particle":"","family":"Eyre","given":"Bradley D.","non-dropping-particle":"","parse-names":false,"suffix":""},{"dropping-particle":"","family":"Fu","given":"Bojie","non-dropping-particle":"","parse-names":false,"suffix":""},{"dropping-particle":"","family":"Hall","given":"Bradley","non-dropping-particle":"","parse-names":false,"suffix":""},{"dropping-particle":"","family":"Ito","given":"Akihiko","non-dropping-particle":"","parse-names":false,"suffix":""},{"dropping-particle":"","family":"Joos","given":"Fortunat","non-dropping-particle":"","parse-names":false,"suffix":""},{"dropping-particle":"","family":"Krummel","given":"Paul B.","non-dropping-particle":"","parse-names":false,"suffix":""},{"dropping-particle":"","family":"Landolfi","given":"Angela","non-dropping-particle":"","parse-names":false,"suffix":""},{"dropping-particle":"","family":"Laruelle","given":"Goulven G.","non-dropping-particle":"","parse-names":false,"suffix":""},{"dropping-particle":"","family":"Lauerwald","given":"Ronny","non-dropping-particle":"","parse-names":false,"suffix":""},{"dropping-particle":"","family":"Li","given":"Wei","non-dropping-particle":"","parse-names":false,"suffix":""},{"dropping-particle":"","family":"Lienert","given":"Sebastian","non-dropping-particle":"","parse-names":false,"suffix":""},{"dropping-particle":"","family":"Maavara","given":"Taylor","non-dropping-particle":"","parse-names":false,"suffix":""},{"dropping-particle":"","family":"MacLeod","given":"Michael","non-dropping-particle":"","parse-names":false,"suffix":""},{"dropping-particle":"","family":"Millet","given":"Dylan B.","non-dropping-particle":"","parse-names":false,"suffix":""},{"dropping-particle":"","family":"Olin","given":"Stefan","non-dropping-particle":"","parse-names":false,"suffix":""},{"dropping-particle":"","family":"Patra","given":"Prabir K.","non-dropping-particle":"","parse-names":false,"suffix":""},{"dropping-particle":"","family":"Prinn","given":"Ronald G.","non-dropping-particle":"","parse-names":false,"suffix":""},{"dropping-particle":"","family":"Raymond","given":"Peter A.","non-dropping-particle":"","parse-names":false,"suffix":""},{"dropping-particle":"","family":"Ruiz","given":"Daniel J.","non-dropping-particle":"","parse-names":false,"suffix":""},{"dropping-particle":"","family":"Werf","given":"Guido R.","non-dropping-particle":"van der","parse-names":false,"suffix":""},{"dropping-particle":"","family":"Vuichard","given":"Nicolas","non-dropping-particle":"","parse-names":false,"suffix":""},{"dropping-particle":"","family":"Wang","given":"Junjie","non-dropping-particle":"","parse-names":false,"suffix":""},{"dropping-particle":"","family":"Weiss","given":"Ray F.","non-dropping-particle":"","parse-names":false,"suffix":""},{"dropping-particle":"","family":"Wells","given":"Kelley C.","non-dropping-particle":"","parse-names":false,"suffix":""},{"dropping-particle":"","family":"Wilson","given":"Chris","non-dropping-particle":"","parse-names":false,"suffix":""},{"dropping-particle":"","family":"Yang","given":"Jia","non-dropping-particle":"","parse-names":false,"suffix":""},{"dropping-particle":"","family":"Yao","given":"Yuanzhi","non-dropping-particle":"","parse-names":false,"suffix":""}],"container-title":"Nature","id":"ITEM-2","issue":"7828","issued":{"date-parts":[["2020"]]},"page":"248-256","publisher":"Springer US","title":"A comprehensive quantification of global nitrous oxide sources and sinks","type":"article-journal","volume":"586"},"uris":["http://www.mendeley.com/documents/?uuid=da726379-1a8e-4ce8-aa3c-6b8d7ecb3bca"]}],"mendeley":{"formattedCitation":"(Thompson et al., 2019; Tian et al., 2020)","plainTextFormattedCitation":"(Thompson et al., 2019; Tian et al., 2020)","previouslyFormattedCitation":"(Thompson et al., 2019; Tian et al., 2020)"},"properties":{"noteIndex":0},"schema":"https://github.com/citation-style-language/schema/raw/master/csl-citation.json"}</w:instrText>
      </w:r>
      <w:r w:rsidR="00FC2939" w:rsidRPr="00203EB0">
        <w:fldChar w:fldCharType="separate"/>
      </w:r>
      <w:r w:rsidR="00FC2939" w:rsidRPr="00203EB0">
        <w:rPr>
          <w:noProof/>
        </w:rPr>
        <w:t>(Thompson et al., 2019; Tian et al., 2020)</w:t>
      </w:r>
      <w:r w:rsidR="00FC2939" w:rsidRPr="00203EB0">
        <w:fldChar w:fldCharType="end"/>
      </w:r>
      <w:r w:rsidRPr="00203EB0">
        <w:t>. Globally, increasing concentrations of GHG</w:t>
      </w:r>
      <w:r w:rsidR="002C4D2C" w:rsidRPr="00203EB0">
        <w:t>s</w:t>
      </w:r>
      <w:r w:rsidRPr="00203EB0">
        <w:t>, including CO</w:t>
      </w:r>
      <w:r w:rsidRPr="00203EB0">
        <w:rPr>
          <w:vertAlign w:val="subscript"/>
        </w:rPr>
        <w:t>2</w:t>
      </w:r>
      <w:r w:rsidRPr="00203EB0">
        <w:t>, methane, and N₂O, have been identified by the Intergovernmental Panel on Climate Change as key drivers of climate change</w:t>
      </w:r>
      <w:r w:rsidR="00474630" w:rsidRPr="00203EB0">
        <w:t xml:space="preserve"> </w:t>
      </w:r>
      <w:r w:rsidR="00474630" w:rsidRPr="00203EB0">
        <w:fldChar w:fldCharType="begin" w:fldLock="1"/>
      </w:r>
      <w:r w:rsidR="004179E3" w:rsidRPr="00203EB0">
        <w:instrText>ADDIN CSL_CITATION {"citationItems":[{"id":"ITEM-1","itemData":{"DOI":"10.59327/IPCC/AR6-9789291691647","abstract":"This Synthesis Report (SYR) of the IPCC Sixth Assessment Report (AR6) summarises the state of knowledge of climate change, its widespread impacts and risks, and climate change mitigation and adaptation, based on the peer-reviewed scientific, technical and socio-economic literature since the publication of the IPCC’s Fifth Assessment Report (AR5) in 2014. The assessment is undertaken within the context of the evolving international landscape, in particular, developments in the UN Framework Convention on Climate Change (UNFCCC) process, including the outcomes of the Kyoto Protocol and the adoption of the Paris Agreement. It reflects the increasing diversity of those involved in climate action. This report integrates the main findings of the AR6 Working Group reports58 and the three AR6 Special Reports59. It recognizes the interdependence of climate, ecosystems and biodiversity, and human societies; the value of diverse forms of knowledge; and the close linkages between climate change adaptation, mitigation, ecosystem health, human well-being and sustainable development. Building on multiple analytical frameworks, including those from the physical and social sciences, this report identifies opportunities for transformative action which are effective, feasible, just and equitable using concepts of systems transitions and resilient development pathways60. Different regional classification schemes61 are used for physical, social and economic aspects, reflecting the underlying literature. After this introduction, Section 2, ‘Current Status and Trends’, opens with the assessment of observational evidence for our changing climate, historical and current drivers of human-induced climate change, and its impacts. It assesses the current implementation of adaptation and mitigation response options. Section 3, ‘Long-Term Climate and Development Futures’, provides a long-term assessment of climate change to 2100 and beyond in a broad range of socio-economic 58 The three Working Group contributions to AR6 are: Climate Change 2021: The Physical Science Basis; Climate Change 2022: Impacts, Adaptation and Vulnerability; and Climate Change 2022: Mitigation of Climate Change, respectively. Their assessments cover scientific literature accepted for publication respectively by 31 January 2021, 1 September 2021 and 11 October 2021. 59 The three Special Reports are : Global Warming of 1.5°C (2018): an IPCC Special Report on the impacts of global warming of 1.5°C above pre-indus…","author":[{"dropping-particle":"","family":"IPCC","given":"","non-dropping-particle":"","parse-names":false,"suffix":""}],"edition":"IPCC","editor":[{"dropping-particle":"","family":"Romero","given":"H. Lee and J.","non-dropping-particle":"","parse-names":false,"suffix":""}],"id":"ITEM-1","issued":{"date-parts":[["2023"]]},"page":"35-115","publisher-place":"Geneva, Switzerland","title":"Climate Change 2023: Synthesis report. Contribution of working groups I, II and III to the sixth assessment report of the Intergovernmental Panel on Climate Change","type":"chapter"},"uris":["http://www.mendeley.com/documents/?uuid=20c151d3-1240-4a43-a462-2bff7104fb71"]}],"mendeley":{"formattedCitation":"(IPCC, 2023)","plainTextFormattedCitation":"(IPCC, 2023)","previouslyFormattedCitation":"(IPCC, 2023)"},"properties":{"noteIndex":0},"schema":"https://github.com/citation-style-language/schema/raw/master/csl-citation.json"}</w:instrText>
      </w:r>
      <w:r w:rsidR="00474630" w:rsidRPr="00203EB0">
        <w:fldChar w:fldCharType="separate"/>
      </w:r>
      <w:r w:rsidR="00474630" w:rsidRPr="00203EB0">
        <w:rPr>
          <w:noProof/>
        </w:rPr>
        <w:t>(IPCC, 2023)</w:t>
      </w:r>
      <w:r w:rsidR="00474630" w:rsidRPr="00203EB0">
        <w:fldChar w:fldCharType="end"/>
      </w:r>
      <w:r w:rsidRPr="00203EB0">
        <w:t>. From the late 20</w:t>
      </w:r>
      <w:r w:rsidRPr="00203EB0">
        <w:rPr>
          <w:vertAlign w:val="superscript"/>
        </w:rPr>
        <w:t>th</w:t>
      </w:r>
      <w:r w:rsidRPr="00203EB0">
        <w:t xml:space="preserve"> century to 2021, concentrations of these gases have risen significantly, contributing to a global temperature increase of approximately 1.1 degrees Celsius compared to pre-industrial levels. In response, there is growing interest in climate-smart agricultural practices that can reduce emissions while supporting food production. Reducing N₂O emissions from soils remains one of the most persistent challenges in this effort. Addressing this challenge requires a </w:t>
      </w:r>
      <w:r w:rsidRPr="00203EB0">
        <w:lastRenderedPageBreak/>
        <w:t>better understanding of how long-term management practices influence both the production and regulation of N₂O under field conditions.</w:t>
      </w:r>
    </w:p>
    <w:p w14:paraId="7EFB95B3" w14:textId="7C52BEE7" w:rsidR="006D303C" w:rsidRPr="007374BB" w:rsidRDefault="006D303C" w:rsidP="007374BB">
      <w:pPr>
        <w:pStyle w:val="NormalWeb"/>
        <w:spacing w:line="480" w:lineRule="auto"/>
        <w:contextualSpacing/>
      </w:pPr>
      <w:r w:rsidRPr="00203EB0">
        <w:t>Oxygen</w:t>
      </w:r>
      <w:r w:rsidR="00141BF9" w:rsidRPr="00203EB0">
        <w:t xml:space="preserve"> </w:t>
      </w:r>
      <w:r w:rsidRPr="00203EB0">
        <w:t>availability plays a central role in regulating the microbial pathways responsible for N</w:t>
      </w:r>
      <w:r w:rsidRPr="00203EB0">
        <w:rPr>
          <w:vertAlign w:val="subscript"/>
        </w:rPr>
        <w:t>2</w:t>
      </w:r>
      <w:r w:rsidRPr="00203EB0">
        <w:t>O emissions. Soil health practices influence O</w:t>
      </w:r>
      <w:r w:rsidRPr="00203EB0">
        <w:rPr>
          <w:vertAlign w:val="subscript"/>
        </w:rPr>
        <w:t>2</w:t>
      </w:r>
      <w:r w:rsidRPr="00203EB0">
        <w:t xml:space="preserve"> distribution by altering soil structure, porosity, and organic matter inputs, which in turn affect microbial activities and redox conditions. Studies such as </w:t>
      </w:r>
      <w:r w:rsidRPr="00203EB0">
        <w:fldChar w:fldCharType="begin" w:fldLock="1"/>
      </w:r>
      <w:r w:rsidRPr="00203EB0">
        <w:instrText>ADDIN CSL_CITATION {"citationItems":[{"id":"ITEM-1","itemData":{"DOI":"10.5194/soil-8-177-2022","ISSN":"2199398X","abstract":"We studied the long-term impact of contrasting tillage and cover cropping systems on soil structure and hydraulic properties. Complete water retention and conductivity curves for the top (0-5 cm) and subsurface (20-25 cm) soils were characterized and contrasted. Dynamic water storage and retention were evaluated using numerical simulations in HYDRUS-2D software. Compared with standard-till (ST) and no-cover-crop (NO) systems, soils under no-till (NT) and cover cropping (CC) systems showed improved soil structure in terms of pore size distribution (PSD). Changes in hydraulic conductivity (K) under these systems led to an increased infiltration rate and water retention. However, NT and CC plots had lower water content at field capacity (33 kPa suction) and lower plant-available water (PAW) compared with ST and NO plots. Numerical simulations, however, showed that NT and CC plots have higher water storage (albeit marginal in magnitude) and water availability following irrigation. Because the numerical simulations considered retention and conductivity functions simultaneously and dynamically through time, they allow the capture of hydraulic states that are arguably more relevant to crops. The study concludes that the long-term practices of NT and CC systems were beneficial in terms of changes to the PSD. NT and CC systems also marginally improved soil water conductivity and storage at the plot scale.","author":[{"dropping-particle":"","family":"Araya","given":"Samuel N.","non-dropping-particle":"","parse-names":false,"suffix":""},{"dropping-particle":"","family":"Mitchell","given":"Jeffrey P.","non-dropping-particle":"","parse-names":false,"suffix":""},{"dropping-particle":"","family":"Hopmans","given":"Jan W.","non-dropping-particle":"","parse-names":false,"suffix":""},{"dropping-particle":"","family":"Ghezzehei","given":"Teamrat A.","non-dropping-particle":"","parse-names":false,"suffix":""}],"container-title":"Soil","id":"ITEM-1","issue":"1","issued":{"date-parts":[["2022"]]},"page":"177-198","title":"Long-term impact of cover crop and reduced disturbance tillage on soil pore size distribution and soil water storage","type":"article-journal","volume":"8"},"uris":["http://www.mendeley.com/documents/?uuid=cc250fd1-2981-4583-87ed-634d5f96bbb6"]}],"mendeley":{"formattedCitation":"(Araya et al., 2022)","manualFormatting":"Araya et al. (2022)","plainTextFormattedCitation":"(Araya et al., 2022)","previouslyFormattedCitation":"(Araya et al., 2022)"},"properties":{"noteIndex":0},"schema":"https://github.com/citation-style-language/schema/raw/master/csl-citation.json"}</w:instrText>
      </w:r>
      <w:r w:rsidRPr="00203EB0">
        <w:fldChar w:fldCharType="separate"/>
      </w:r>
      <w:r w:rsidRPr="00203EB0">
        <w:rPr>
          <w:noProof/>
        </w:rPr>
        <w:t>Araya et al. (2022)</w:t>
      </w:r>
      <w:r w:rsidRPr="00203EB0">
        <w:fldChar w:fldCharType="end"/>
      </w:r>
      <w:r w:rsidRPr="00203EB0">
        <w:t xml:space="preserve"> highlight the significant influence of tillage on soil structure and soil pore architecture, directly affecting O</w:t>
      </w:r>
      <w:r w:rsidRPr="00203EB0">
        <w:rPr>
          <w:vertAlign w:val="subscript"/>
        </w:rPr>
        <w:t xml:space="preserve">2 </w:t>
      </w:r>
      <w:r w:rsidRPr="00203EB0">
        <w:t>content and distribution throughout the soil profile. However, direct measurements of soil O</w:t>
      </w:r>
      <w:r w:rsidRPr="00203EB0">
        <w:rPr>
          <w:vertAlign w:val="subscript"/>
        </w:rPr>
        <w:t xml:space="preserve">2 </w:t>
      </w:r>
      <w:r w:rsidRPr="00203EB0">
        <w:t>remains challenging under field conditions. As a result, soil moisture is commonly used as a proxy for O</w:t>
      </w:r>
      <w:r w:rsidRPr="00203EB0">
        <w:rPr>
          <w:vertAlign w:val="subscript"/>
        </w:rPr>
        <w:t>2</w:t>
      </w:r>
      <w:r w:rsidRPr="00203EB0">
        <w:t xml:space="preserve"> availability, particularly in predicting soil N</w:t>
      </w:r>
      <w:r w:rsidRPr="00203EB0">
        <w:rPr>
          <w:vertAlign w:val="subscript"/>
        </w:rPr>
        <w:t>2</w:t>
      </w:r>
      <w:r w:rsidRPr="00203EB0">
        <w:t xml:space="preserve">O production </w:t>
      </w:r>
      <w:r w:rsidRPr="00203EB0">
        <w:fldChar w:fldCharType="begin" w:fldLock="1"/>
      </w:r>
      <w:r w:rsidRPr="00203EB0">
        <w:instrText>ADDIN CSL_CITATION {"citationItems":[{"id":"ITEM-1","itemData":{"DOI":"10.1641/0006-3568(2000)050[0667:TACMOS]2.0.CO;2","ISSN":"00063568","author":[{"dropping-particle":"","family":"Davidson","given":"E. A.","non-dropping-particle":"","parse-names":false,"suffix":""},{"dropping-particle":"","family":"Keller","given":"M.","non-dropping-particle":"","parse-names":false,"suffix":""},{"dropping-particle":"","family":"Erickson","given":"H. E.","non-dropping-particle":"","parse-names":false,"suffix":""},{"dropping-particle":"V.","family":"Verchot","given":"L.","non-dropping-particle":"","parse-names":false,"suffix":""},{"dropping-particle":"","family":"Veldkamp","given":"E.","non-dropping-particle":"","parse-names":false,"suffix":""}],"container-title":"BioScience","id":"ITEM-1","issue":"8","issued":{"date-parts":[["2000"]]},"page":"667-680","title":"Testing a conceptual model of soil emissions of nitrous and nitric oxides","type":"article-journal","volume":"50"},"uris":["http://www.mendeley.com/documents/?uuid=7184fb48-ed31-41c0-8af8-2d5a549c23da"]}],"mendeley":{"formattedCitation":"(Davidson et al., 2000)","plainTextFormattedCitation":"(Davidson et al., 2000)","previouslyFormattedCitation":"(Davidson et al., 2000)"},"properties":{"noteIndex":0},"schema":"https://github.com/citation-style-language/schema/raw/master/csl-citation.json"}</w:instrText>
      </w:r>
      <w:r w:rsidRPr="00203EB0">
        <w:fldChar w:fldCharType="separate"/>
      </w:r>
      <w:r w:rsidRPr="00203EB0">
        <w:rPr>
          <w:noProof/>
        </w:rPr>
        <w:t>(Davidson et al., 2000)</w:t>
      </w:r>
      <w:r w:rsidRPr="00203EB0">
        <w:fldChar w:fldCharType="end"/>
      </w:r>
      <w:r w:rsidRPr="00203EB0">
        <w:t>, despite its limitations. This approach oversimplifies the relationship between moisture and O</w:t>
      </w:r>
      <w:r w:rsidRPr="00203EB0">
        <w:rPr>
          <w:vertAlign w:val="subscript"/>
        </w:rPr>
        <w:t>2</w:t>
      </w:r>
      <w:r w:rsidRPr="00203EB0">
        <w:t xml:space="preserve"> availability, especially when microbial respiration increases following the decomposition of cover crop residues. Such decomposition can rapidly consume available O</w:t>
      </w:r>
      <w:r w:rsidRPr="00203EB0">
        <w:rPr>
          <w:vertAlign w:val="subscript"/>
        </w:rPr>
        <w:t>2</w:t>
      </w:r>
      <w:r w:rsidRPr="00203EB0">
        <w:t>, creating anaerobic microsites that promote denitrification and N</w:t>
      </w:r>
      <w:r w:rsidRPr="00203EB0">
        <w:rPr>
          <w:vertAlign w:val="subscript"/>
        </w:rPr>
        <w:t>2</w:t>
      </w:r>
      <w:r w:rsidRPr="00203EB0">
        <w:t xml:space="preserve">O production, even when soil moisture is not elevated </w:t>
      </w:r>
      <w:r w:rsidRPr="00203EB0">
        <w:fldChar w:fldCharType="begin" w:fldLock="1"/>
      </w:r>
      <w:r w:rsidRPr="00203EB0">
        <w:instrText>ADDIN CSL_CITATION {"citationItems":[{"id":"ITEM-1","itemData":{"DOI":"10.1111/gcb.12274","ISSN":"13541013","PMID":"23729165","abstract":"Annual production of crop residues has reached nearly 4 billion metric tons globally. Retention of this large amount of residues on agricultural land can be beneficial to soil C sequestration. Such potential impacts, however, may be offset if residue retention substantially increases soil emissions of N2O, a potent greenhouse gas and ozone depletion substance. Residue effects on soil N2O emissions have gained considerable attention since early 1990s; yet, it is still a great challenge to predict the magnitude and direction of soil N2O emissions following residue amendment. Here, we used a meta-analysis to assess residue impacts on soil N2O emissions in relation to soil and residue attributes, i.e., soil pH, soil texture, soil water content, residue C and N input, and residue C : N ratio. Residue effects were negatively associated with C : N ratios, but generally residue amendment could not reduce soil N2O emissions, even for C : N ratios well above ca. 30, the threshold for net N immobilization. Residue effects were also comparable to, if not greater than, those of synthetic N fertilizers. In addition, residue effects on soil N2O emissions were positively related to the amounts of residue C input as well as residue effects on soil CO2 respiration. Furthermore, most significant and stimulatory effects occurred at 60-90% soil water-filled pore space and soil pH 7.1-7.8. Stimulatory effects were also present for all soil textures except sand or clay content ≤10%. However, inhibitory effects were found for soils with &gt;90% water-filled pore space. Altogether, our meta-analysis suggests that crop residues played roles beyond N supply for N2O production. Perhaps, by stimulating microbial respiration, crop residues enhanced oxygen depletion and therefore promoted anaerobic conditions for denitrification and N2O production. Our meta-analysis highlights the necessity to connect the quantity and quality of crop residues with soil properties for predicting soil N2O emissions. © 2013 John Wiley &amp; Sons Ltd.","author":[{"dropping-particle":"","family":"Chen","given":"Huaihai","non-dropping-particle":"","parse-names":false,"suffix":""},{"dropping-particle":"","family":"Li","given":"Xuechao","non-dropping-particle":"","parse-names":false,"suffix":""},{"dropping-particle":"","family":"Hu","given":"Feng","non-dropping-particle":"","parse-names":false,"suffix":""},{"dropping-particle":"","family":"Shi","given":"Wei","non-dropping-particle":"","parse-names":false,"suffix":""}],"container-title":"Global Change Biology","id":"ITEM-1","issue":"10","issued":{"date-parts":[["2013"]]},"page":"2956-2964","title":"Soil nitrous oxide emissions following crop residue addition: A meta-analysis","type":"article-journal","volume":"19"},"uris":["http://www.mendeley.com/documents/?uuid=a1cd9f4e-1bab-46a8-bb75-ada466dd9152"]}],"mendeley":{"formattedCitation":"(Chen et al., 2013)","plainTextFormattedCitation":"(Chen et al., 2013)","previouslyFormattedCitation":"(Chen et al., 2013)"},"properties":{"noteIndex":0},"schema":"https://github.com/citation-style-language/schema/raw/master/csl-citation.json"}</w:instrText>
      </w:r>
      <w:r w:rsidRPr="00203EB0">
        <w:fldChar w:fldCharType="separate"/>
      </w:r>
      <w:r w:rsidRPr="00203EB0">
        <w:rPr>
          <w:noProof/>
        </w:rPr>
        <w:t>(Chen et al., 2013)</w:t>
      </w:r>
      <w:r w:rsidRPr="00203EB0">
        <w:fldChar w:fldCharType="end"/>
      </w:r>
      <w:r w:rsidRPr="00203EB0">
        <w:t>. The quality of the residue, such as whether it is derived from a legume or a grass species, may also influence the rate of O</w:t>
      </w:r>
      <w:r w:rsidRPr="00203EB0">
        <w:rPr>
          <w:vertAlign w:val="subscript"/>
        </w:rPr>
        <w:t xml:space="preserve">2 </w:t>
      </w:r>
      <w:r w:rsidRPr="00203EB0">
        <w:t>depletion and the magnitude of N</w:t>
      </w:r>
      <w:r w:rsidRPr="00203EB0">
        <w:rPr>
          <w:vertAlign w:val="subscript"/>
        </w:rPr>
        <w:t>2</w:t>
      </w:r>
      <w:r w:rsidRPr="00203EB0">
        <w:t>O emissions. Yet, little is known about how respiration-induced anoxia interacts with cover-crop residue type and N fertilization to affect N</w:t>
      </w:r>
      <w:r w:rsidRPr="00203EB0">
        <w:rPr>
          <w:vertAlign w:val="subscript"/>
        </w:rPr>
        <w:t>2</w:t>
      </w:r>
      <w:r w:rsidRPr="00203EB0">
        <w:t>O losses. Therefore, predicting the magnitude and direction of N</w:t>
      </w:r>
      <w:r w:rsidRPr="00203EB0">
        <w:rPr>
          <w:vertAlign w:val="subscript"/>
        </w:rPr>
        <w:t>2</w:t>
      </w:r>
      <w:r w:rsidRPr="00203EB0">
        <w:t>O emissions in response to changes in soil O</w:t>
      </w:r>
      <w:r w:rsidRPr="00203EB0">
        <w:rPr>
          <w:vertAlign w:val="subscript"/>
        </w:rPr>
        <w:t>2</w:t>
      </w:r>
      <w:r w:rsidRPr="00203EB0">
        <w:t xml:space="preserve"> and substrate availability is a critical knowledge gap that adds uncertainty to N</w:t>
      </w:r>
      <w:r w:rsidRPr="00203EB0">
        <w:rPr>
          <w:vertAlign w:val="subscript"/>
        </w:rPr>
        <w:t>2</w:t>
      </w:r>
      <w:r w:rsidRPr="00203EB0">
        <w:t xml:space="preserve">O emissions from cover crop-based rotations. </w:t>
      </w:r>
    </w:p>
    <w:p w14:paraId="68BF4BFC" w14:textId="77777777" w:rsidR="00127853" w:rsidRDefault="006D303C" w:rsidP="00127853">
      <w:pPr>
        <w:pStyle w:val="NormalWeb"/>
        <w:spacing w:line="480" w:lineRule="auto"/>
        <w:contextualSpacing/>
      </w:pPr>
      <w:r w:rsidRPr="00203EB0">
        <w:lastRenderedPageBreak/>
        <w:t>Given these complexities in N</w:t>
      </w:r>
      <w:r w:rsidRPr="00203EB0">
        <w:rPr>
          <w:vertAlign w:val="subscript"/>
        </w:rPr>
        <w:t>2</w:t>
      </w:r>
      <w:r w:rsidRPr="00203EB0">
        <w:t>O production, which arise from the interactions among soil O</w:t>
      </w:r>
      <w:r w:rsidRPr="00203EB0">
        <w:rPr>
          <w:vertAlign w:val="subscript"/>
        </w:rPr>
        <w:t xml:space="preserve">2 </w:t>
      </w:r>
      <w:r w:rsidRPr="00203EB0">
        <w:t>availability, residue quality, microbial activity, and N inputs, accurately predicting emissions under field conditions remains a major challenge. Process-based models, while useful for understanding biogeochemical mechanisms, often require extensive calibration</w:t>
      </w:r>
      <w:r w:rsidR="00BD2F32" w:rsidRPr="00203EB0">
        <w:t xml:space="preserve"> and parameterization</w:t>
      </w:r>
      <w:r w:rsidRPr="00203EB0">
        <w:t xml:space="preserve"> and </w:t>
      </w:r>
      <w:r w:rsidR="00BD2F32" w:rsidRPr="00203EB0">
        <w:t xml:space="preserve">they </w:t>
      </w:r>
      <w:r w:rsidRPr="00203EB0">
        <w:t>are limited in their ability to capture the temporal variability of N</w:t>
      </w:r>
      <w:r w:rsidRPr="00203EB0">
        <w:rPr>
          <w:vertAlign w:val="subscript"/>
        </w:rPr>
        <w:t>2</w:t>
      </w:r>
      <w:r w:rsidRPr="00203EB0">
        <w:t>O emissions. In particular, they tend to perform poorly in predicting short-term pulses, or hot-moments, that contribute disproportionately to cumulative N</w:t>
      </w:r>
      <w:r w:rsidRPr="00203EB0">
        <w:rPr>
          <w:vertAlign w:val="subscript"/>
        </w:rPr>
        <w:t>2</w:t>
      </w:r>
      <w:r w:rsidRPr="00203EB0">
        <w:t xml:space="preserve">O emissions </w:t>
      </w:r>
      <w:r w:rsidR="00474630" w:rsidRPr="00203EB0">
        <w:fldChar w:fldCharType="begin" w:fldLock="1"/>
      </w:r>
      <w:r w:rsidR="00474630" w:rsidRPr="00203EB0">
        <w:instrText>ADDIN CSL_CITATION {"citationItems":[{"id":"ITEM-1","itemData":{"DOI":"10.1111/gcb.13965","ISSN":"13652486","PMID":"29080301","abstract":"Simulation models are extensively used to predict agricultural productivity and greenhouse gas emissions. However, the uncertainties of (reduced) model ensemble simulations have not been assessed systematically for variables affecting food security and climate change mitigation, within multi-species agricultural contexts. We report an international model comparison and benchmarking exercise, showing the potential of multi-model ensembles to predict productivity and nitrous oxide (N2O) emissions for wheat, maize, rice and temperate grasslands. Using a multi-stage modelling protocol, from blind simulations (stage 1) to partial (stages 2–4) and full calibration (stage 5), 24 process-based biogeochemical models were assessed individually or as an ensemble against long-term experimental data from four temperate grassland and five arable crop rotation sites spanning four continents. Comparisons were performed by reference to the experimental uncertainties of observed yields and N2O emissions. Results showed that across sites and crop/grassland types, 23%–40% of the uncalibrated individual models were within two standard deviations (SD) of observed yields, while 42 (rice) to 96% (grasslands) of the models were within 1 SD of observed N2O emissions. At stage 1, ensembles formed by the three lowest prediction model errors predicted both yields and N2O emissions within experimental uncertainties for 44% and 33% of the crop and grassland growth cycles, respectively. Partial model calibration (stages 2–4) markedly reduced prediction errors of the full model ensemble E-median for crop grain yields (from 36% at stage 1 down to 4% on average) and grassland productivity (from 44% to 27%) and to a lesser and more variable extent for N2O emissions. Yield-scaled N2O emissions (N2O emissions divided by crop yields) were ranked accurately by three-model ensembles across crop species and field sites. The potential of using process-based model ensembles to predict jointly productivity and N2O emissions at field scale is discussed.","author":[{"dropping-particle":"","family":"Ehrhardt","given":"Fiona","non-dropping-particle":"","parse-names":false,"suffix":""},{"dropping-particle":"","family":"Soussana","given":"Jean François","non-dropping-particle":"","parse-names":false,"suffix":""},{"dropping-particle":"","family":"Bellocchi","given":"Gianni","non-dropping-particle":"","parse-names":false,"suffix":""},{"dropping-particle":"","family":"Grace","given":"Peter","non-dropping-particle":"","parse-names":false,"suffix":""},{"dropping-particle":"","family":"McAuliffe","given":"Russel","non-dropping-particle":"","parse-names":false,"suffix":""},{"dropping-particle":"","family":"Recous","given":"Sylvie","non-dropping-particle":"","parse-names":false,"suffix":""},{"dropping-particle":"","family":"Sándor","given":"Renáta","non-dropping-particle":"","parse-names":false,"suffix":""},{"dropping-particle":"","family":"Smith","given":"Pete","non-dropping-particle":"","parse-names":false,"suffix":""},{"dropping-particle":"","family":"Snow","given":"Val","non-dropping-particle":"","parse-names":false,"suffix":""},{"dropping-particle":"","family":"Antoni Migliorati","given":"Massimiliano","non-dropping-particle":"de","parse-names":false,"suffix":""},{"dropping-particle":"","family":"Basso","given":"Bruno","non-dropping-particle":"","parse-names":false,"suffix":""},{"dropping-particle":"","family":"Bhatia","given":"Arti","non-dropping-particle":"","parse-names":false,"suffix":""},{"dropping-particle":"","family":"Brilli","given":"Lorenzo","non-dropping-particle":"","parse-names":false,"suffix":""},{"dropping-particle":"","family":"Doltra","given":"Jordi","non-dropping-particle":"","parse-names":false,"suffix":""},{"dropping-particle":"","family":"Dorich","given":"Christopher D.","non-dropping-particle":"","parse-names":false,"suffix":""},{"dropping-particle":"","family":"Doro","given":"Luca","non-dropping-particle":"","parse-names":false,"suffix":""},{"dropping-particle":"","family":"Fitton","given":"Nuala","non-dropping-particle":"","parse-names":false,"suffix":""},{"dropping-particle":"","family":"Giacomini","given":"Sandro J.","non-dropping-particle":"","parse-names":false,"suffix":""},{"dropping-particle":"","family":"Grant","given":"Brian","non-dropping-particle":"","parse-names":false,"suffix":""},{"dropping-particle":"","family":"Harrison","given":"Matthew T.","non-dropping-particle":"","parse-names":false,"suffix":""},{"dropping-particle":"","family":"Jones","given":"Stephanie K.","non-dropping-particle":"","parse-names":false,"suffix":""},{"dropping-particle":"","family":"Kirschbaum","given":"Miko U.F.","non-dropping-particle":"","parse-names":false,"suffix":""},{"dropping-particle":"","family":"Klumpp","given":"Katja","non-dropping-particle":"","parse-names":false,"suffix":""},{"dropping-particle":"","family":"Laville","given":"Patricia","non-dropping-particle":"","parse-names":false,"suffix":""},{"dropping-particle":"","family":"Léonard","given":"Joël","non-dropping-particle":"","parse-names":false,"suffix":""},{"dropping-particle":"","family":"Liebig","given":"Mark","non-dropping-particle":"","parse-names":false,"suffix":""},{"dropping-particle":"","family":"Lieffering","given":"Mark","non-dropping-particle":"","parse-names":false,"suffix":""},{"dropping-particle":"","family":"Martin","given":"Raphaël","non-dropping-particle":"","parse-names":false,"suffix":""},{"dropping-particle":"","family":"Massad","given":"Raia S.","non-dropping-particle":"","parse-names":false,"suffix":""},{"dropping-particle":"","family":"Meier","given":"Elizabeth","non-dropping-particle":"","parse-names":false,"suffix":""},{"dropping-particle":"","family":"Merbold","given":"Lutz","non-dropping-particle":"","parse-names":false,"suffix":""},{"dropping-particle":"","family":"Moore","given":"Andrew D.","non-dropping-particle":"","parse-names":false,"suffix":""},{"dropping-particle":"","family":"Myrgiotis","given":"Vasileios","non-dropping-particle":"","parse-names":false,"suffix":""},{"dropping-particle":"","family":"Newton","given":"Paul","non-dropping-particle":"","parse-names":false,"suffix":""},{"dropping-particle":"","family":"Pattey","given":"Elizabeth","non-dropping-particle":"","parse-names":false,"suffix":""},{"dropping-particle":"","family":"Rolinski","given":"Susanne","non-dropping-particle":"","parse-names":false,"suffix":""},{"dropping-particle":"","family":"Sharp","given":"Joanna","non-dropping-particle":"","parse-names":false,"suffix":""},{"dropping-particle":"","family":"Smith","given":"Ward N.","non-dropping-particle":"","parse-names":false,"suffix":""},{"dropping-particle":"","family":"Wu","given":"Lianhai","non-dropping-particle":"","parse-names":false,"suffix":""},{"dropping-particle":"","family":"Zhang","given":"Qing","non-dropping-particle":"","parse-names":false,"suffix":""}],"container-title":"Global Change Biology","id":"ITEM-1","issue":"2","issued":{"date-parts":[["2018"]]},"page":"e603-e616","title":"Assessing uncertainties in crop and pasture ensemble model simulations of productivity and N2O emissions","type":"article-journal","volume":"24"},"uris":["http://www.mendeley.com/documents/?uuid=b6b5b9fb-3325-44b3-9a73-f76b476a3bc1"]}],"mendeley":{"formattedCitation":"(Ehrhardt et al., 2018)","plainTextFormattedCitation":"(Ehrhardt et al., 2018)","previouslyFormattedCitation":"(Ehrhardt et al., 2018)"},"properties":{"noteIndex":0},"schema":"https://github.com/citation-style-language/schema/raw/master/csl-citation.json"}</w:instrText>
      </w:r>
      <w:r w:rsidR="00474630" w:rsidRPr="00203EB0">
        <w:fldChar w:fldCharType="separate"/>
      </w:r>
      <w:r w:rsidR="00474630" w:rsidRPr="00203EB0">
        <w:rPr>
          <w:noProof/>
        </w:rPr>
        <w:t>(Ehrhardt et al., 2018)</w:t>
      </w:r>
      <w:r w:rsidR="00474630" w:rsidRPr="00203EB0">
        <w:fldChar w:fldCharType="end"/>
      </w:r>
      <w:r w:rsidRPr="00203EB0">
        <w:t>. These episodic events are difficult to simulate because they result from complex and nonlinear interactions between</w:t>
      </w:r>
      <w:r w:rsidR="00BD2F32" w:rsidRPr="00203EB0">
        <w:t xml:space="preserve"> soil,</w:t>
      </w:r>
      <w:r w:rsidRPr="00203EB0">
        <w:t xml:space="preserve"> environmental and management factors. In contrast, data-driven machine learning (ML) approaches offer a promising alternative, with the ability to learn complex relationships directly from observational data without the need for mechanistic assumptions</w:t>
      </w:r>
      <w:r w:rsidR="00474630" w:rsidRPr="00203EB0">
        <w:t xml:space="preserve"> </w:t>
      </w:r>
      <w:r w:rsidR="00474630" w:rsidRPr="00203EB0">
        <w:fldChar w:fldCharType="begin" w:fldLock="1"/>
      </w:r>
      <w:r w:rsidR="00474630" w:rsidRPr="00203EB0">
        <w:instrText xml:space="preserve">ADDIN CSL_CITATION {"citationItems":[{"id":"ITEM-1","itemData":{"DOI":"10.1088/1748-9326/abd2f3","ISSN":"17489326","abstract":"The potent greenhouse gas nitrous oxide (N2O) is accumulating in the atmosphere at unprecedented rates largely due to agricultural intensification, and cultivated soils contribute </w:instrText>
      </w:r>
      <w:r w:rsidR="00474630" w:rsidRPr="00203EB0">
        <w:rPr>
          <w:rFonts w:ascii="Cambria Math" w:hAnsi="Cambria Math" w:cs="Cambria Math"/>
        </w:rPr>
        <w:instrText>∼</w:instrText>
      </w:r>
      <w:r w:rsidR="00474630" w:rsidRPr="00203EB0">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474630" w:rsidRPr="00203EB0">
        <w:rPr>
          <w:rFonts w:ascii="Cambria Math" w:hAnsi="Cambria Math" w:cs="Cambria Math"/>
        </w:rPr>
        <w:instrText>∼</w:instrText>
      </w:r>
      <w:r w:rsidR="00474630" w:rsidRPr="00203EB0">
        <w:instrText>3000 sub-daily flux observations), supplemented with weekly to biweekly manual chamber measurements (</w:instrText>
      </w:r>
      <w:r w:rsidR="00474630" w:rsidRPr="00203EB0">
        <w:rPr>
          <w:rFonts w:ascii="Cambria Math" w:hAnsi="Cambria Math" w:cs="Cambria Math"/>
        </w:rPr>
        <w:instrText>∼</w:instrText>
      </w:r>
      <w:r w:rsidR="00474630" w:rsidRPr="00203EB0">
        <w:instrText>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author":[{"dropping-particle":"","family":"Saha","given":"Debasish","non-dropping-particle":"","parse-names":false,"suffix":""},{"dropping-particle":"","family":"Basso","given":"Bruno","non-dropping-particle":"","parse-names":false,"suffix":""},{"dropping-particle":"","family":"Robertson","given":"G. Philip","non-dropping-particle":"","parse-names":false,"suffix":""}],"container-title":"Environmental Research Letters","id":"ITEM-1","issue":"2","issued":{"date-parts":[["2021"]]},"title":"Machine learning improves predictions of agricultural nitrous oxide (N2O) emissions from intensively managed cropping systems","type":"article-journal","volume":"16"},"uris":["http://www.mendeley.com/documents/?uuid=c034218d-6845-4ee4-b546-a34bcc5f78b1"]},{"id":"ITEM-2","itemData":{"DOI":"10.1088/1748-9326/ab5268","ISSN":"17489326","abstract":"Pre-growing season prediction of crop production outcomes such as grain yields and nitrogen (N) losses can provide insights to farmers and agronomists to make decisions. Simulation crop models can assist in scenario planning, but their use is limited because of data requirements and long runtimes. Thus, there is a need for more computationally expedient approaches to scale up predictions. We evaluated the potential of four machine learning (ML) algorithms (LASSO Regression, Ridge Regression, random forests, Extreme Gradient Boosting, and their ensembles) as meta-models for a cropping systems simulator (APSIM) to inform future decision support tool development. We asked: (1) How well do ML meta-models predict maize yield and N losses using pre-season information? (2) How many data are needed to train ML algorithms to achieve acceptable predictions? (3) Which input data variables are most important for accurate prediction? And (4) do ensembles of ML meta-models improve prediction? The simulated dataset included more than three million data including genotype, environment and management scenarios. XGBoost was the most accurate ML model in predicting yields with a relative mean square error (RRMSE) of 13.5%, and Random forests most accurately predicted N loss at planting time, with a RRMSE of 54%. ML meta-models reasonably reproduced simulated maize yields using the information available at planting, but not N loss. They also differed in their sensitivities to the size of the training dataset. Across all ML models, yield prediction error decreased by 10%-40% as the training dataset increased from 0.5 to 1.8 million data points, whereas N loss prediction error showed no consistent pattern. ML models also differed in their sensitivities to input variables (weather, soil properties, management, initial conditions), thus depending on the data availability researchers may use a different ML model. Modest prediction improvements resulted from ML ensembles. These results can help accelerate progress in coupling simulation models and ML toward developing dynamic decision support tools for pre-season management.","author":[{"dropping-particle":"","family":"Shahhosseini","given":"Mohsen","non-dropping-particle":"","parse-names":false,"suffix":""},{"dropping-particle":"","family":"Martinez-Feria","given":"Rafael A.","non-dropping-particle":"","parse-names":false,"suffix":""},{"dropping-particle":"","family":"Hu","given":"Guiping","non-dropping-particle":"","parse-names":false,"suffix":""},{"dropping-particle":"V.","family":"Archontoulis","given":"Sotirios","non-dropping-particle":"","parse-names":false,"suffix":""}],"container-title":"Environmental Research Letters","id":"ITEM-2","issue":"12","issued":{"date-parts":[["2019"]]},"publisher":"IOP Publishing","title":"Maize yield and nitrate loss prediction with machine learning algorithms","type":"article-journal","volume":"14"},"uris":["http://www.mendeley.com/documents/?uuid=0f7b4756-74e6-402b-b9f4-3454ab897915"]}],"mendeley":{"formattedCitation":"(Shahhosseini et al., 2019; Saha et al., 2021a)","plainTextFormattedCitation":"(Shahhosseini et al., 2019; Saha et al., 2021a)","previouslyFormattedCitation":"(Shahhosseini et al., 2019; Saha et al., 2021a)"},"properties":{"noteIndex":0},"schema":"https://github.com/citation-style-language/schema/raw/master/csl-citation.json"}</w:instrText>
      </w:r>
      <w:r w:rsidR="00474630" w:rsidRPr="00203EB0">
        <w:fldChar w:fldCharType="separate"/>
      </w:r>
      <w:r w:rsidR="00474630" w:rsidRPr="00203EB0">
        <w:rPr>
          <w:noProof/>
        </w:rPr>
        <w:t>(Shahhosseini et al., 2019; Saha et al., 2021a)</w:t>
      </w:r>
      <w:r w:rsidR="00474630" w:rsidRPr="00203EB0">
        <w:fldChar w:fldCharType="end"/>
      </w:r>
      <w:r w:rsidRPr="00203EB0">
        <w:t>. However, conventional ML approaches may still struggle to represent episodic, high-flux N₂O events (“hot moments”) that deviate from background emissions. To address this limitation, we propose a novel approach Classification Swap (Class-Swap) modeling approach that separates background and hot-moment fluxes using an outlier detection algorithm. This enables tailored model training for each class of emission events with the potential for improving both prediction accuracy and better identification of environmental drivers associated with episodic N</w:t>
      </w:r>
      <w:r w:rsidRPr="00203EB0">
        <w:rPr>
          <w:vertAlign w:val="subscript"/>
        </w:rPr>
        <w:t>2</w:t>
      </w:r>
      <w:r w:rsidRPr="00203EB0">
        <w:t>O fluxes.</w:t>
      </w:r>
    </w:p>
    <w:p w14:paraId="50B53DA2" w14:textId="14F3D1AB" w:rsidR="00127853" w:rsidRDefault="006D303C" w:rsidP="00127853">
      <w:pPr>
        <w:pStyle w:val="NormalWeb"/>
        <w:spacing w:line="480" w:lineRule="auto"/>
        <w:contextualSpacing/>
      </w:pPr>
      <w:r w:rsidRPr="00203EB0">
        <w:t>In addition to shaping soil chemistry and physical properties, NT and cover cropping also influence the structure and function of soil microbial communities. These microbial shifts are particularly relevant because N</w:t>
      </w:r>
      <w:r w:rsidRPr="00203EB0">
        <w:rPr>
          <w:vertAlign w:val="subscript"/>
        </w:rPr>
        <w:t>2</w:t>
      </w:r>
      <w:r w:rsidRPr="00203EB0">
        <w:t xml:space="preserve">O production is a microbially mediated process. While </w:t>
      </w:r>
      <w:r w:rsidRPr="00203EB0">
        <w:lastRenderedPageBreak/>
        <w:t xml:space="preserve">many studies have documented changes in microbial diversity in surface soils under conservation management </w:t>
      </w:r>
      <w:r w:rsidR="00474630" w:rsidRPr="00203EB0">
        <w:fldChar w:fldCharType="begin" w:fldLock="1"/>
      </w:r>
      <w:r w:rsidR="00DB2190" w:rsidRPr="00203EB0">
        <w:instrText>ADDIN CSL_CITATION {"citationItems":[{"id":"ITEM-1","itemData":{"DOI":"10.1016/j.ejsobi.2010.11.006","ISSN":"11645563","abstract":"Argentina is the world's third most important soybean producer; hence, there is an urgent need to preserve soil health by applying appropriate agricultural practices to maintain sustainable production in the upcoming years. Because productivity of agricultural systems largely depends on soil microbial processes, the influence of different management strategies on soil microbial community structure was analyzed in a long-term field trial started in 1992. The experimental design was a split-plot arrangement of treatments, consisting in two tillage treatments: zero tillage (ZT) and reduced tillage (RT), in combination with two crop rotation treatments: soybean monoculture (SS) and corn-soybean (CS). Phospholipid fatty acid (PLFA) profiles were used to assess total microbial community structure. Denaturing gradient gel electrophoresis (DGGE) profiles of 18S rRNA were generated to describe the influence of crop practices on fungal communities. Total PLFA content was lowest in soil under reduced tillage and soybean monoculture; therefore the use of reduced tillage-soybean monoculture in agroecosystems might produce important reductions in total microbial biomass. The structure of total microbial communities, as estimated by PLFA, was affected by crop rotation. Moreover, the fungal communities, as estimated by DGGE analysis, were influenced by combined effects of crop rotation and tillage system. © 2010.","author":[{"dropping-particle":"","family":"Vargas Gil","given":"S.","non-dropping-particle":"","parse-names":false,"suffix":""},{"dropping-particle":"","family":"Meriles","given":"J.","non-dropping-particle":"","parse-names":false,"suffix":""},{"dropping-particle":"","family":"Conforto","given":"C.","non-dropping-particle":"","parse-names":false,"suffix":""},{"dropping-particle":"","family":"Basanta","given":"M.","non-dropping-particle":"","parse-names":false,"suffix":""},{"dropping-particle":"","family":"Radl","given":"V.","non-dropping-particle":"","parse-names":false,"suffix":""},{"dropping-particle":"","family":"Hagn","given":"A.","non-dropping-particle":"","parse-names":false,"suffix":""},{"dropping-particle":"","family":"Schloter","given":"M.","non-dropping-particle":"","parse-names":false,"suffix":""},{"dropping-particle":"","family":"March","given":"G. J.","non-dropping-particle":"","parse-names":false,"suffix":""}],"container-title":"European Journal of Soil Biology","id":"ITEM-1","issue":"1","issued":{"date-parts":[["2011"]]},"page":"55-60","publisher":"Elsevier Masson SAS","title":"Response of soil microbial communities to different management practices in surface soils of a soybean agroecosystem in Argentina","type":"article-journal","volume":"47"},"uris":["http://www.mendeley.com/documents/?uuid=5a9b7b20-c19d-45d9-89a5-51345ff7dbf4"]},{"id":"ITEM-2","itemData":{"DOI":"10.1016/j.soilbio.2015.06.016","ISSN":"00380717","abstract":"Conservation agriculture practices, such as reduced tillage, cover crops and fertilization, are often associated with greater microbial biomass and activity that are linked to improvements in soil quality. This study characterized the impact of long term (31 years) tillage (till and no-till), cover crops (Hairy vetch- Vicia villosa and winter wheat- Triticum aestivum, and a no cover control), and N-rates (0, 34, 67 and 101 kg N ha&lt;sup&gt;-1&lt;/sup&gt;) on soil microbial community structure, activity and resultant soil quality calculated using the soil management assessment framework (SMAF) scoring index under continuous cotton (Gossypium hirsutum) production on a Lexington silt loam in West Tennessee.No-till treatments were characterized by a significantly greater (P &lt; 0.05) abundance of Gram positive bacteria, actinomycetes and mycorrhizae fungi fatty acid methyl ester (FAME) biomarkers compared to till. Saprophytic fungal FAME biomarkers were significantly less abundant (P &lt; 0.05) under no-till treatments resulting in a lower fungi to bacteria (F:B) ratio. Key enzymes associated with C, N &amp; P cycling (β-glucosidase, β-glucosaminidase, and phosphodiesterase) had significantly higher rates under no-till relative to till, corresponding to significantly greater (P &lt; 0.05) soil C and N, extractable nutrients (P, K and Ca) and yields. Mycorrhizae fungi biomarkers significantly decreased (P &lt; 0.05) with increasing N-rate and was significantly less (P &lt; 0.05) under the vetch cover crop compared to wheat and no cover. Treatments under vetch also had significantly higher β-glucosaminidase and basal microbial respiration rates compared to wheat and no cover.Consequently, the total organic carbon (TOC) and β-glucosidase SMAF quality scores were significantly greater under no-till compared to till and under the vetch compared to wheat and no cover treatments, resulting in a significantly greater overall soil quality index (SQI).Our results demonstrate that long-term no-till and use of cover crops under a low biomass monoculture crop production system like cotton results in significant shifts in the microbial community structure, activity, and conditions that favor C, N and P cycling compared to those under conventional tillage practices. These practices also led to increased yields and improved soil quality with no-till having 13% greater yields than till and treatments under vetch having 5% increase in soil quality compared to no cover and wheat.","author":[{"dropping-particle":"","family":"Mbuthia","given":"Lilian Wanjiru","non-dropping-particle":"","parse-names":false,"suffix":""},{"dropping-particle":"","family":"Acosta-Martínez","given":"Veronica","non-dropping-particle":"","parse-names":false,"suffix":""},{"dropping-particle":"","family":"DeBryun","given":"Jennifer","non-dropping-particle":"","parse-names":false,"suffix":""},{"dropping-particle":"","family":"Schaeffer","given":"Sean","non-dropping-particle":"","parse-names":false,"suffix":""},{"dropping-particle":"","family":"Tyler","given":"Donald","non-dropping-particle":"","parse-names":false,"suffix":""},{"dropping-particle":"","family":"Odoi","given":"Evah","non-dropping-particle":"","parse-names":false,"suffix":""},{"dropping-particle":"","family":"Mpheshea","given":"Molefi","non-dropping-particle":"","parse-names":false,"suffix":""},{"dropping-particle":"","family":"Walker","given":"Forbes","non-dropping-particle":"","parse-names":false,"suffix":""},{"dropping-particle":"","family":"Eash","given":"Neal","non-dropping-particle":"","parse-names":false,"suffix":""}],"container-title":"Soil Biology and Biochemistry","id":"ITEM-2","issued":{"date-parts":[["2015"]]},"page":"24-34","title":"Long term tillage, cover crop, and fertilization effects on microbial community structure, activity: Implications for soil quality","type":"article-journal","volume":"89"},"uris":["http://www.mendeley.com/documents/?uuid=b29c9246-5fdc-4078-b0c7-03f57ac7b274"]}],"mendeley":{"formattedCitation":"(Vargas Gil et al., 2011; Mbuthia et al., 2015)","plainTextFormattedCitation":"(Vargas Gil et al., 2011; Mbuthia et al., 2015)","previouslyFormattedCitation":"(Vargas Gil et al., 2011; Mbuthia et al., 2015)"},"properties":{"noteIndex":0},"schema":"https://github.com/citation-style-language/schema/raw/master/csl-citation.json"}</w:instrText>
      </w:r>
      <w:r w:rsidR="00474630" w:rsidRPr="00203EB0">
        <w:fldChar w:fldCharType="separate"/>
      </w:r>
      <w:r w:rsidR="00474630" w:rsidRPr="00203EB0">
        <w:rPr>
          <w:noProof/>
        </w:rPr>
        <w:t>(Vargas Gil et al., 2011; Mbuthia et al., 2015)</w:t>
      </w:r>
      <w:r w:rsidR="00474630" w:rsidRPr="00203EB0">
        <w:fldChar w:fldCharType="end"/>
      </w:r>
      <w:r w:rsidRPr="00203EB0">
        <w:t xml:space="preserve">, the effects of long-term practices on microbial communities across soil depths remain underexplored. Recent evidence suggests that management-induced changes in subsurface microbial communities can influence soil processes well beyond the topsoil </w:t>
      </w:r>
      <w:r w:rsidR="00DB2190" w:rsidRPr="00203EB0">
        <w:fldChar w:fldCharType="begin" w:fldLock="1"/>
      </w:r>
      <w:r w:rsidR="004179E3" w:rsidRPr="00203EB0">
        <w:instrText>ADDIN CSL_CITATION {"citationItems":[{"id":"ITEM-1","itemData":{"DOI":"10.3389/fmicb.2019.02047","ISSN":"1664302X","abstract":"Soil biodiversity accomplishes key roles in agro-ecosystem services consisting in preserving and enhancing soil fertility and nutrient cycling, crop productivity and environmental protection. Thus, the improvement of knowledge on the effect of conservation practices, related to tillage and N fertilization, on soil microbial communities is critical to better understand the role and function of microorganisms in regulating agro-ecosystems. In the Mediterranean area, vulnerable to climate change and suffering for management-induced losses of soil fertility, the impact of conservation practices on soil microbial communities is of special interest for building mitigation and adaptation strategies to climate change. A long-term experiment, originally designed to investigate the effect of tillage and N fertilization on crop yield and soil organic carbon, was utilized to understand the effect of these management practices on soil prokaryotic and fungal community diversity. The majority of prokaryotic and fungal taxa were common to all treatments at both soil depths, whereas few bacterial taxa (Cloacimonates, Spirochaetia and Berkelbacteria) and a larger number of fungal taxa (i.e., Coniphoraceae, Debaryomycetaceae, Geastraceae, Cordicypitaceae and Steccherinaceae) were unique to specific management practices. Soil prokaryotic and fungal structure was heavily influenced by the interaction of tillage and N fertilization: the prokaryotic community structure of the fertilized conventional tillage system was remarkably different respect to the unfertilized conservation and conventional systems in the surface layer. In addition, the effect of N fertilization in shaping the fungal community structure of the surface layer was higher under conservation tillage systems than under conventional tillage systems. Soil microbial community was shaped by soil depth irrespective of the effect of plowing and N addition. Finally, chemical and enzymatic parameters of soil and crop yields were significantly related to fungal community structure along the soil profile. The findings of this study gave new insights on the identification of management practices supporting and suppressing beneficial and detrimental taxa, respectively. This highlights the importance of managing soil microbial diversity through agro-ecological intensified systems in the Mediterranean area.","author":[{"dropping-particle":"","family":"Piazza","given":"Gaia","non-dropping-particle":"","parse-names":false,"suffix":""},{"dropping-particle":"","family":"Ercoli","given":"Laura","non-dropping-particle":"","parse-names":false,"suffix":""},{"dropping-particle":"","family":"Nuti","given":"Marco","non-dropping-particle":"","parse-names":false,"suffix":""},{"dropping-particle":"","family":"Pellegrino","given":"Elisa","non-dropping-particle":"","parse-names":false,"suffix":""}],"container-title":"Frontiers in Microbiology","id":"ITEM-1","issue":"September","issued":{"date-parts":[["2019"]]},"page":"1-20","title":"Interaction between conservation tillage and nitrogen fertilization shapes Prokaryotic and fungal diversity at different soil depths: Evidence from a 23-year field experiment in the Mediterranean area","type":"article-journal","volume":"10"},"uris":["http://www.mendeley.com/documents/?uuid=c3a89bc4-ee3d-4eb5-b70c-57391de49944"]}],"mendeley":{"formattedCitation":"(Piazza et al., 2019)","plainTextFormattedCitation":"(Piazza et al., 2019)","previouslyFormattedCitation":"(Piazza et al., 2019)"},"properties":{"noteIndex":0},"schema":"https://github.com/citation-style-language/schema/raw/master/csl-citation.json"}</w:instrText>
      </w:r>
      <w:r w:rsidR="00DB2190" w:rsidRPr="00203EB0">
        <w:fldChar w:fldCharType="separate"/>
      </w:r>
      <w:r w:rsidR="00DB2190" w:rsidRPr="00203EB0">
        <w:rPr>
          <w:noProof/>
        </w:rPr>
        <w:t>(Piazza et al., 2019)</w:t>
      </w:r>
      <w:r w:rsidR="00DB2190" w:rsidRPr="00203EB0">
        <w:fldChar w:fldCharType="end"/>
      </w:r>
      <w:r w:rsidRPr="00203EB0">
        <w:t>. As such, it is likely that legacy effects of management extended into deeper layers having an impact on temporal dynamics of N</w:t>
      </w:r>
      <w:r w:rsidRPr="00203EB0">
        <w:rPr>
          <w:vertAlign w:val="subscript"/>
        </w:rPr>
        <w:t>2</w:t>
      </w:r>
      <w:r w:rsidRPr="00203EB0">
        <w:t xml:space="preserve">O emissions. However, the relationship between temporal N₂O emissions and the abundance of specific surface and subsoil </w:t>
      </w:r>
      <w:r w:rsidR="00D059EC" w:rsidRPr="00203EB0">
        <w:t>microbial</w:t>
      </w:r>
      <w:r w:rsidRPr="00203EB0">
        <w:t xml:space="preserve"> taxa functionally relevant to N cycling is poorly understood.</w:t>
      </w:r>
    </w:p>
    <w:p w14:paraId="63C18863" w14:textId="77777777" w:rsidR="00127853" w:rsidRDefault="006D303C" w:rsidP="00127853">
      <w:pPr>
        <w:pStyle w:val="NormalWeb"/>
        <w:spacing w:line="480" w:lineRule="auto"/>
        <w:contextualSpacing/>
        <w:rPr>
          <w:b/>
        </w:rPr>
      </w:pPr>
      <w:r w:rsidRPr="00203EB0">
        <w:t>Elevated N</w:t>
      </w:r>
      <w:r w:rsidRPr="00203EB0">
        <w:rPr>
          <w:vertAlign w:val="subscript"/>
        </w:rPr>
        <w:t>2</w:t>
      </w:r>
      <w:r w:rsidRPr="00203EB0">
        <w:t xml:space="preserve">O emissions not only contribute to climate change but also pose the risk of shifting agricultural systems from net C sinks to sources </w:t>
      </w:r>
      <w:r w:rsidRPr="00203EB0">
        <w:fldChar w:fldCharType="begin" w:fldLock="1"/>
      </w:r>
      <w:r w:rsidRPr="00203EB0">
        <w:instrText>ADDIN CSL_CITATION {"citationItems":[{"id":"ITEM-1","itemData":{"DOI":"10.1111/gcb.15342","ISSN":"13652486","PMID":"32894815","abstract":"To respect the Paris agreement targeting a limitation of global warming below 2°C by 2100, and possibly below 1.5°C, drastic reductions of greenhouse gas emissions are mandatory but not sufficient. Large-scale deployment of other climate mitigation strategies is also necessary. Among these, increasing soil organic carbon (SOC) stocks is an important lever because carbon in soils can be stored for long periods and land management options to achieve this already exist and have been widely tested. However, agricultural soils are also an important source of nitrous oxide (N2O), a powerful greenhouse gas, and increasing SOC may influence N2O emissions, likely causing an increase in many cases, thus tending to offset the climate change benefit from increased SOC storage. Here we review the main agricultural management options for increasing SOC stocks. We evaluate the amount of SOC that can be stored as well as resulting changes in N2O emissions to better estimate the climate benefits of these management options. Based on quantitative data obtained from published meta-analyses and from our current level of understanding, we conclude that the climate mitigation induced by increased SOC storage is generally overestimated if associated N2O emissions are not considered but, with the exception of reduced tillage, is never fully offset. Some options (e.g. biochar or non-pyrogenic C amendment application) may even decrease N2O emissions.","author":[{"dropping-particle":"","family":"Guenet","given":"Bertrand","non-dropping-particle":"","parse-names":false,"suffix":""},{"dropping-particle":"","family":"Gabrielle","given":"Benoit","non-dropping-particle":"","parse-names":false,"suffix":""},{"dropping-particle":"","family":"Chenu","given":"Claire","non-dropping-particle":"","parse-names":false,"suffix":""},{"dropping-particle":"","family":"Arrouays","given":"Dominique","non-dropping-particle":"","parse-names":false,"suffix":""},{"dropping-particle":"","family":"Balesdent","given":"Jérôme","non-dropping-particle":"","parse-names":false,"suffix":""},{"dropping-particle":"","family":"Bernoux","given":"Martial","non-dropping-particle":"","parse-names":false,"suffix":""},{"dropping-particle":"","family":"Bruni","given":"Elisa","non-dropping-particle":"","parse-names":false,"suffix":""},{"dropping-particle":"","family":"Caliman","given":"Jean Pierre","non-dropping-particle":"","parse-names":false,"suffix":""},{"dropping-particle":"","family":"Cardinael","given":"Rémi","non-dropping-particle":"","parse-names":false,"suffix":""},{"dropping-particle":"","family":"Chen","given":"Songchao","non-dropping-particle":"","parse-names":false,"suffix":""},{"dropping-particle":"","family":"Ciais","given":"Philippe","non-dropping-particle":"","parse-names":false,"suffix":""},{"dropping-particle":"","family":"Desbois","given":"Dominique","non-dropping-particle":"","parse-names":false,"suffix":""},{"dropping-particle":"","family":"Fouche","given":"Julien","non-dropping-particle":"","parse-names":false,"suffix":""},{"dropping-particle":"","family":"Frank","given":"Stefan","non-dropping-particle":"","parse-names":false,"suffix":""},{"dropping-particle":"","family":"Henault","given":"Catherine","non-dropping-particle":"","parse-names":false,"suffix":""},{"dropping-particle":"","family":"Lugato","given":"Emanuele","non-dropping-particle":"","parse-names":false,"suffix":""},{"dropping-particle":"","family":"Naipal","given":"Victoria","non-dropping-particle":"","parse-names":false,"suffix":""},{"dropping-particle":"","family":"Nesme","given":"Thomas","non-dropping-particle":"","parse-names":false,"suffix":""},{"dropping-particle":"","family":"Obersteiner","given":"Michael","non-dropping-particle":"","parse-names":false,"suffix":""},{"dropping-particle":"","family":"Pellerin","given":"Sylvain","non-dropping-particle":"","parse-names":false,"suffix":""},{"dropping-particle":"","family":"Powlson","given":"David S.","non-dropping-particle":"","parse-names":false,"suffix":""},{"dropping-particle":"","family":"Rasse","given":"Daniel P.","non-dropping-particle":"","parse-names":false,"suffix":""},{"dropping-particle":"","family":"Rees","given":"Frédéric","non-dropping-particle":"","parse-names":false,"suffix":""},{"dropping-particle":"","family":"Soussana","given":"Jean François","non-dropping-particle":"","parse-names":false,"suffix":""},{"dropping-particle":"","family":"Su","given":"Yang","non-dropping-particle":"","parse-names":false,"suffix":""},{"dropping-particle":"","family":"Tian","given":"Hanqin","non-dropping-particle":"","parse-names":false,"suffix":""},{"dropping-particle":"","family":"Valin","given":"Hugo","non-dropping-particle":"","parse-names":false,"suffix":""},{"dropping-particle":"","family":"Zhou","given":"Feng","non-dropping-particle":"","parse-names":false,"suffix":""}],"container-title":"Global Change Biology","id":"ITEM-1","issue":"2","issued":{"date-parts":[["2021"]]},"page":"237-256","title":"Can N2O emissions offset the benefits from soil organic carbon storage?","type":"article-journal","volume":"27"},"uris":["http://www.mendeley.com/documents/?uuid=d5755e77-1125-48ba-94e1-83ffb9a57787"]}],"mendeley":{"formattedCitation":"(Guenet et al., 2021)","plainTextFormattedCitation":"(Guenet et al., 2021)","previouslyFormattedCitation":"(Guenet et al., 2021)"},"properties":{"noteIndex":0},"schema":"https://github.com/citation-style-language/schema/raw/master/csl-citation.json"}</w:instrText>
      </w:r>
      <w:r w:rsidRPr="00203EB0">
        <w:fldChar w:fldCharType="separate"/>
      </w:r>
      <w:r w:rsidRPr="00203EB0">
        <w:rPr>
          <w:noProof/>
        </w:rPr>
        <w:t>(Guenet et al., 2021)</w:t>
      </w:r>
      <w:r w:rsidRPr="00203EB0">
        <w:fldChar w:fldCharType="end"/>
      </w:r>
      <w:r w:rsidRPr="00203EB0">
        <w:t>. The soil has the potential capacity to act as a C sink by sequestering atmospheric CO</w:t>
      </w:r>
      <w:r w:rsidRPr="00203EB0">
        <w:rPr>
          <w:vertAlign w:val="subscript"/>
        </w:rPr>
        <w:t>2</w:t>
      </w:r>
      <w:r w:rsidRPr="00203EB0">
        <w:t xml:space="preserve"> into stable C pools and securely storing it to prevent its reemission </w:t>
      </w:r>
      <w:r w:rsidRPr="00203EB0">
        <w:fldChar w:fldCharType="begin" w:fldLock="1"/>
      </w:r>
      <w:r w:rsidRPr="00203EB0">
        <w:instrText>ADDIN CSL_CITATION {"citationItems":[{"id":"ITEM-1","itemData":{"DOI":"10.1016/j.cosust.2012.06.005","ISSN":"18773435","abstract":"Soils contain vast reserves (</w:instrText>
      </w:r>
      <w:r w:rsidRPr="00203EB0">
        <w:rPr>
          <w:rFonts w:ascii="Cambria Math" w:hAnsi="Cambria Math" w:cs="Cambria Math"/>
        </w:rPr>
        <w:instrText>∼</w:instrText>
      </w:r>
      <w:r w:rsidRPr="00203EB0">
        <w:instrText>1500Pg C) of carbon, about twice that found as carbon dioxide in the atmosphere. Historically, soils in managed ecosystems have lost a portion of this carbon (40-90Pg C) through land use change, some of which has remained in the atmosphere. In terms of climate change, most projections suggest that soils carbon changes driven by future climate change will range from small losses to moderate gains, but these global trends show considerable regional variation. The response of soil C in future will be determined by a delicate balance between the impacts of increased temperature and decreased soil moisture on decomposition rates, and the balance between changes in C losses from decomposition and C gains through increased productivity. In terms of using soils to mitigate climate change, soil C sequestration globally has a large, cost-competitive mitigation potential. Nevertheless, limitations of soil C sequestration include time-limitation, non-permanence, displacement and difficulties in verification. Despite these limitations, soil C sequestration can be useful to meet short-term to medium-term targets, and confers a number of co-benefits on soils, making it a viable option for reducing the short term atmospheric CO2 concentration, thus buying time to develop longer term emission reduction solutions across all sectors of the economy. © 2012 Elsevier B.V.","author":[{"dropping-particle":"","family":"Smith","given":"Pete","non-dropping-particle":"","parse-names":false,"suffix":""}],"container-title":"Current Opinion in Environmental Sustainability","id":"ITEM-1","issue":"5","issued":{"date-parts":[["2012"]]},"page":"539-544","publisher":"Elsevier B.V.","title":"Soils and climate change","type":"article-journal","volume":"4"},"uris":["http://www.mendeley.com/documents/?uuid=542af007-2b4f-49f2-a71a-e6080d43d8fa"]}],"mendeley":{"formattedCitation":"(Smith, 2012)","plainTextFormattedCitation":"(Smith, 2012)","previouslyFormattedCitation":"(Smith, 2012)"},"properties":{"noteIndex":0},"schema":"https://github.com/citation-style-language/schema/raw/master/csl-citation.json"}</w:instrText>
      </w:r>
      <w:r w:rsidRPr="00203EB0">
        <w:fldChar w:fldCharType="separate"/>
      </w:r>
      <w:r w:rsidRPr="00203EB0">
        <w:rPr>
          <w:noProof/>
        </w:rPr>
        <w:t>(Smith, 2012)</w:t>
      </w:r>
      <w:r w:rsidRPr="00203EB0">
        <w:fldChar w:fldCharType="end"/>
      </w:r>
      <w:r w:rsidRPr="00203EB0">
        <w:t xml:space="preserve">. The estimated global soil sink capacity is about 50 to 66% of the historical carbon loss, totaling 42 to 78 Gt of carbon </w:t>
      </w:r>
      <w:r w:rsidRPr="00203EB0">
        <w:fldChar w:fldCharType="begin" w:fldLock="1"/>
      </w:r>
      <w:r w:rsidRPr="00203EB0">
        <w:instrText>ADDIN CSL_CITATION {"citationItems":[{"id":"ITEM-1","itemData":{"DOI":"10.1126/science.1097396","ISSN":"00368075","PMID":"15192216","abstract":"The carbon sink capacity of the world's agricultural and degraded soils is 50 to 66% of the historic carbon loss of 42 to 78 gigatons of carbon. The rate of soil organic carbon sequestration with adoption of recommended technologies depends on soil texture and structure, rainfall, temperature, farming system, and soil management. Strategies to increase the soil carbon pool include soil restoration and woodland regeneration, no-till farming, cover crops, nutrient management, manuring and sludge application, improved grazing, water conservation and harvesting, efficient irrigation, agroforestry practices, and growing energy crops on spare lands. An increase of 1 ton of soil carbon pool of degraded cropland soils may increase crop yield by 20 to 40 kilograms per hectare (kg/ha) for wheat, 10 to 20 kg/ha for maize, and 0.5 to 1 kg/ha for cowpeas. As well as enhancing food security, carbon sequestration has the potential to offset fossil-fuel emissions by 0.4 to 1.2 gigatons of carbon per year, or 5 to 15% of the global fossil-fuel emissions.","author":[{"dropping-particle":"","family":"Lal","given":"R.","non-dropping-particle":"","parse-names":false,"suffix":""}],"container-title":"Science","id":"ITEM-1","issue":"5677","issued":{"date-parts":[["2004"]]},"page":"1623-1627","title":"Soil carbon sequestration impacts on global climate change and food security","type":"article-journal","volume":"304"},"uris":["http://www.mendeley.com/documents/?uuid=a901e5b0-59fb-4018-9922-5c18239146d3"]}],"mendeley":{"formattedCitation":"(Lal, 2004)","plainTextFormattedCitation":"(Lal, 2004)","previouslyFormattedCitation":"(Lal, 2004)"},"properties":{"noteIndex":0},"schema":"https://github.com/citation-style-language/schema/raw/master/csl-citation.json"}</w:instrText>
      </w:r>
      <w:r w:rsidRPr="00203EB0">
        <w:fldChar w:fldCharType="separate"/>
      </w:r>
      <w:r w:rsidRPr="00203EB0">
        <w:rPr>
          <w:noProof/>
        </w:rPr>
        <w:t>(Lal, 2004)</w:t>
      </w:r>
      <w:r w:rsidRPr="00203EB0">
        <w:fldChar w:fldCharType="end"/>
      </w:r>
      <w:r w:rsidRPr="00203EB0">
        <w:t xml:space="preserve">. Recognizing the potential of soils as a carbon sink, conservation practices have emerged as a strategy to enhance soil health, promoting C sequestration and mitigating GHG emissions </w:t>
      </w:r>
      <w:r w:rsidRPr="00203EB0">
        <w:fldChar w:fldCharType="begin" w:fldLock="1"/>
      </w:r>
      <w:r w:rsidRPr="00203EB0">
        <w:instrText>ADDIN CSL_CITATION {"citationItems":[{"id":"ITEM-1","itemData":{"DOI":"10.1038/nature17174","ISSN":"14764687","PMID":"27078564","abstract":"Soils are integral to the function of all terrestrial ecosystems and to food and fibre production. An overlooked aspect of soils is their potential to mitigate greenhouse gas emissions. Although proven practices exist, the implementation of soil-based greenhouse gas mitigation activities are at an early stage and accurately quantifying emissions and reductions remains a substantial challenge. Emerging research and information technology developments provide the potential for a broader inclusion of soils in greenhouse gas policies. Here we highlight \"state of the art\" soil greenhouse gas research, summarize mitigation practices and potentials, identify gaps in data and understanding and suggest ways to close such gaps through new research, technology and collaboration.","author":[{"dropping-particle":"","family":"Paustian","given":"Keith","non-dropping-particle":"","parse-names":false,"suffix":""},{"dropping-particle":"","family":"Lehmann","given":"Johannes","non-dropping-particle":"","parse-names":false,"suffix":""},{"dropping-particle":"","family":"Ogle","given":"Stephen","non-dropping-particle":"","parse-names":false,"suffix":""},{"dropping-particle":"","family":"Reay","given":"David","non-dropping-particle":"","parse-names":false,"suffix":""},{"dropping-particle":"","family":"Robertson","given":"G. Philip","non-dropping-particle":"","parse-names":false,"suffix":""},{"dropping-particle":"","family":"Smith","given":"Pete","non-dropping-particle":"","parse-names":false,"suffix":""}],"container-title":"Nature","id":"ITEM-1","issue":"7597","issued":{"date-parts":[["2016"]]},"page":"49-57","publisher":"Nature Publishing Group","title":"Climate-smart soils","type":"article-journal","volume":"532"},"uris":["http://www.mendeley.com/documents/?uuid=36a503c9-52c1-4b6b-9732-b2c1ebd4155f"]}],"mendeley":{"formattedCitation":"(Paustian et al., 2016)","plainTextFormattedCitation":"(Paustian et al., 2016)","previouslyFormattedCitation":"(Paustian et al., 2016)"},"properties":{"noteIndex":0},"schema":"https://github.com/citation-style-language/schema/raw/master/csl-citation.json"}</w:instrText>
      </w:r>
      <w:r w:rsidRPr="00203EB0">
        <w:fldChar w:fldCharType="separate"/>
      </w:r>
      <w:r w:rsidRPr="00203EB0">
        <w:rPr>
          <w:noProof/>
        </w:rPr>
        <w:t>(Paustian et al., 2016)</w:t>
      </w:r>
      <w:r w:rsidRPr="00203EB0">
        <w:fldChar w:fldCharType="end"/>
      </w:r>
      <w:r w:rsidRPr="00203EB0">
        <w:t>. However, gaining a better understanding of the linkage between substrate availability, soil moisture, and O</w:t>
      </w:r>
      <w:r w:rsidRPr="00203EB0">
        <w:rPr>
          <w:vertAlign w:val="subscript"/>
        </w:rPr>
        <w:t>2</w:t>
      </w:r>
      <w:r w:rsidRPr="00203EB0">
        <w:t xml:space="preserve"> concentration and the associated N</w:t>
      </w:r>
      <w:r w:rsidRPr="00203EB0">
        <w:rPr>
          <w:vertAlign w:val="subscript"/>
        </w:rPr>
        <w:t>2</w:t>
      </w:r>
      <w:r w:rsidRPr="00203EB0">
        <w:t>O production is essential for accurately assessing the effective GHG mitigation potential of long-term soil health practices.</w:t>
      </w:r>
      <w:r w:rsidRPr="00203EB0">
        <w:rPr>
          <w:b/>
        </w:rPr>
        <w:t xml:space="preserve"> </w:t>
      </w:r>
    </w:p>
    <w:p w14:paraId="1BCCB024" w14:textId="77391402" w:rsidR="006D303C" w:rsidRPr="00203EB0" w:rsidRDefault="006D303C" w:rsidP="00127853">
      <w:pPr>
        <w:pStyle w:val="NormalWeb"/>
        <w:spacing w:line="480" w:lineRule="auto"/>
        <w:contextualSpacing/>
      </w:pPr>
      <w:r w:rsidRPr="00203EB0">
        <w:t xml:space="preserve">In addition to their recognized benefits such as C sequestration, enhanced fertility, productivity, and reduced erosion, runoff, and water pollution, the influence of </w:t>
      </w:r>
      <w:r w:rsidRPr="00203EB0">
        <w:lastRenderedPageBreak/>
        <w:t xml:space="preserve">implementing soil health practices on microbial community structure, </w:t>
      </w:r>
      <w:r w:rsidR="0073352B" w:rsidRPr="00203EB0">
        <w:t xml:space="preserve">BNF in legume cover crops, </w:t>
      </w:r>
      <w:r w:rsidRPr="00203EB0">
        <w:t>soil oxygen dynamics, and N</w:t>
      </w:r>
      <w:r w:rsidRPr="00203EB0">
        <w:rPr>
          <w:vertAlign w:val="subscript"/>
        </w:rPr>
        <w:t>2</w:t>
      </w:r>
      <w:r w:rsidRPr="00203EB0">
        <w:t xml:space="preserve">O emissions remains a complex and elusive aspect. This research </w:t>
      </w:r>
      <w:r w:rsidR="00D2685D">
        <w:t>dissertation</w:t>
      </w:r>
      <w:r w:rsidRPr="00203EB0">
        <w:t xml:space="preserve"> aims to address some of the prevailing knowledge gaps concerning the effects of long-term soil health practices on both proximal biogeochemical drivers to influence N</w:t>
      </w:r>
      <w:r w:rsidRPr="00203EB0">
        <w:rPr>
          <w:vertAlign w:val="subscript"/>
        </w:rPr>
        <w:t>2</w:t>
      </w:r>
      <w:r w:rsidRPr="00203EB0">
        <w:t>O emissions and soil microbial communities within agricultural systems. By unraveling these complexities, we strive to provide insights that allow us to accurately assess the effective GHG mitigation potential of key soil health practices.</w:t>
      </w:r>
    </w:p>
    <w:p w14:paraId="16F6B497" w14:textId="4B75F0B0" w:rsidR="005F2B0B" w:rsidRPr="00203EB0" w:rsidRDefault="005F2B0B" w:rsidP="00931D55">
      <w:pPr>
        <w:numPr>
          <w:ilvl w:val="12"/>
          <w:numId w:val="0"/>
        </w:numPr>
        <w:spacing w:line="480" w:lineRule="auto"/>
        <w:rPr>
          <w:rFonts w:cs="Times New Roman"/>
        </w:rPr>
      </w:pPr>
    </w:p>
    <w:p w14:paraId="2DECD04F" w14:textId="350A3343" w:rsidR="00236E6D" w:rsidRPr="00203EB0" w:rsidRDefault="005F2B0B" w:rsidP="00BD46F8">
      <w:pPr>
        <w:pStyle w:val="Heading1"/>
      </w:pPr>
      <w:r w:rsidRPr="00203EB0">
        <w:br w:type="page"/>
      </w:r>
      <w:bookmarkStart w:id="9" w:name="_Toc420995896"/>
      <w:bookmarkStart w:id="10" w:name="_Toc422997483"/>
      <w:r w:rsidR="00965FBD" w:rsidRPr="00203EB0">
        <w:lastRenderedPageBreak/>
        <w:br/>
      </w:r>
      <w:bookmarkStart w:id="11" w:name="_Toc427156466"/>
      <w:bookmarkStart w:id="12" w:name="_Toc206669102"/>
      <w:r w:rsidR="003D63DF" w:rsidRPr="00203EB0">
        <w:t>L</w:t>
      </w:r>
      <w:bookmarkEnd w:id="9"/>
      <w:bookmarkEnd w:id="10"/>
      <w:bookmarkEnd w:id="11"/>
      <w:r w:rsidR="00AB656A" w:rsidRPr="00203EB0">
        <w:t>egacy of 41</w:t>
      </w:r>
      <w:r w:rsidR="00C823C0" w:rsidRPr="00203EB0">
        <w:t xml:space="preserve"> </w:t>
      </w:r>
      <w:r w:rsidR="00AB656A" w:rsidRPr="00203EB0">
        <w:t>year</w:t>
      </w:r>
      <w:r w:rsidR="00C823C0" w:rsidRPr="00203EB0">
        <w:t>s</w:t>
      </w:r>
      <w:r w:rsidR="00AB656A" w:rsidRPr="00203EB0">
        <w:t xml:space="preserve"> of tillage and nitrogen fertilization on biological nitrogen fixation and nutritional status of hairy vetch </w:t>
      </w:r>
      <w:r w:rsidR="00C823C0" w:rsidRPr="00203EB0">
        <w:t xml:space="preserve">COver CROP </w:t>
      </w:r>
      <w:r w:rsidR="00AB656A" w:rsidRPr="00203EB0">
        <w:t xml:space="preserve">in </w:t>
      </w:r>
      <w:r w:rsidR="00024ABB">
        <w:t xml:space="preserve">A </w:t>
      </w:r>
      <w:r w:rsidR="00AB656A" w:rsidRPr="00203EB0">
        <w:t>continuous cotton system</w:t>
      </w:r>
      <w:bookmarkEnd w:id="12"/>
    </w:p>
    <w:p w14:paraId="71002DCE" w14:textId="77777777" w:rsidR="00236E6D" w:rsidRPr="00203EB0" w:rsidRDefault="00236E6D">
      <w:pPr>
        <w:numPr>
          <w:ilvl w:val="12"/>
          <w:numId w:val="0"/>
        </w:numPr>
        <w:rPr>
          <w:rFonts w:cs="Times New Roman"/>
          <w:highlight w:val="yellow"/>
        </w:rPr>
      </w:pPr>
      <w:r w:rsidRPr="00203EB0">
        <w:rPr>
          <w:rFonts w:cs="Times New Roman"/>
        </w:rPr>
        <w:tab/>
      </w:r>
    </w:p>
    <w:p w14:paraId="01CD8AE5" w14:textId="77777777" w:rsidR="00AB656A" w:rsidRPr="00203EB0" w:rsidRDefault="00AB656A" w:rsidP="00A61CF4">
      <w:pPr>
        <w:pStyle w:val="Heading2"/>
      </w:pPr>
      <w:bookmarkStart w:id="13" w:name="_Toc420995897"/>
      <w:bookmarkStart w:id="14" w:name="_Toc422997484"/>
      <w:bookmarkStart w:id="15" w:name="_Toc427156467"/>
    </w:p>
    <w:p w14:paraId="3538A041" w14:textId="77777777" w:rsidR="00AB656A" w:rsidRPr="00203EB0" w:rsidRDefault="00AB656A" w:rsidP="00A61CF4">
      <w:pPr>
        <w:pStyle w:val="Heading2"/>
      </w:pPr>
    </w:p>
    <w:p w14:paraId="5CB86D06" w14:textId="77777777" w:rsidR="00AB656A" w:rsidRPr="00203EB0" w:rsidRDefault="00AB656A" w:rsidP="00A61CF4">
      <w:pPr>
        <w:pStyle w:val="Heading2"/>
      </w:pPr>
    </w:p>
    <w:p w14:paraId="1C26BD09" w14:textId="77777777" w:rsidR="00AB656A" w:rsidRPr="00203EB0" w:rsidRDefault="00AB656A" w:rsidP="00A61CF4">
      <w:pPr>
        <w:pStyle w:val="Heading2"/>
      </w:pPr>
    </w:p>
    <w:p w14:paraId="0D30CF5A" w14:textId="77777777" w:rsidR="00AB656A" w:rsidRPr="00203EB0" w:rsidRDefault="00AB656A" w:rsidP="00A61CF4">
      <w:pPr>
        <w:pStyle w:val="Heading2"/>
      </w:pPr>
    </w:p>
    <w:p w14:paraId="7A1ADDDC" w14:textId="77777777" w:rsidR="00AB656A" w:rsidRPr="00203EB0" w:rsidRDefault="00AB656A" w:rsidP="00A61CF4">
      <w:pPr>
        <w:pStyle w:val="Heading2"/>
      </w:pPr>
    </w:p>
    <w:p w14:paraId="5AB87F44" w14:textId="77777777" w:rsidR="00AB656A" w:rsidRPr="00203EB0" w:rsidRDefault="00AB656A" w:rsidP="00A61CF4">
      <w:pPr>
        <w:pStyle w:val="Heading2"/>
      </w:pPr>
    </w:p>
    <w:p w14:paraId="3C719C25" w14:textId="77777777" w:rsidR="00AB656A" w:rsidRPr="00203EB0" w:rsidRDefault="00AB656A" w:rsidP="00A61CF4">
      <w:pPr>
        <w:pStyle w:val="Heading2"/>
      </w:pPr>
    </w:p>
    <w:p w14:paraId="201767D2" w14:textId="77777777" w:rsidR="00AB656A" w:rsidRPr="00203EB0" w:rsidRDefault="00AB656A" w:rsidP="00A61CF4">
      <w:pPr>
        <w:pStyle w:val="Heading2"/>
      </w:pPr>
    </w:p>
    <w:p w14:paraId="21046D8D" w14:textId="77777777" w:rsidR="00AB656A" w:rsidRPr="00203EB0" w:rsidRDefault="00AB656A" w:rsidP="00A61CF4">
      <w:pPr>
        <w:pStyle w:val="Heading2"/>
      </w:pPr>
    </w:p>
    <w:p w14:paraId="119147F1" w14:textId="77777777" w:rsidR="00AB656A" w:rsidRPr="00203EB0" w:rsidRDefault="00AB656A" w:rsidP="00A61CF4">
      <w:pPr>
        <w:pStyle w:val="Heading2"/>
      </w:pPr>
    </w:p>
    <w:p w14:paraId="67C84B30" w14:textId="5927627D" w:rsidR="00AB656A" w:rsidRPr="00203EB0" w:rsidRDefault="00AB656A" w:rsidP="00AB656A"/>
    <w:p w14:paraId="4683E0B7" w14:textId="0E4A3651" w:rsidR="00640A14" w:rsidRPr="00203EB0" w:rsidRDefault="00640A14" w:rsidP="00AB656A"/>
    <w:p w14:paraId="075A32DE" w14:textId="21E797AB" w:rsidR="00AB656A" w:rsidRPr="00203EB0" w:rsidRDefault="00640A14" w:rsidP="00D46E31">
      <w:pPr>
        <w:spacing w:line="480" w:lineRule="auto"/>
        <w:rPr>
          <w:rFonts w:cs="Times New Roman"/>
        </w:rPr>
      </w:pPr>
      <w:r w:rsidRPr="00203EB0">
        <w:rPr>
          <w:rFonts w:cs="Times New Roman"/>
        </w:rPr>
        <w:lastRenderedPageBreak/>
        <w:t xml:space="preserve">A version of this chapter was previously submitted for publication to Agricultural &amp; Environmental Letters. </w:t>
      </w:r>
      <w:r w:rsidRPr="00203EB0">
        <w:rPr>
          <w:rFonts w:eastAsia="Calibri" w:cs="Times New Roman"/>
        </w:rPr>
        <w:t>Facundo Lussich was responsible for conceptualization, formal analysis, investigation, methodology, and writing. Debasish Saha</w:t>
      </w:r>
      <w:r w:rsidR="00D43655" w:rsidRPr="00203EB0">
        <w:rPr>
          <w:rFonts w:eastAsia="Calibri" w:cs="Times New Roman"/>
        </w:rPr>
        <w:t>, Sindhu Jagadamma,</w:t>
      </w:r>
      <w:r w:rsidRPr="00203EB0">
        <w:rPr>
          <w:rFonts w:eastAsia="Calibri" w:cs="Times New Roman"/>
        </w:rPr>
        <w:t xml:space="preserve"> </w:t>
      </w:r>
      <w:r w:rsidRPr="00203EB0">
        <w:rPr>
          <w:rFonts w:cs="Times New Roman"/>
        </w:rPr>
        <w:t xml:space="preserve">and </w:t>
      </w:r>
      <w:proofErr w:type="spellStart"/>
      <w:r w:rsidRPr="00203EB0">
        <w:rPr>
          <w:rFonts w:cs="Times New Roman"/>
        </w:rPr>
        <w:t>Jashanjeet</w:t>
      </w:r>
      <w:proofErr w:type="spellEnd"/>
      <w:r w:rsidRPr="00203EB0">
        <w:rPr>
          <w:rFonts w:cs="Times New Roman"/>
        </w:rPr>
        <w:t xml:space="preserve"> Kaur Dhaliwal provided</w:t>
      </w:r>
      <w:r w:rsidRPr="00203EB0">
        <w:rPr>
          <w:rFonts w:eastAsia="Calibri" w:cs="Times New Roman"/>
        </w:rPr>
        <w:t xml:space="preserve"> </w:t>
      </w:r>
      <w:r w:rsidRPr="00203EB0">
        <w:rPr>
          <w:rFonts w:cs="Times New Roman"/>
        </w:rPr>
        <w:t xml:space="preserve">input on </w:t>
      </w:r>
      <w:r w:rsidRPr="00203EB0">
        <w:rPr>
          <w:rFonts w:eastAsia="Calibri" w:cs="Times New Roman"/>
        </w:rPr>
        <w:t>methodology, review &amp; editing.</w:t>
      </w:r>
    </w:p>
    <w:p w14:paraId="7624A4C6" w14:textId="556EE911" w:rsidR="00640A14" w:rsidRPr="00203EB0" w:rsidRDefault="00640A14" w:rsidP="00A61CF4">
      <w:pPr>
        <w:pStyle w:val="Heading2"/>
      </w:pPr>
      <w:bookmarkStart w:id="16" w:name="_Toc206669103"/>
      <w:bookmarkEnd w:id="13"/>
      <w:bookmarkEnd w:id="14"/>
      <w:bookmarkEnd w:id="15"/>
      <w:r w:rsidRPr="00203EB0">
        <w:t>Abstract</w:t>
      </w:r>
      <w:bookmarkEnd w:id="16"/>
    </w:p>
    <w:p w14:paraId="5CB9A8C1" w14:textId="716E9A2F" w:rsidR="003E7C0C" w:rsidRPr="00203EB0" w:rsidRDefault="00640A14" w:rsidP="00690E6F">
      <w:pPr>
        <w:pStyle w:val="Abbreviations"/>
        <w:spacing w:line="480" w:lineRule="auto"/>
        <w:rPr>
          <w:sz w:val="24"/>
          <w:szCs w:val="24"/>
        </w:rPr>
      </w:pPr>
      <w:r w:rsidRPr="00203EB0">
        <w:rPr>
          <w:sz w:val="24"/>
          <w:szCs w:val="24"/>
        </w:rPr>
        <w:t>Legume cover crops (CCs) rely on a balance of soil-derived nitrogen (N) and biological N fixation (BNF) to maintain optimum N status, yet how long-term management shapes this balance remains poorly understood. This study leveraged a 41-year continuous cotton system to evaluate how legacy effects of tillage and N fertilization influence BNF, N status, and N sources in hairy vetch</w:t>
      </w:r>
      <w:r w:rsidR="00AB33AD" w:rsidRPr="00203EB0">
        <w:rPr>
          <w:sz w:val="24"/>
          <w:szCs w:val="24"/>
        </w:rPr>
        <w:t xml:space="preserve"> – a common cover crop known for its N contributions to cropping systems</w:t>
      </w:r>
      <w:r w:rsidRPr="00203EB0">
        <w:rPr>
          <w:sz w:val="24"/>
          <w:szCs w:val="24"/>
        </w:rPr>
        <w:t xml:space="preserve">. Using the </w:t>
      </w:r>
      <w:r w:rsidRPr="00203EB0">
        <w:rPr>
          <w:sz w:val="24"/>
          <w:szCs w:val="24"/>
          <w:vertAlign w:val="superscript"/>
        </w:rPr>
        <w:t>15</w:t>
      </w:r>
      <w:r w:rsidRPr="00203EB0">
        <w:rPr>
          <w:sz w:val="24"/>
          <w:szCs w:val="24"/>
        </w:rPr>
        <w:t xml:space="preserve">N natural abundance method and multivariate analyses, we found that tillage was the dominant factor </w:t>
      </w:r>
      <w:r w:rsidR="00690E6F" w:rsidRPr="00203EB0">
        <w:rPr>
          <w:sz w:val="24"/>
          <w:szCs w:val="24"/>
        </w:rPr>
        <w:t>influencing legume N acquisition pathways, specifically BNF, N status, and the relative contribution of soil- versus atmosphere-derived N</w:t>
      </w:r>
      <w:r w:rsidRPr="00203EB0">
        <w:rPr>
          <w:sz w:val="24"/>
          <w:szCs w:val="24"/>
        </w:rPr>
        <w:t xml:space="preserve">: no-till (NT) plots exhibited higher N </w:t>
      </w:r>
      <w:proofErr w:type="gramStart"/>
      <w:r w:rsidRPr="00203EB0">
        <w:rPr>
          <w:sz w:val="24"/>
          <w:szCs w:val="24"/>
        </w:rPr>
        <w:t>status,</w:t>
      </w:r>
      <w:r w:rsidR="001E07A6">
        <w:rPr>
          <w:sz w:val="24"/>
          <w:szCs w:val="24"/>
        </w:rPr>
        <w:t xml:space="preserve"> </w:t>
      </w:r>
      <w:r w:rsidRPr="00203EB0">
        <w:rPr>
          <w:sz w:val="24"/>
          <w:szCs w:val="24"/>
        </w:rPr>
        <w:t>soil organic matter</w:t>
      </w:r>
      <w:proofErr w:type="gramEnd"/>
      <w:r w:rsidRPr="00203EB0">
        <w:rPr>
          <w:sz w:val="24"/>
          <w:szCs w:val="24"/>
        </w:rPr>
        <w:t xml:space="preserve">, soil-derived N, and total N uptake than conventional tillage. Fertilization effects were less pronounced but modulated BNF efficiency. However, </w:t>
      </w:r>
      <w:r w:rsidR="00C12FE7">
        <w:rPr>
          <w:sz w:val="24"/>
          <w:szCs w:val="24"/>
        </w:rPr>
        <w:t xml:space="preserve">on average, </w:t>
      </w:r>
      <w:r w:rsidRPr="00203EB0">
        <w:rPr>
          <w:sz w:val="24"/>
          <w:szCs w:val="24"/>
        </w:rPr>
        <w:t>NT alone was insufficient to overcome N limitation under unfertilized conditions,</w:t>
      </w:r>
      <w:r w:rsidR="00C12FE7">
        <w:rPr>
          <w:sz w:val="24"/>
          <w:szCs w:val="24"/>
        </w:rPr>
        <w:t xml:space="preserve"> </w:t>
      </w:r>
      <w:r w:rsidRPr="00203EB0">
        <w:rPr>
          <w:sz w:val="24"/>
          <w:szCs w:val="24"/>
        </w:rPr>
        <w:t xml:space="preserve">highlighting the need for integrated management. These findings underscore how legacy </w:t>
      </w:r>
      <w:r w:rsidR="00931D55">
        <w:rPr>
          <w:sz w:val="24"/>
          <w:szCs w:val="24"/>
        </w:rPr>
        <w:t xml:space="preserve">effect of long-term </w:t>
      </w:r>
      <w:r w:rsidRPr="00203EB0">
        <w:rPr>
          <w:sz w:val="24"/>
          <w:szCs w:val="24"/>
        </w:rPr>
        <w:t>practices shape</w:t>
      </w:r>
      <w:r w:rsidR="001E07A6">
        <w:rPr>
          <w:sz w:val="24"/>
          <w:szCs w:val="24"/>
        </w:rPr>
        <w:t xml:space="preserve"> </w:t>
      </w:r>
      <w:r w:rsidRPr="00203EB0">
        <w:rPr>
          <w:sz w:val="24"/>
          <w:szCs w:val="24"/>
        </w:rPr>
        <w:t>N acquisition</w:t>
      </w:r>
      <w:r w:rsidR="001E07A6">
        <w:rPr>
          <w:sz w:val="24"/>
          <w:szCs w:val="24"/>
        </w:rPr>
        <w:t xml:space="preserve"> by legumes</w:t>
      </w:r>
      <w:r w:rsidRPr="00203EB0">
        <w:rPr>
          <w:sz w:val="24"/>
          <w:szCs w:val="24"/>
        </w:rPr>
        <w:t xml:space="preserve"> and support combining NT with </w:t>
      </w:r>
      <w:r w:rsidR="00C12FE7">
        <w:rPr>
          <w:sz w:val="24"/>
          <w:szCs w:val="24"/>
        </w:rPr>
        <w:t xml:space="preserve">crop rotation-specific </w:t>
      </w:r>
      <w:r w:rsidRPr="00203EB0">
        <w:rPr>
          <w:sz w:val="24"/>
          <w:szCs w:val="24"/>
        </w:rPr>
        <w:t>N fertilization to optimize N inputs and sustain CC performanc</w:t>
      </w:r>
      <w:r w:rsidR="00C12FE7">
        <w:rPr>
          <w:sz w:val="24"/>
          <w:szCs w:val="24"/>
        </w:rPr>
        <w:t>e</w:t>
      </w:r>
      <w:r w:rsidRPr="00203EB0">
        <w:rPr>
          <w:sz w:val="24"/>
          <w:szCs w:val="24"/>
        </w:rPr>
        <w:t xml:space="preserve"> in low-input systems.  </w:t>
      </w:r>
    </w:p>
    <w:p w14:paraId="316F1796" w14:textId="5CFFFB6A" w:rsidR="00640A14" w:rsidRPr="00203EB0" w:rsidRDefault="00640A14" w:rsidP="00A61CF4">
      <w:pPr>
        <w:pStyle w:val="Heading2"/>
      </w:pPr>
      <w:bookmarkStart w:id="17" w:name="_Toc206669104"/>
      <w:r w:rsidRPr="00203EB0">
        <w:lastRenderedPageBreak/>
        <w:t>Introduction</w:t>
      </w:r>
      <w:bookmarkEnd w:id="17"/>
    </w:p>
    <w:p w14:paraId="55F615F0" w14:textId="2B7B33B6" w:rsidR="00E17B15" w:rsidRPr="00203EB0" w:rsidRDefault="00E17B15" w:rsidP="008B7BF7">
      <w:pPr>
        <w:spacing w:line="480" w:lineRule="auto"/>
        <w:rPr>
          <w:rFonts w:cs="Times New Roman"/>
        </w:rPr>
      </w:pPr>
      <w:r w:rsidRPr="00203EB0">
        <w:rPr>
          <w:rFonts w:cs="Times New Roman"/>
        </w:rPr>
        <w:t xml:space="preserve">Achieving sustainable crop production while reducing </w:t>
      </w:r>
      <w:r w:rsidR="00045E89">
        <w:rPr>
          <w:rFonts w:cs="Times New Roman"/>
        </w:rPr>
        <w:t xml:space="preserve">adverse </w:t>
      </w:r>
      <w:r w:rsidRPr="00203EB0">
        <w:rPr>
          <w:rFonts w:cs="Times New Roman"/>
        </w:rPr>
        <w:t xml:space="preserve">environmental impacts requires the </w:t>
      </w:r>
      <w:r w:rsidR="00045E89">
        <w:rPr>
          <w:rFonts w:cs="Times New Roman"/>
        </w:rPr>
        <w:t>continued</w:t>
      </w:r>
      <w:r w:rsidRPr="00203EB0">
        <w:rPr>
          <w:rFonts w:cs="Times New Roman"/>
        </w:rPr>
        <w:t xml:space="preserve"> adoption of soil health-promoting practices. Among these</w:t>
      </w:r>
      <w:r w:rsidR="00045E89">
        <w:rPr>
          <w:rFonts w:cs="Times New Roman"/>
        </w:rPr>
        <w:t xml:space="preserve"> </w:t>
      </w:r>
      <w:r w:rsidR="007F76F6">
        <w:rPr>
          <w:rFonts w:cs="Times New Roman"/>
        </w:rPr>
        <w:t>practices</w:t>
      </w:r>
      <w:r w:rsidRPr="00203EB0">
        <w:rPr>
          <w:rFonts w:cs="Times New Roman"/>
        </w:rPr>
        <w:t>, long-term no-tillage (NT) and strategic use of legum</w:t>
      </w:r>
      <w:r w:rsidR="00045E89">
        <w:rPr>
          <w:rFonts w:cs="Times New Roman"/>
        </w:rPr>
        <w:t>inous</w:t>
      </w:r>
      <w:r w:rsidRPr="00203EB0">
        <w:rPr>
          <w:rFonts w:cs="Times New Roman"/>
        </w:rPr>
        <w:t xml:space="preserve"> cover crops (CCs) are central to conservation agriculture, contributing to improved soil structure, enhance</w:t>
      </w:r>
      <w:r w:rsidR="00045E89">
        <w:rPr>
          <w:rFonts w:cs="Times New Roman"/>
        </w:rPr>
        <w:t>d</w:t>
      </w:r>
      <w:r w:rsidRPr="00203EB0">
        <w:rPr>
          <w:rFonts w:cs="Times New Roman"/>
        </w:rPr>
        <w:t xml:space="preserve"> organic matter accumulation, and efficient nutrient cycling </w:t>
      </w:r>
      <w:r w:rsidRPr="00203EB0">
        <w:rPr>
          <w:rFonts w:cs="Times New Roman"/>
        </w:rPr>
        <w:fldChar w:fldCharType="begin" w:fldLock="1"/>
      </w:r>
      <w:r w:rsidR="00EB2F35" w:rsidRPr="00203EB0">
        <w:rPr>
          <w:rFonts w:cs="Times New Roman"/>
        </w:rPr>
        <w:instrText>ADDIN CSL_CITATION {"citationItems":[{"id":"ITEM-1","itemData":{"DOI":"10.1016/j.geoderma.2018.03.011","ISSN":"00167061","abstract":"Implications of no-till (NT) management on soil C dynamics, soil fertility, and crop yields have been discussed, but an up-to-date synthesis of NT impact on soil physical properties based on a comprehensive compilation of global published studies is not available. Yet, an understanding of changes in soil physical properties after NT adoption is important to manage soils, agricultural production, and environmental quality. We compared data on soil physical properties among NT, reduced till (RT), and conventional till (CT) systems, discussed factors influencing tillage system effects, and underscored research needs. No-till had mixed effects on soil bulk density and penetration resistance but reduced Proctor bulk density (compactibility) by 4 to 13% in the 0 to 15 cm depth, suggesting that NT can reduce the susceptibility of the soil to compaction. No-till increased wet aggregate stability by 1 to 97%, water infiltration by 17 to 86%, and available water by 44%. It reduced or had no effect on soil temperature during the growing season but increased soil thermal conductivity. The latter indicates that NT can increase the soil's ability to conduct heat. No-till induced some slight water repellency, which can reduce soil aggregate slaking and enhance C storage. However, NT had no consistent effects on saturated hydraulic conductivity, soil consistency, and shear strength. Reduced till effects on soil properties were intermediate in values between NT and CT. No-till benefits for reducing compaction risks and improving structural quality increased in the long term. Changes in soil physical properties appear to be mainly confined to the upper 10 cm depth. Reviews on NT and soil C have also concluded that NT can cause stratification of soil organic C in the upper 5 or 10 cm depth. Thus, NT-induced increases in near-surface (&lt;10 cm depth) soil organic C concentration most likely improved wet aggregate stability and available water capacity, and reduced compactibility. One-time tillage of NT soils does not seem to negatively affect soil physical properties. Addition of companion practices (i.e., cover crops, C amendments) can enhance NT performance. Overall, NT management can have positive effects on soil physical properties with the extent depending on soil textural class and management duration.","author":[{"dropping-particle":"","family":"Blanco-Canqui","given":"Humberto","non-dropping-particle":"","parse-names":false,"suffix":""},{"dropping-particle":"","family":"Ruis","given":"Sabrina J.","non-dropping-particle":"","parse-names":false,"suffix":""}],"container-title":"Geoderma","id":"ITEM-1","issue":"April","issued":{"date-parts":[["2018"]]},"page":"164-200","publisher":"Elsevier","title":"No-tillage and soil physical environment","type":"article-journal","volume":"326"},"uris":["http://www.mendeley.com/documents/?uuid=b1a2e311-5c23-4501-98a0-4653bce80acd"]},{"id":"ITEM-2","itemData":{"DOI":"10.2134/agronj15.0086","ISSN":"14350645","abstract":"Cover crops (CCs) can provide multiple soil, agricultural production, and environmental benefits. However, a better understanding of such potential ecosystem services is needed. We summarized the current state of knowledge of CC effects on soil C stocks, soil erosion, physical properties, soil water, nutrients, microbial properties, weed control, crop yields, expanded uses, and economics and highlighted research needs. Our review indicates that CCs are multifunctional. Cover crops increase soil organic C stocks (0.1-1. Mg ha-1 yr-1) with the magnitude depending on biomass amount, years in CCs, and initial soil C level. Runoff loss can decrease by up to 80% and sediment loss from 40 to 96% with CCs. Wind erosion potential also decreases with CCs, but studies are few. Cover crops alleviate soil compaction, improve soil structural and hydraulic properties, moderate soil temperature, improve microbial properties, recycle nutrients, and suppress weeds. Cover crops increase or have no effect on crop yields but reduce yields in water-limited regions by reducing available water for the subsequent crops. The few available studies indicate that grazing and haying of CCs do not adversely affect soil and crop production, which suggests that CC biomass removal for livestock or biofuel production can be another benefit from CCs. Overall, CCs provide numerous ecosystem services (i.e., soil, crop-livestock systems, and environment), although the magnitude of benefits is highly site specific. More research data are needed on the (i) multi-functionality of CCs for different climates and management scenarios and (ii) short-and long-term economic return from CCs.","author":[{"dropping-particle":"","family":"Blanco-Canqui","given":"Humberto","non-dropping-particle":"","parse-names":false,"suffix":""},{"dropping-particle":"","family":"Shaver","given":"Tim M.","non-dropping-particle":"","parse-names":false,"suffix":""},{"dropping-particle":"","family":"Lindquist","given":"John L.","non-dropping-particle":"","parse-names":false,"suffix":""},{"dropping-particle":"","family":"Shapiro","given":"Charles A.","non-dropping-particle":"","parse-names":false,"suffix":""},{"dropping-particle":"","family":"Elmore","given":"Roger W.","non-dropping-particle":"","parse-names":false,"suffix":""},{"dropping-particle":"","family":"Francis","given":"Charles A.","non-dropping-particle":"","parse-names":false,"suffix":""},{"dropping-particle":"","family":"Hergert","given":"Gary W.","non-dropping-particle":"","parse-names":false,"suffix":""}],"container-title":"Agronomy Journal","id":"ITEM-2","issue":"6","issued":{"date-parts":[["2015"]]},"page":"2449-2474","title":"Cover crops and ecosystem services: Insights from studies in temperate soils","type":"article-journal","volume":"107"},"uris":["http://www.mendeley.com/documents/?uuid=20454a17-5493-4265-8396-8283e61f78b2"]},{"id":"ITEM-3","itemData":{"DOI":"10.1002/ael2.20135","ISSN":"24719625","abstract":"Abstract: Healthy soil air–water balance is critical for crop growth. Conservation agricultural practices improve soil physical properties to influence soil oxygen availability. We evaluated the impact of 42 years of hairy vetch (HV) cover cropping (CC), and no-tillage (NT) on soil oxygen dynamics during a cotton growing season experiencing multiple intensive rain events in silt loam soil. The HV and NT treatments exhibited higher growing season soil oxygen availability (p &lt; 0.05) and experienced three to four times fewer hours of oxygen limitation (i.e., oxygen concentration &lt;10%) as compared to no cover crop (NC) and conventional tillage (CT) treatments. After a heavy rainfall, NT–HV treatment exhibited the highest soil oxygen availability, followed by NT–NC, CT–HV, and CT–NC treatments (p &lt; 0.05). While CC and/or NT treatments quickly regained soil oxygen status within 24 h after saturating rain events, CT–NC suffered from sub-optimal soil aeration until the third day after rainfall cessation. The combination of CC with NT practices enhanced soil oxygen availability and resilience to extreme precipitation events. Core Ideas: Long-term cover cropping and no-tillage practices enhanced soil oxygen availability following extreme precipitation events. Cover cropping and no-tillage practices reduced the duration of anoxia experienced by cotton crops during the growing season by three- to four-fold.</w:instrText>
      </w:r>
      <w:r w:rsidR="00EB2F35" w:rsidRPr="00622616">
        <w:rPr>
          <w:rFonts w:cs="Times New Roman"/>
          <w:lang w:val="es-UY"/>
        </w:rPr>
        <w:instrText xml:space="preserve"> Combined cover cropping and no-tillage implementation exhibited the most significant impact in mitigating immediate soil oxygen stress after heavy rainfall events.","author":[{"dropping-particle":"","family":"Lussich","given":"Facundo","non-dropping-particle":"","parse-names":false,"suffix":""},{"dropping-particle":"","family":"Dhaliwal","given":"Jashanjeet Kaur","non-dropping-particle":"","parse-names":false,"suffix":""},{"dropping-particle":"","family":"Wright","given":"Wesley","non-dropping-particle":"","parse-names":false,"suffix":""},{"dropping-particle":"","family":"Saha","given":"Debasish","non-dropping-particle":"","parse-names":false,"suffix":""}],"container-title":"Agricultural and Environmental Letters","id":"ITEM-3","issue":"1","issued":{"date-parts":[["2024"]]},"page":"1-7","title":"Forty-two years of no-tillage and cover cropping improved soil oxygen availability and resilience","type":"article-journal","volume":"9"},"uris":["http://www.mendeley.com/documents/?uuid=3462d663-9827-4024-b0ed-20b7c95f4f7c"]}],"mendeley":{"formattedCitation":"(Blanco-Canqui et al., 2015; Blanco-Canqui and Ruis, 2018; Lussich et al., 2024b)","plainTextFormattedCitation":"(Blanco-Canqui et al., 2015; Blanco-Canqui and Ruis, 2018; Lussich et al., 2024b)","previouslyFormattedCitation":"(Blanco-Canqui et al., 2015; Blanco-Canqui and Ruis, 2018; Lussich et al., 2024b)"},"properties":{"noteIndex":0},"schema":"https://github.com/citation-style-language/schema/raw/master/csl-citation.json"}</w:instrText>
      </w:r>
      <w:r w:rsidRPr="00203EB0">
        <w:rPr>
          <w:rFonts w:cs="Times New Roman"/>
        </w:rPr>
        <w:fldChar w:fldCharType="separate"/>
      </w:r>
      <w:r w:rsidR="00EB2F35" w:rsidRPr="00622616">
        <w:rPr>
          <w:rFonts w:cs="Times New Roman"/>
          <w:noProof/>
          <w:lang w:val="es-UY"/>
        </w:rPr>
        <w:t>(Blanco-Canqui et al., 2015; Blanco-Canqui and Ruis, 2018; Lussich et al., 2024b)</w:t>
      </w:r>
      <w:r w:rsidRPr="00203EB0">
        <w:rPr>
          <w:rFonts w:cs="Times New Roman"/>
        </w:rPr>
        <w:fldChar w:fldCharType="end"/>
      </w:r>
      <w:r w:rsidRPr="00622616">
        <w:rPr>
          <w:rFonts w:cs="Times New Roman"/>
          <w:lang w:val="es-UY"/>
        </w:rPr>
        <w:t xml:space="preserve">. </w:t>
      </w:r>
      <w:r w:rsidR="00045E89" w:rsidRPr="00045E89">
        <w:rPr>
          <w:rFonts w:cs="Times New Roman"/>
        </w:rPr>
        <w:t>Ho</w:t>
      </w:r>
      <w:r w:rsidR="00045E89">
        <w:rPr>
          <w:rFonts w:cs="Times New Roman"/>
        </w:rPr>
        <w:t xml:space="preserve">wever, sustaining these benefits also depends on effective nutrient management, particularly nitrogen (N), which governs both soil fertility and greenhouse gas outcomes. </w:t>
      </w:r>
      <w:r w:rsidRPr="00203EB0">
        <w:rPr>
          <w:rFonts w:cs="Times New Roman"/>
        </w:rPr>
        <w:t xml:space="preserve">N management remains a critical challenge </w:t>
      </w:r>
      <w:r w:rsidR="00045E89">
        <w:rPr>
          <w:rFonts w:cs="Times New Roman"/>
        </w:rPr>
        <w:t xml:space="preserve">in conservation agriculture </w:t>
      </w:r>
      <w:r w:rsidRPr="00203EB0">
        <w:rPr>
          <w:rFonts w:cs="Times New Roman"/>
        </w:rPr>
        <w:t>systems, as it influences crop productivity</w:t>
      </w:r>
      <w:r w:rsidR="005062EE">
        <w:rPr>
          <w:rFonts w:cs="Times New Roman"/>
        </w:rPr>
        <w:t xml:space="preserve">, cost of production, </w:t>
      </w:r>
      <w:r w:rsidRPr="00203EB0">
        <w:rPr>
          <w:rFonts w:cs="Times New Roman"/>
        </w:rPr>
        <w:t xml:space="preserve">and environmental outcomes </w:t>
      </w:r>
      <w:r w:rsidRPr="00203EB0">
        <w:rPr>
          <w:rFonts w:cs="Times New Roman"/>
        </w:rPr>
        <w:fldChar w:fldCharType="begin" w:fldLock="1"/>
      </w:r>
      <w:r w:rsidR="00EB2F35" w:rsidRPr="00203EB0">
        <w:rPr>
          <w:rFonts w:cs="Times New Roman"/>
        </w:rPr>
        <w:instrText>ADDIN CSL_CITATION {"citationItems":[{"id":"ITEM-1","itemData":{"DOI":"10.1038/s43247-021-00223-6","ISBN":"4324702100223","ISSN":"26624435","abstract":"Climate extremes pose a global threat to crop security. Conservation agriculture is expected to offer substantial climate adaptation benefits. However, synergistic effects of conservation practices on yield during normal versus extreme climates and underlying regulatory mechanisms remain elusive. Here, we analyze 29-years of climate data, cotton (Gossypium hirsutum L.) yield, and soil data under 32 management practices in Tennessee, USA. We find that long-term no-tillage enhanced agroecosystem resilience and yield stability under climate extremes and maximized yield under favorable climate. We demonstrate that no-tillage benefits are tied with enhanced soil structural stability and organic carbon. No-tillage enhanced the effectiveness of legume cover crop in stabilizing cotton yield during relatively dry or wet, and dry years, while nitrogen fertilizer rate and precipitation timing, controlled yield stability in wetter years. Our findings provide evidence-based insights into how management strategies can enhance agroecosystem resilience and production stability in climate extremes.","author":[{"dropping-particle":"","family":"Nouri","given":"Amin","non-dropping-particle":"","parse-names":false,"suffix":""},{"dropping-particle":"","family":"Yoder","given":"Daniel C.","non-dropping-particle":"","parse-names":false,"suffix":""},{"dropping-particle":"","family":"Raji","given":"Mohammad","non-dropping-particle":"","parse-names":false,"suffix":""},{"dropping-particle":"","family":"Ceylan","given":"Safak","non-dropping-particle":"","parse-names":false,"suffix":""},{"dropping-particle":"","family":"Jagadamma","given":"Sindhu","non-dropping-particle":"","parse-names":false,"suffix":""},{"dropping-particle":"","family":"Lee","given":"Jaehoon","non-dropping-particle":"","parse-names":false,"suffix":""},{"dropping-particle":"","family":"Walker","given":"Forbes R.","non-dropping-particle":"","parse-names":false,"suffix":""},{"dropping-particle":"","family":"Yin","given":"Xinhua","non-dropping-particle":"","parse-names":false,"suffix":""},{"dropping-particle":"","family":"Fitzpatrick","given":"Judith","non-dropping-particle":"","parse-names":false,"suffix":""},{"dropping-particle":"","family":"Trexler","given":"Brady","non-dropping-particle":"","parse-names":false,"suffix":""},{"dropping-particle":"","family":"Arelli","given":"Prakash","non-dropping-particle":"","parse-names":false,"suffix":""},{"dropping-particle":"","family":"Saxton","given":"Arnold M.","non-dropping-particle":"","parse-names":false,"suffix":""}],"container-title":"Communications Earth and Environment","id":"ITEM-1","issue":"1","issued":{"date-parts":[["2021"]]},"publisher":"Springer US","title":"Conservation agriculture increases the soil resilience and cotton yield stability in climate extremes of the southeast US","type":"article-journal","volume":"2"},"uris":["http://www.mendeley.com/documents/?uuid=9d147976-95bc-47ce-b33c-1f9dc663801b"]},{"id":"ITEM-2","itemData":{"ISBN":"1600-051X (Electronic)\\r0303-6979 (Linking)","ISSN":"1600051X","PMID":"25808877","abstract":"An efficient method for the synthesis of 2-amino-3-cyano-4-aryl-5,10-dioxo-5,10-dihydro-4H-benzo[g]chromenes and hydroxy-substituted naphthalene-1,4-dione derivatives, using silica-bonded propylpiperazine-N-sulfamic acid as a solid acid, green, heterogeneous catalyst, under ambient and solvent-free conditions, is described. A simple procedure, high yields, short reaction time, safety, and reusability of the catalyst are advantages of these protocols.","author":[{"dropping-particle":"","family":"Dhaliwal","given":"J.K;","non-dropping-particle":"","parse-names":false,"suffix":""},{"dropping-particle":"","family":"Lussich","given":"Facundo;","non-dropping-particle":"","parse-names":false,"suffix":""},{"dropping-particle":"","family":"Jagadamma","given":"Sindhu;","non-dropping-particle":"","parse-names":false,"suffix":""},{"dropping-particle":"","family":"Schaeffer","given":"Sean M.;","non-dropping-particle":"","parse-names":false,"suffix":""},{"dropping-particle":"","family":"Saha","given":"Debasish","non-dropping-particle":"","parse-names":false,"suffix":""}],"container-title":"Agronomy Journal","id":"ITEM-2","issued":{"date-parts":[["2024"]]},"page":"22","title":"Long-term tillage and cover cropping differentially influenced soil nitrous oxide emissions from cotton cropping system","type":"article-journal"},"uris":["http://www.mendeley.com/documents/?uuid=5d6fc41e-f445-4fb6-9365-0633845277d2"]}],"mendeley":{"formattedCitation":"(Nouri et al., 2021; Dhaliwal et al., 2024b)","manualFormatting":"(Nouri et al., 2021; Dhaliwal et al., 2024 )","plainTextFormattedCitation":"(Nouri et al., 2021; Dhaliwal et al., 2024b)","previouslyFormattedCitation":"(Nouri et al., 2021; Dhaliwal et al., 2024b)"},"properties":{"noteIndex":0},"schema":"https://github.com/citation-style-language/schema/raw/master/csl-citation.json"}</w:instrText>
      </w:r>
      <w:r w:rsidRPr="00203EB0">
        <w:rPr>
          <w:rFonts w:cs="Times New Roman"/>
        </w:rPr>
        <w:fldChar w:fldCharType="separate"/>
      </w:r>
      <w:r w:rsidRPr="00203EB0">
        <w:rPr>
          <w:rFonts w:cs="Times New Roman"/>
          <w:noProof/>
        </w:rPr>
        <w:t>(Nouri et al., 2021; Dhaliwal et al., 2024 )</w:t>
      </w:r>
      <w:r w:rsidRPr="00203EB0">
        <w:rPr>
          <w:rFonts w:cs="Times New Roman"/>
        </w:rPr>
        <w:fldChar w:fldCharType="end"/>
      </w:r>
      <w:r w:rsidRPr="00203EB0">
        <w:rPr>
          <w:rFonts w:cs="Times New Roman"/>
        </w:rPr>
        <w:t>. In this context, biological N fixation (BNF) by legum</w:t>
      </w:r>
      <w:r w:rsidR="005062EE">
        <w:rPr>
          <w:rFonts w:cs="Times New Roman"/>
        </w:rPr>
        <w:t>inous</w:t>
      </w:r>
      <w:r w:rsidRPr="00203EB0">
        <w:rPr>
          <w:rFonts w:cs="Times New Roman"/>
        </w:rPr>
        <w:t xml:space="preserve"> CCs, such as hairy vetch (HV, </w:t>
      </w:r>
      <w:r w:rsidRPr="00203EB0">
        <w:rPr>
          <w:rFonts w:cs="Times New Roman"/>
          <w:i/>
        </w:rPr>
        <w:t xml:space="preserve">Vicia </w:t>
      </w:r>
      <w:proofErr w:type="spellStart"/>
      <w:r w:rsidRPr="00203EB0">
        <w:rPr>
          <w:rFonts w:cs="Times New Roman"/>
          <w:i/>
        </w:rPr>
        <w:t>villosa</w:t>
      </w:r>
      <w:proofErr w:type="spellEnd"/>
      <w:r w:rsidRPr="00203EB0">
        <w:rPr>
          <w:rFonts w:cs="Times New Roman"/>
        </w:rPr>
        <w:t xml:space="preserve">), provides the capacity to acquire atmospheric N, potentially reducing the dependency on synthetic fertilizers and improving the N </w:t>
      </w:r>
      <w:r w:rsidR="005062EE">
        <w:rPr>
          <w:rFonts w:cs="Times New Roman"/>
        </w:rPr>
        <w:t xml:space="preserve">use efficiency and </w:t>
      </w:r>
      <w:r w:rsidRPr="00203EB0">
        <w:rPr>
          <w:rFonts w:cs="Times New Roman"/>
        </w:rPr>
        <w:t xml:space="preserve">balance of the system </w:t>
      </w:r>
      <w:r w:rsidRPr="00203EB0">
        <w:rPr>
          <w:rFonts w:cs="Times New Roman"/>
        </w:rPr>
        <w:fldChar w:fldCharType="begin" w:fldLock="1"/>
      </w:r>
      <w:r w:rsidR="00EB2F35" w:rsidRPr="00203EB0">
        <w:rPr>
          <w:rFonts w:cs="Times New Roman"/>
        </w:rPr>
        <w:instrText>ADDIN CSL_CITATION {"citationItems":[{"id":"ITEM-1","itemData":{"DOI":"10.2134/agronj2011.0007","ISSN":"00021962","abstract":"Sixteen winter annual cover crop cultivars were grown in North Carolina to determine total N accumulation, biological N fixation (BNF) potential, and compatibility with a roller-crimper-terminated organic corn (Zea mays L.) production system. Cover crops and termination dates were tested in a stripped block design. Treatments included hairy vetch (Vicia villosa Roth), common vetch (Vicia sativa L.), crimson clover (Trifolium incarnatum L.), Austrian winter pea (Pisum sativum L.), berseem clover (Trifolium alexandrinum L.), subterranean clover (Trifolium subterraneum L.), narrow leaf lupin (Lupinus angustifolius L.), and Balansa clover (Trifolium michelianum Savi.), as well as bicultures of rye (Secale cereale L.), hairy vetch, and Austrian winter pea. Roller-crimper termination occurred in mid-April, early May, and mid-May. Total biomass, N concentration, and C/N ratios were determined for cover crops at all roll times and natural 15N abundance at the optimal kill date. Hairy vetch and crimson clover monocultures had the greatest overall biomass in 2009, and bicultures the greatest biomass in 2010. Crimson clover successfully terminated in late April, hairy vetch and Austrian winter pea in mid-May, and berseem clover and common vetch in late May. All cover crops except lupin and subterranean clover derived between 70 and 100% of their N from the atmosphere. Corn response to cover crop mulches was significantly affected by the time of rolling, with poor stands resulting from competition with insufficiently terminated mulches. Crimson, Balansa, and subterranean clover mulches resulted in poor corn yields despite relatively high levels of total N. The highest corn yields were achieved in hairy vetch and rye plus hairy vetch bicultures. © 2011 by the American Society of Agronomy, 5585 Guilford Road, Madison, WI 53711. All rights reserved.","author":[{"dropping-particle":"","family":"Parr","given":"M.","non-dropping-particle":"","parse-names":false,"suffix":""},{"dropping-particle":"","family":"Grossman","given":"J. M.","non-dropping-particle":"","parse-names":false,"suffix":""},{"dropping-particle":"","family":"Reberg-Horton","given":"S. C.","non-dropping-particle":"","parse-names":false,"suffix":""},{"dropping-particle":"","family":"Brinton","given":"C.","non-dropping-particle":"","parse-names":false,"suffix":""},{"dropping-particle":"","family":"Crozier","given":"C.","non-dropping-particle":"","parse-names":false,"suffix":""}],"container-title":"Agronomy Journal","id":"ITEM-1","issue":"6","issued":{"date-parts":[["2011"]]},"page":"1578-1590","title":"Nitrogen delivery from legume cover crops in no-till organic corn production","type":"article-journal","volume":"103"},"uris":["http://www.mendeley.com/documents/?uuid=3fd27bf9-387a-4d14-976e-d86a072b5013"]},{"id":"ITEM-2","itemData":{"DOI":"10.1016/j.eja.2021.126229","ISSN":"11610301","abstract":"Managing the nitrogen (N) supply in agroecosystems is a critical issue to ensure sufficient food production while preserving the environment. Intercropping is known to be a sustainable means of reducing the use of N-fertilizers. However, managing the N supplied to a crop while optimising the use of N by different species in a mixture remains a challenge. This is partly due to the difficulty of assessing the N requirements of each component in the mixture separately in order to correctly drive the performance of the whole system. The methods used to assess plant N nutrition status were initially developed for sole crops. In this review, i) we present different approaches adapted from these previous works to determine the N nutrition status of crops in intercrops; ii) we then compare the predictions of some of them, based on a European database of experimental results regarding cereal–grain legume and perennial grass–legume mixtures; and iii) we discuss the interests and limitations of current indices for mixed crops. We conclude that no single approach is currently valid to assess the N nutrition status of crops within the entire range of possible mixtures explored by farmers. However, some indices based on the N dilution theory perform well regarding the most common situations of balanced binary intercrops. Further research is now needed to properly address the cases of complex mixtures and severely shaded crops.","author":[{"dropping-particle":"","family":"Louarn","given":"Gaëtan","non-dropping-particle":"","parse-names":false,"suffix":""},{"dropping-particle":"","family":"Bedoussac","given":"Laurent","non-dropping-particle":"","parse-names":false,"suffix":""},{"dropping-particle":"","family":"Gaudio","given":"Noémie","non-dropping-particle":"","parse-names":false,"suffix":""},{"dropping-particle":"","family":"Journet","given":"Etienne Pascal","non-dropping-particle":"","parse-names":false,"suffix":""},{"dropping-particle":"","family":"Moreau","given":"Delphine","non-dropping-particle":"","parse-names":false,"suffix":""},{"dropping-particle":"","family":"Steen Jensen","given":"Erik","non-dropping-particle":"","parse-names":false,"suffix":""},{"dropping-particle":"","family":"Justes","given":"Eric","non-dropping-particle":"","parse-names":false,"suffix":""}],"container-title":"European Journal of Agronomy","id":"ITEM-2","issued":{"date-parts":[["2021"]]},"title":"Plant nitrogen nutrition status in intercrops– a review of concepts and methods","type":"article-journal","volume":"124"},"uris":["http://www.mendeley.com/documents/?uuid=4ccf245a-7964-4e4e-abab-1789999c9056"]}],"mendeley":{"formattedCitation":"(Parr et al., 2011; Louarn et al., 2021)","manualFormatting":"(Parr et al., 2011; Louarn et al., 2021)","plainTextFormattedCitation":"(Parr et al., 2011; Louarn et al., 2021)","previouslyFormattedCitation":"(Parr et al., 2011; Louarn et al., 2021)"},"properties":{"noteIndex":0},"schema":"https://github.com/citation-style-language/schema/raw/master/csl-citation.json"}</w:instrText>
      </w:r>
      <w:r w:rsidRPr="00203EB0">
        <w:rPr>
          <w:rFonts w:cs="Times New Roman"/>
        </w:rPr>
        <w:fldChar w:fldCharType="separate"/>
      </w:r>
      <w:r w:rsidRPr="00203EB0">
        <w:rPr>
          <w:rFonts w:cs="Times New Roman"/>
          <w:noProof/>
        </w:rPr>
        <w:t>(Parr et al., 2011; Louarn et al., 2021)</w:t>
      </w:r>
      <w:r w:rsidRPr="00203EB0">
        <w:rPr>
          <w:rFonts w:cs="Times New Roman"/>
        </w:rPr>
        <w:fldChar w:fldCharType="end"/>
      </w:r>
      <w:r w:rsidRPr="00203EB0">
        <w:rPr>
          <w:rFonts w:cs="Times New Roman"/>
        </w:rPr>
        <w:t xml:space="preserve">.  </w:t>
      </w:r>
    </w:p>
    <w:p w14:paraId="5CB47818" w14:textId="542E73AA" w:rsidR="00E17B15" w:rsidRPr="00203EB0" w:rsidRDefault="00E17B15" w:rsidP="00E17B15">
      <w:pPr>
        <w:spacing w:line="480" w:lineRule="auto"/>
        <w:rPr>
          <w:rFonts w:cs="Times New Roman"/>
        </w:rPr>
      </w:pPr>
      <w:r w:rsidRPr="00203EB0">
        <w:rPr>
          <w:rFonts w:cs="Times New Roman"/>
        </w:rPr>
        <w:t xml:space="preserve">While the benefits of NT and </w:t>
      </w:r>
      <w:r w:rsidR="005062EE" w:rsidRPr="00203EB0">
        <w:rPr>
          <w:rFonts w:cs="Times New Roman"/>
        </w:rPr>
        <w:t>legum</w:t>
      </w:r>
      <w:r w:rsidR="005062EE">
        <w:rPr>
          <w:rFonts w:cs="Times New Roman"/>
        </w:rPr>
        <w:t>inous</w:t>
      </w:r>
      <w:r w:rsidRPr="00203EB0">
        <w:rPr>
          <w:rFonts w:cs="Times New Roman"/>
        </w:rPr>
        <w:t xml:space="preserve"> CCs on soil health </w:t>
      </w:r>
      <w:r w:rsidR="00AB33AD" w:rsidRPr="00203EB0">
        <w:rPr>
          <w:rFonts w:cs="Times New Roman"/>
        </w:rPr>
        <w:t xml:space="preserve">and cash crop performance </w:t>
      </w:r>
      <w:r w:rsidRPr="00203EB0">
        <w:rPr>
          <w:rFonts w:cs="Times New Roman"/>
        </w:rPr>
        <w:t xml:space="preserve">are well documented </w:t>
      </w:r>
      <w:r w:rsidRPr="00203EB0">
        <w:rPr>
          <w:rFonts w:cs="Times New Roman"/>
        </w:rPr>
        <w:fldChar w:fldCharType="begin" w:fldLock="1"/>
      </w:r>
      <w:r w:rsidRPr="00203EB0">
        <w:rPr>
          <w:rFonts w:cs="Times New Roman"/>
        </w:rPr>
        <w:instrText>ADDIN CSL_CITATION {"citationItems":[{"id":"ITEM-1","itemData":{"DOI":"10.2136/sssaj2010.0430","ISSN":"03615995","abstract":"Inclusion of cover crops (CCs) may be a potential strategy to boost no-till performance by improving soil physical properties. To assess this potential, we utilized a winter wheat (Triticum aestivum L.)-grain sorghum [Sorghum bicolor (L.) Moench] rotation, four N rates, and a hairy vetch (HV; Vicia villosa Roth) CC after wheat during the first rotation cycles, which was replaced in subsequent cycles with sunn hemp (SH; Crotalaria juncea L.) and late-maturing soybean [LMS; Glycine max (L.) Merr.] CCs in no-till on a silt loam. At the end of 15 yr, we studied the cumulative impacts of CCs on soil physical properties and assessed relationships between soil properties and soil organic C (SOC) concentration. Across N rates, SH reduced near-surface bulk density ( ρb ) by 4% and increased cumulative infiltration by three times relative to no-CC plots. Without N application, SH and LMS reduced Proctor maximum ρb , a parameter of soil compactibility, by 5%, indicating that soils under CCs may be less susceptible to compaction. Cover crops also increased mean weight diameter of aggregates (MWDA) by 80% in the 0- to 7.5-cm depth. The SOC concentration was 30% greater for SH and 20% greater for LMS than for no-CC plots in the 0- to 7.5-cm depth. The CC-induced increase in SOC concentration was negatively correlated with Proctor maximum ρb and positively with MWDA and cumulative infiltration. Overall, addition of CCs to no-till systems improved soil physical properties, and the CC-induced change in SOC concentration was correlated with soil physical properties. © Soil Science Society of America.","author":[{"dropping-particle":"","family":"Blanco-Canqui","given":"Humberto","non-dropping-particle":"","parse-names":false,"suffix":""},{"dropping-particle":"","family":"Mikha","given":"Maysoon M.","non-dropping-particle":"","parse-names":false,"suffix":""},{"dropping-particle":"","family":"Presley","given":"DeAnn R.","non-dropping-particle":"","parse-names":false,"suffix":""},{"dropping-particle":"","family":"Claassen","given":"Mark M.","non-dropping-particle":"","parse-names":false,"suffix":""}],"container-title":"Soil Science Society of America Journal","id":"ITEM-1","issue":"4","issued":{"date-parts":[["2011"]]},"page":"1471-1482","title":"Addition of cover crops enhances no-till potential for improving soil physical properties","type":"article-journal","volume":"75"},"uris":["http://www.mendeley.com/documents/?uuid=bd811282-56ce-4d24-98d6-fd580266fb1d"]}],"mendeley":{"formattedCitation":"(Blanco-Canqui et al., 2011)","plainTextFormattedCitation":"(Blanco-Canqui et al., 2011)","previouslyFormattedCitation":"(Blanco-Canqui et al., 2011)"},"properties":{"noteIndex":0},"schema":"https://github.com/citation-style-language/schema/raw/master/csl-citation.json"}</w:instrText>
      </w:r>
      <w:r w:rsidRPr="00203EB0">
        <w:rPr>
          <w:rFonts w:cs="Times New Roman"/>
        </w:rPr>
        <w:fldChar w:fldCharType="separate"/>
      </w:r>
      <w:r w:rsidRPr="00203EB0">
        <w:rPr>
          <w:rFonts w:cs="Times New Roman"/>
          <w:noProof/>
        </w:rPr>
        <w:t>(Blanco-Canqui et al., 2011)</w:t>
      </w:r>
      <w:r w:rsidRPr="00203EB0">
        <w:rPr>
          <w:rFonts w:cs="Times New Roman"/>
        </w:rPr>
        <w:fldChar w:fldCharType="end"/>
      </w:r>
      <w:r w:rsidRPr="00203EB0">
        <w:rPr>
          <w:rFonts w:cs="Times New Roman"/>
        </w:rPr>
        <w:t xml:space="preserve">, less is known about how </w:t>
      </w:r>
      <w:r w:rsidR="00AB33AD" w:rsidRPr="00203EB0">
        <w:rPr>
          <w:rFonts w:cs="Times New Roman"/>
        </w:rPr>
        <w:t xml:space="preserve">their </w:t>
      </w:r>
      <w:r w:rsidRPr="00203EB0">
        <w:rPr>
          <w:rFonts w:cs="Times New Roman"/>
        </w:rPr>
        <w:t xml:space="preserve">long-term legacy effects </w:t>
      </w:r>
      <w:r w:rsidR="005537FF">
        <w:rPr>
          <w:rFonts w:cs="Times New Roman"/>
        </w:rPr>
        <w:t>influence</w:t>
      </w:r>
      <w:r w:rsidRPr="00203EB0">
        <w:rPr>
          <w:rFonts w:cs="Times New Roman"/>
        </w:rPr>
        <w:t xml:space="preserve"> the N fixation, N status, and N acquisition strategies of subsequent </w:t>
      </w:r>
      <w:r w:rsidR="005062EE" w:rsidRPr="00203EB0">
        <w:rPr>
          <w:rFonts w:cs="Times New Roman"/>
        </w:rPr>
        <w:t>legum</w:t>
      </w:r>
      <w:r w:rsidR="005062EE">
        <w:rPr>
          <w:rFonts w:cs="Times New Roman"/>
        </w:rPr>
        <w:t xml:space="preserve">inous </w:t>
      </w:r>
      <w:r w:rsidRPr="00203EB0">
        <w:rPr>
          <w:rFonts w:cs="Times New Roman"/>
        </w:rPr>
        <w:t>CCs.</w:t>
      </w:r>
      <w:r w:rsidR="009E1E2E">
        <w:rPr>
          <w:rFonts w:cs="Times New Roman"/>
        </w:rPr>
        <w:t xml:space="preserve"> </w:t>
      </w:r>
      <w:r w:rsidRPr="00203EB0">
        <w:rPr>
          <w:rFonts w:cs="Times New Roman"/>
        </w:rPr>
        <w:t>Specifically, how these management factors influence the relative contribution</w:t>
      </w:r>
      <w:r w:rsidR="00B973C7" w:rsidRPr="00203EB0">
        <w:rPr>
          <w:rFonts w:cs="Times New Roman"/>
        </w:rPr>
        <w:t>s</w:t>
      </w:r>
      <w:r w:rsidRPr="00203EB0">
        <w:rPr>
          <w:rFonts w:cs="Times New Roman"/>
        </w:rPr>
        <w:t xml:space="preserve"> of soil</w:t>
      </w:r>
      <w:r w:rsidR="00B973C7" w:rsidRPr="00203EB0">
        <w:rPr>
          <w:rFonts w:cs="Times New Roman"/>
        </w:rPr>
        <w:t>-</w:t>
      </w:r>
      <w:r w:rsidRPr="00203EB0">
        <w:rPr>
          <w:rFonts w:cs="Times New Roman"/>
        </w:rPr>
        <w:t xml:space="preserve">derived versus atmospherically fixed N remains unclear. This gap is particularly relevant for legumes, which are often assumed to meet their N needs through BNF alone. However, BNF </w:t>
      </w:r>
      <w:r w:rsidR="00AB33AD" w:rsidRPr="00203EB0">
        <w:rPr>
          <w:rFonts w:cs="Times New Roman"/>
        </w:rPr>
        <w:t xml:space="preserve">is an energy-intensive microbial process and </w:t>
      </w:r>
      <w:r w:rsidRPr="00203EB0">
        <w:rPr>
          <w:rFonts w:cs="Times New Roman"/>
        </w:rPr>
        <w:t xml:space="preserve">is influenced by </w:t>
      </w:r>
      <w:r w:rsidRPr="00203EB0">
        <w:rPr>
          <w:rFonts w:cs="Times New Roman"/>
        </w:rPr>
        <w:lastRenderedPageBreak/>
        <w:t>both soil fertility</w:t>
      </w:r>
      <w:r w:rsidR="005537FF">
        <w:rPr>
          <w:rFonts w:cs="Times New Roman"/>
        </w:rPr>
        <w:t xml:space="preserve"> from</w:t>
      </w:r>
      <w:r w:rsidR="00AB33AD" w:rsidRPr="00203EB0">
        <w:rPr>
          <w:rFonts w:cs="Times New Roman"/>
        </w:rPr>
        <w:t xml:space="preserve"> soil organic matter</w:t>
      </w:r>
      <w:r w:rsidR="005537FF">
        <w:rPr>
          <w:rFonts w:cs="Times New Roman"/>
        </w:rPr>
        <w:t xml:space="preserve"> (</w:t>
      </w:r>
      <w:r w:rsidR="00AB33AD" w:rsidRPr="00203EB0">
        <w:rPr>
          <w:rFonts w:cs="Times New Roman"/>
        </w:rPr>
        <w:t xml:space="preserve">SOM) </w:t>
      </w:r>
      <w:r w:rsidRPr="00203EB0">
        <w:rPr>
          <w:rFonts w:cs="Times New Roman"/>
        </w:rPr>
        <w:t>and external N inputs</w:t>
      </w:r>
      <w:r w:rsidR="00AB33AD" w:rsidRPr="00203EB0">
        <w:rPr>
          <w:rFonts w:cs="Times New Roman"/>
        </w:rPr>
        <w:t xml:space="preserve"> under </w:t>
      </w:r>
      <w:r w:rsidRPr="00203EB0">
        <w:rPr>
          <w:rFonts w:cs="Times New Roman"/>
        </w:rPr>
        <w:t xml:space="preserve">long-term management. </w:t>
      </w:r>
    </w:p>
    <w:p w14:paraId="78276307" w14:textId="47638967" w:rsidR="00693FFB" w:rsidRPr="00203EB0" w:rsidRDefault="00693FFB" w:rsidP="00693FFB">
      <w:pPr>
        <w:spacing w:line="480" w:lineRule="auto"/>
        <w:rPr>
          <w:rFonts w:cs="Times New Roman"/>
        </w:rPr>
      </w:pPr>
      <w:r w:rsidRPr="00203EB0">
        <w:rPr>
          <w:rFonts w:cs="Times New Roman"/>
        </w:rPr>
        <w:t xml:space="preserve">Moreover, </w:t>
      </w:r>
      <w:r w:rsidR="005537FF">
        <w:rPr>
          <w:rFonts w:cs="Times New Roman"/>
        </w:rPr>
        <w:t xml:space="preserve">a </w:t>
      </w:r>
      <w:r w:rsidRPr="00203EB0">
        <w:rPr>
          <w:rFonts w:cs="Times New Roman"/>
        </w:rPr>
        <w:t xml:space="preserve">few studies have applied integrative, biomass adjusted indicators such as the nitrogen nutrition index (NNI) to evaluate legume N status in long-term conservation systems </w:t>
      </w:r>
      <w:r w:rsidRPr="00203EB0">
        <w:rPr>
          <w:rFonts w:cs="Times New Roman"/>
        </w:rPr>
        <w:fldChar w:fldCharType="begin" w:fldLock="1"/>
      </w:r>
      <w:r w:rsidRPr="00203EB0">
        <w:rPr>
          <w:rFonts w:cs="Times New Roman"/>
        </w:rPr>
        <w:instrText>ADDIN CSL_CITATION {"citationItems":[{"id":"ITEM-1","itemData":{"DOI":"10.1007/978-3-642-60684-7","abstract":"Jurnal ini membahas bagaimana koran kuning menerapkan Etika Jurnalisme dalam pemberitaannya. Koran Lampu Hijau dipilih sebagai obyek bahasan karena Lampu Hijau adalah salah satu Koran Kuning Indonesia yang masih bertahan hingga saat ini. Selain itu, penulis merasa penulisan berita di Lampu Hijau dapat dikatakan paling sensasional diantara Koran Kuning Indonesia lainnya. Dengan membahas Lampu Hijau, penulis berharap media di Indonesia dapat selayaknya menjadi jembatan yang kuat yang mampu mengedukasi dan memberikan informasi yang layak bagi masyarakat Indonesia.","author":[{"dropping-particle":"","family":"Lemaire","given":"Gilles","non-dropping-particle":"","parse-names":false,"suffix":""}],"container-title":"Etika Jurnalisme Pada Koran Kuning : Sebuah Studi Mengenai Koran Lampu Hijau","editor":[{"dropping-particle":"","family":"Lemaire","given":"Gilles","non-dropping-particle":"","parse-names":false,"suffix":""}],"id":"ITEM-1","issued":{"date-parts":[["1997"]]},"publisher":"Library of Congress Cataloging-in-Publication Data.","title":"Diagnosis of the nitrogen status in crops","type":"book"},"uris":["http://www.mendeley.com/documents/?uuid=519109d6-cbbf-4bca-8bbc-09a9de650fde"]}],"mendeley":{"formattedCitation":"(Lemaire, 1997)","plainTextFormattedCitation":"(Lemaire, 1997)","previouslyFormattedCitation":"(Lemaire, 1997)"},"properties":{"noteIndex":0},"schema":"https://github.com/citation-style-language/schema/raw/master/csl-citation.json"}</w:instrText>
      </w:r>
      <w:r w:rsidRPr="00203EB0">
        <w:rPr>
          <w:rFonts w:cs="Times New Roman"/>
        </w:rPr>
        <w:fldChar w:fldCharType="separate"/>
      </w:r>
      <w:r w:rsidRPr="00203EB0">
        <w:rPr>
          <w:rFonts w:cs="Times New Roman"/>
          <w:noProof/>
        </w:rPr>
        <w:t>(Lemaire, 1997)</w:t>
      </w:r>
      <w:r w:rsidRPr="00203EB0">
        <w:rPr>
          <w:rFonts w:cs="Times New Roman"/>
        </w:rPr>
        <w:fldChar w:fldCharType="end"/>
      </w:r>
      <w:r w:rsidRPr="00203EB0">
        <w:rPr>
          <w:rFonts w:cs="Times New Roman"/>
        </w:rPr>
        <w:t xml:space="preserve">, where NNI values below 1 indicate N limitation </w:t>
      </w:r>
      <w:r w:rsidRPr="00203EB0">
        <w:rPr>
          <w:rFonts w:cs="Times New Roman"/>
        </w:rPr>
        <w:fldChar w:fldCharType="begin" w:fldLock="1"/>
      </w:r>
      <w:r w:rsidR="00EB2F35" w:rsidRPr="00203EB0">
        <w:rPr>
          <w:rFonts w:cs="Times New Roman"/>
        </w:rPr>
        <w:instrText>ADDIN CSL_CITATION {"citationItems":[{"id":"ITEM-1","itemData":{"DOI":"10.1016/j.fcr.2014.05.006","ISSN":"03784290","abstract":"The nitrogen economy of the crop is a critical driver of biomass and grain production, and its importance is reflected in a large, worldwide research effort to link nitrogen, growth and yield. Particular research questions require measurement of specific traits, hence the need to quantify multiple, often complementary traits including crop nitrogen uptake, nitrogen use efficiency and its components, nitrogen concentration in the crop and its parts, down to relevant enzymes (e.g. nitrate reductase) and other products of gene expression. Nitrogen uptake, however, is co-regulated by both soil nitrogen availability and crop biomass accumulation; hence, crop nitrogen uptake or shoot nitrogen concentration reflect univocally crop nitrogen status only if comparisons are made at similar biomass. Although the allometric relationships between biomass and nitrogen uptake have been established for over two decades, many studies still report results in terms of nominal treatments, e.g. high vs low nitrogen, which are uninformative; curves relating yield and fertiliser rate, which are of local interest but provide little insight on the underlying processes and have low generic value; and nitrogen-related traits that are incomplete or inadequate to quantify crop nutrition status. Often, the allometric relationships between nitrogen and biomass are overlooked. In this opinion paper, we summarise the already well established concepts of dilution curves and nitrogen nutrition index, outline the standard partitioning of nitrogen use efficiency, and highlight the confounded effects in nitrogen use efficiency when the allometric relationship between nitrogen uptake and biomass is ignored. A sample of recent papers is used to survey the most common approaches to characterise nitrogen related traits. We illustrate the application of dilution curves and nitrogen nutrition index in the assessment and interpretation of crop responses to agronomic practices and comparisons of wheat cultivars and maize hybrids. © 2014 Elsevier B.V.","author":[{"dropping-particle":"","family":"Sadras","given":"Victor O.","non-dropping-particle":"","parse-names":false,"suffix":""},{"dropping-particle":"","family":"Lemaire","given":"Gilles","non-dropping-particle":"","parse-names":false,"suffix":""}],"container-title":"Field Crops Research","id":"ITEM-1","issue":"1","issued":{"date-parts":[["2014"]]},"page":"54-64","publisher":"Elsevier B.V.","title":"Quantifying crop nitrogen status for comparisons of agronomic practices and genotypes","type":"article-journal","volume":"164"},"uris":["http://www.mendeley.com/documents/?uuid=a8ff3113-a356-4752-809c-d6e156d09a4a"]}],"mendeley":{"formattedCitation":"(Sadras and Lemaire, 2014)","plainTextFormattedCitation":"(Sadras and Lemaire, 2014)","previouslyFormattedCitation":"(Sadras and Lemaire, 2014)"},"properties":{"noteIndex":0},"schema":"https://github.com/citation-style-language/schema/raw/master/csl-citation.json"}</w:instrText>
      </w:r>
      <w:r w:rsidRPr="00203EB0">
        <w:rPr>
          <w:rFonts w:cs="Times New Roman"/>
        </w:rPr>
        <w:fldChar w:fldCharType="separate"/>
      </w:r>
      <w:r w:rsidR="00EB2F35" w:rsidRPr="00203EB0">
        <w:rPr>
          <w:rFonts w:cs="Times New Roman"/>
          <w:noProof/>
        </w:rPr>
        <w:t>(Sadras and Lemaire, 2014)</w:t>
      </w:r>
      <w:r w:rsidRPr="00203EB0">
        <w:rPr>
          <w:rFonts w:cs="Times New Roman"/>
        </w:rPr>
        <w:fldChar w:fldCharType="end"/>
      </w:r>
      <w:r w:rsidRPr="00203EB0">
        <w:rPr>
          <w:rFonts w:cs="Times New Roman"/>
        </w:rPr>
        <w:t>. When paired with estimates of the proportion of N derived from the atmosphere (</w:t>
      </w:r>
      <w:proofErr w:type="spellStart"/>
      <w:r w:rsidRPr="00203EB0">
        <w:rPr>
          <w:rFonts w:cs="Times New Roman"/>
        </w:rPr>
        <w:t>Ndfa</w:t>
      </w:r>
      <w:proofErr w:type="spellEnd"/>
      <w:r w:rsidRPr="00203EB0">
        <w:rPr>
          <w:rFonts w:cs="Times New Roman"/>
        </w:rPr>
        <w:t>), such approaches can provide a clearer understanding of how legumes balance soil and atmospher</w:t>
      </w:r>
      <w:r w:rsidR="00340C83">
        <w:rPr>
          <w:rFonts w:cs="Times New Roman"/>
        </w:rPr>
        <w:t>e-derived</w:t>
      </w:r>
      <w:r w:rsidRPr="00203EB0">
        <w:rPr>
          <w:rFonts w:cs="Times New Roman"/>
        </w:rPr>
        <w:t xml:space="preserve"> N </w:t>
      </w:r>
      <w:r w:rsidR="00340C83">
        <w:rPr>
          <w:rFonts w:cs="Times New Roman"/>
        </w:rPr>
        <w:t>sources</w:t>
      </w:r>
      <w:r w:rsidRPr="00203EB0">
        <w:rPr>
          <w:rFonts w:cs="Times New Roman"/>
        </w:rPr>
        <w:t xml:space="preserve"> under varying fertility conditions. To address these </w:t>
      </w:r>
      <w:r w:rsidR="00340C83">
        <w:rPr>
          <w:rFonts w:cs="Times New Roman"/>
        </w:rPr>
        <w:t xml:space="preserve">knowledge </w:t>
      </w:r>
      <w:r w:rsidRPr="00203EB0">
        <w:rPr>
          <w:rFonts w:cs="Times New Roman"/>
        </w:rPr>
        <w:t>gaps, this study leverages a 41-year continuous cotton</w:t>
      </w:r>
      <w:r w:rsidR="00EB677C" w:rsidRPr="00203EB0">
        <w:rPr>
          <w:rFonts w:cs="Times New Roman"/>
        </w:rPr>
        <w:t xml:space="preserve"> (</w:t>
      </w:r>
      <w:r w:rsidR="00EB677C" w:rsidRPr="00203EB0">
        <w:rPr>
          <w:rFonts w:cs="Times New Roman"/>
          <w:i/>
          <w:iCs/>
        </w:rPr>
        <w:t>Gossypium hirsutum L</w:t>
      </w:r>
      <w:r w:rsidR="00EB677C" w:rsidRPr="00203EB0">
        <w:rPr>
          <w:rFonts w:cs="Times New Roman"/>
        </w:rPr>
        <w:t>.)</w:t>
      </w:r>
      <w:r w:rsidRPr="00203EB0">
        <w:rPr>
          <w:rFonts w:cs="Times New Roman"/>
        </w:rPr>
        <w:t xml:space="preserve"> cropping system to evaluate how the implementation of long-term tillage and N fertilization practices affect BNF, N status, and N sources in HV CC. By integrating plant and soil measurements with multivariate analyses, we aim to reveal how soil health practices influence legume N acquisition strategies, BNF, and N status, with implications for nutrient management in low-input systems. </w:t>
      </w:r>
    </w:p>
    <w:p w14:paraId="22CBD5E8" w14:textId="598BCC14" w:rsidR="004F08CE" w:rsidRPr="00203EB0" w:rsidRDefault="002B3951" w:rsidP="003E7C0C">
      <w:pPr>
        <w:pStyle w:val="Heading2"/>
      </w:pPr>
      <w:bookmarkStart w:id="18" w:name="_Toc206669105"/>
      <w:r w:rsidRPr="00203EB0">
        <w:t>Materials and Methods</w:t>
      </w:r>
      <w:bookmarkEnd w:id="18"/>
    </w:p>
    <w:p w14:paraId="00D9DBFC" w14:textId="75AD6B83" w:rsidR="00FF195C" w:rsidRPr="00203EB0" w:rsidRDefault="002B3951" w:rsidP="00570B1D">
      <w:pPr>
        <w:pStyle w:val="Heading3"/>
        <w:spacing w:line="480" w:lineRule="auto"/>
      </w:pPr>
      <w:bookmarkStart w:id="19" w:name="_Toc206669106"/>
      <w:r w:rsidRPr="00203EB0">
        <w:t>Study site and experimental design</w:t>
      </w:r>
      <w:bookmarkEnd w:id="19"/>
      <w:r w:rsidR="00FF195C" w:rsidRPr="00203EB0">
        <w:tab/>
      </w:r>
      <w:r w:rsidR="00FF195C" w:rsidRPr="00203EB0">
        <w:tab/>
      </w:r>
    </w:p>
    <w:p w14:paraId="2CF31DAE" w14:textId="4038256F" w:rsidR="002B3951" w:rsidRPr="00203EB0" w:rsidRDefault="002B3951" w:rsidP="00570B1D">
      <w:pPr>
        <w:spacing w:line="480" w:lineRule="auto"/>
        <w:rPr>
          <w:rFonts w:cs="Times New Roman"/>
        </w:rPr>
      </w:pPr>
      <w:r w:rsidRPr="00203EB0">
        <w:rPr>
          <w:rFonts w:cs="Times New Roman"/>
          <w:iCs/>
        </w:rPr>
        <w:t xml:space="preserve">This study was conducted in 2022 and 2024 </w:t>
      </w:r>
      <w:r w:rsidR="006256A9">
        <w:rPr>
          <w:rFonts w:cs="Times New Roman"/>
          <w:iCs/>
        </w:rPr>
        <w:t xml:space="preserve">(CCs failed to establish in 2023) </w:t>
      </w:r>
      <w:r w:rsidRPr="00203EB0">
        <w:rPr>
          <w:rFonts w:cs="Times New Roman"/>
          <w:iCs/>
        </w:rPr>
        <w:t xml:space="preserve">within </w:t>
      </w:r>
      <w:r w:rsidRPr="00203EB0">
        <w:rPr>
          <w:rFonts w:cs="Times New Roman"/>
        </w:rPr>
        <w:t>a long-term cotton cropping experiment established in 1981 at the University of Tennessee</w:t>
      </w:r>
      <w:r w:rsidR="004A1833">
        <w:rPr>
          <w:rFonts w:cs="Times New Roman"/>
        </w:rPr>
        <w:t>’s West Tennessee AgResearch and Education Center</w:t>
      </w:r>
      <w:r w:rsidRPr="00203EB0">
        <w:rPr>
          <w:rFonts w:cs="Times New Roman"/>
        </w:rPr>
        <w:t xml:space="preserve"> in Jackson, Tennessee (35°37′22″ N, 88°50′47″ W), on a Lexington silt loam soil (fine-silty, mixed, thermic, </w:t>
      </w:r>
      <w:proofErr w:type="spellStart"/>
      <w:r w:rsidRPr="00203EB0">
        <w:rPr>
          <w:rFonts w:cs="Times New Roman"/>
        </w:rPr>
        <w:t>Ultic</w:t>
      </w:r>
      <w:proofErr w:type="spellEnd"/>
      <w:r w:rsidRPr="00203EB0">
        <w:rPr>
          <w:rFonts w:cs="Times New Roman"/>
        </w:rPr>
        <w:t xml:space="preserve"> </w:t>
      </w:r>
      <w:proofErr w:type="spellStart"/>
      <w:r w:rsidRPr="00203EB0">
        <w:rPr>
          <w:rFonts w:cs="Times New Roman"/>
        </w:rPr>
        <w:t>Hapludalfs</w:t>
      </w:r>
      <w:proofErr w:type="spellEnd"/>
      <w:r w:rsidRPr="00203EB0">
        <w:rPr>
          <w:rFonts w:cs="Times New Roman"/>
        </w:rPr>
        <w:t>). The experiment follows a randomized complete block design with a split-split plot arrangement</w:t>
      </w:r>
      <w:r w:rsidR="004A1833">
        <w:rPr>
          <w:rFonts w:cs="Times New Roman"/>
        </w:rPr>
        <w:t xml:space="preserve"> of N rates, CCs, and tillage treatments</w:t>
      </w:r>
      <w:r w:rsidRPr="00203EB0">
        <w:rPr>
          <w:rFonts w:cs="Times New Roman"/>
        </w:rPr>
        <w:t xml:space="preserve">, including four replications and a total </w:t>
      </w:r>
      <w:r w:rsidRPr="00203EB0">
        <w:rPr>
          <w:rFonts w:cs="Times New Roman"/>
        </w:rPr>
        <w:lastRenderedPageBreak/>
        <w:t xml:space="preserve">of 128 experimental units (12 m × 8 m). </w:t>
      </w:r>
      <w:r w:rsidR="004A1833">
        <w:rPr>
          <w:rFonts w:cs="Times New Roman"/>
        </w:rPr>
        <w:t>Treatment and m</w:t>
      </w:r>
      <w:r w:rsidRPr="00203EB0">
        <w:rPr>
          <w:rFonts w:cs="Times New Roman"/>
        </w:rPr>
        <w:t>anagement</w:t>
      </w:r>
      <w:r w:rsidR="004A1833">
        <w:rPr>
          <w:rFonts w:cs="Times New Roman"/>
        </w:rPr>
        <w:t xml:space="preserve"> practices </w:t>
      </w:r>
      <w:r w:rsidRPr="00203EB0">
        <w:rPr>
          <w:rFonts w:cs="Times New Roman"/>
        </w:rPr>
        <w:t xml:space="preserve">are described in detail by </w:t>
      </w:r>
      <w:r w:rsidRPr="00203EB0">
        <w:rPr>
          <w:rFonts w:cs="Times New Roman"/>
        </w:rPr>
        <w:fldChar w:fldCharType="begin" w:fldLock="1"/>
      </w:r>
      <w:r w:rsidRPr="00203EB0">
        <w:rPr>
          <w:rFonts w:cs="Times New Roman"/>
        </w:rPr>
        <w:instrText>ADDIN CSL_CITATION {"citationItems":[{"id":"ITEM-1","itemData":{"DOI":"10.1016/j.agee.2020.107007","ISSN":"01678809","abstract":"Resilient agroecosystems are foundational for stable and profitable food, feed, and fiber production in the face of increasing climatic perturbations and environmental stresses. Enhanced soil and environmental benefits of cover crops applied to conservation tillage systems has been well documented. However, little is known about the timespan for interactions of no tillage and cover crops to achieve enhanced yield and yield stability while lowering N fertilization. Using a long-term continuous cotton experiment in southeastern USA, we analyzed yield data collected from 1986 to 2018 from 32 management systems to identify how management duration controls the synergistic effect of applied mineral N rates (0, 34, 67, and 101 kg ha−1), cover crops (no cover [NC], hairy vetch [HV], crimson clover [CC], and winter wheat [WW]), and tillage practices (no tillage [NT] and conventional tillage [CT]) on cotton yield and yield stability. Yield stability was analyzed using Finlay—Wilkinson regression model, Wricke's Ecovalance, and coefficient of variation, and a mixed model approach was used to compare the yield and yield stability within three time phases (1−10 years, 11–20 years, and 21−33 years) at the 95% confidence level. During the initial 10 yr period (phase 1) CT resulted in greater cotton yield (7%) and yield stability than NT. However, in phase 2 (11–20 years) and phase 3 (21−33 years) NT led to greater yield (7%) and yield stability for almost all cover crop × N interactions, except for zero N following NC and WW. Increased N during the initial phase reduced both yield and yield stability under legume cover crops. During phases 2 and 3, however, the higher N rates (67 and 101 kg N ha−1) increased cotton yield, although management systems with 0 and 101 kg N ha−1 showed the largest temporal yield variability. Legume cover crops increased yield and yield stability under low N rates. The maximum combined yield and yield stability benefit was obtained from HV cover on NT with additional application of 34 kg N ha−1. Our results suggest that after the initial phase NT delivers the most consistent yield benefits while enhancing yield stability against unfavorable environmental conditions. Long-term integration of legume cover crops (particularly HV) to NT systems was effective in maintaining high yield and increasing yield stability while lowering N rates.","author":[{"dropping-particle":"","family":"Nouri","given":"Amin","non-dropping-particle":"","parse-names":false,"suffix":""},{"dropping-particle":"","family":"Lee","given":"Jaehoon","non-dropping-particle":"","parse-names":false,"suffix":""},{"dropping-particle":"","family":"Yoder","given":"Daniel C.","non-dropping-particle":"","parse-names":false,"suffix":""},{"dropping-particle":"","family":"Jagadamma","given":"Sindhu","non-dropping-particle":"","parse-names":false,"suffix":""},{"dropping-particle":"","family":"Walker","given":"Forbes R.","non-dropping-particle":"","parse-names":false,"suffix":""},{"dropping-particle":"","family":"Yin","given":"Xinhua","non-dropping-particle":"","parse-names":false,"suffix":""},{"dropping-particle":"","family":"Arelli","given":"Prakash","non-dropping-particle":"","parse-names":false,"suffix":""}],"container-title":"Agriculture, Ecosystems and Environment","id":"ITEM-1","issued":{"date-parts":[["2020"]]},"page":"107007","publisher":"Elsevier","title":"Management duration controls the synergistic effect of tillage, cover crop, and nitrogen rate on cotton yield and yield stability","type":"article-journal","volume":"301"},"uris":["http://www.mendeley.com/documents/?uuid=256f2cd2-23e2-4c11-bb8a-0aa13549a3d8"]}],"mendeley":{"formattedCitation":"(Nouri et al., 2020)","manualFormatting":"Nouri et al. (2020)","plainTextFormattedCitation":"(Nouri et al., 2020)","previouslyFormattedCitation":"(Nouri et al., 2020)"},"properties":{"noteIndex":0},"schema":"https://github.com/citation-style-language/schema/raw/master/csl-citation.json"}</w:instrText>
      </w:r>
      <w:r w:rsidRPr="00203EB0">
        <w:rPr>
          <w:rFonts w:cs="Times New Roman"/>
        </w:rPr>
        <w:fldChar w:fldCharType="separate"/>
      </w:r>
      <w:r w:rsidRPr="00203EB0">
        <w:rPr>
          <w:rFonts w:cs="Times New Roman"/>
          <w:noProof/>
        </w:rPr>
        <w:t>Nouri et al. (2020)</w:t>
      </w:r>
      <w:r w:rsidRPr="00203EB0">
        <w:rPr>
          <w:rFonts w:cs="Times New Roman"/>
        </w:rPr>
        <w:fldChar w:fldCharType="end"/>
      </w:r>
      <w:r w:rsidRPr="00203EB0">
        <w:rPr>
          <w:rFonts w:cs="Times New Roman"/>
        </w:rPr>
        <w:t xml:space="preserve">. For this study, 32 HV </w:t>
      </w:r>
      <w:r w:rsidR="00D82CF0" w:rsidRPr="00203EB0">
        <w:rPr>
          <w:rFonts w:cs="Times New Roman"/>
        </w:rPr>
        <w:t>sub</w:t>
      </w:r>
      <w:r w:rsidRPr="00203EB0">
        <w:rPr>
          <w:rFonts w:cs="Times New Roman"/>
        </w:rPr>
        <w:t>plots w</w:t>
      </w:r>
      <w:r w:rsidR="00D82CF0" w:rsidRPr="00203EB0">
        <w:rPr>
          <w:rFonts w:cs="Times New Roman"/>
        </w:rPr>
        <w:t xml:space="preserve">ere </w:t>
      </w:r>
      <w:r w:rsidRPr="00203EB0">
        <w:rPr>
          <w:rFonts w:cs="Times New Roman"/>
        </w:rPr>
        <w:t>used</w:t>
      </w:r>
      <w:r w:rsidR="00D82CF0" w:rsidRPr="00203EB0">
        <w:rPr>
          <w:rFonts w:cs="Times New Roman"/>
        </w:rPr>
        <w:t>, which</w:t>
      </w:r>
      <w:r w:rsidRPr="00203EB0">
        <w:rPr>
          <w:rFonts w:cs="Times New Roman"/>
        </w:rPr>
        <w:t xml:space="preserve"> include</w:t>
      </w:r>
      <w:r w:rsidR="00D82CF0" w:rsidRPr="00203EB0">
        <w:rPr>
          <w:rFonts w:cs="Times New Roman"/>
        </w:rPr>
        <w:t>d</w:t>
      </w:r>
      <w:r w:rsidRPr="00203EB0">
        <w:rPr>
          <w:rFonts w:cs="Times New Roman"/>
        </w:rPr>
        <w:t xml:space="preserve"> four </w:t>
      </w:r>
      <w:r w:rsidR="00D82CF0" w:rsidRPr="00203EB0">
        <w:rPr>
          <w:rFonts w:cs="Times New Roman"/>
        </w:rPr>
        <w:t xml:space="preserve">N </w:t>
      </w:r>
      <w:r w:rsidRPr="00203EB0">
        <w:rPr>
          <w:rFonts w:cs="Times New Roman"/>
        </w:rPr>
        <w:t>levels (0, 34, 67, 101 kg N ha</w:t>
      </w:r>
      <w:r w:rsidRPr="00203EB0">
        <w:rPr>
          <w:rFonts w:cs="Times New Roman"/>
          <w:vertAlign w:val="superscript"/>
        </w:rPr>
        <w:t>-1</w:t>
      </w:r>
      <w:r w:rsidRPr="00203EB0">
        <w:rPr>
          <w:rFonts w:cs="Times New Roman"/>
        </w:rPr>
        <w:t>) and two tillage</w:t>
      </w:r>
      <w:r w:rsidR="00D82CF0" w:rsidRPr="00203EB0">
        <w:rPr>
          <w:rFonts w:cs="Times New Roman"/>
        </w:rPr>
        <w:t xml:space="preserve"> levels</w:t>
      </w:r>
      <w:r w:rsidRPr="00203EB0">
        <w:rPr>
          <w:rFonts w:cs="Times New Roman"/>
        </w:rPr>
        <w:t xml:space="preserve"> (NT and conventional tillage; CT). This combination resulted in eight treatments: CT-0N, CT-34N, CT-67N, CT-101N, NT-0N, NT-34N, NT-67N, and NT-101N – with four replicates each. Fertilization and tillage treatments were applied during the preceding cotton crop, </w:t>
      </w:r>
      <w:r w:rsidR="00D82CF0" w:rsidRPr="00203EB0">
        <w:rPr>
          <w:rFonts w:cs="Times New Roman"/>
        </w:rPr>
        <w:t xml:space="preserve">while </w:t>
      </w:r>
      <w:r w:rsidRPr="00203EB0">
        <w:rPr>
          <w:rFonts w:cs="Times New Roman"/>
        </w:rPr>
        <w:t xml:space="preserve">N fixation and N status were evaluated </w:t>
      </w:r>
      <w:r w:rsidR="00D82CF0" w:rsidRPr="00203EB0">
        <w:rPr>
          <w:rFonts w:cs="Times New Roman"/>
        </w:rPr>
        <w:t>in</w:t>
      </w:r>
      <w:r w:rsidRPr="00203EB0">
        <w:rPr>
          <w:rFonts w:cs="Times New Roman"/>
        </w:rPr>
        <w:t xml:space="preserve"> the HV during the subsequent cover crop phase. </w:t>
      </w:r>
    </w:p>
    <w:p w14:paraId="7D698A6A" w14:textId="3D7F8443" w:rsidR="002B3951" w:rsidRPr="00203EB0" w:rsidRDefault="006120D1" w:rsidP="003E7C0C">
      <w:pPr>
        <w:pStyle w:val="Heading3"/>
        <w:spacing w:line="480" w:lineRule="auto"/>
      </w:pPr>
      <w:bookmarkStart w:id="20" w:name="_Toc206669107"/>
      <w:r w:rsidRPr="00203EB0">
        <w:t>Plant and soil measurements</w:t>
      </w:r>
      <w:bookmarkEnd w:id="20"/>
    </w:p>
    <w:p w14:paraId="4CBFED31" w14:textId="1048DB31" w:rsidR="006120D1" w:rsidRPr="00203EB0" w:rsidRDefault="006120D1" w:rsidP="003E7C0C">
      <w:pPr>
        <w:spacing w:line="480" w:lineRule="auto"/>
        <w:rPr>
          <w:rFonts w:cs="Times New Roman"/>
          <w:iCs/>
        </w:rPr>
      </w:pPr>
      <w:r w:rsidRPr="00203EB0">
        <w:rPr>
          <w:rFonts w:cs="Times New Roman"/>
          <w:iCs/>
        </w:rPr>
        <w:t>Prior to HV termination each year</w:t>
      </w:r>
      <w:r w:rsidR="0022524C" w:rsidRPr="00203EB0">
        <w:rPr>
          <w:rFonts w:cs="Times New Roman"/>
          <w:iCs/>
        </w:rPr>
        <w:t xml:space="preserve"> in April-May</w:t>
      </w:r>
      <w:r w:rsidRPr="00203EB0">
        <w:rPr>
          <w:rFonts w:cs="Times New Roman"/>
          <w:iCs/>
        </w:rPr>
        <w:t>, aboveground plant biomass wa</w:t>
      </w:r>
      <w:r w:rsidR="00575760">
        <w:rPr>
          <w:rFonts w:cs="Times New Roman"/>
          <w:iCs/>
        </w:rPr>
        <w:t>s collected from each plot</w:t>
      </w:r>
      <w:r w:rsidRPr="00203EB0">
        <w:rPr>
          <w:rFonts w:cs="Times New Roman"/>
          <w:iCs/>
        </w:rPr>
        <w:t xml:space="preserve"> to determine total dry matter (DM) production. Total N and natural abundance of </w:t>
      </w:r>
      <w:r w:rsidRPr="00203EB0">
        <w:rPr>
          <w:rFonts w:cs="Times New Roman"/>
          <w:iCs/>
          <w:vertAlign w:val="superscript"/>
        </w:rPr>
        <w:t>15</w:t>
      </w:r>
      <w:r w:rsidRPr="00203EB0">
        <w:rPr>
          <w:rFonts w:cs="Times New Roman"/>
          <w:iCs/>
        </w:rPr>
        <w:t>N, expressed as δ</w:t>
      </w:r>
      <w:r w:rsidRPr="00203EB0">
        <w:rPr>
          <w:rFonts w:cs="Times New Roman"/>
          <w:iCs/>
          <w:vertAlign w:val="superscript"/>
        </w:rPr>
        <w:t>15</w:t>
      </w:r>
      <w:r w:rsidRPr="00203EB0">
        <w:rPr>
          <w:rFonts w:cs="Times New Roman"/>
          <w:iCs/>
        </w:rPr>
        <w:t>N, were analyzed in both HV and associated non-legume reference plants (broadleaf weeds</w:t>
      </w:r>
      <w:r w:rsidR="00575760">
        <w:rPr>
          <w:rFonts w:cs="Times New Roman"/>
          <w:iCs/>
        </w:rPr>
        <w:t xml:space="preserve"> such as </w:t>
      </w:r>
      <w:r w:rsidR="00575760" w:rsidRPr="00575760">
        <w:rPr>
          <w:rFonts w:cs="Times New Roman"/>
          <w:i/>
        </w:rPr>
        <w:t xml:space="preserve">Stellaria media </w:t>
      </w:r>
      <w:r w:rsidR="00575760">
        <w:rPr>
          <w:rFonts w:cs="Times New Roman"/>
          <w:iCs/>
        </w:rPr>
        <w:t xml:space="preserve">and </w:t>
      </w:r>
      <w:r w:rsidR="00575760" w:rsidRPr="00575760">
        <w:rPr>
          <w:rFonts w:cs="Times New Roman"/>
          <w:i/>
        </w:rPr>
        <w:t>Plantago major</w:t>
      </w:r>
      <w:r w:rsidRPr="00203EB0">
        <w:rPr>
          <w:rFonts w:cs="Times New Roman"/>
          <w:iCs/>
        </w:rPr>
        <w:t>)</w:t>
      </w:r>
      <w:r w:rsidR="008E2C38">
        <w:rPr>
          <w:rFonts w:cs="Times New Roman"/>
          <w:iCs/>
        </w:rPr>
        <w:t xml:space="preserve"> in each plot</w:t>
      </w:r>
      <w:r w:rsidRPr="00203EB0">
        <w:rPr>
          <w:rFonts w:cs="Times New Roman"/>
          <w:iCs/>
        </w:rPr>
        <w:t xml:space="preserve">, following recommendations by </w:t>
      </w:r>
      <w:r w:rsidRPr="00203EB0">
        <w:rPr>
          <w:rFonts w:cs="Times New Roman"/>
          <w:iCs/>
        </w:rPr>
        <w:fldChar w:fldCharType="begin" w:fldLock="1"/>
      </w:r>
      <w:r w:rsidRPr="00203EB0">
        <w:rPr>
          <w:rFonts w:cs="Times New Roman"/>
          <w:iCs/>
        </w:rPr>
        <w:instrText>ADDIN CSL_CITATION {"citationItems":[{"id":"ITEM-1","itemData":{"DOI":"10.1007/s11431-006-0257-5","ISSN":"10069321","abstract":"Coupled with hot-continuous rolling technology and based on the calculation of the finishing rolling impact work in the non-quenched and tempered Si-Mn steel, the calculations of the finishing rolling impact work in the alloying non-quenched and tempered steel with the elements of Cr, Ni, Mo, W, Cu, V, Nb and Ti are studied with the covalent electron number n A of the strongest bond in alloying phases, the smallest electron density difference Δρ of phase interfaces, and the number of atom states σ(σ') which keep the interface electron density continuous. The calculated results show that the finishing rolling impact work of the alloying non-quenched and tempered steel intensely depends on strengthening mechanisms. The solution strengthening, interface strengthening, precipitation strengthening of pearlite, and dispersion strengthening will result in the decrease of the finishing rolling impact work; the refinement strengthening, the precipitation strengthening of V, Nb and Ti in α-Fe-C-V(Nb, Ti), and the residual austenite containing Ni on the boundary of α-Fe-C-Ni will increase the impact work; and the increments or decrements can be calculated with n A, Δρ, σ(σ') and weights of alloying elements. The calculation formulas of the finishing rolling impact work in this paper are intergraded with the suggested ones of the finishing rolling tensile strength, yield strength, and elongation of the non-quenched and tempered steel. The calculated results agree well with the measured ones. © Science in China Press 2006.","author":[{"dropping-particle":"","family":"Unkovich","given":"Murray","non-dropping-particle":"","parse-names":false,"suffix":""},{"dropping-particle":"","family":"Herridge","given":"David","non-dropping-particle":"","parse-names":false,"suffix":""},{"dropping-particle":"","family":"Peoples","given":"Mark","non-dropping-particle":"","parse-names":false,"suffix":""},{"dropping-particle":"","family":"Cadisch","given":"Georg","non-dropping-particle":"","parse-names":false,"suffix":""},{"dropping-particle":"","family":"Boddey","given":"Bob","non-dropping-particle":"","parse-names":false,"suffix":""},{"dropping-particle":"","family":"Giller","given":"Ken","non-dropping-particle":"","parse-names":false,"suffix":""},{"dropping-particle":"","family":"Alves","given":"Bruno","non-dropping-particle":"","parse-names":false,"suffix":""},{"dropping-particle":"","family":"Chalk","given":"Phillip","non-dropping-particle":"","parse-names":false,"suffix":""}],"container-title":"ACIAR Monograph","id":"ITEM-1","issue":"3","issued":{"date-parts":[["2008"]]},"number-of-pages":"258","title":"Measuring plan-associated nitrogen fixation in agricultural systems","type":"book","volume":"136"},"uris":["http://www.mendeley.com/documents/?uuid=253ed0f0-c407-40b0-8492-62c7f47042da"]}],"mendeley":{"formattedCitation":"(Unkovich et al., 2008)","manualFormatting":"Unkovich et al. (2008)","plainTextFormattedCitation":"(Unkovich et al., 2008)","previouslyFormattedCitation":"(Unkovich et al., 2008)"},"properties":{"noteIndex":0},"schema":"https://github.com/citation-style-language/schema/raw/master/csl-citation.json"}</w:instrText>
      </w:r>
      <w:r w:rsidRPr="00203EB0">
        <w:rPr>
          <w:rFonts w:cs="Times New Roman"/>
          <w:iCs/>
        </w:rPr>
        <w:fldChar w:fldCharType="separate"/>
      </w:r>
      <w:r w:rsidRPr="00203EB0">
        <w:rPr>
          <w:rFonts w:cs="Times New Roman"/>
          <w:iCs/>
          <w:noProof/>
        </w:rPr>
        <w:t>Unkovich et al. (2008)</w:t>
      </w:r>
      <w:r w:rsidRPr="00203EB0">
        <w:rPr>
          <w:rFonts w:cs="Times New Roman"/>
          <w:iCs/>
        </w:rPr>
        <w:fldChar w:fldCharType="end"/>
      </w:r>
      <w:r w:rsidRPr="00203EB0">
        <w:rPr>
          <w:rFonts w:cs="Times New Roman"/>
          <w:iCs/>
        </w:rPr>
        <w:t xml:space="preserve">. </w:t>
      </w:r>
    </w:p>
    <w:p w14:paraId="79FB61F0" w14:textId="7D78F979" w:rsidR="006120D1" w:rsidRPr="00203EB0" w:rsidRDefault="006120D1" w:rsidP="006120D1">
      <w:pPr>
        <w:spacing w:line="480" w:lineRule="auto"/>
        <w:rPr>
          <w:rFonts w:cs="Times New Roman"/>
          <w:iCs/>
        </w:rPr>
      </w:pPr>
      <w:r w:rsidRPr="00203EB0">
        <w:rPr>
          <w:rFonts w:cs="Times New Roman"/>
          <w:iCs/>
        </w:rPr>
        <w:t xml:space="preserve">BNF was estimated </w:t>
      </w:r>
      <w:r w:rsidR="001D2EB6" w:rsidRPr="00203EB0">
        <w:rPr>
          <w:rFonts w:cs="Times New Roman"/>
          <w:iCs/>
        </w:rPr>
        <w:t>as the percentage of N derived from atmosphere (%</w:t>
      </w:r>
      <w:proofErr w:type="spellStart"/>
      <w:r w:rsidR="001D2EB6" w:rsidRPr="00203EB0">
        <w:rPr>
          <w:rFonts w:cs="Times New Roman"/>
          <w:iCs/>
        </w:rPr>
        <w:t>Ndfa</w:t>
      </w:r>
      <w:proofErr w:type="spellEnd"/>
      <w:r w:rsidR="001D2EB6" w:rsidRPr="00203EB0">
        <w:rPr>
          <w:rFonts w:cs="Times New Roman"/>
          <w:iCs/>
        </w:rPr>
        <w:t>)</w:t>
      </w:r>
      <w:r w:rsidR="001D5565" w:rsidRPr="00203EB0">
        <w:rPr>
          <w:rFonts w:cs="Times New Roman"/>
          <w:iCs/>
        </w:rPr>
        <w:t xml:space="preserve"> </w:t>
      </w:r>
      <w:r w:rsidRPr="00203EB0">
        <w:rPr>
          <w:rFonts w:cs="Times New Roman"/>
          <w:iCs/>
        </w:rPr>
        <w:t xml:space="preserve">using the </w:t>
      </w:r>
      <w:r w:rsidRPr="00203EB0">
        <w:rPr>
          <w:rFonts w:cs="Times New Roman"/>
          <w:iCs/>
          <w:vertAlign w:val="superscript"/>
        </w:rPr>
        <w:t>15</w:t>
      </w:r>
      <w:r w:rsidRPr="00203EB0">
        <w:rPr>
          <w:rFonts w:cs="Times New Roman"/>
          <w:iCs/>
        </w:rPr>
        <w:t>N natural abundance method based on the δ</w:t>
      </w:r>
      <w:r w:rsidRPr="00203EB0">
        <w:rPr>
          <w:rFonts w:cs="Times New Roman"/>
          <w:iCs/>
          <w:vertAlign w:val="superscript"/>
        </w:rPr>
        <w:t>15</w:t>
      </w:r>
      <w:r w:rsidRPr="00203EB0">
        <w:rPr>
          <w:rFonts w:cs="Times New Roman"/>
          <w:iCs/>
        </w:rPr>
        <w:t>N values of the legume (δ</w:t>
      </w:r>
      <w:r w:rsidRPr="00203EB0">
        <w:rPr>
          <w:rFonts w:cs="Times New Roman"/>
          <w:iCs/>
          <w:vertAlign w:val="superscript"/>
        </w:rPr>
        <w:t>15</w:t>
      </w:r>
      <w:r w:rsidRPr="00203EB0">
        <w:rPr>
          <w:rFonts w:cs="Times New Roman"/>
          <w:iCs/>
        </w:rPr>
        <w:t>N</w:t>
      </w:r>
      <w:r w:rsidRPr="00203EB0">
        <w:rPr>
          <w:rFonts w:cs="Times New Roman"/>
          <w:iCs/>
          <w:vertAlign w:val="subscript"/>
        </w:rPr>
        <w:t>legume</w:t>
      </w:r>
      <w:r w:rsidRPr="00203EB0">
        <w:rPr>
          <w:rFonts w:cs="Times New Roman"/>
          <w:iCs/>
        </w:rPr>
        <w:t>), the non-fixing reference plant (δ</w:t>
      </w:r>
      <w:r w:rsidRPr="00203EB0">
        <w:rPr>
          <w:rFonts w:cs="Times New Roman"/>
          <w:iCs/>
          <w:vertAlign w:val="superscript"/>
        </w:rPr>
        <w:t>15</w:t>
      </w:r>
      <w:r w:rsidRPr="00203EB0">
        <w:rPr>
          <w:rFonts w:cs="Times New Roman"/>
          <w:iCs/>
        </w:rPr>
        <w:t>N</w:t>
      </w:r>
      <w:r w:rsidRPr="00203EB0">
        <w:rPr>
          <w:rFonts w:cs="Times New Roman"/>
          <w:iCs/>
          <w:vertAlign w:val="subscript"/>
        </w:rPr>
        <w:t>ref</w:t>
      </w:r>
      <w:r w:rsidRPr="00203EB0">
        <w:rPr>
          <w:rFonts w:cs="Times New Roman"/>
          <w:iCs/>
        </w:rPr>
        <w:t xml:space="preserve">), and a published reference B-value (-0.79‰; </w:t>
      </w:r>
      <w:r w:rsidRPr="00203EB0">
        <w:rPr>
          <w:rFonts w:cs="Times New Roman"/>
          <w:iCs/>
        </w:rPr>
        <w:fldChar w:fldCharType="begin" w:fldLock="1"/>
      </w:r>
      <w:r w:rsidRPr="00203EB0">
        <w:rPr>
          <w:rFonts w:cs="Times New Roman"/>
          <w:iCs/>
        </w:rPr>
        <w:instrText>ADDIN CSL_CITATION {"citationItems":[{"id":"ITEM-1","itemData":{"DOI":"10.1007/s11431-006-0257-5","ISSN":"10069321","abstract":"Coupled with hot-continuous rolling technology and based on the calculation of the finishing rolling impact work in the non-quenched and tempered Si-Mn steel, the calculations of the finishing rolling impact work in the alloying non-quenched and tempered steel with the elements of Cr, Ni, Mo, W, Cu, V, Nb and Ti are studied with the covalent electron number n A of the strongest bond in alloying phases, the smallest electron density difference Δρ of phase interfaces, and the number of atom states σ(σ') which keep the interface electron density continuous. The calculated results show that the finishing rolling impact work of the alloying non-quenched and tempered steel intensely depends on strengthening mechanisms. The solution strengthening, interface strengthening, precipitation strengthening of pearlite, and dispersion strengthening will result in the decrease of the finishing rolling impact work; the refinement strengthening, the precipitation strengthening of V, Nb and Ti in α-Fe-C-V(Nb, Ti), and the residual austenite containing Ni on the boundary of α-Fe-C-Ni will increase the impact work; and the increments or decrements can be calculated with n A, Δρ, σ(σ') and weights of alloying elements. The calculation formulas of the finishing rolling impact work in this paper are intergraded with the suggested ones of the finishing rolling tensile strength, yield strength, and elongation of the non-quenched and tempered steel. The calculated results agree well with the measured ones. © Science in China Press 2006.","author":[{"dropping-particle":"","family":"Unkovich","given":"Murray","non-dropping-particle":"","parse-names":false,"suffix":""},{"dropping-particle":"","family":"Herridge","given":"David","non-dropping-particle":"","parse-names":false,"suffix":""},{"dropping-particle":"","family":"Peoples","given":"Mark","non-dropping-particle":"","parse-names":false,"suffix":""},{"dropping-particle":"","family":"Cadisch","given":"Georg","non-dropping-particle":"","parse-names":false,"suffix":""},{"dropping-particle":"","family":"Boddey","given":"Bob","non-dropping-particle":"","parse-names":false,"suffix":""},{"dropping-particle":"","family":"Giller","given":"Ken","non-dropping-particle":"","parse-names":false,"suffix":""},{"dropping-particle":"","family":"Alves","given":"Bruno","non-dropping-particle":"","parse-names":false,"suffix":""},{"dropping-particle":"","family":"Chalk","given":"Phillip","non-dropping-particle":"","parse-names":false,"suffix":""}],"container-title":"ACIAR Monograph","id":"ITEM-1","issue":"3","issued":{"date-parts":[["2008"]]},"number-of-pages":"258","title":"Measuring plan-associated nitrogen fixation in agricultural systems","type":"book","volume":"136"},"uris":["http://www.mendeley.com/documents/?uuid=253ed0f0-c407-40b0-8492-62c7f47042da"]}],"mendeley":{"formattedCitation":"(Unkovich et al., 2008)","manualFormatting":"Unkovich et al., 2008)","plainTextFormattedCitation":"(Unkovich et al., 2008)","previouslyFormattedCitation":"(Unkovich et al., 2008)"},"properties":{"noteIndex":0},"schema":"https://github.com/citation-style-language/schema/raw/master/csl-citation.json"}</w:instrText>
      </w:r>
      <w:r w:rsidRPr="00203EB0">
        <w:rPr>
          <w:rFonts w:cs="Times New Roman"/>
          <w:iCs/>
        </w:rPr>
        <w:fldChar w:fldCharType="separate"/>
      </w:r>
      <w:r w:rsidRPr="00203EB0">
        <w:rPr>
          <w:rFonts w:cs="Times New Roman"/>
          <w:iCs/>
          <w:noProof/>
        </w:rPr>
        <w:t>Unkovich et al., 2008)</w:t>
      </w:r>
      <w:r w:rsidRPr="00203EB0">
        <w:rPr>
          <w:rFonts w:cs="Times New Roman"/>
          <w:iCs/>
        </w:rPr>
        <w:fldChar w:fldCharType="end"/>
      </w:r>
      <w:r w:rsidRPr="00203EB0">
        <w:rPr>
          <w:rFonts w:cs="Times New Roman"/>
          <w:iCs/>
        </w:rPr>
        <w:t xml:space="preserve">, </w:t>
      </w:r>
      <w:r w:rsidR="008B1F2C">
        <w:rPr>
          <w:rFonts w:cs="Times New Roman"/>
          <w:iCs/>
        </w:rPr>
        <w:t xml:space="preserve">which represents the </w:t>
      </w:r>
      <w:r w:rsidR="008B1F2C" w:rsidRPr="00203EB0">
        <w:rPr>
          <w:rFonts w:cs="Times New Roman"/>
          <w:iCs/>
        </w:rPr>
        <w:t>δ</w:t>
      </w:r>
      <w:r w:rsidR="008B1F2C" w:rsidRPr="00203EB0">
        <w:rPr>
          <w:rFonts w:cs="Times New Roman"/>
          <w:iCs/>
          <w:vertAlign w:val="superscript"/>
        </w:rPr>
        <w:t>15</w:t>
      </w:r>
      <w:r w:rsidR="008B1F2C" w:rsidRPr="00203EB0">
        <w:rPr>
          <w:rFonts w:cs="Times New Roman"/>
          <w:iCs/>
        </w:rPr>
        <w:t xml:space="preserve">N </w:t>
      </w:r>
      <w:r w:rsidR="008B1F2C">
        <w:rPr>
          <w:rFonts w:cs="Times New Roman"/>
          <w:iCs/>
        </w:rPr>
        <w:t>of the legume when entirely dependent on atmospheric N</w:t>
      </w:r>
      <w:r w:rsidR="008B1F2C" w:rsidRPr="008B1F2C">
        <w:rPr>
          <w:rFonts w:cs="Times New Roman"/>
          <w:iCs/>
          <w:vertAlign w:val="subscript"/>
        </w:rPr>
        <w:t>2</w:t>
      </w:r>
      <w:r w:rsidR="008B1F2C">
        <w:rPr>
          <w:rFonts w:cs="Times New Roman"/>
          <w:iCs/>
        </w:rPr>
        <w:t xml:space="preserve">, </w:t>
      </w:r>
      <w:r w:rsidRPr="00203EB0">
        <w:rPr>
          <w:rFonts w:cs="Times New Roman"/>
          <w:iCs/>
        </w:rPr>
        <w:t>according to Equation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3"/>
        <w:gridCol w:w="5742"/>
        <w:gridCol w:w="1545"/>
      </w:tblGrid>
      <w:tr w:rsidR="00E90D52" w:rsidRPr="00203EB0" w14:paraId="34B595EC" w14:textId="77777777" w:rsidTr="00E90D52">
        <w:tc>
          <w:tcPr>
            <w:tcW w:w="1353" w:type="dxa"/>
          </w:tcPr>
          <w:p w14:paraId="485C5727" w14:textId="77777777" w:rsidR="00E90D52" w:rsidRPr="00203EB0" w:rsidRDefault="00E90D52" w:rsidP="00652800">
            <w:pPr>
              <w:spacing w:line="480" w:lineRule="auto"/>
              <w:rPr>
                <w:rFonts w:cs="Times New Roman"/>
              </w:rPr>
            </w:pPr>
          </w:p>
        </w:tc>
        <w:tc>
          <w:tcPr>
            <w:tcW w:w="5742" w:type="dxa"/>
          </w:tcPr>
          <w:p w14:paraId="19884059" w14:textId="77777777" w:rsidR="00E90D52" w:rsidRPr="00203EB0" w:rsidRDefault="00E90D52" w:rsidP="00652800">
            <w:pPr>
              <w:spacing w:line="480" w:lineRule="auto"/>
              <w:jc w:val="center"/>
              <w:rPr>
                <w:rFonts w:cs="Times New Roman"/>
              </w:rPr>
            </w:pPr>
            <m:oMathPara>
              <m:oMath>
                <m:r>
                  <w:rPr>
                    <w:rFonts w:ascii="Cambria Math" w:hAnsi="Cambria Math"/>
                  </w:rPr>
                  <m:t xml:space="preserve">Ndfa </m:t>
                </m:r>
                <m:d>
                  <m:dPr>
                    <m:ctrlPr>
                      <w:rPr>
                        <w:rFonts w:ascii="Cambria Math" w:hAnsi="Cambria Math"/>
                        <w:i/>
                      </w:rPr>
                    </m:ctrlPr>
                  </m:dPr>
                  <m:e>
                    <m:r>
                      <w:rPr>
                        <w:rFonts w:ascii="Cambria Math" w:hAnsi="Cambria Math"/>
                      </w:rPr>
                      <m:t>%</m:t>
                    </m:r>
                  </m:e>
                </m:d>
                <m: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cs="Times New Roman"/>
                          </w:rPr>
                          <m:t>δ</m:t>
                        </m:r>
                      </m:e>
                      <m:sup>
                        <m:r>
                          <w:rPr>
                            <w:rFonts w:ascii="Cambria Math" w:hAnsi="Cambria Math"/>
                          </w:rPr>
                          <m:t>15</m:t>
                        </m:r>
                      </m:sup>
                    </m:sSup>
                    <m:sSub>
                      <m:sSubPr>
                        <m:ctrlPr>
                          <w:rPr>
                            <w:rFonts w:ascii="Cambria Math" w:hAnsi="Cambria Math"/>
                          </w:rPr>
                        </m:ctrlPr>
                      </m:sSubPr>
                      <m:e>
                        <m:r>
                          <w:rPr>
                            <w:rFonts w:ascii="Cambria Math" w:hAnsi="Cambria Math"/>
                          </w:rPr>
                          <m:t>N</m:t>
                        </m:r>
                      </m:e>
                      <m:sub>
                        <m:r>
                          <w:rPr>
                            <w:rFonts w:ascii="Cambria Math" w:hAnsi="Cambria Math"/>
                          </w:rPr>
                          <m:t>ref</m:t>
                        </m:r>
                      </m:sub>
                    </m:sSub>
                    <m:r>
                      <m:rPr>
                        <m:sty m:val="p"/>
                      </m:rPr>
                      <w:rPr>
                        <w:rFonts w:ascii="Cambria Math" w:hAnsi="Cambria Math"/>
                      </w:rPr>
                      <m:t>-</m:t>
                    </m:r>
                    <m:sSup>
                      <m:sSupPr>
                        <m:ctrlPr>
                          <w:rPr>
                            <w:rFonts w:ascii="Cambria Math" w:hAnsi="Cambria Math"/>
                          </w:rPr>
                        </m:ctrlPr>
                      </m:sSupPr>
                      <m:e>
                        <m:r>
                          <m:rPr>
                            <m:sty m:val="p"/>
                          </m:rPr>
                          <w:rPr>
                            <w:rFonts w:ascii="Cambria Math" w:hAnsi="Cambria Math" w:cs="Times New Roman"/>
                          </w:rPr>
                          <m:t>δ</m:t>
                        </m:r>
                      </m:e>
                      <m:sup>
                        <m:r>
                          <w:rPr>
                            <w:rFonts w:ascii="Cambria Math" w:hAnsi="Cambria Math"/>
                          </w:rPr>
                          <m:t>15</m:t>
                        </m:r>
                      </m:sup>
                    </m:sSup>
                    <m:sSub>
                      <m:sSubPr>
                        <m:ctrlPr>
                          <w:rPr>
                            <w:rFonts w:ascii="Cambria Math" w:hAnsi="Cambria Math"/>
                          </w:rPr>
                        </m:ctrlPr>
                      </m:sSubPr>
                      <m:e>
                        <m:r>
                          <w:rPr>
                            <w:rFonts w:ascii="Cambria Math" w:hAnsi="Cambria Math"/>
                          </w:rPr>
                          <m:t>N</m:t>
                        </m:r>
                      </m:e>
                      <m:sub>
                        <m:r>
                          <w:rPr>
                            <w:rFonts w:ascii="Cambria Math" w:hAnsi="Cambria Math"/>
                          </w:rPr>
                          <m:t>legume</m:t>
                        </m:r>
                      </m:sub>
                    </m:sSub>
                  </m:num>
                  <m:den>
                    <m:sSup>
                      <m:sSupPr>
                        <m:ctrlPr>
                          <w:rPr>
                            <w:rFonts w:ascii="Cambria Math" w:hAnsi="Cambria Math"/>
                          </w:rPr>
                        </m:ctrlPr>
                      </m:sSupPr>
                      <m:e>
                        <m:r>
                          <m:rPr>
                            <m:sty m:val="p"/>
                          </m:rPr>
                          <w:rPr>
                            <w:rFonts w:ascii="Cambria Math" w:hAnsi="Cambria Math" w:cs="Times New Roman"/>
                          </w:rPr>
                          <m:t>δ</m:t>
                        </m:r>
                      </m:e>
                      <m:sup>
                        <m:r>
                          <w:rPr>
                            <w:rFonts w:ascii="Cambria Math" w:hAnsi="Cambria Math"/>
                          </w:rPr>
                          <m:t>15</m:t>
                        </m:r>
                      </m:sup>
                    </m:sSup>
                    <m:sSub>
                      <m:sSubPr>
                        <m:ctrlPr>
                          <w:rPr>
                            <w:rFonts w:ascii="Cambria Math" w:hAnsi="Cambria Math"/>
                          </w:rPr>
                        </m:ctrlPr>
                      </m:sSubPr>
                      <m:e>
                        <m:r>
                          <w:rPr>
                            <w:rFonts w:ascii="Cambria Math" w:hAnsi="Cambria Math"/>
                          </w:rPr>
                          <m:t>N</m:t>
                        </m:r>
                      </m:e>
                      <m:sub>
                        <m:r>
                          <w:rPr>
                            <w:rFonts w:ascii="Cambria Math" w:hAnsi="Cambria Math"/>
                          </w:rPr>
                          <m:t>ref</m:t>
                        </m:r>
                      </m:sub>
                    </m:sSub>
                    <m:r>
                      <m:rPr>
                        <m:sty m:val="p"/>
                      </m:rPr>
                      <w:rPr>
                        <w:rFonts w:ascii="Cambria Math" w:hAnsi="Cambria Math"/>
                      </w:rPr>
                      <m:t>-</m:t>
                    </m:r>
                    <m:r>
                      <w:rPr>
                        <w:rFonts w:ascii="Cambria Math" w:hAnsi="Cambria Math"/>
                      </w:rPr>
                      <m:t>B</m:t>
                    </m:r>
                  </m:den>
                </m:f>
              </m:oMath>
            </m:oMathPara>
          </w:p>
        </w:tc>
        <w:tc>
          <w:tcPr>
            <w:tcW w:w="1545" w:type="dxa"/>
          </w:tcPr>
          <w:p w14:paraId="1B194D42" w14:textId="77777777" w:rsidR="00E90D52" w:rsidRPr="00203EB0" w:rsidRDefault="00E90D52" w:rsidP="00652800">
            <w:pPr>
              <w:spacing w:line="480" w:lineRule="auto"/>
              <w:jc w:val="center"/>
              <w:rPr>
                <w:rFonts w:cs="Times New Roman"/>
              </w:rPr>
            </w:pPr>
            <w:r w:rsidRPr="00203EB0">
              <w:rPr>
                <w:rFonts w:cs="Times New Roman"/>
              </w:rPr>
              <w:t>Equation 1</w:t>
            </w:r>
          </w:p>
        </w:tc>
      </w:tr>
    </w:tbl>
    <w:p w14:paraId="70BB6E3B" w14:textId="7BDB4532" w:rsidR="00E90D52" w:rsidRPr="00203EB0" w:rsidRDefault="001931C5" w:rsidP="00E90D52">
      <w:pPr>
        <w:spacing w:line="480" w:lineRule="auto"/>
        <w:rPr>
          <w:rFonts w:cs="Times New Roman"/>
          <w:iCs/>
        </w:rPr>
      </w:pPr>
      <w:r w:rsidRPr="00203EB0">
        <w:rPr>
          <w:rFonts w:cs="Times New Roman"/>
          <w:iCs/>
        </w:rPr>
        <w:t>W</w:t>
      </w:r>
      <w:r w:rsidR="00E90D52" w:rsidRPr="00203EB0">
        <w:rPr>
          <w:rFonts w:cs="Times New Roman"/>
          <w:iCs/>
        </w:rPr>
        <w:t xml:space="preserve">e </w:t>
      </w:r>
      <w:r w:rsidRPr="00203EB0">
        <w:rPr>
          <w:rFonts w:cs="Times New Roman"/>
          <w:iCs/>
        </w:rPr>
        <w:t xml:space="preserve">additionally </w:t>
      </w:r>
      <w:r w:rsidR="00E90D52" w:rsidRPr="00203EB0">
        <w:rPr>
          <w:rFonts w:cs="Times New Roman"/>
          <w:iCs/>
        </w:rPr>
        <w:t>estimated</w:t>
      </w:r>
      <w:r w:rsidRPr="00203EB0">
        <w:rPr>
          <w:rFonts w:cs="Times New Roman"/>
          <w:iCs/>
        </w:rPr>
        <w:t xml:space="preserve"> total N uptake (plant N concentration × biomass), </w:t>
      </w:r>
      <w:r w:rsidR="00E90D52" w:rsidRPr="00203EB0">
        <w:rPr>
          <w:rFonts w:cs="Times New Roman"/>
          <w:iCs/>
        </w:rPr>
        <w:t>N fixed in HV aboveground biomass</w:t>
      </w:r>
      <w:r w:rsidRPr="00203EB0">
        <w:rPr>
          <w:rFonts w:cs="Times New Roman"/>
          <w:iCs/>
        </w:rPr>
        <w:t xml:space="preserve"> (%</w:t>
      </w:r>
      <w:proofErr w:type="spellStart"/>
      <w:r w:rsidRPr="00203EB0">
        <w:rPr>
          <w:rFonts w:cs="Times New Roman"/>
          <w:iCs/>
        </w:rPr>
        <w:t>Ndfa</w:t>
      </w:r>
      <w:proofErr w:type="spellEnd"/>
      <w:r w:rsidRPr="00203EB0">
        <w:rPr>
          <w:rFonts w:cs="Times New Roman"/>
          <w:iCs/>
        </w:rPr>
        <w:t xml:space="preserve"> × total N uptake)</w:t>
      </w:r>
      <w:r w:rsidR="00E90D52" w:rsidRPr="00203EB0">
        <w:rPr>
          <w:rFonts w:cs="Times New Roman"/>
          <w:iCs/>
        </w:rPr>
        <w:t xml:space="preserve">, </w:t>
      </w:r>
      <w:r w:rsidRPr="00203EB0">
        <w:rPr>
          <w:rFonts w:cs="Times New Roman"/>
          <w:iCs/>
        </w:rPr>
        <w:t xml:space="preserve">and </w:t>
      </w:r>
      <w:r w:rsidR="00E90D52" w:rsidRPr="00203EB0">
        <w:rPr>
          <w:rFonts w:cs="Times New Roman"/>
          <w:iCs/>
        </w:rPr>
        <w:t>N derived from soil</w:t>
      </w:r>
      <w:r w:rsidRPr="00203EB0">
        <w:rPr>
          <w:rFonts w:cs="Times New Roman"/>
          <w:iCs/>
        </w:rPr>
        <w:t xml:space="preserve"> (by difference </w:t>
      </w:r>
      <w:r w:rsidRPr="00203EB0">
        <w:rPr>
          <w:rFonts w:cs="Times New Roman"/>
          <w:iCs/>
        </w:rPr>
        <w:lastRenderedPageBreak/>
        <w:t xml:space="preserve">between total N uptake </w:t>
      </w:r>
      <w:r w:rsidR="002E2183" w:rsidRPr="00203EB0">
        <w:rPr>
          <w:rFonts w:cs="Times New Roman"/>
          <w:iCs/>
        </w:rPr>
        <w:t>and N fixed)</w:t>
      </w:r>
      <w:r w:rsidR="00E90D52" w:rsidRPr="00203EB0">
        <w:rPr>
          <w:rFonts w:cs="Times New Roman"/>
          <w:iCs/>
        </w:rPr>
        <w:t>,</w:t>
      </w:r>
      <w:r w:rsidR="002E2183" w:rsidRPr="00203EB0">
        <w:rPr>
          <w:rFonts w:cs="Times New Roman"/>
          <w:iCs/>
        </w:rPr>
        <w:t xml:space="preserve"> </w:t>
      </w:r>
      <w:r w:rsidR="00E90D52" w:rsidRPr="00203EB0">
        <w:rPr>
          <w:rFonts w:cs="Times New Roman"/>
          <w:iCs/>
        </w:rPr>
        <w:t xml:space="preserve">all expressed in kg N </w:t>
      </w:r>
      <w:r w:rsidRPr="00203EB0">
        <w:rPr>
          <w:rFonts w:cs="Times New Roman"/>
          <w:iCs/>
        </w:rPr>
        <w:t>Mg</w:t>
      </w:r>
      <w:r w:rsidR="00E90D52" w:rsidRPr="00203EB0">
        <w:rPr>
          <w:rFonts w:cs="Times New Roman"/>
          <w:iCs/>
          <w:vertAlign w:val="superscript"/>
        </w:rPr>
        <w:t>-1</w:t>
      </w:r>
      <w:r w:rsidR="00E52EC8">
        <w:rPr>
          <w:rFonts w:cs="Times New Roman"/>
          <w:iCs/>
          <w:vertAlign w:val="superscript"/>
        </w:rPr>
        <w:t xml:space="preserve"> </w:t>
      </w:r>
      <w:r w:rsidR="00E52EC8">
        <w:rPr>
          <w:rFonts w:cs="Times New Roman"/>
          <w:iCs/>
        </w:rPr>
        <w:t>to standardize N content per unit of dry biomass</w:t>
      </w:r>
      <w:r w:rsidR="00E90D52" w:rsidRPr="00203EB0">
        <w:rPr>
          <w:rFonts w:cs="Times New Roman"/>
          <w:iCs/>
        </w:rPr>
        <w:t xml:space="preserve">. </w:t>
      </w:r>
    </w:p>
    <w:p w14:paraId="6180C70A" w14:textId="1E3EB164" w:rsidR="00E90D52" w:rsidRPr="00203EB0" w:rsidRDefault="00E90D52" w:rsidP="00E90D52">
      <w:pPr>
        <w:spacing w:line="480" w:lineRule="auto"/>
        <w:rPr>
          <w:rFonts w:cs="Times New Roman"/>
          <w:iCs/>
        </w:rPr>
      </w:pPr>
      <w:r w:rsidRPr="00203EB0">
        <w:rPr>
          <w:rFonts w:cs="Times New Roman"/>
          <w:iCs/>
        </w:rPr>
        <w:t>To assess N status, we calculated the</w:t>
      </w:r>
      <w:r w:rsidRPr="00203EB0">
        <w:rPr>
          <w:rFonts w:cs="Times New Roman"/>
        </w:rPr>
        <w:t xml:space="preserve"> NNI, which compares actual tissue N concentration </w:t>
      </w:r>
      <w:r w:rsidRPr="00203EB0">
        <w:rPr>
          <w:rFonts w:cs="Times New Roman"/>
          <w:iCs/>
        </w:rPr>
        <w:t xml:space="preserve">(%N) to a critical concentration (%Nc) derived from the N dilution curve for legumes </w:t>
      </w:r>
      <w:r w:rsidRPr="00203EB0">
        <w:rPr>
          <w:rFonts w:cs="Times New Roman"/>
          <w:iCs/>
        </w:rPr>
        <w:fldChar w:fldCharType="begin" w:fldLock="1"/>
      </w:r>
      <w:r w:rsidRPr="00203EB0">
        <w:rPr>
          <w:rFonts w:cs="Times New Roman"/>
          <w:iCs/>
        </w:rPr>
        <w:instrText>ADDIN CSL_CITATION {"citationItems":[{"id":"ITEM-1","itemData":{"DOI":"10.1007/978-3-642-60684-7","abstract":"Jurnal ini membahas bagaimana koran kuning menerapkan Etika Jurnalisme dalam pemberitaannya. Koran Lampu Hijau dipilih sebagai obyek bahasan karena Lampu Hijau adalah salah satu Koran Kuning Indonesia yang masih bertahan hingga saat ini. Selain itu, penulis merasa penulisan berita di Lampu Hijau dapat dikatakan paling sensasional diantara Koran Kuning Indonesia lainnya. Dengan membahas Lampu Hijau, penulis berharap media di Indonesia dapat selayaknya menjadi jembatan yang kuat yang mampu mengedukasi dan memberikan informasi yang layak bagi masyarakat Indonesia.","author":[{"dropping-particle":"","family":"Lemaire","given":"Gilles","non-dropping-particle":"","parse-names":false,"suffix":""}],"container-title":"Etika Jurnalisme Pada Koran Kuning : Sebuah Studi Mengenai Koran Lampu Hijau","editor":[{"dropping-particle":"","family":"Lemaire","given":"Gilles","non-dropping-particle":"","parse-names":false,"suffix":""}],"id":"ITEM-1","issued":{"date-parts":[["1997"]]},"publisher":"Library of Congress Cataloging-in-Publication Data.","title":"Diagnosis of the nitrogen status in crops","type":"book"},"uris":["http://www.mendeley.com/documents/?uuid=519109d6-cbbf-4bca-8bbc-09a9de650fde"]},{"id":"ITEM-2","itemData":{"DOI":"10.1051/agro:19850803","author":[{"dropping-particle":"","family":"Lemaire","given":"Gilles","non-dropping-particle":"","parse-names":false,"suffix":""},{"dropping-particle":"","family":"Cruz","given":"Pablo","non-dropping-particle":"","parse-names":false,"suffix":""},{"dropping-particle":"","family":"Gosse","given":"Ghislain","non-dropping-particle":"","parse-names":false,"suffix":""},{"dropping-particle":"","family":"Chartier","given":"Michel","non-dropping-particle":"","parse-names":false,"suffix":""}],"container-title":"Agronomie","id":"ITEM-2","issue":"8","issued":{"date-parts":[["1985"]]},"page":"685-692","title":"Etude des relations entre la dynamique de prélèvement d'azote et la dynamique de croissance en matière sèche d'un peuplement de luzerne (Medicago sativa L.)","type":"article-journal","volume":"5"},"uris":["http://www.mendeley.com/documents/?uuid=f856e86e-761b-46bb-9631-e2b3aaa0c7e9"]}],"mendeley":{"formattedCitation":"(Lemaire et al., 1985; Lemaire, 1997)","plainTextFormattedCitation":"(Lemaire et al., 1985; Lemaire, 1997)","previouslyFormattedCitation":"(Lemaire et al., 1985; Lemaire, 1997)"},"properties":{"noteIndex":0},"schema":"https://github.com/citation-style-language/schema/raw/master/csl-citation.json"}</w:instrText>
      </w:r>
      <w:r w:rsidRPr="00203EB0">
        <w:rPr>
          <w:rFonts w:cs="Times New Roman"/>
          <w:iCs/>
        </w:rPr>
        <w:fldChar w:fldCharType="separate"/>
      </w:r>
      <w:r w:rsidRPr="00203EB0">
        <w:rPr>
          <w:rFonts w:cs="Times New Roman"/>
          <w:iCs/>
          <w:noProof/>
        </w:rPr>
        <w:t>(Lemaire et al., 1985; Lemaire, 1997)</w:t>
      </w:r>
      <w:r w:rsidRPr="00203EB0">
        <w:rPr>
          <w:rFonts w:cs="Times New Roman"/>
          <w:iCs/>
        </w:rPr>
        <w:fldChar w:fldCharType="end"/>
      </w:r>
      <w:r w:rsidR="00BE586E" w:rsidRPr="00203EB0">
        <w:rPr>
          <w:rFonts w:cs="Times New Roman"/>
          <w:iCs/>
        </w:rPr>
        <w:t>. NNI values close to 1 indicate optimal N status, whereas values &lt;1 reflect N limitation for plant growth. The NNI was calculated according to Equation 2</w:t>
      </w:r>
      <w:r w:rsidR="00D37F70" w:rsidRPr="00203EB0">
        <w:rPr>
          <w:rFonts w:cs="Times New Roman"/>
          <w:iCs/>
        </w:rPr>
        <w:t>, and the %Nc estimated using Equation 3</w:t>
      </w:r>
      <w:r w:rsidRPr="00203EB0">
        <w:rPr>
          <w:rFonts w:cs="Times New Roman"/>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2"/>
        <w:gridCol w:w="5729"/>
        <w:gridCol w:w="1549"/>
      </w:tblGrid>
      <w:tr w:rsidR="00E90D52" w:rsidRPr="00203EB0" w14:paraId="71DB1CDA" w14:textId="77777777" w:rsidTr="00E90D52">
        <w:tc>
          <w:tcPr>
            <w:tcW w:w="1362" w:type="dxa"/>
          </w:tcPr>
          <w:p w14:paraId="4C70FCB1" w14:textId="77777777" w:rsidR="00E90D52" w:rsidRPr="00203EB0" w:rsidRDefault="00E90D52" w:rsidP="00652800">
            <w:pPr>
              <w:spacing w:line="480" w:lineRule="auto"/>
              <w:rPr>
                <w:rFonts w:cs="Times New Roman"/>
              </w:rPr>
            </w:pPr>
          </w:p>
        </w:tc>
        <w:tc>
          <w:tcPr>
            <w:tcW w:w="5729" w:type="dxa"/>
          </w:tcPr>
          <w:p w14:paraId="259B00E6" w14:textId="77777777" w:rsidR="00E90D52" w:rsidRPr="00203EB0" w:rsidRDefault="00E90D52" w:rsidP="00652800">
            <w:pPr>
              <w:spacing w:line="480" w:lineRule="auto"/>
              <w:rPr>
                <w:rFonts w:cs="Times New Roman"/>
              </w:rPr>
            </w:pPr>
            <m:oMathPara>
              <m:oMath>
                <m:r>
                  <w:rPr>
                    <w:rFonts w:ascii="Cambria Math" w:eastAsiaTheme="minorEastAsia" w:hAnsi="Cambria Math" w:cs="Times New Roman"/>
                  </w:rPr>
                  <m:t>NNI</m:t>
                </m:r>
                <m:r>
                  <w:rPr>
                    <w:rFonts w:ascii="Cambria Math" w:hAnsi="Cambria Math" w:cs="Times New Roman"/>
                  </w:rPr>
                  <m:t>=</m:t>
                </m:r>
                <m:f>
                  <m:fPr>
                    <m:ctrlPr>
                      <w:rPr>
                        <w:rFonts w:ascii="Cambria Math" w:hAnsi="Cambria Math" w:cs="Times New Roman"/>
                        <w:i/>
                      </w:rPr>
                    </m:ctrlPr>
                  </m:fPr>
                  <m:num>
                    <m:r>
                      <w:rPr>
                        <w:rFonts w:ascii="Cambria Math" w:hAnsi="Cambria Math" w:cs="Times New Roman"/>
                      </w:rPr>
                      <m:t>%N</m:t>
                    </m:r>
                  </m:num>
                  <m:den>
                    <m:r>
                      <w:rPr>
                        <w:rFonts w:ascii="Cambria Math" w:hAnsi="Cambria Math" w:cs="Times New Roman"/>
                      </w:rPr>
                      <m:t>%Nc</m:t>
                    </m:r>
                  </m:den>
                </m:f>
              </m:oMath>
            </m:oMathPara>
          </w:p>
        </w:tc>
        <w:tc>
          <w:tcPr>
            <w:tcW w:w="1549" w:type="dxa"/>
          </w:tcPr>
          <w:p w14:paraId="467E2EED" w14:textId="3AB5E239" w:rsidR="00E90D52" w:rsidRPr="00203EB0" w:rsidRDefault="00E90D52" w:rsidP="00652800">
            <w:pPr>
              <w:spacing w:line="480" w:lineRule="auto"/>
              <w:jc w:val="center"/>
              <w:rPr>
                <w:rFonts w:cs="Times New Roman"/>
              </w:rPr>
            </w:pPr>
            <w:r w:rsidRPr="00203EB0">
              <w:rPr>
                <w:rFonts w:cs="Times New Roman"/>
              </w:rPr>
              <w:t xml:space="preserve">Equation </w:t>
            </w:r>
            <w:r w:rsidR="0003167E" w:rsidRPr="00203EB0">
              <w:rPr>
                <w:rFonts w:cs="Times New Roman"/>
              </w:rPr>
              <w:t>2</w:t>
            </w:r>
          </w:p>
        </w:tc>
      </w:tr>
      <w:tr w:rsidR="00E90D52" w:rsidRPr="00203EB0" w14:paraId="32428C4F" w14:textId="77777777" w:rsidTr="00E90D52">
        <w:tc>
          <w:tcPr>
            <w:tcW w:w="1362" w:type="dxa"/>
          </w:tcPr>
          <w:p w14:paraId="7DEEC077" w14:textId="77777777" w:rsidR="00E90D52" w:rsidRPr="00203EB0" w:rsidRDefault="00E90D52" w:rsidP="00652800">
            <w:pPr>
              <w:spacing w:line="480" w:lineRule="auto"/>
              <w:rPr>
                <w:rFonts w:cs="Times New Roman"/>
              </w:rPr>
            </w:pPr>
          </w:p>
        </w:tc>
        <w:tc>
          <w:tcPr>
            <w:tcW w:w="5729" w:type="dxa"/>
          </w:tcPr>
          <w:p w14:paraId="4B5A9D60" w14:textId="77777777" w:rsidR="00E90D52" w:rsidRPr="00203EB0" w:rsidRDefault="00E90D52" w:rsidP="00652800">
            <w:pPr>
              <w:spacing w:line="480" w:lineRule="auto"/>
              <w:rPr>
                <w:rFonts w:eastAsia="Calibri" w:cs="Times New Roman"/>
              </w:rPr>
            </w:pPr>
          </w:p>
        </w:tc>
        <w:tc>
          <w:tcPr>
            <w:tcW w:w="1549" w:type="dxa"/>
          </w:tcPr>
          <w:p w14:paraId="6E54475C" w14:textId="77777777" w:rsidR="00E90D52" w:rsidRPr="00203EB0" w:rsidRDefault="00E90D52" w:rsidP="00652800">
            <w:pPr>
              <w:spacing w:line="480" w:lineRule="auto"/>
              <w:jc w:val="center"/>
              <w:rPr>
                <w:rFonts w:cs="Times New Roman"/>
              </w:rPr>
            </w:pPr>
          </w:p>
        </w:tc>
      </w:tr>
      <w:tr w:rsidR="00E90D52" w:rsidRPr="00203EB0" w14:paraId="0A8E0A85" w14:textId="77777777" w:rsidTr="00E90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2" w:type="dxa"/>
            <w:tcBorders>
              <w:top w:val="nil"/>
              <w:left w:val="nil"/>
              <w:bottom w:val="nil"/>
              <w:right w:val="nil"/>
            </w:tcBorders>
          </w:tcPr>
          <w:p w14:paraId="3E0D7E27" w14:textId="77777777" w:rsidR="00E90D52" w:rsidRPr="00203EB0" w:rsidRDefault="00E90D52" w:rsidP="00652800">
            <w:pPr>
              <w:spacing w:line="480" w:lineRule="auto"/>
              <w:rPr>
                <w:rFonts w:cs="Times New Roman"/>
              </w:rPr>
            </w:pPr>
          </w:p>
        </w:tc>
        <w:tc>
          <w:tcPr>
            <w:tcW w:w="5729" w:type="dxa"/>
            <w:tcBorders>
              <w:top w:val="nil"/>
              <w:left w:val="nil"/>
              <w:bottom w:val="nil"/>
              <w:right w:val="nil"/>
            </w:tcBorders>
          </w:tcPr>
          <w:p w14:paraId="26AD74A3" w14:textId="77777777" w:rsidR="00E90D52" w:rsidRPr="00203EB0" w:rsidRDefault="00E90D52" w:rsidP="00652800">
            <w:pPr>
              <w:spacing w:line="480" w:lineRule="auto"/>
              <w:rPr>
                <w:rFonts w:eastAsiaTheme="minorEastAsia" w:cs="Times New Roman"/>
              </w:rPr>
            </w:pPr>
            <m:oMathPara>
              <m:oMath>
                <m:r>
                  <w:rPr>
                    <w:rFonts w:ascii="Cambria Math" w:hAnsi="Cambria Math" w:cs="Times New Roman"/>
                  </w:rPr>
                  <m:t xml:space="preserve">%Nc=4.8 × </m:t>
                </m:r>
                <m:sSup>
                  <m:sSupPr>
                    <m:ctrlPr>
                      <w:rPr>
                        <w:rFonts w:ascii="Cambria Math" w:hAnsi="Cambria Math" w:cs="Times New Roman"/>
                        <w:i/>
                      </w:rPr>
                    </m:ctrlPr>
                  </m:sSupPr>
                  <m:e>
                    <m:r>
                      <w:rPr>
                        <w:rFonts w:ascii="Cambria Math" w:hAnsi="Cambria Math" w:cs="Times New Roman"/>
                      </w:rPr>
                      <m:t>DM</m:t>
                    </m:r>
                  </m:e>
                  <m:sup>
                    <m:r>
                      <w:rPr>
                        <w:rFonts w:ascii="Cambria Math" w:hAnsi="Cambria Math" w:cs="Times New Roman"/>
                      </w:rPr>
                      <m:t>-0.32</m:t>
                    </m:r>
                  </m:sup>
                </m:sSup>
                <m:r>
                  <w:rPr>
                    <w:rFonts w:ascii="Cambria Math" w:hAnsi="Cambria Math" w:cs="Times New Roman"/>
                  </w:rPr>
                  <m:t xml:space="preserve">  (for DM&gt;1 Mg </m:t>
                </m:r>
                <m:sSup>
                  <m:sSupPr>
                    <m:ctrlPr>
                      <w:rPr>
                        <w:rFonts w:ascii="Cambria Math" w:hAnsi="Cambria Math" w:cs="Times New Roman"/>
                        <w:i/>
                      </w:rPr>
                    </m:ctrlPr>
                  </m:sSupPr>
                  <m:e>
                    <m:r>
                      <w:rPr>
                        <w:rFonts w:ascii="Cambria Math" w:hAnsi="Cambria Math" w:cs="Times New Roman"/>
                      </w:rPr>
                      <m:t>ha</m:t>
                    </m:r>
                  </m:e>
                  <m:sup>
                    <m:r>
                      <w:rPr>
                        <w:rFonts w:ascii="Cambria Math" w:hAnsi="Cambria Math" w:cs="Times New Roman"/>
                      </w:rPr>
                      <m:t>-1</m:t>
                    </m:r>
                  </m:sup>
                </m:sSup>
                <m:r>
                  <w:rPr>
                    <w:rFonts w:ascii="Cambria Math" w:hAnsi="Cambria Math" w:cs="Times New Roman"/>
                  </w:rPr>
                  <m:t>)</m:t>
                </m:r>
              </m:oMath>
            </m:oMathPara>
          </w:p>
          <w:p w14:paraId="67605C37" w14:textId="77777777" w:rsidR="00E90D52" w:rsidRPr="00203EB0" w:rsidRDefault="00E90D52" w:rsidP="00652800">
            <w:pPr>
              <w:spacing w:line="480" w:lineRule="auto"/>
              <w:rPr>
                <w:rFonts w:eastAsiaTheme="minorEastAsia" w:cs="Times New Roman"/>
              </w:rPr>
            </w:pPr>
            <m:oMathPara>
              <m:oMath>
                <m:r>
                  <w:rPr>
                    <w:rFonts w:ascii="Cambria Math" w:hAnsi="Cambria Math" w:cs="Times New Roman"/>
                  </w:rPr>
                  <m:t xml:space="preserve">%Nc=4.8   (for DM ≤1 Mg </m:t>
                </m:r>
                <m:sSup>
                  <m:sSupPr>
                    <m:ctrlPr>
                      <w:rPr>
                        <w:rFonts w:ascii="Cambria Math" w:hAnsi="Cambria Math" w:cs="Times New Roman"/>
                        <w:i/>
                      </w:rPr>
                    </m:ctrlPr>
                  </m:sSupPr>
                  <m:e>
                    <m:r>
                      <w:rPr>
                        <w:rFonts w:ascii="Cambria Math" w:hAnsi="Cambria Math" w:cs="Times New Roman"/>
                      </w:rPr>
                      <m:t>ha</m:t>
                    </m:r>
                  </m:e>
                  <m:sup>
                    <m:r>
                      <w:rPr>
                        <w:rFonts w:ascii="Cambria Math" w:hAnsi="Cambria Math" w:cs="Times New Roman"/>
                      </w:rPr>
                      <m:t>-1</m:t>
                    </m:r>
                  </m:sup>
                </m:sSup>
                <m:r>
                  <w:rPr>
                    <w:rFonts w:ascii="Cambria Math" w:hAnsi="Cambria Math" w:cs="Times New Roman"/>
                  </w:rPr>
                  <m:t>)</m:t>
                </m:r>
              </m:oMath>
            </m:oMathPara>
          </w:p>
        </w:tc>
        <w:tc>
          <w:tcPr>
            <w:tcW w:w="1549" w:type="dxa"/>
            <w:tcBorders>
              <w:top w:val="nil"/>
              <w:left w:val="nil"/>
              <w:bottom w:val="nil"/>
              <w:right w:val="nil"/>
            </w:tcBorders>
          </w:tcPr>
          <w:p w14:paraId="76BEA35C" w14:textId="77777777" w:rsidR="00E90D52" w:rsidRPr="00203EB0" w:rsidRDefault="00E90D52" w:rsidP="00652800">
            <w:pPr>
              <w:spacing w:line="480" w:lineRule="auto"/>
              <w:jc w:val="center"/>
              <w:rPr>
                <w:rFonts w:cs="Times New Roman"/>
              </w:rPr>
            </w:pPr>
            <w:r w:rsidRPr="00203EB0">
              <w:rPr>
                <w:rFonts w:cs="Times New Roman"/>
              </w:rPr>
              <w:t>Equation 3</w:t>
            </w:r>
          </w:p>
        </w:tc>
      </w:tr>
    </w:tbl>
    <w:p w14:paraId="015E9B1B" w14:textId="77777777" w:rsidR="00E90D52" w:rsidRPr="00203EB0" w:rsidRDefault="00E90D52" w:rsidP="00E90D52">
      <w:pPr>
        <w:spacing w:line="480" w:lineRule="auto"/>
        <w:rPr>
          <w:rFonts w:cs="Times New Roman"/>
          <w:iCs/>
        </w:rPr>
      </w:pPr>
      <w:r w:rsidRPr="00203EB0">
        <w:rPr>
          <w:rFonts w:cs="Times New Roman"/>
          <w:iCs/>
        </w:rPr>
        <w:t xml:space="preserve">Previously collected SOM data from 2013, corresponding to 7.5 cm depth soil samples, were used to explore relationships with plant N sources, status, and fixation. </w:t>
      </w:r>
    </w:p>
    <w:p w14:paraId="66E2274A" w14:textId="2CFB87CF" w:rsidR="002B3951" w:rsidRPr="00203EB0" w:rsidRDefault="00427078" w:rsidP="005316EC">
      <w:pPr>
        <w:pStyle w:val="Heading3"/>
        <w:spacing w:line="480" w:lineRule="auto"/>
      </w:pPr>
      <w:bookmarkStart w:id="21" w:name="_Toc206669108"/>
      <w:r w:rsidRPr="00203EB0">
        <w:t>Statistical analysis</w:t>
      </w:r>
      <w:bookmarkEnd w:id="21"/>
    </w:p>
    <w:p w14:paraId="59DB5DC9" w14:textId="6F4FF2D2" w:rsidR="00427078" w:rsidRPr="00203EB0" w:rsidRDefault="00427078" w:rsidP="005316EC">
      <w:pPr>
        <w:spacing w:line="480" w:lineRule="auto"/>
        <w:rPr>
          <w:rFonts w:cs="Times New Roman"/>
        </w:rPr>
      </w:pPr>
      <w:r w:rsidRPr="00203EB0">
        <w:rPr>
          <w:rFonts w:cs="Times New Roman"/>
        </w:rPr>
        <w:t xml:space="preserve">To evaluate the effects of tillage and N fertilization on plant traits (NNI, </w:t>
      </w:r>
      <w:proofErr w:type="spellStart"/>
      <w:r w:rsidRPr="00203EB0">
        <w:rPr>
          <w:rFonts w:cs="Times New Roman"/>
        </w:rPr>
        <w:t>Ndfa</w:t>
      </w:r>
      <w:proofErr w:type="spellEnd"/>
      <w:r w:rsidRPr="00203EB0">
        <w:rPr>
          <w:rFonts w:cs="Times New Roman"/>
        </w:rPr>
        <w:t xml:space="preserve">, kg N fixed, kg N from soil, total plant N, and DM) and SOM, we fitted linear mixed effects models using the </w:t>
      </w:r>
      <w:r w:rsidRPr="00203EB0">
        <w:rPr>
          <w:rFonts w:cs="Times New Roman"/>
          <w:i/>
        </w:rPr>
        <w:t>lme4</w:t>
      </w:r>
      <w:r w:rsidRPr="00203EB0">
        <w:rPr>
          <w:rFonts w:cs="Times New Roman"/>
        </w:rPr>
        <w:t xml:space="preserve"> package in R </w:t>
      </w:r>
      <w:r w:rsidRPr="00203EB0">
        <w:rPr>
          <w:rFonts w:cs="Times New Roman"/>
        </w:rPr>
        <w:fldChar w:fldCharType="begin" w:fldLock="1"/>
      </w:r>
      <w:r w:rsidRPr="00203EB0">
        <w:rPr>
          <w:rFonts w:cs="Times New Roman"/>
        </w:rPr>
        <w:instrText>ADDIN CSL_CITATION {"citationItems":[{"id":"ITEM-1","itemData":{"DOI":"doi:10.18637/jss.v067.i01","author":[{"dropping-particle":"","family":"Bates","given":"D","non-dropping-particle":"","parse-names":false,"suffix":""},{"dropping-particle":"","family":"Mächler","given":"M","non-dropping-particle":"","parse-names":false,"suffix":""},{"dropping-particle":"","family":"Bolker","given":"B","non-dropping-particle":"","parse-names":false,"suffix":""},{"dropping-particle":"","family":"Walker","given":"S","non-dropping-particle":"","parse-names":false,"suffix":""}],"container-title":"Journal of Statistical Software","id":"ITEM-1","issue":"1","issued":{"date-parts":[["2015"]]},"page":"1-48","title":"Fitting linear mixed-effects models using lme4","type":"article-journal","volume":"67"},"uris":["http://www.mendeley.com/documents/?uuid=2221b0c2-82c7-45c3-9850-4b0d75e5f592"]}],"mendeley":{"formattedCitation":"(Bates et al., 2015)","manualFormatting":"(version 4.3.0; Bates et al., 2015)","plainTextFormattedCitation":"(Bates et al., 2015)","previouslyFormattedCitation":"(Bates et al., 2015)"},"properties":{"noteIndex":0},"schema":"https://github.com/citation-style-language/schema/raw/master/csl-citation.json"}</w:instrText>
      </w:r>
      <w:r w:rsidRPr="00203EB0">
        <w:rPr>
          <w:rFonts w:cs="Times New Roman"/>
        </w:rPr>
        <w:fldChar w:fldCharType="separate"/>
      </w:r>
      <w:r w:rsidRPr="00203EB0">
        <w:rPr>
          <w:rFonts w:cs="Times New Roman"/>
          <w:noProof/>
        </w:rPr>
        <w:t>(version 4.3.0; Bates et al., 2015)</w:t>
      </w:r>
      <w:r w:rsidRPr="00203EB0">
        <w:rPr>
          <w:rFonts w:cs="Times New Roman"/>
        </w:rPr>
        <w:fldChar w:fldCharType="end"/>
      </w:r>
      <w:r w:rsidRPr="00203EB0">
        <w:rPr>
          <w:rFonts w:cs="Times New Roman"/>
        </w:rPr>
        <w:t>. Tillage and N fertilization were treated as fixed effects, while block and year were included as random effects. Where main effects or interactions were significant (α = 0.05), pairwise comparisons were conducted using estimated marginal means (</w:t>
      </w:r>
      <w:proofErr w:type="spellStart"/>
      <w:r w:rsidRPr="00203EB0">
        <w:rPr>
          <w:rFonts w:cs="Times New Roman"/>
          <w:i/>
          <w:iCs/>
        </w:rPr>
        <w:t>emmeans</w:t>
      </w:r>
      <w:proofErr w:type="spellEnd"/>
      <w:r w:rsidRPr="00203EB0">
        <w:rPr>
          <w:rFonts w:cs="Times New Roman"/>
        </w:rPr>
        <w:t xml:space="preserve"> package; </w:t>
      </w:r>
      <w:r w:rsidRPr="00203EB0">
        <w:rPr>
          <w:rFonts w:cs="Times New Roman"/>
        </w:rPr>
        <w:fldChar w:fldCharType="begin" w:fldLock="1"/>
      </w:r>
      <w:r w:rsidRPr="00203EB0">
        <w:rPr>
          <w:rFonts w:cs="Times New Roman"/>
        </w:rPr>
        <w:instrText>ADDIN CSL_CITATION {"citationItems":[{"id":"ITEM-1","itemData":{"author":[{"dropping-particle":"","family":"Lenth","given":"Russell","non-dropping-particle":"","parse-names":false,"suffix":""}],"id":"ITEM-1","issued":{"date-parts":[["2025"]]},"title":"emmeans: Estimated marginal means, aka least-squares means","type":"article-journal"},"uris":["http://www.mendeley.com/documents/?uuid=16b63764-a953-47fc-9e82-174d3fe4476a"]}],"mendeley":{"formattedCitation":"(Lenth, 2025)","manualFormatting":"Lenth, 2025)","plainTextFormattedCitation":"(Lenth, 2025)","previouslyFormattedCitation":"(Lenth, 2025)"},"properties":{"noteIndex":0},"schema":"https://github.com/citation-style-language/schema/raw/master/csl-citation.json"}</w:instrText>
      </w:r>
      <w:r w:rsidRPr="00203EB0">
        <w:rPr>
          <w:rFonts w:cs="Times New Roman"/>
        </w:rPr>
        <w:fldChar w:fldCharType="separate"/>
      </w:r>
      <w:r w:rsidRPr="00203EB0">
        <w:rPr>
          <w:rFonts w:cs="Times New Roman"/>
          <w:noProof/>
        </w:rPr>
        <w:t>Lenth, 2025)</w:t>
      </w:r>
      <w:r w:rsidRPr="00203EB0">
        <w:rPr>
          <w:rFonts w:cs="Times New Roman"/>
        </w:rPr>
        <w:fldChar w:fldCharType="end"/>
      </w:r>
      <w:r w:rsidRPr="00203EB0">
        <w:rPr>
          <w:rFonts w:cs="Times New Roman"/>
        </w:rPr>
        <w:t xml:space="preserve"> with Tukey’s </w:t>
      </w:r>
      <w:r w:rsidR="0018055A">
        <w:rPr>
          <w:rFonts w:cs="Times New Roman"/>
        </w:rPr>
        <w:lastRenderedPageBreak/>
        <w:t>Honest Significant Difference (</w:t>
      </w:r>
      <w:r w:rsidRPr="00203EB0">
        <w:rPr>
          <w:rFonts w:cs="Times New Roman"/>
        </w:rPr>
        <w:t>HSD</w:t>
      </w:r>
      <w:r w:rsidR="0018055A">
        <w:rPr>
          <w:rFonts w:cs="Times New Roman"/>
        </w:rPr>
        <w:t>) test</w:t>
      </w:r>
      <w:r w:rsidRPr="00203EB0">
        <w:rPr>
          <w:rFonts w:cs="Times New Roman"/>
        </w:rPr>
        <w:t xml:space="preserve">. Variables </w:t>
      </w:r>
      <w:proofErr w:type="gramStart"/>
      <w:r w:rsidRPr="00203EB0">
        <w:rPr>
          <w:rFonts w:cs="Times New Roman"/>
        </w:rPr>
        <w:t>were log or square root</w:t>
      </w:r>
      <w:proofErr w:type="gramEnd"/>
      <w:r w:rsidRPr="00203EB0">
        <w:rPr>
          <w:rFonts w:cs="Times New Roman"/>
        </w:rPr>
        <w:t xml:space="preserve"> transformed as needed to meet model assumptions.</w:t>
      </w:r>
    </w:p>
    <w:p w14:paraId="4FA9DF9B" w14:textId="0C34D125" w:rsidR="00427078" w:rsidRPr="00203EB0" w:rsidRDefault="00427078" w:rsidP="00427078">
      <w:pPr>
        <w:spacing w:line="480" w:lineRule="auto"/>
        <w:rPr>
          <w:rFonts w:cs="Times New Roman"/>
        </w:rPr>
      </w:pPr>
      <w:r w:rsidRPr="00203EB0">
        <w:rPr>
          <w:rFonts w:cs="Times New Roman"/>
        </w:rPr>
        <w:t xml:space="preserve">To examine multivariate relationships between SOM and plant N variables, a redundancy analysis (RDA) was conducted using standardized values of NNI, </w:t>
      </w:r>
      <w:proofErr w:type="spellStart"/>
      <w:r w:rsidRPr="00203EB0">
        <w:rPr>
          <w:rFonts w:cs="Times New Roman"/>
        </w:rPr>
        <w:t>Ndfa</w:t>
      </w:r>
      <w:proofErr w:type="spellEnd"/>
      <w:r w:rsidRPr="00203EB0">
        <w:rPr>
          <w:rFonts w:cs="Times New Roman"/>
        </w:rPr>
        <w:t xml:space="preserve">, kg N fixed, kg N from soil, and SOM. The model was constrained by tillage and fertilization treatments, with block and year included as covariates. The RDA was performed in Python using the </w:t>
      </w:r>
      <w:r w:rsidRPr="00203EB0">
        <w:rPr>
          <w:rFonts w:cs="Times New Roman"/>
          <w:i/>
        </w:rPr>
        <w:t>scikit-learn</w:t>
      </w:r>
      <w:r w:rsidRPr="00203EB0">
        <w:rPr>
          <w:rFonts w:cs="Times New Roman"/>
        </w:rPr>
        <w:t xml:space="preserve"> library (version 3.10.12; </w:t>
      </w:r>
      <w:r w:rsidRPr="00203EB0">
        <w:rPr>
          <w:rFonts w:cs="Times New Roman"/>
        </w:rPr>
        <w:fldChar w:fldCharType="begin" w:fldLock="1"/>
      </w:r>
      <w:r w:rsidR="004179E3" w:rsidRPr="00203EB0">
        <w:rPr>
          <w:rFonts w:cs="Times New Roman"/>
        </w:rPr>
        <w:instrText>ADDIN CSL_CITATION {"citationItems":[{"id":"ITEM-1","itemData":{"DOI":"10.1289/EHP4713","ISSN":"15529924","PMID":"31557052","abstract":"BACKGROUND: Blood chemicals are routinely measured in clinical or preclinical research studies to diagnose diseases, assess risks in epidemiological research, or use metabolomic phenotyping in response to treatments. A vast volume of blood-related literature is available via the PubMed database for data mining. OBJECTIVES: We aimed to generate a comprehensive blood exposome database of endogenous and exogenous chemicals associated with the mammalian circulating system through text mining and database fusion. METHODS: Using NCBI resources, we retrieved PubMed abstracts, PubChem chemical synonyms, and PMC supplementary tables. We then employed text mining and PubChem crowdsourcing to associate phrases relating to blood with PubChem chemicals. False positives were removed by a phrase pattern and a compound exclusion list. RESULTS: A query to identify blood-related publications in the PubMed database yielded 1.1 million papers. Matching a total of 15 million synonyms from 6.5 million relevant PubChem chemicals against all blood-related publications yielded 37,514 chemicals and 851,999 publications records. Mapping PubChem compound identifiers to the PubMed database yielded 49,940 unique chemicals linked to 676,643 papers. Analysis of open-access metabolomics papers related to blood phrases in the PMC database yielded 4,039 unique compounds and 204 papers. Consolidating these three approaches summed up to a total of 41,474 achiral structures that were linked to 65,957 PubChem CIDs and to over 878,966 PubMed articles. We mapped these compounds to 50 databases such as those covering metabolites and pathways, governmental and toxicological databases, pharmacology resources, and bioassay repositories. In comparison, HMDB, the Human Metabolome Database, links 1,075 compounds to blood-related primary publications. CONCLUSION: This new Blood Exposome Database can be used for prioritizing chemicals for systematic reviews, developing target assays in exposome research, identifying compounds in untargeted mass spectrometry, and biological interpretation in metabolomics data. The database is available at http://bloodexposome.org. https://doi.org/10.1289/EHP4713.","author":[{"dropping-particle":"","family":"Pedregosa","given":"Fabian","non-dropping-particle":"","parse-names":false,"suffix":""},{"dropping-particle":"","family":"Varoquaux","given":"Gael","non-dropping-particle":"","parse-names":false,"suffix":""},{"dropping-particle":"","family":"Gramfort","given":"Alexandre","non-dropping-particle":"","parse-names":false,"suffix":""},{"dropping-particle":"","family":"Michel","given":"Vincent","non-dropping-particle":"","parse-names":false,"suffix":""},{"dropping-particle":"","family":"Thirion","given":"Bertrand","non-dropping-particle":"","parse-names":false,"suffix":""}],"container-title":"Journal of Machine Learning Research","id":"ITEM-1","issue":"9","issued":{"date-parts":[["2011"]]},"page":"2825-2830","title":"Scikit-learn: Machine learning in Python","type":"article-journal","volume":"127"},"uris":["http://www.mendeley.com/documents/?uuid=094d55ce-1d91-40b2-84b9-d7533850f1e2"]}],"mendeley":{"formattedCitation":"(Pedregosa et al., 2011)","manualFormatting":"Pedregosa et al. (2011)","plainTextFormattedCitation":"(Pedregosa et al., 2011)","previouslyFormattedCitation":"(Pedregosa et al., 2011)"},"properties":{"noteIndex":0},"schema":"https://github.com/citation-style-language/schema/raw/master/csl-citation.json"}</w:instrText>
      </w:r>
      <w:r w:rsidRPr="00203EB0">
        <w:rPr>
          <w:rFonts w:cs="Times New Roman"/>
        </w:rPr>
        <w:fldChar w:fldCharType="separate"/>
      </w:r>
      <w:r w:rsidRPr="00203EB0">
        <w:rPr>
          <w:rFonts w:cs="Times New Roman"/>
          <w:noProof/>
        </w:rPr>
        <w:t>Pedregosa et al. (2011)</w:t>
      </w:r>
      <w:r w:rsidRPr="00203EB0">
        <w:rPr>
          <w:rFonts w:cs="Times New Roman"/>
        </w:rPr>
        <w:fldChar w:fldCharType="end"/>
      </w:r>
      <w:r w:rsidRPr="00203EB0">
        <w:rPr>
          <w:rFonts w:cs="Times New Roman"/>
        </w:rPr>
        <w:t>.</w:t>
      </w:r>
    </w:p>
    <w:p w14:paraId="2699F8E4" w14:textId="4ACEBF55" w:rsidR="00427078" w:rsidRPr="00203EB0" w:rsidRDefault="00427078" w:rsidP="00A61CF4">
      <w:pPr>
        <w:pStyle w:val="Heading2"/>
      </w:pPr>
      <w:bookmarkStart w:id="22" w:name="_Toc206669109"/>
      <w:r w:rsidRPr="00203EB0">
        <w:t>Results and discussion</w:t>
      </w:r>
      <w:bookmarkEnd w:id="22"/>
    </w:p>
    <w:p w14:paraId="42563B3E" w14:textId="0D9EB0E2" w:rsidR="00427078" w:rsidRPr="00203EB0" w:rsidRDefault="00B902C8" w:rsidP="004B6165">
      <w:pPr>
        <w:spacing w:line="480" w:lineRule="auto"/>
        <w:rPr>
          <w:rFonts w:cs="Times New Roman"/>
        </w:rPr>
      </w:pPr>
      <w:r w:rsidRPr="00203EB0">
        <w:rPr>
          <w:rFonts w:cs="Times New Roman"/>
        </w:rPr>
        <w:t xml:space="preserve">This study evaluates </w:t>
      </w:r>
      <w:r w:rsidR="00427078" w:rsidRPr="00203EB0">
        <w:rPr>
          <w:rFonts w:cs="Times New Roman"/>
        </w:rPr>
        <w:t>how</w:t>
      </w:r>
      <w:r w:rsidRPr="00203EB0">
        <w:rPr>
          <w:rFonts w:cs="Times New Roman"/>
        </w:rPr>
        <w:t xml:space="preserve"> </w:t>
      </w:r>
      <w:r w:rsidR="00427078" w:rsidRPr="00203EB0">
        <w:rPr>
          <w:rFonts w:cs="Times New Roman"/>
        </w:rPr>
        <w:t xml:space="preserve">legacy effects of long-term tillage and N fertilization </w:t>
      </w:r>
      <w:r w:rsidRPr="00203EB0">
        <w:rPr>
          <w:rFonts w:cs="Times New Roman"/>
        </w:rPr>
        <w:t>influence</w:t>
      </w:r>
      <w:r w:rsidR="00427078" w:rsidRPr="00203EB0">
        <w:rPr>
          <w:rFonts w:cs="Times New Roman"/>
        </w:rPr>
        <w:t xml:space="preserve"> N status, BNF, and N acquisition strategies in HV within a continuous cotton system. Across </w:t>
      </w:r>
      <w:r w:rsidR="001F7B4D">
        <w:rPr>
          <w:rFonts w:cs="Times New Roman"/>
        </w:rPr>
        <w:t xml:space="preserve">N </w:t>
      </w:r>
      <w:r w:rsidR="00427078" w:rsidRPr="00203EB0">
        <w:rPr>
          <w:rFonts w:cs="Times New Roman"/>
        </w:rPr>
        <w:t>treatments, HV grown under CT exhibited a lower NNI compared to NT plots (mean: 0.82 vs 0.92), with the gap widening under higher N fertilization</w:t>
      </w:r>
      <w:r w:rsidR="001F7B4D">
        <w:rPr>
          <w:rFonts w:cs="Times New Roman"/>
        </w:rPr>
        <w:t xml:space="preserve"> rate</w:t>
      </w:r>
      <w:r w:rsidR="008116EA">
        <w:rPr>
          <w:rFonts w:cs="Times New Roman"/>
        </w:rPr>
        <w:t>s except at 67 kg N ha</w:t>
      </w:r>
      <w:r w:rsidR="008116EA" w:rsidRPr="008116EA">
        <w:rPr>
          <w:rFonts w:cs="Times New Roman"/>
          <w:vertAlign w:val="superscript"/>
        </w:rPr>
        <w:t>-1</w:t>
      </w:r>
      <w:r w:rsidR="00427078" w:rsidRPr="00203EB0">
        <w:rPr>
          <w:rFonts w:cs="Times New Roman"/>
        </w:rPr>
        <w:t xml:space="preserve"> (</w:t>
      </w:r>
      <w:r w:rsidR="00427078" w:rsidRPr="00203EB0">
        <w:rPr>
          <w:rFonts w:cs="Times New Roman"/>
          <w:b/>
        </w:rPr>
        <w:t>Figure 2.1A</w:t>
      </w:r>
      <w:r w:rsidR="00427078" w:rsidRPr="00203EB0">
        <w:rPr>
          <w:rFonts w:cs="Times New Roman"/>
        </w:rPr>
        <w:t xml:space="preserve">). Notably, NNI differences between CT and NT were minimal under unfertilized conditions (mean: 0.79 vs 0.82), with both values below </w:t>
      </w:r>
      <w:r w:rsidR="008116EA">
        <w:rPr>
          <w:rFonts w:cs="Times New Roman"/>
        </w:rPr>
        <w:t>0.90</w:t>
      </w:r>
      <w:r w:rsidR="00427078" w:rsidRPr="00203EB0">
        <w:rPr>
          <w:rFonts w:cs="Times New Roman"/>
        </w:rPr>
        <w:t xml:space="preserve">, indicating </w:t>
      </w:r>
      <w:r w:rsidR="008116EA">
        <w:rPr>
          <w:rFonts w:cs="Times New Roman"/>
        </w:rPr>
        <w:t xml:space="preserve">a marked </w:t>
      </w:r>
      <w:r w:rsidR="00427078" w:rsidRPr="00203EB0">
        <w:rPr>
          <w:rFonts w:cs="Times New Roman"/>
        </w:rPr>
        <w:t xml:space="preserve">N limitation </w:t>
      </w:r>
      <w:r w:rsidR="008116EA">
        <w:rPr>
          <w:rFonts w:cs="Times New Roman"/>
        </w:rPr>
        <w:t>for</w:t>
      </w:r>
      <w:r w:rsidR="00427078" w:rsidRPr="00203EB0">
        <w:rPr>
          <w:rFonts w:cs="Times New Roman"/>
        </w:rPr>
        <w:t xml:space="preserve"> HV growth regardless of tillage treatment. These findings support the idea that NT systems enhance </w:t>
      </w:r>
      <w:r w:rsidR="0083520E" w:rsidRPr="00203EB0">
        <w:rPr>
          <w:rFonts w:cs="Times New Roman"/>
        </w:rPr>
        <w:t xml:space="preserve">soil </w:t>
      </w:r>
      <w:r w:rsidR="00427078" w:rsidRPr="00203EB0">
        <w:rPr>
          <w:rFonts w:cs="Times New Roman"/>
        </w:rPr>
        <w:t>N supply, likely due to the higher SOM accumulation (</w:t>
      </w:r>
      <w:r w:rsidR="00427078" w:rsidRPr="00203EB0">
        <w:rPr>
          <w:rFonts w:cs="Times New Roman"/>
          <w:b/>
        </w:rPr>
        <w:t>Figure 2.2</w:t>
      </w:r>
      <w:r w:rsidR="00427078" w:rsidRPr="00203EB0">
        <w:rPr>
          <w:rFonts w:cs="Times New Roman"/>
        </w:rPr>
        <w:t>) and thus greater availability of soil derived N (</w:t>
      </w:r>
      <w:r w:rsidR="00B32FFF" w:rsidRPr="00203EB0">
        <w:rPr>
          <w:rFonts w:cs="Times New Roman"/>
          <w:b/>
        </w:rPr>
        <w:t>Table 2</w:t>
      </w:r>
      <w:r w:rsidR="00427078" w:rsidRPr="00203EB0">
        <w:rPr>
          <w:rFonts w:cs="Times New Roman"/>
          <w:b/>
        </w:rPr>
        <w:t>.1</w:t>
      </w:r>
      <w:r w:rsidR="00427078" w:rsidRPr="00203EB0">
        <w:rPr>
          <w:rFonts w:cs="Times New Roman"/>
        </w:rPr>
        <w:t xml:space="preserve">). </w:t>
      </w:r>
      <w:r w:rsidR="00816C97" w:rsidRPr="00203EB0">
        <w:rPr>
          <w:rFonts w:cs="Times New Roman"/>
        </w:rPr>
        <w:t>However, t</w:t>
      </w:r>
      <w:r w:rsidR="00FC3620" w:rsidRPr="00203EB0">
        <w:rPr>
          <w:rFonts w:cs="Times New Roman"/>
        </w:rPr>
        <w:t xml:space="preserve">he results </w:t>
      </w:r>
      <w:r w:rsidR="00427078" w:rsidRPr="00203EB0">
        <w:rPr>
          <w:rFonts w:cs="Times New Roman"/>
        </w:rPr>
        <w:t>also suggest that NT alone may not be sufficient to sustain legume N status in the absence of fertilization; underscoring the importance of adequate N management</w:t>
      </w:r>
      <w:r w:rsidR="00762874">
        <w:rPr>
          <w:rFonts w:cs="Times New Roman"/>
        </w:rPr>
        <w:t xml:space="preserve"> across the entire crop rotation sequence</w:t>
      </w:r>
      <w:r w:rsidR="00427078" w:rsidRPr="00203EB0">
        <w:rPr>
          <w:rFonts w:cs="Times New Roman"/>
        </w:rPr>
        <w:t xml:space="preserve"> to prevent soil fertility depletion and </w:t>
      </w:r>
      <w:proofErr w:type="gramStart"/>
      <w:r w:rsidR="00427078" w:rsidRPr="00203EB0">
        <w:rPr>
          <w:rFonts w:cs="Times New Roman"/>
        </w:rPr>
        <w:t>avoid N</w:t>
      </w:r>
      <w:proofErr w:type="gramEnd"/>
      <w:r w:rsidR="00427078" w:rsidRPr="00203EB0">
        <w:rPr>
          <w:rFonts w:cs="Times New Roman"/>
        </w:rPr>
        <w:t xml:space="preserve"> limitation </w:t>
      </w:r>
      <w:r w:rsidR="00762874">
        <w:rPr>
          <w:rFonts w:cs="Times New Roman"/>
        </w:rPr>
        <w:t>not only for the cash crop but also during the CC phase</w:t>
      </w:r>
      <w:r w:rsidR="00427078" w:rsidRPr="00203EB0">
        <w:rPr>
          <w:rFonts w:cs="Times New Roman"/>
        </w:rPr>
        <w:t xml:space="preserve">. </w:t>
      </w:r>
    </w:p>
    <w:p w14:paraId="72BD15B6" w14:textId="350CB714" w:rsidR="005C7C93" w:rsidRPr="00203EB0" w:rsidRDefault="005C7C93" w:rsidP="00146CBD">
      <w:pPr>
        <w:spacing w:after="160" w:line="480" w:lineRule="auto"/>
        <w:rPr>
          <w:rFonts w:cs="Times New Roman"/>
        </w:rPr>
      </w:pPr>
      <w:r w:rsidRPr="00203EB0">
        <w:rPr>
          <w:rFonts w:cs="Times New Roman"/>
        </w:rPr>
        <w:lastRenderedPageBreak/>
        <w:t>The %</w:t>
      </w:r>
      <w:proofErr w:type="spellStart"/>
      <w:r w:rsidRPr="00203EB0">
        <w:rPr>
          <w:rFonts w:cs="Times New Roman"/>
        </w:rPr>
        <w:t>Ndfa</w:t>
      </w:r>
      <w:proofErr w:type="spellEnd"/>
      <w:r w:rsidRPr="00203EB0">
        <w:rPr>
          <w:rFonts w:cs="Times New Roman"/>
        </w:rPr>
        <w:t xml:space="preserve"> was consistently higher in HV from CT plots compared to NT plots (mean: 80.5 vs 72.5%), and this difference became more pronounced with increasing N fertilization</w:t>
      </w:r>
      <w:r w:rsidR="00250919">
        <w:rPr>
          <w:rFonts w:cs="Times New Roman"/>
        </w:rPr>
        <w:t xml:space="preserve"> except at 67 kg N ha</w:t>
      </w:r>
      <w:r w:rsidR="00250919" w:rsidRPr="00250919">
        <w:rPr>
          <w:rFonts w:cs="Times New Roman"/>
          <w:vertAlign w:val="superscript"/>
        </w:rPr>
        <w:t>-1</w:t>
      </w:r>
      <w:r w:rsidR="00250919">
        <w:rPr>
          <w:rFonts w:cs="Times New Roman"/>
        </w:rPr>
        <w:t xml:space="preserve"> </w:t>
      </w:r>
      <w:r w:rsidRPr="00203EB0">
        <w:rPr>
          <w:rFonts w:cs="Times New Roman"/>
        </w:rPr>
        <w:t>(</w:t>
      </w:r>
      <w:r w:rsidRPr="00203EB0">
        <w:rPr>
          <w:rFonts w:cs="Times New Roman"/>
          <w:b/>
        </w:rPr>
        <w:t>Figure 2.1B</w:t>
      </w:r>
      <w:r w:rsidRPr="00203EB0">
        <w:rPr>
          <w:rFonts w:cs="Times New Roman"/>
        </w:rPr>
        <w:t>). This pattern suggests a compensatory increase in %</w:t>
      </w:r>
      <w:proofErr w:type="spellStart"/>
      <w:r w:rsidRPr="00203EB0">
        <w:rPr>
          <w:rFonts w:cs="Times New Roman"/>
        </w:rPr>
        <w:t>Ndfa</w:t>
      </w:r>
      <w:proofErr w:type="spellEnd"/>
      <w:r w:rsidRPr="00203EB0">
        <w:rPr>
          <w:rFonts w:cs="Times New Roman"/>
        </w:rPr>
        <w:t xml:space="preserve"> in CT plots, where soil N availability is lower due to SOM depletion</w:t>
      </w:r>
      <w:r w:rsidR="00A70400">
        <w:rPr>
          <w:rFonts w:cs="Times New Roman"/>
        </w:rPr>
        <w:t xml:space="preserve"> from continued tillage</w:t>
      </w:r>
      <w:r w:rsidRPr="00203EB0">
        <w:rPr>
          <w:rFonts w:cs="Times New Roman"/>
        </w:rPr>
        <w:t xml:space="preserve"> and reduced mineralization potential </w:t>
      </w:r>
      <w:r w:rsidRPr="00203EB0">
        <w:rPr>
          <w:rFonts w:cs="Times New Roman"/>
        </w:rPr>
        <w:fldChar w:fldCharType="begin" w:fldLock="1"/>
      </w:r>
      <w:r w:rsidRPr="00203EB0">
        <w:rPr>
          <w:rFonts w:cs="Times New Roman"/>
        </w:rPr>
        <w:instrText>ADDIN CSL_CITATION {"citationItems":[{"id":"ITEM-1","itemData":{"DOI":"10.1007/BF00032242","ISSN":"0032079X","abstract":"Atmospheric N2 fixed symbiotically by associations between Rhizobium spp. and legumes represents a renewable source of N for agriculture. Contribution of legume N2 fixation to the N-economy of any ecosystem is mediated by: (i) legume reliance upon N2 fixation for growth, and (ii) the total amount of legume-N accumulated. Strategies that change the numbers of effective rhizobia present in soil, reduce the inhibitory effects of soil nitrate, or influence legume biomass all have potential to alter net inputs of fixed N. A range of management options can be applied to legumes growing in farming systems to manipulate N2 fixation and improve the N benefits to agriculture and agroforestry. © 1995 Kluwer Academic Publishers.","author":[{"dropping-particle":"","family":"Peoples","given":"M. B.","non-dropping-particle":"","parse-names":false,"suffix":""},{"dropping-particle":"","family":"Ladha","given":"J. K.","non-dropping-particle":"","parse-names":false,"suffix":""},{"dropping-particle":"","family":"Herridge","given":"D. F.","non-dropping-particle":"","parse-names":false,"suffix":""}],"container-title":"Plant and Soil","id":"ITEM-1","issue":"1-2","issued":{"date-parts":[["1995"]]},"page":"83-101","title":"Enhancing legume N2 fixation through plant and soil management","type":"article-journal","volume":"174"},"uris":["http://www.mendeley.com/documents/?uuid=aa7e3aad-f68d-4085-b00a-abdbd6208e73"]},{"id":"ITEM-2","itemData":{"DOI":"10.1023/A:1014240311597","ISSN":"0032079X","abstract":"Pea as a grain legume and red clover as a forage legume in the seeding year were cultivated in two long-term differentiated tillage systems on a loess soil in Germany. A continuous conventional tillage system (plow; CT) and a continuous minimum tillage system (rotary harrow; MT) were established in 1970. With pea and red clover dry matter accumulation and N parameters (N accumulation, Ndfa, N-harvest-index, N balance) were investigated in 1998 and 1999. Differences in the N2 fixation of pea due to the tillage system could clearly be shown whereas grain yields and total N accumulation were equal in both tillage systems and years. In both years a significantly (P &lt; 0.05) higher Ndfa in the MT system was found at least in the final harvest (maturity of pea): 1998/1999, 0.42/0.54 in CT, 0.62/0.75 in MT. The differences in N2 fixation of pea may be explained by the delayed soil N supply in MT at the beginning of the vegetative period. Simplified N balances of pea were - 18 and -25 kg N ha-1 in CT and -5 and +1 kg N ha-1 in MT for 1998 and 1999, respectively. Red clover showed no significant differences in the DM and N accumulation between both tillage systems but a year dependent effect caused by different stubble and root yields between the years was apparent. With red clover slightly, but also significantly (P &lt; 0.05) increased Ndfa values were found in the MT system compared to the CT system with 0.55/0.62 in CT (1998/1999) and 0.64/0.71 in MT. However, the difference in Ndfa between the tillage systems (9 percentage points) was much smaller with red clover than with pea (20 and 21 percentage points in 1998 and 1999, respectively). Soil N uptake of red clover using the longer growing season reflected the more adjusted N supply in both long-term differentiated tillage systems, whereas pea in using only a short-term vegetative period reacted stronger to the lower N mineralization in the MT system in springtime.","author":[{"dropping-particle":"","family":"Reiter","given":"Karin","non-dropping-particle":"","parse-names":false,"suffix":""},{"dropping-particle":"","family":"Schmidtke","given":"Knut","non-dropping-particle":"","parse-names":false,"suffix":""},{"dropping-particle":"","family":"Rauber","given":"Rolf","non-dropping-particle":"","parse-names":false,"suffix":""}],"container-title":"Plant and Soil","id":"ITEM-2","issue":"1","issued":{"date-parts":[["2002"]]},"page":"41-55","title":"The influence of long-term tillage systems on symbiotic N2 fixation of pea (Pisum sativum L.) and red clover (Trifolium pratense L.)","type":"article-journal","volume":"238"},"uris":["http://www.mendeley.com/documents/?uuid=2254b3a1-b0f7-4f9b-bdfd-dfa26005f946"]}],"mendeley":{"formattedCitation":"(Peoples et al., 1995; Reiter et al., 2002)","plainTextFormattedCitation":"(Peoples et al., 1995; Reiter et al., 2002)","previouslyFormattedCitation":"(Peoples et al., 1995; Reiter et al., 2002)"},"properties":{"noteIndex":0},"schema":"https://github.com/citation-style-language/schema/raw/master/csl-citation.json"}</w:instrText>
      </w:r>
      <w:r w:rsidRPr="00203EB0">
        <w:rPr>
          <w:rFonts w:cs="Times New Roman"/>
        </w:rPr>
        <w:fldChar w:fldCharType="separate"/>
      </w:r>
      <w:r w:rsidRPr="00203EB0">
        <w:rPr>
          <w:rFonts w:cs="Times New Roman"/>
          <w:noProof/>
        </w:rPr>
        <w:t>(Peoples et al., 1995; Reiter et al., 2002)</w:t>
      </w:r>
      <w:r w:rsidRPr="00203EB0">
        <w:rPr>
          <w:rFonts w:cs="Times New Roman"/>
        </w:rPr>
        <w:fldChar w:fldCharType="end"/>
      </w:r>
      <w:r w:rsidRPr="00203EB0">
        <w:rPr>
          <w:rFonts w:cs="Times New Roman"/>
        </w:rPr>
        <w:t>. Conversely, NT plots showed significantly higher total N uptake (</w:t>
      </w:r>
      <w:r w:rsidRPr="00203EB0">
        <w:rPr>
          <w:rFonts w:cs="Times New Roman"/>
          <w:b/>
        </w:rPr>
        <w:t>Table 2.1</w:t>
      </w:r>
      <w:r w:rsidRPr="00203EB0">
        <w:rPr>
          <w:rFonts w:eastAsiaTheme="minorEastAsia" w:cs="Times New Roman"/>
        </w:rPr>
        <w:t>), aligned with greater SOM content (</w:t>
      </w:r>
      <w:r w:rsidRPr="00203EB0">
        <w:rPr>
          <w:rFonts w:eastAsiaTheme="minorEastAsia" w:cs="Times New Roman"/>
          <w:b/>
        </w:rPr>
        <w:t>Figure 2.2</w:t>
      </w:r>
      <w:r w:rsidRPr="00203EB0">
        <w:rPr>
          <w:rFonts w:eastAsiaTheme="minorEastAsia" w:cs="Times New Roman"/>
        </w:rPr>
        <w:t>), and relied more</w:t>
      </w:r>
      <w:r w:rsidR="00D27580">
        <w:rPr>
          <w:rFonts w:eastAsiaTheme="minorEastAsia" w:cs="Times New Roman"/>
        </w:rPr>
        <w:t xml:space="preserve"> </w:t>
      </w:r>
      <w:r w:rsidRPr="00203EB0">
        <w:rPr>
          <w:rFonts w:eastAsiaTheme="minorEastAsia" w:cs="Times New Roman"/>
        </w:rPr>
        <w:t>on soil derived N (</w:t>
      </w:r>
      <w:r w:rsidRPr="00203EB0">
        <w:rPr>
          <w:rFonts w:eastAsiaTheme="minorEastAsia" w:cs="Times New Roman"/>
          <w:b/>
        </w:rPr>
        <w:t>Table 2.1</w:t>
      </w:r>
      <w:r w:rsidRPr="00203EB0">
        <w:rPr>
          <w:rFonts w:eastAsiaTheme="minorEastAsia" w:cs="Times New Roman"/>
        </w:rPr>
        <w:t>), indicating</w:t>
      </w:r>
      <w:r w:rsidR="00D27580">
        <w:rPr>
          <w:rFonts w:eastAsiaTheme="minorEastAsia" w:cs="Times New Roman"/>
        </w:rPr>
        <w:t xml:space="preserve"> </w:t>
      </w:r>
      <w:r w:rsidRPr="00203EB0">
        <w:rPr>
          <w:rFonts w:eastAsiaTheme="minorEastAsia" w:cs="Times New Roman"/>
        </w:rPr>
        <w:t>enhanced fertility under long-term conservation practices. This is consistent with known suppression of %</w:t>
      </w:r>
      <w:proofErr w:type="spellStart"/>
      <w:r w:rsidRPr="00203EB0">
        <w:rPr>
          <w:rFonts w:eastAsiaTheme="minorEastAsia" w:cs="Times New Roman"/>
        </w:rPr>
        <w:t>Ndfa</w:t>
      </w:r>
      <w:proofErr w:type="spellEnd"/>
      <w:r w:rsidRPr="00203EB0">
        <w:rPr>
          <w:rFonts w:eastAsiaTheme="minorEastAsia" w:cs="Times New Roman"/>
        </w:rPr>
        <w:t xml:space="preserve"> </w:t>
      </w:r>
      <w:r w:rsidR="002003E6" w:rsidRPr="00203EB0">
        <w:rPr>
          <w:rFonts w:eastAsiaTheme="minorEastAsia" w:cs="Times New Roman"/>
        </w:rPr>
        <w:t>under</w:t>
      </w:r>
      <w:r w:rsidR="004E3A50" w:rsidRPr="00203EB0">
        <w:rPr>
          <w:rFonts w:eastAsiaTheme="minorEastAsia" w:cs="Times New Roman"/>
        </w:rPr>
        <w:t xml:space="preserve"> </w:t>
      </w:r>
      <w:r w:rsidRPr="00203EB0">
        <w:rPr>
          <w:rFonts w:eastAsiaTheme="minorEastAsia" w:cs="Times New Roman"/>
        </w:rPr>
        <w:t xml:space="preserve">elevated soil nitrate </w:t>
      </w:r>
      <w:r w:rsidRPr="00203EB0">
        <w:rPr>
          <w:rFonts w:eastAsiaTheme="minorEastAsia" w:cs="Times New Roman"/>
        </w:rPr>
        <w:fldChar w:fldCharType="begin" w:fldLock="1"/>
      </w:r>
      <w:r w:rsidR="00EB2F35" w:rsidRPr="00203EB0">
        <w:rPr>
          <w:rFonts w:eastAsiaTheme="minorEastAsia" w:cs="Times New Roman"/>
        </w:rPr>
        <w:instrText>ADDIN CSL_CITATION {"citationItems":[{"id":"ITEM-1","itemData":{"DOI":"10.1071/CP12180","ISSN":"18360947","abstract":"Quantitative measurement of N2 fixation has rarely been conducted in Australian dairy pastures. The available data indicate that annual N2 fixation rates in Australian dairy pastures are generally low, due to low pasture legume content. With typical legume contents of grazed pastures less than 30% of total pasture biomass production, annual N2 fixation in herbage is usually much less than 50kgha-1 year-1. Other factors which are likely to be able to contribute to increased N 2 fixation input (rhizobia, mineral N management, soil acidity, soil water contents) will have little impact until such time as legume contents are increased. In contrast, for some hay systems, such as those using lucerne, N2 fixation input is shown to be high (200-300kgha-1 year-1). While pasture clover contents remain low there is little value in study or measurement of N2 fixation, nor in complex modelling, as N2 fixation will be of little quantitative importance. However, where legume contents, and thus potential N2 fixation are increased, there is scope for investigation into potential increases in N input from this source, which is invariably linked to fertiliser application, the management of grazing and the N returns in urine and dung. These are the major influences on sward N dynamics and legume N2 fixation. The inoculant rhizobia used for white clover in Australia (TA1) is likely to be suboptimal. Isolated in Tasmania in 1953 it has been shown to be inferior in N2 fixation compared with other strains on several occasions. Root pests and diseases are likely to be prevalent and impact directly on clover root growth and perhaps nodulation. Modelling is often used to describe the probable influence of management and/or climate on the operation of agricultural systems. Reliable modelling of N2 fixation requires capacity to integrate the effects of grazing and pasture composition on soil mineral N dynamics, the influence of this mineral N on nodulation and on suppression of N2 fixation, and environmental and management influences on soil rhizobial populations. Currently no models have demonstrated this capacity. At present, a suitably calibrated regression model is probably a good option for modelling N2 fixation in Australian dairy pastures. Environmental benefits ensuing from increasing N2 fixation and substituting this for fertiliser N are likely to be greater off-farm (reduced GHG emissions at site of fertiliser manufacture) than on, if current fertiliser management is optim…","author":[{"dropping-particle":"","family":"Unkovich","given":"Murray","non-dropping-particle":"","parse-names":false,"suffix":""}],"container-title":"Crop and Pasture Science","id":"ITEM-1","issue":"9","issued":{"date-parts":[["2012"]]},"page":"787-804","title":"Nitrogen fixation in Australian dairy systems: Review and prospect","type":"article-journal","volume":"63"},"uris":["http://www.mendeley.com/documents/?uuid=24557ff5-02d4-4c4f-9709-8353c0c09e09"]},{"id":"ITEM-2","itemData":{"DOI":"10.1016/j.still.2019.104380","ISSN":"01671987","abstract":"Nitrogen supplement by adding N-fertilizer and/or growing of N-fixing trees are considered as important stimulus for the development of early vegetation. We performed pot experiments to determine the responses of legumes (N-fixing) and grasses (non-N fixing) in respect to their biomass to N fertilization, legacy of N, and combination of these two in various ages of post mining soils. N legacy was achieved either by long-term mineral N fertilization (legacy of inorganic N) (experiment 1) or growing of N2 fixing plant (legacy of N-fixing) (experiment 2). The first pot experiment was conducted to test N fertilization and legacy of inorganic N and these two on growth of Festuca rubra and Lotus corniculatus when grown separately. Following this, plant-soil feedback was defined as positive or negative by comparing the second generation of plant biomass in soils with and without plants in the previous generation. In the second pot experiment, we compared the performance of P. compressa and L. corniculatus in the presence of legacy of N-fixing and N fertiliaztion when grown together, and at the same time, plant-soil feedback was determined. N fertilization increased the growth of grasses, but only increased biomass of legumes in young soils. N-legacy induced variable plant growth, in particular often decreased the biomass of legumes. Legacy of inorganic N was only beneficial for grasses rather than legumes in medium soils. When growing in the same pot, legacy of N-fixing showed positive effects on grasses, depending on soil age and N fertilization. Repeated growing of plants in the same soil mostly resulted in negative plant-soil feedback. Negative plant-soil feedback was not alleviated by N fertilization and legacy of inorganic N for both grasses and legumes when grown separately. However, growing grasses and legumes together can induce positive plant-soil feedback with no legacy of N-fixing. In conclusion, N addition often stimulates plant growth more than long-term N effect. Legacy of N tends to be only beneficial for non-N fixing plants in medium aged soils. While negative plant-soil feedback occurs for grasses and legumes both grown separately or together, legumes can induce positive plant-soil feedback when grown with grasses in no legacy of N-fixing soils.","author":[{"dropping-particle":"","family":"Sun","given":"Daquan","non-dropping-particle":"","parse-names":false,"suffix":""},{"dropping-particle":"","family":"Müllerová","given":"Věra","non-dropping-particle":"","parse-names":false,"suffix":""},{"dropping-particle":"","family":"Ardestani","given":"Masoud M.","non-dropping-particle":"","parse-names":false,"suffix":""},{"dropping-particle":"","family":"Frouz","given":"Jan","non-dropping-particle":"","parse-names":false,"suffix":""}],"container-title":"Soil and Tillage Research","id":"ITEM-2","issue":"April","issued":{"date-parts":[["2019"]]},"title":"Nitrogen fertilization and its legacy have inconsistent and often negative effect on plant growth in undeveloped post mining soils","type":"article-journal","volume":"195"},"uris":["http://www.mendeley.com/documents/?uuid=0529eed2-d361-4d5e-ac01-ccb45411d614"]}],"mendeley":{"formattedCitation":"(Unkovich, 2012; Sun et al., 2019)","manualFormatting":"(Unkovich, 2012; Sun et al., 2019)","plainTextFormattedCitation":"(Unkovich, 2012; Sun et al., 2019)","previouslyFormattedCitation":"(Unkovich, 2012; Sun et al., 2019)"},"properties":{"noteIndex":0},"schema":"https://github.com/citation-style-language/schema/raw/master/csl-citation.json"}</w:instrText>
      </w:r>
      <w:r w:rsidRPr="00203EB0">
        <w:rPr>
          <w:rFonts w:eastAsiaTheme="minorEastAsia" w:cs="Times New Roman"/>
        </w:rPr>
        <w:fldChar w:fldCharType="separate"/>
      </w:r>
      <w:r w:rsidRPr="00203EB0">
        <w:rPr>
          <w:rFonts w:eastAsiaTheme="minorEastAsia" w:cs="Times New Roman"/>
          <w:noProof/>
        </w:rPr>
        <w:t>(Unkovich, 2012; Sun et al., 2019)</w:t>
      </w:r>
      <w:r w:rsidRPr="00203EB0">
        <w:rPr>
          <w:rFonts w:eastAsiaTheme="minorEastAsia" w:cs="Times New Roman"/>
        </w:rPr>
        <w:fldChar w:fldCharType="end"/>
      </w:r>
      <w:r w:rsidRPr="00203EB0">
        <w:rPr>
          <w:rFonts w:eastAsiaTheme="minorEastAsia" w:cs="Times New Roman"/>
        </w:rPr>
        <w:t>, further emphasizing the role of soil N status</w:t>
      </w:r>
      <w:r w:rsidR="002003E6" w:rsidRPr="00203EB0">
        <w:rPr>
          <w:rFonts w:eastAsiaTheme="minorEastAsia" w:cs="Times New Roman"/>
        </w:rPr>
        <w:t xml:space="preserve"> </w:t>
      </w:r>
      <w:r w:rsidRPr="00203EB0">
        <w:rPr>
          <w:rFonts w:eastAsiaTheme="minorEastAsia" w:cs="Times New Roman"/>
        </w:rPr>
        <w:t>in regulating N fixation. This trade-off between soil N uptake and %</w:t>
      </w:r>
      <w:proofErr w:type="spellStart"/>
      <w:r w:rsidRPr="00203EB0">
        <w:rPr>
          <w:rFonts w:eastAsiaTheme="minorEastAsia" w:cs="Times New Roman"/>
        </w:rPr>
        <w:t>Ndfa</w:t>
      </w:r>
      <w:proofErr w:type="spellEnd"/>
      <w:r w:rsidRPr="00203EB0">
        <w:rPr>
          <w:rFonts w:eastAsiaTheme="minorEastAsia" w:cs="Times New Roman"/>
        </w:rPr>
        <w:t xml:space="preserve"> has been previously reported across legume systems </w:t>
      </w:r>
      <w:r w:rsidRPr="00203EB0">
        <w:rPr>
          <w:rFonts w:eastAsiaTheme="minorEastAsia" w:cs="Times New Roman"/>
        </w:rPr>
        <w:fldChar w:fldCharType="begin" w:fldLock="1"/>
      </w:r>
      <w:r w:rsidRPr="00203EB0">
        <w:rPr>
          <w:rFonts w:eastAsiaTheme="minorEastAsia" w:cs="Times New Roman"/>
        </w:rPr>
        <w:instrText>ADDIN CSL_CITATION {"citationItems":[{"id":"ITEM-1","itemData":{"DOI":"10.1071/AR9931403","author":[{"dropping-particle":"","family":"Doughton","given":"J.A","non-dropping-particle":"","parse-names":false,"suffix":""},{"dropping-particle":"","family":"Vallis","given":"I","non-dropping-particle":"","parse-names":false,"suffix":""},{"dropping-particle":"","family":"Saffigna","given":"P.G","non-dropping-particle":"","parse-names":false,"suffix":""}],"container-title":"Australian Journal of Agricultural Research","id":"ITEM-1","issue":"6","issued":{"date-parts":[["1993"]]},"page":"1403-1413","title":"Nitrogen fixation in chickpea. I. Influence of prior cropping or fallow, nitrogen fertilizer and tillage","type":"article-journal","volume":"44"},"uris":["http://www.mendeley.com/documents/?uuid=f49cfa56-87e1-4c1b-b6c9-ab18294b413a"]},{"id":"ITEM-2","itemData":{"DOI":"10.4141/P96-078","ISSN":"00084220","abstract":"Direct seeding into standing stubble and crop diversification are two practices that are becoming widely adopted in western Canada. This study was conducted to determine: i) the influence of zero and conventional tillage on N-fixation in lentil (Lens culinaris Medikus) and pea (Pisum sativum L.), and ii) the effect of cropping history on N-fixation in lentil. Data were obtained from a crop rotation experiment being conducted on a silly clay soil in east-central Saskatchewan, which included six cereal-oilseed-cereal-pulse rotations, each managed using zero and conventional tillage practices. The finding showed that N-fixation was 10% higher by lentil and 31% higher by pea when grown using zero tillage as compared to conventional tillage practices. On average, lentil grown in highly diversified crop rotations fixed 12% more nitrogen than when grown in less diversified crop rotations.","author":[{"dropping-particle":"","family":"Matus","given":"A.","non-dropping-particle":"","parse-names":false,"suffix":""},{"dropping-particle":"","family":"Derksen","given":"D. A.","non-dropping-particle":"","parse-names":false,"suffix":""},{"dropping-particle":"","family":"Walley","given":"F. L.","non-dropping-particle":"","parse-names":false,"suffix":""},{"dropping-particle":"","family":"Loeppky","given":"H. A.","non-dropping-particle":"","parse-names":false,"suffix":""},{"dropping-particle":"","family":"Kessel","given":"C.","non-dropping-particle":"Van","parse-names":false,"suffix":""}],"container-title":"Canadian Journal of Plant Science","id":"ITEM-2","issue":"2","issued":{"date-parts":[["1997"]]},"page":"197-200","title":"The influence of tillage and crop rotation on nitrogen fixation in lentil and pea","type":"article-journal","volume":"77"},"uris":["http://www.mendeley.com/documents/?uuid=25cab19c-41ea-42d1-a8ff-44cf2edc45f9"]}],"mendeley":{"formattedCitation":"(Doughton et al., 1993; Matus et al., 1997)","plainTextFormattedCitation":"(Doughton et al., 1993; Matus et al., 1997)","previouslyFormattedCitation":"(Doughton et al., 1993; Matus et al., 1997)"},"properties":{"noteIndex":0},"schema":"https://github.com/citation-style-language/schema/raw/master/csl-citation.json"}</w:instrText>
      </w:r>
      <w:r w:rsidRPr="00203EB0">
        <w:rPr>
          <w:rFonts w:eastAsiaTheme="minorEastAsia" w:cs="Times New Roman"/>
        </w:rPr>
        <w:fldChar w:fldCharType="separate"/>
      </w:r>
      <w:r w:rsidRPr="00203EB0">
        <w:rPr>
          <w:rFonts w:eastAsiaTheme="minorEastAsia" w:cs="Times New Roman"/>
          <w:noProof/>
        </w:rPr>
        <w:t>(Doughton et al., 1993; Matus et al., 1997)</w:t>
      </w:r>
      <w:r w:rsidRPr="00203EB0">
        <w:rPr>
          <w:rFonts w:eastAsiaTheme="minorEastAsia" w:cs="Times New Roman"/>
        </w:rPr>
        <w:fldChar w:fldCharType="end"/>
      </w:r>
      <w:r w:rsidRPr="00203EB0">
        <w:rPr>
          <w:rFonts w:eastAsiaTheme="minorEastAsia" w:cs="Times New Roman"/>
        </w:rPr>
        <w:t xml:space="preserve"> and represents a key mechanism by which legumes maintain N status and avoid N limitations across diverse environments.</w:t>
      </w:r>
    </w:p>
    <w:p w14:paraId="2E377074" w14:textId="571D60CD" w:rsidR="00B111AD" w:rsidRPr="00203EB0" w:rsidRDefault="007D4FC4" w:rsidP="00427078">
      <w:pPr>
        <w:spacing w:line="480" w:lineRule="auto"/>
        <w:rPr>
          <w:rFonts w:cs="Times New Roman"/>
        </w:rPr>
      </w:pPr>
      <w:r>
        <w:rPr>
          <w:noProof/>
        </w:rPr>
        <w:lastRenderedPageBreak/>
        <w:drawing>
          <wp:inline distT="0" distB="0" distL="0" distR="0" wp14:anchorId="4C1A5DC2" wp14:editId="56828E60">
            <wp:extent cx="5486400" cy="4572000"/>
            <wp:effectExtent l="0" t="0" r="0" b="0"/>
            <wp:docPr id="1675739741" name="Picture 3" descr="A collage of multiple colored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39741" name="Picture 3" descr="A collage of multiple colored graphs&#10;&#10;AI-generated content may be incorrect."/>
                    <pic:cNvPicPr>
                      <a:picLocks noChangeAspect="1" noChangeArrowheads="1"/>
                    </pic:cNvPicPr>
                  </pic:nvPicPr>
                  <pic:blipFill>
                    <a:blip r:embed="rId14" cstate="hqprint">
                      <a:extLst>
                        <a:ext uri="{28A0092B-C50C-407E-A947-70E740481C1C}">
                          <a14:useLocalDpi xmlns:a14="http://schemas.microsoft.com/office/drawing/2010/main" val="0"/>
                        </a:ext>
                      </a:extLst>
                    </a:blip>
                    <a:srcRect/>
                    <a:stretch>
                      <a:fillRect/>
                    </a:stretch>
                  </pic:blipFill>
                  <pic:spPr bwMode="auto">
                    <a:xfrm>
                      <a:off x="0" y="0"/>
                      <a:ext cx="5486400" cy="4572000"/>
                    </a:xfrm>
                    <a:prstGeom prst="rect">
                      <a:avLst/>
                    </a:prstGeom>
                    <a:noFill/>
                    <a:ln>
                      <a:noFill/>
                    </a:ln>
                  </pic:spPr>
                </pic:pic>
              </a:graphicData>
            </a:graphic>
          </wp:inline>
        </w:drawing>
      </w:r>
    </w:p>
    <w:p w14:paraId="60D1E8C5" w14:textId="106D91E4" w:rsidR="00B111AD" w:rsidRPr="00203EB0" w:rsidRDefault="00BD46F8" w:rsidP="00BD46F8">
      <w:pPr>
        <w:pStyle w:val="Caption"/>
        <w:rPr>
          <w:rFonts w:cs="Times New Roman"/>
          <w:szCs w:val="24"/>
        </w:rPr>
      </w:pPr>
      <w:bookmarkStart w:id="23" w:name="_Toc206669260"/>
      <w:r w:rsidRPr="00203EB0">
        <w:rPr>
          <w:b/>
          <w:bCs/>
        </w:rPr>
        <w:t xml:space="preserve">Figure </w:t>
      </w:r>
      <w:r w:rsidRPr="00203EB0">
        <w:rPr>
          <w:b/>
          <w:bCs/>
        </w:rPr>
        <w:fldChar w:fldCharType="begin"/>
      </w:r>
      <w:r w:rsidRPr="00203EB0">
        <w:rPr>
          <w:b/>
          <w:bCs/>
        </w:rPr>
        <w:instrText xml:space="preserve"> STYLEREF 1 \s </w:instrText>
      </w:r>
      <w:r w:rsidRPr="00203EB0">
        <w:rPr>
          <w:b/>
          <w:bCs/>
        </w:rPr>
        <w:fldChar w:fldCharType="separate"/>
      </w:r>
      <w:r w:rsidR="00D56363" w:rsidRPr="00203EB0">
        <w:rPr>
          <w:b/>
          <w:bCs/>
        </w:rPr>
        <w:t>2</w:t>
      </w:r>
      <w:r w:rsidRPr="00203EB0">
        <w:rPr>
          <w:b/>
          <w:bCs/>
        </w:rPr>
        <w:fldChar w:fldCharType="end"/>
      </w:r>
      <w:r w:rsidRPr="00203EB0">
        <w:rPr>
          <w:b/>
          <w:bCs/>
        </w:rPr>
        <w:t>.</w:t>
      </w:r>
      <w:r w:rsidRPr="00203EB0">
        <w:rPr>
          <w:b/>
          <w:bCs/>
        </w:rPr>
        <w:fldChar w:fldCharType="begin"/>
      </w:r>
      <w:r w:rsidRPr="00203EB0">
        <w:rPr>
          <w:b/>
          <w:bCs/>
        </w:rPr>
        <w:instrText xml:space="preserve"> SEQ Figure \* ARABIC \s 1 </w:instrText>
      </w:r>
      <w:r w:rsidRPr="00203EB0">
        <w:rPr>
          <w:b/>
          <w:bCs/>
        </w:rPr>
        <w:fldChar w:fldCharType="separate"/>
      </w:r>
      <w:r w:rsidR="00D56363" w:rsidRPr="00203EB0">
        <w:rPr>
          <w:b/>
          <w:bCs/>
        </w:rPr>
        <w:t>1</w:t>
      </w:r>
      <w:r w:rsidRPr="00203EB0">
        <w:rPr>
          <w:b/>
          <w:bCs/>
        </w:rPr>
        <w:fldChar w:fldCharType="end"/>
      </w:r>
      <w:r w:rsidRPr="00203EB0">
        <w:rPr>
          <w:b/>
          <w:bCs/>
        </w:rPr>
        <w:t>:</w:t>
      </w:r>
      <w:r w:rsidRPr="00203EB0">
        <w:t xml:space="preserve"> </w:t>
      </w:r>
      <w:r w:rsidR="00B32FFF" w:rsidRPr="00203EB0">
        <w:t>Scattered boxplots showing the effects of fertilization and tillage on (A) nitrogen nutrition index (NNI), (B) proportion of nitrogen derived from the atmosphere (</w:t>
      </w:r>
      <w:proofErr w:type="spellStart"/>
      <w:r w:rsidR="00B32FFF" w:rsidRPr="00203EB0">
        <w:t>Ndfa</w:t>
      </w:r>
      <w:proofErr w:type="spellEnd"/>
      <w:r w:rsidR="00B32FFF" w:rsidRPr="00203EB0">
        <w:t>), (C) nitrogen fixed (kg N fix</w:t>
      </w:r>
      <w:r w:rsidR="007D4FC4">
        <w:t>ed</w:t>
      </w:r>
      <w:r w:rsidR="00B32FFF" w:rsidRPr="00203EB0">
        <w:t>), and</w:t>
      </w:r>
      <w:r w:rsidR="00267A08" w:rsidRPr="00203EB0">
        <w:t xml:space="preserve"> (D)</w:t>
      </w:r>
      <w:r w:rsidR="00B32FFF" w:rsidRPr="00203EB0">
        <w:t xml:space="preserve"> nitrogen derived from soil (kg N soil). Points represent individual observations; boxes indicate the interquartile range, with </w:t>
      </w:r>
      <w:proofErr w:type="gramStart"/>
      <w:r w:rsidR="00B32FFF" w:rsidRPr="00203EB0">
        <w:t>median</w:t>
      </w:r>
      <w:proofErr w:type="gramEnd"/>
      <w:r w:rsidR="00B32FFF" w:rsidRPr="00203EB0">
        <w:t xml:space="preserve"> shown as horizontal lines. In panel A, the solid red line indicates NNI = 1, representing optimal nitrogen status, while the dashed red line marks NNI = 0.9, below which nitrogen limitation </w:t>
      </w:r>
      <w:proofErr w:type="gramStart"/>
      <w:r w:rsidR="00B32FFF" w:rsidRPr="00203EB0">
        <w:t>become</w:t>
      </w:r>
      <w:proofErr w:type="gramEnd"/>
      <w:r w:rsidR="00B32FFF" w:rsidRPr="00203EB0">
        <w:t xml:space="preserve"> more pronounced.</w:t>
      </w:r>
      <w:bookmarkEnd w:id="23"/>
    </w:p>
    <w:p w14:paraId="788F08ED" w14:textId="4CCEDEE3" w:rsidR="00427078" w:rsidRPr="00203EB0" w:rsidRDefault="00427078" w:rsidP="00427078">
      <w:pPr>
        <w:rPr>
          <w:rFonts w:cs="Times New Roman"/>
        </w:rPr>
      </w:pPr>
    </w:p>
    <w:p w14:paraId="37498AC0" w14:textId="46895718" w:rsidR="00B32FFF" w:rsidRPr="00203EB0" w:rsidRDefault="00B32FFF" w:rsidP="00B32FFF">
      <w:pPr>
        <w:jc w:val="center"/>
        <w:rPr>
          <w:rFonts w:cs="Times New Roman"/>
        </w:rPr>
      </w:pPr>
      <w:r w:rsidRPr="00203EB0">
        <w:rPr>
          <w:noProof/>
        </w:rPr>
        <w:lastRenderedPageBreak/>
        <w:drawing>
          <wp:inline distT="0" distB="0" distL="0" distR="0" wp14:anchorId="1DDF19C6" wp14:editId="4C57FAEF">
            <wp:extent cx="4509654" cy="3865420"/>
            <wp:effectExtent l="0" t="0" r="5715" b="1905"/>
            <wp:docPr id="5" name="Imagen 5" descr="C:\Users\Facundo Lussich\Desktop\Research project\BNF\Paper\Manuscript\SOM box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cundo Lussich\Desktop\Research project\BNF\Paper\Manuscript\SOM boxplo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32545" cy="3885041"/>
                    </a:xfrm>
                    <a:prstGeom prst="rect">
                      <a:avLst/>
                    </a:prstGeom>
                    <a:noFill/>
                    <a:ln>
                      <a:noFill/>
                    </a:ln>
                  </pic:spPr>
                </pic:pic>
              </a:graphicData>
            </a:graphic>
          </wp:inline>
        </w:drawing>
      </w:r>
    </w:p>
    <w:p w14:paraId="278192E0" w14:textId="5A2D627B" w:rsidR="002B3951" w:rsidRPr="00203EB0" w:rsidRDefault="00B32FFF" w:rsidP="00001ABC">
      <w:pPr>
        <w:pStyle w:val="Caption"/>
      </w:pPr>
      <w:bookmarkStart w:id="24" w:name="_Toc206669261"/>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2</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2</w:t>
      </w:r>
      <w:r w:rsidR="00BD46F8" w:rsidRPr="00203EB0">
        <w:rPr>
          <w:b/>
          <w:bCs/>
        </w:rPr>
        <w:fldChar w:fldCharType="end"/>
      </w:r>
      <w:r w:rsidR="009024EF" w:rsidRPr="00203EB0">
        <w:rPr>
          <w:b/>
          <w:bCs/>
        </w:rPr>
        <w:t>:</w:t>
      </w:r>
      <w:r w:rsidR="009024EF" w:rsidRPr="00203EB0">
        <w:t xml:space="preserve"> </w:t>
      </w:r>
      <w:r w:rsidRPr="00203EB0">
        <w:t>Scattered boxplots showing the effects of fertilization and tillage on soil organic matter (SOM) in 2013.</w:t>
      </w:r>
      <w:bookmarkEnd w:id="24"/>
    </w:p>
    <w:p w14:paraId="4C0C75D1" w14:textId="77777777" w:rsidR="00B32FFF" w:rsidRPr="00203EB0" w:rsidRDefault="00B32FFF" w:rsidP="00B32FFF"/>
    <w:p w14:paraId="2E8D4694" w14:textId="5B465999" w:rsidR="002B3951" w:rsidRPr="00203EB0" w:rsidRDefault="00B32FFF" w:rsidP="00001ABC">
      <w:pPr>
        <w:pStyle w:val="Caption"/>
      </w:pPr>
      <w:bookmarkStart w:id="25" w:name="_Toc206669217"/>
      <w:r w:rsidRPr="00203EB0">
        <w:rPr>
          <w:b/>
          <w:bCs/>
        </w:rPr>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2</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1</w:t>
      </w:r>
      <w:r w:rsidR="00775F57" w:rsidRPr="00203EB0">
        <w:rPr>
          <w:b/>
          <w:bCs/>
        </w:rPr>
        <w:fldChar w:fldCharType="end"/>
      </w:r>
      <w:r w:rsidR="009024EF" w:rsidRPr="00203EB0">
        <w:rPr>
          <w:b/>
          <w:bCs/>
        </w:rPr>
        <w:t>:</w:t>
      </w:r>
      <w:r w:rsidRPr="00203EB0">
        <w:t xml:space="preserve"> Effect of nitrogen fertilization rate and tillage on nitrogen sources in hairy vetch, expressed as the amount of nitrogen (kg N) per </w:t>
      </w:r>
      <w:r w:rsidR="006908E1" w:rsidRPr="00203EB0">
        <w:t>Mg</w:t>
      </w:r>
      <w:r w:rsidRPr="00203EB0">
        <w:t xml:space="preserve"> of dry matter in plant biomass.</w:t>
      </w:r>
      <w:bookmarkEnd w:id="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5"/>
        <w:gridCol w:w="2155"/>
        <w:gridCol w:w="2155"/>
        <w:gridCol w:w="2155"/>
      </w:tblGrid>
      <w:tr w:rsidR="00B32FFF" w:rsidRPr="00203EB0" w14:paraId="409A1021" w14:textId="77777777" w:rsidTr="00652800">
        <w:tc>
          <w:tcPr>
            <w:tcW w:w="2207" w:type="dxa"/>
            <w:tcBorders>
              <w:top w:val="single" w:sz="4" w:space="0" w:color="auto"/>
              <w:bottom w:val="single" w:sz="4" w:space="0" w:color="auto"/>
            </w:tcBorders>
          </w:tcPr>
          <w:p w14:paraId="6EAEDD86" w14:textId="77777777" w:rsidR="00B32FFF" w:rsidRPr="00203EB0" w:rsidRDefault="00B32FFF" w:rsidP="00652800">
            <w:pPr>
              <w:rPr>
                <w:rFonts w:cs="Times New Roman"/>
                <w:b/>
              </w:rPr>
            </w:pPr>
            <w:r w:rsidRPr="00203EB0">
              <w:rPr>
                <w:rFonts w:cs="Times New Roman"/>
                <w:b/>
              </w:rPr>
              <w:t>Treatments</w:t>
            </w:r>
          </w:p>
        </w:tc>
        <w:tc>
          <w:tcPr>
            <w:tcW w:w="6621" w:type="dxa"/>
            <w:gridSpan w:val="3"/>
            <w:tcBorders>
              <w:top w:val="single" w:sz="4" w:space="0" w:color="auto"/>
              <w:bottom w:val="single" w:sz="4" w:space="0" w:color="auto"/>
            </w:tcBorders>
          </w:tcPr>
          <w:p w14:paraId="45755065" w14:textId="77777777" w:rsidR="00B32FFF" w:rsidRPr="00203EB0" w:rsidRDefault="00B32FFF" w:rsidP="00652800">
            <w:pPr>
              <w:jc w:val="center"/>
              <w:rPr>
                <w:rFonts w:cs="Times New Roman"/>
              </w:rPr>
            </w:pPr>
            <w:r w:rsidRPr="00203EB0">
              <w:rPr>
                <w:rFonts w:cs="Times New Roman"/>
                <w:b/>
              </w:rPr>
              <w:t>Sources of Nitrogen in Legumes</w:t>
            </w:r>
          </w:p>
        </w:tc>
      </w:tr>
      <w:tr w:rsidR="00B32FFF" w:rsidRPr="00203EB0" w14:paraId="5B13442E" w14:textId="77777777" w:rsidTr="00652800">
        <w:tc>
          <w:tcPr>
            <w:tcW w:w="2207" w:type="dxa"/>
            <w:tcBorders>
              <w:top w:val="single" w:sz="4" w:space="0" w:color="auto"/>
            </w:tcBorders>
          </w:tcPr>
          <w:p w14:paraId="716988DE" w14:textId="77777777" w:rsidR="00B32FFF" w:rsidRPr="00203EB0" w:rsidRDefault="00B32FFF" w:rsidP="00652800">
            <w:pPr>
              <w:rPr>
                <w:rFonts w:cs="Times New Roman"/>
                <w:b/>
              </w:rPr>
            </w:pPr>
          </w:p>
        </w:tc>
        <w:tc>
          <w:tcPr>
            <w:tcW w:w="2207" w:type="dxa"/>
            <w:tcBorders>
              <w:top w:val="single" w:sz="4" w:space="0" w:color="auto"/>
              <w:bottom w:val="single" w:sz="4" w:space="0" w:color="auto"/>
            </w:tcBorders>
          </w:tcPr>
          <w:p w14:paraId="78B4A667" w14:textId="77777777" w:rsidR="00B32FFF" w:rsidRPr="00203EB0" w:rsidRDefault="00B32FFF" w:rsidP="00652800">
            <w:pPr>
              <w:jc w:val="center"/>
              <w:rPr>
                <w:rFonts w:cs="Times New Roman"/>
                <w:b/>
              </w:rPr>
            </w:pPr>
            <w:r w:rsidRPr="00203EB0">
              <w:rPr>
                <w:rFonts w:cs="Times New Roman"/>
                <w:b/>
              </w:rPr>
              <w:t>Kg N fix</w:t>
            </w:r>
          </w:p>
        </w:tc>
        <w:tc>
          <w:tcPr>
            <w:tcW w:w="2207" w:type="dxa"/>
            <w:tcBorders>
              <w:top w:val="single" w:sz="4" w:space="0" w:color="auto"/>
              <w:bottom w:val="single" w:sz="4" w:space="0" w:color="auto"/>
            </w:tcBorders>
          </w:tcPr>
          <w:p w14:paraId="4560C410" w14:textId="77777777" w:rsidR="00B32FFF" w:rsidRPr="00203EB0" w:rsidRDefault="00B32FFF" w:rsidP="00652800">
            <w:pPr>
              <w:jc w:val="center"/>
              <w:rPr>
                <w:rFonts w:cs="Times New Roman"/>
                <w:b/>
              </w:rPr>
            </w:pPr>
            <w:r w:rsidRPr="00203EB0">
              <w:rPr>
                <w:rFonts w:cs="Times New Roman"/>
                <w:b/>
              </w:rPr>
              <w:t>Kg N soil</w:t>
            </w:r>
          </w:p>
        </w:tc>
        <w:tc>
          <w:tcPr>
            <w:tcW w:w="2207" w:type="dxa"/>
            <w:tcBorders>
              <w:top w:val="single" w:sz="4" w:space="0" w:color="auto"/>
              <w:bottom w:val="single" w:sz="4" w:space="0" w:color="auto"/>
            </w:tcBorders>
          </w:tcPr>
          <w:p w14:paraId="2C4E8363" w14:textId="77777777" w:rsidR="00B32FFF" w:rsidRPr="00203EB0" w:rsidRDefault="00B32FFF" w:rsidP="00652800">
            <w:pPr>
              <w:jc w:val="center"/>
              <w:rPr>
                <w:rFonts w:cs="Times New Roman"/>
                <w:b/>
              </w:rPr>
            </w:pPr>
            <w:r w:rsidRPr="00203EB0">
              <w:rPr>
                <w:rFonts w:cs="Times New Roman"/>
                <w:b/>
              </w:rPr>
              <w:t>Kg N total</w:t>
            </w:r>
          </w:p>
        </w:tc>
      </w:tr>
      <w:tr w:rsidR="00B32FFF" w:rsidRPr="00203EB0" w14:paraId="5E3CA3FD" w14:textId="77777777" w:rsidTr="00652800">
        <w:tc>
          <w:tcPr>
            <w:tcW w:w="2207" w:type="dxa"/>
            <w:tcBorders>
              <w:bottom w:val="single" w:sz="4" w:space="0" w:color="auto"/>
            </w:tcBorders>
          </w:tcPr>
          <w:p w14:paraId="0D2B830A" w14:textId="77777777" w:rsidR="00B32FFF" w:rsidRPr="00203EB0" w:rsidRDefault="00B32FFF" w:rsidP="00652800">
            <w:pPr>
              <w:rPr>
                <w:rFonts w:cs="Times New Roman"/>
                <w:b/>
              </w:rPr>
            </w:pPr>
          </w:p>
        </w:tc>
        <w:tc>
          <w:tcPr>
            <w:tcW w:w="2207" w:type="dxa"/>
            <w:tcBorders>
              <w:top w:val="single" w:sz="4" w:space="0" w:color="auto"/>
              <w:bottom w:val="single" w:sz="4" w:space="0" w:color="auto"/>
            </w:tcBorders>
          </w:tcPr>
          <w:p w14:paraId="594EC071" w14:textId="547E13B4" w:rsidR="00B32FFF" w:rsidRPr="00203EB0" w:rsidRDefault="00B32FFF" w:rsidP="00652800">
            <w:pPr>
              <w:jc w:val="center"/>
              <w:rPr>
                <w:rFonts w:cs="Times New Roman"/>
                <w:b/>
              </w:rPr>
            </w:pPr>
            <w:r w:rsidRPr="00203EB0">
              <w:rPr>
                <w:rFonts w:cs="Times New Roman"/>
                <w:b/>
              </w:rPr>
              <w:t xml:space="preserve">(kg N </w:t>
            </w:r>
            <w:r w:rsidR="00146CBD" w:rsidRPr="00203EB0">
              <w:rPr>
                <w:rFonts w:cs="Times New Roman"/>
                <w:b/>
              </w:rPr>
              <w:t>Mg</w:t>
            </w:r>
            <w:r w:rsidRPr="00203EB0">
              <w:rPr>
                <w:rFonts w:cs="Times New Roman"/>
                <w:b/>
                <w:vertAlign w:val="superscript"/>
              </w:rPr>
              <w:t>-1</w:t>
            </w:r>
            <w:r w:rsidRPr="00203EB0">
              <w:rPr>
                <w:rFonts w:cs="Times New Roman"/>
                <w:b/>
              </w:rPr>
              <w:t>)</w:t>
            </w:r>
          </w:p>
        </w:tc>
        <w:tc>
          <w:tcPr>
            <w:tcW w:w="2207" w:type="dxa"/>
            <w:tcBorders>
              <w:top w:val="single" w:sz="4" w:space="0" w:color="auto"/>
              <w:bottom w:val="single" w:sz="4" w:space="0" w:color="auto"/>
            </w:tcBorders>
          </w:tcPr>
          <w:p w14:paraId="3D399687" w14:textId="57C568B8" w:rsidR="00B32FFF" w:rsidRPr="00203EB0" w:rsidRDefault="00B32FFF" w:rsidP="00652800">
            <w:pPr>
              <w:jc w:val="center"/>
              <w:rPr>
                <w:rFonts w:cs="Times New Roman"/>
                <w:b/>
              </w:rPr>
            </w:pPr>
            <w:r w:rsidRPr="00203EB0">
              <w:rPr>
                <w:rFonts w:cs="Times New Roman"/>
                <w:b/>
              </w:rPr>
              <w:t xml:space="preserve">(kg N </w:t>
            </w:r>
            <w:r w:rsidR="00146CBD" w:rsidRPr="00203EB0">
              <w:rPr>
                <w:rFonts w:cs="Times New Roman"/>
                <w:b/>
              </w:rPr>
              <w:t>Mg</w:t>
            </w:r>
            <w:r w:rsidRPr="00203EB0">
              <w:rPr>
                <w:rFonts w:cs="Times New Roman"/>
                <w:b/>
                <w:vertAlign w:val="superscript"/>
              </w:rPr>
              <w:t>-1</w:t>
            </w:r>
            <w:r w:rsidRPr="00203EB0">
              <w:rPr>
                <w:rFonts w:cs="Times New Roman"/>
                <w:b/>
              </w:rPr>
              <w:t>)</w:t>
            </w:r>
          </w:p>
        </w:tc>
        <w:tc>
          <w:tcPr>
            <w:tcW w:w="2207" w:type="dxa"/>
            <w:tcBorders>
              <w:top w:val="single" w:sz="4" w:space="0" w:color="auto"/>
              <w:bottom w:val="single" w:sz="4" w:space="0" w:color="auto"/>
            </w:tcBorders>
          </w:tcPr>
          <w:p w14:paraId="65508CF6" w14:textId="73B14DFA" w:rsidR="00B32FFF" w:rsidRPr="00203EB0" w:rsidRDefault="00B32FFF" w:rsidP="00652800">
            <w:pPr>
              <w:jc w:val="center"/>
              <w:rPr>
                <w:rFonts w:cs="Times New Roman"/>
                <w:b/>
              </w:rPr>
            </w:pPr>
            <w:r w:rsidRPr="00203EB0">
              <w:rPr>
                <w:rFonts w:cs="Times New Roman"/>
                <w:b/>
              </w:rPr>
              <w:t xml:space="preserve">(kg N </w:t>
            </w:r>
            <w:r w:rsidR="00146CBD" w:rsidRPr="00203EB0">
              <w:rPr>
                <w:rFonts w:cs="Times New Roman"/>
                <w:b/>
              </w:rPr>
              <w:t>Mg</w:t>
            </w:r>
            <w:r w:rsidRPr="00203EB0">
              <w:rPr>
                <w:rFonts w:cs="Times New Roman"/>
                <w:b/>
                <w:vertAlign w:val="superscript"/>
              </w:rPr>
              <w:t>-1</w:t>
            </w:r>
            <w:r w:rsidRPr="00203EB0">
              <w:rPr>
                <w:rFonts w:cs="Times New Roman"/>
                <w:b/>
              </w:rPr>
              <w:t>)</w:t>
            </w:r>
          </w:p>
        </w:tc>
      </w:tr>
      <w:tr w:rsidR="00B32FFF" w:rsidRPr="00203EB0" w14:paraId="33D2B10E" w14:textId="77777777" w:rsidTr="00652800">
        <w:tc>
          <w:tcPr>
            <w:tcW w:w="2207" w:type="dxa"/>
            <w:tcBorders>
              <w:top w:val="single" w:sz="4" w:space="0" w:color="auto"/>
              <w:bottom w:val="single" w:sz="4" w:space="0" w:color="auto"/>
            </w:tcBorders>
          </w:tcPr>
          <w:p w14:paraId="576C0CF5" w14:textId="77777777" w:rsidR="00B32FFF" w:rsidRPr="00203EB0" w:rsidRDefault="00B32FFF" w:rsidP="00652800">
            <w:pPr>
              <w:rPr>
                <w:rFonts w:cs="Times New Roman"/>
              </w:rPr>
            </w:pPr>
            <w:r w:rsidRPr="00203EB0">
              <w:rPr>
                <w:rFonts w:cs="Times New Roman"/>
              </w:rPr>
              <w:t>N rate</w:t>
            </w:r>
          </w:p>
        </w:tc>
        <w:tc>
          <w:tcPr>
            <w:tcW w:w="6621" w:type="dxa"/>
            <w:gridSpan w:val="3"/>
            <w:tcBorders>
              <w:top w:val="single" w:sz="4" w:space="0" w:color="auto"/>
              <w:bottom w:val="single" w:sz="4" w:space="0" w:color="auto"/>
            </w:tcBorders>
          </w:tcPr>
          <w:p w14:paraId="6739E9FE" w14:textId="77777777" w:rsidR="00B32FFF" w:rsidRPr="00203EB0" w:rsidRDefault="00B32FFF" w:rsidP="00652800">
            <w:pPr>
              <w:rPr>
                <w:rFonts w:cs="Times New Roman"/>
              </w:rPr>
            </w:pPr>
          </w:p>
        </w:tc>
      </w:tr>
      <w:tr w:rsidR="00B32FFF" w:rsidRPr="00203EB0" w14:paraId="38110358" w14:textId="77777777" w:rsidTr="00652800">
        <w:tc>
          <w:tcPr>
            <w:tcW w:w="2207" w:type="dxa"/>
            <w:tcBorders>
              <w:top w:val="single" w:sz="4" w:space="0" w:color="auto"/>
            </w:tcBorders>
          </w:tcPr>
          <w:p w14:paraId="34DF42A0" w14:textId="77777777" w:rsidR="00B32FFF" w:rsidRPr="00203EB0" w:rsidRDefault="00B32FFF" w:rsidP="00652800">
            <w:pPr>
              <w:jc w:val="right"/>
              <w:rPr>
                <w:rFonts w:cs="Times New Roman"/>
                <w:b/>
              </w:rPr>
            </w:pPr>
            <w:r w:rsidRPr="00203EB0">
              <w:rPr>
                <w:rFonts w:cs="Times New Roman"/>
                <w:b/>
              </w:rPr>
              <w:t xml:space="preserve">0 </w:t>
            </w:r>
          </w:p>
        </w:tc>
        <w:tc>
          <w:tcPr>
            <w:tcW w:w="2207" w:type="dxa"/>
            <w:tcBorders>
              <w:top w:val="single" w:sz="4" w:space="0" w:color="auto"/>
            </w:tcBorders>
          </w:tcPr>
          <w:p w14:paraId="740BB41C" w14:textId="77777777" w:rsidR="00B32FFF" w:rsidRPr="00203EB0" w:rsidRDefault="00B32FFF" w:rsidP="00652800">
            <w:pPr>
              <w:jc w:val="center"/>
              <w:rPr>
                <w:rFonts w:cs="Times New Roman"/>
              </w:rPr>
            </w:pPr>
            <w:r w:rsidRPr="00203EB0">
              <w:rPr>
                <w:rFonts w:cs="Times New Roman"/>
              </w:rPr>
              <w:t>26.2 (</w:t>
            </w:r>
            <m:oMath>
              <m:r>
                <w:rPr>
                  <w:rFonts w:ascii="Cambria Math" w:hAnsi="Cambria Math" w:cs="Times New Roman"/>
                </w:rPr>
                <m:t>±</m:t>
              </m:r>
            </m:oMath>
            <w:r w:rsidRPr="00203EB0">
              <w:rPr>
                <w:rFonts w:eastAsiaTheme="minorEastAsia" w:cs="Times New Roman"/>
              </w:rPr>
              <w:t>8.7)</w:t>
            </w:r>
          </w:p>
        </w:tc>
        <w:tc>
          <w:tcPr>
            <w:tcW w:w="2207" w:type="dxa"/>
            <w:tcBorders>
              <w:top w:val="single" w:sz="4" w:space="0" w:color="auto"/>
            </w:tcBorders>
          </w:tcPr>
          <w:p w14:paraId="00099B06" w14:textId="77777777" w:rsidR="00B32FFF" w:rsidRPr="00203EB0" w:rsidRDefault="00B32FFF" w:rsidP="00652800">
            <w:pPr>
              <w:jc w:val="center"/>
              <w:rPr>
                <w:rFonts w:cs="Times New Roman"/>
              </w:rPr>
            </w:pPr>
            <w:r w:rsidRPr="00203EB0">
              <w:rPr>
                <w:rFonts w:cs="Times New Roman"/>
              </w:rPr>
              <w:t>6.6 (</w:t>
            </w:r>
            <m:oMath>
              <m:r>
                <w:rPr>
                  <w:rFonts w:ascii="Cambria Math" w:hAnsi="Cambria Math" w:cs="Times New Roman"/>
                </w:rPr>
                <m:t>±</m:t>
              </m:r>
            </m:oMath>
            <w:r w:rsidRPr="00203EB0">
              <w:rPr>
                <w:rFonts w:eastAsiaTheme="minorEastAsia" w:cs="Times New Roman"/>
              </w:rPr>
              <w:t>5.3)   b</w:t>
            </w:r>
          </w:p>
        </w:tc>
        <w:tc>
          <w:tcPr>
            <w:tcW w:w="2207" w:type="dxa"/>
            <w:tcBorders>
              <w:top w:val="single" w:sz="4" w:space="0" w:color="auto"/>
            </w:tcBorders>
          </w:tcPr>
          <w:p w14:paraId="0B8CEA9B" w14:textId="77777777" w:rsidR="00B32FFF" w:rsidRPr="00203EB0" w:rsidRDefault="00B32FFF" w:rsidP="00652800">
            <w:pPr>
              <w:jc w:val="center"/>
              <w:rPr>
                <w:rFonts w:cs="Times New Roman"/>
              </w:rPr>
            </w:pPr>
            <w:r w:rsidRPr="00203EB0">
              <w:rPr>
                <w:rFonts w:cs="Times New Roman"/>
              </w:rPr>
              <w:t>32.7 (</w:t>
            </w:r>
            <m:oMath>
              <m:r>
                <w:rPr>
                  <w:rFonts w:ascii="Cambria Math" w:hAnsi="Cambria Math" w:cs="Times New Roman"/>
                </w:rPr>
                <m:t>±</m:t>
              </m:r>
            </m:oMath>
            <w:r w:rsidRPr="00203EB0">
              <w:rPr>
                <w:rFonts w:eastAsiaTheme="minorEastAsia" w:cs="Times New Roman"/>
              </w:rPr>
              <w:t>6.7)</w:t>
            </w:r>
          </w:p>
        </w:tc>
      </w:tr>
      <w:tr w:rsidR="00B32FFF" w:rsidRPr="00203EB0" w14:paraId="4E766D82" w14:textId="77777777" w:rsidTr="00652800">
        <w:tc>
          <w:tcPr>
            <w:tcW w:w="2207" w:type="dxa"/>
          </w:tcPr>
          <w:p w14:paraId="7FBA0F97" w14:textId="77777777" w:rsidR="00B32FFF" w:rsidRPr="00203EB0" w:rsidRDefault="00B32FFF" w:rsidP="00652800">
            <w:pPr>
              <w:jc w:val="right"/>
              <w:rPr>
                <w:rFonts w:cs="Times New Roman"/>
                <w:b/>
              </w:rPr>
            </w:pPr>
            <w:r w:rsidRPr="00203EB0">
              <w:rPr>
                <w:rFonts w:cs="Times New Roman"/>
                <w:b/>
              </w:rPr>
              <w:t>34</w:t>
            </w:r>
          </w:p>
        </w:tc>
        <w:tc>
          <w:tcPr>
            <w:tcW w:w="2207" w:type="dxa"/>
          </w:tcPr>
          <w:p w14:paraId="1FF50C91" w14:textId="77777777" w:rsidR="00B32FFF" w:rsidRPr="00203EB0" w:rsidRDefault="00B32FFF" w:rsidP="00652800">
            <w:pPr>
              <w:jc w:val="center"/>
              <w:rPr>
                <w:rFonts w:cs="Times New Roman"/>
              </w:rPr>
            </w:pPr>
            <w:r w:rsidRPr="00203EB0">
              <w:rPr>
                <w:rFonts w:cs="Times New Roman"/>
              </w:rPr>
              <w:t>28.4 (</w:t>
            </w:r>
            <m:oMath>
              <m:r>
                <w:rPr>
                  <w:rFonts w:ascii="Cambria Math" w:hAnsi="Cambria Math" w:cs="Times New Roman"/>
                </w:rPr>
                <m:t>±</m:t>
              </m:r>
            </m:oMath>
            <w:r w:rsidRPr="00203EB0">
              <w:rPr>
                <w:rFonts w:eastAsiaTheme="minorEastAsia" w:cs="Times New Roman"/>
              </w:rPr>
              <w:t>7.1)</w:t>
            </w:r>
          </w:p>
        </w:tc>
        <w:tc>
          <w:tcPr>
            <w:tcW w:w="2207" w:type="dxa"/>
          </w:tcPr>
          <w:p w14:paraId="16EFE222" w14:textId="77777777" w:rsidR="00B32FFF" w:rsidRPr="00203EB0" w:rsidRDefault="00B32FFF" w:rsidP="00652800">
            <w:pPr>
              <w:jc w:val="center"/>
              <w:rPr>
                <w:rFonts w:cs="Times New Roman"/>
              </w:rPr>
            </w:pPr>
            <w:r w:rsidRPr="00203EB0">
              <w:rPr>
                <w:rFonts w:cs="Times New Roman"/>
              </w:rPr>
              <w:t>7.0 (</w:t>
            </w:r>
            <m:oMath>
              <m:r>
                <w:rPr>
                  <w:rFonts w:ascii="Cambria Math" w:hAnsi="Cambria Math" w:cs="Times New Roman"/>
                </w:rPr>
                <m:t>±</m:t>
              </m:r>
            </m:oMath>
            <w:r w:rsidRPr="00203EB0">
              <w:rPr>
                <w:rFonts w:eastAsiaTheme="minorEastAsia" w:cs="Times New Roman"/>
              </w:rPr>
              <w:t>2.4) ab</w:t>
            </w:r>
          </w:p>
        </w:tc>
        <w:tc>
          <w:tcPr>
            <w:tcW w:w="2207" w:type="dxa"/>
          </w:tcPr>
          <w:p w14:paraId="0BC2E276" w14:textId="77777777" w:rsidR="00B32FFF" w:rsidRPr="00203EB0" w:rsidRDefault="00B32FFF" w:rsidP="00652800">
            <w:pPr>
              <w:jc w:val="center"/>
              <w:rPr>
                <w:rFonts w:cs="Times New Roman"/>
              </w:rPr>
            </w:pPr>
            <w:r w:rsidRPr="00203EB0">
              <w:rPr>
                <w:rFonts w:cs="Times New Roman"/>
              </w:rPr>
              <w:t>35.4 (</w:t>
            </w:r>
            <m:oMath>
              <m:r>
                <w:rPr>
                  <w:rFonts w:ascii="Cambria Math" w:hAnsi="Cambria Math" w:cs="Times New Roman"/>
                </w:rPr>
                <m:t>±</m:t>
              </m:r>
            </m:oMath>
            <w:r w:rsidRPr="00203EB0">
              <w:rPr>
                <w:rFonts w:eastAsiaTheme="minorEastAsia" w:cs="Times New Roman"/>
              </w:rPr>
              <w:t>7.4)</w:t>
            </w:r>
          </w:p>
        </w:tc>
      </w:tr>
      <w:tr w:rsidR="00B32FFF" w:rsidRPr="00203EB0" w14:paraId="6115F312" w14:textId="77777777" w:rsidTr="00652800">
        <w:tc>
          <w:tcPr>
            <w:tcW w:w="2207" w:type="dxa"/>
          </w:tcPr>
          <w:p w14:paraId="3053E740" w14:textId="77777777" w:rsidR="00B32FFF" w:rsidRPr="00203EB0" w:rsidRDefault="00B32FFF" w:rsidP="00652800">
            <w:pPr>
              <w:jc w:val="right"/>
              <w:rPr>
                <w:rFonts w:cs="Times New Roman"/>
                <w:b/>
              </w:rPr>
            </w:pPr>
            <w:r w:rsidRPr="00203EB0">
              <w:rPr>
                <w:rFonts w:cs="Times New Roman"/>
                <w:b/>
              </w:rPr>
              <w:t>67</w:t>
            </w:r>
          </w:p>
        </w:tc>
        <w:tc>
          <w:tcPr>
            <w:tcW w:w="2207" w:type="dxa"/>
          </w:tcPr>
          <w:p w14:paraId="1DDB3F9E" w14:textId="77777777" w:rsidR="00B32FFF" w:rsidRPr="00203EB0" w:rsidRDefault="00B32FFF" w:rsidP="00652800">
            <w:pPr>
              <w:jc w:val="center"/>
              <w:rPr>
                <w:rFonts w:cs="Times New Roman"/>
              </w:rPr>
            </w:pPr>
            <w:r w:rsidRPr="00203EB0">
              <w:rPr>
                <w:rFonts w:cs="Times New Roman"/>
              </w:rPr>
              <w:t>24.2 (</w:t>
            </w:r>
            <m:oMath>
              <m:r>
                <w:rPr>
                  <w:rFonts w:ascii="Cambria Math" w:hAnsi="Cambria Math" w:cs="Times New Roman"/>
                </w:rPr>
                <m:t>±</m:t>
              </m:r>
            </m:oMath>
            <w:r w:rsidRPr="00203EB0">
              <w:rPr>
                <w:rFonts w:eastAsiaTheme="minorEastAsia" w:cs="Times New Roman"/>
              </w:rPr>
              <w:t>5.0)</w:t>
            </w:r>
          </w:p>
        </w:tc>
        <w:tc>
          <w:tcPr>
            <w:tcW w:w="2207" w:type="dxa"/>
          </w:tcPr>
          <w:p w14:paraId="7F24612B" w14:textId="77777777" w:rsidR="00B32FFF" w:rsidRPr="00203EB0" w:rsidRDefault="00B32FFF" w:rsidP="00652800">
            <w:pPr>
              <w:jc w:val="center"/>
              <w:rPr>
                <w:rFonts w:cs="Times New Roman"/>
              </w:rPr>
            </w:pPr>
            <w:r w:rsidRPr="00203EB0">
              <w:rPr>
                <w:rFonts w:cs="Times New Roman"/>
              </w:rPr>
              <w:t>8.0 (</w:t>
            </w:r>
            <m:oMath>
              <m:r>
                <w:rPr>
                  <w:rFonts w:ascii="Cambria Math" w:hAnsi="Cambria Math" w:cs="Times New Roman"/>
                </w:rPr>
                <m:t>±</m:t>
              </m:r>
            </m:oMath>
            <w:r w:rsidRPr="00203EB0">
              <w:rPr>
                <w:rFonts w:eastAsiaTheme="minorEastAsia" w:cs="Times New Roman"/>
              </w:rPr>
              <w:t>3.6) ab</w:t>
            </w:r>
          </w:p>
        </w:tc>
        <w:tc>
          <w:tcPr>
            <w:tcW w:w="2207" w:type="dxa"/>
          </w:tcPr>
          <w:p w14:paraId="31B0A77B" w14:textId="77777777" w:rsidR="00B32FFF" w:rsidRPr="00203EB0" w:rsidRDefault="00B32FFF" w:rsidP="00652800">
            <w:pPr>
              <w:jc w:val="center"/>
              <w:rPr>
                <w:rFonts w:cs="Times New Roman"/>
              </w:rPr>
            </w:pPr>
            <w:r w:rsidRPr="00203EB0">
              <w:rPr>
                <w:rFonts w:cs="Times New Roman"/>
              </w:rPr>
              <w:t>32.2 (</w:t>
            </w:r>
            <m:oMath>
              <m:r>
                <w:rPr>
                  <w:rFonts w:ascii="Cambria Math" w:hAnsi="Cambria Math" w:cs="Times New Roman"/>
                </w:rPr>
                <m:t>±</m:t>
              </m:r>
            </m:oMath>
            <w:r w:rsidRPr="00203EB0">
              <w:rPr>
                <w:rFonts w:eastAsiaTheme="minorEastAsia" w:cs="Times New Roman"/>
              </w:rPr>
              <w:t>4.5)</w:t>
            </w:r>
          </w:p>
        </w:tc>
      </w:tr>
      <w:tr w:rsidR="00B32FFF" w:rsidRPr="00203EB0" w14:paraId="3638FE5D" w14:textId="77777777" w:rsidTr="00652800">
        <w:tc>
          <w:tcPr>
            <w:tcW w:w="2207" w:type="dxa"/>
            <w:tcBorders>
              <w:bottom w:val="single" w:sz="4" w:space="0" w:color="auto"/>
            </w:tcBorders>
          </w:tcPr>
          <w:p w14:paraId="221AEE21" w14:textId="77777777" w:rsidR="00B32FFF" w:rsidRPr="00203EB0" w:rsidRDefault="00B32FFF" w:rsidP="00652800">
            <w:pPr>
              <w:jc w:val="right"/>
              <w:rPr>
                <w:rFonts w:cs="Times New Roman"/>
                <w:b/>
              </w:rPr>
            </w:pPr>
            <w:r w:rsidRPr="00203EB0">
              <w:rPr>
                <w:rFonts w:cs="Times New Roman"/>
                <w:b/>
              </w:rPr>
              <w:t>101</w:t>
            </w:r>
          </w:p>
        </w:tc>
        <w:tc>
          <w:tcPr>
            <w:tcW w:w="2207" w:type="dxa"/>
            <w:tcBorders>
              <w:bottom w:val="single" w:sz="4" w:space="0" w:color="auto"/>
            </w:tcBorders>
          </w:tcPr>
          <w:p w14:paraId="7E2E33BD" w14:textId="77777777" w:rsidR="00B32FFF" w:rsidRPr="00203EB0" w:rsidRDefault="00B32FFF" w:rsidP="00652800">
            <w:pPr>
              <w:jc w:val="center"/>
              <w:rPr>
                <w:rFonts w:cs="Times New Roman"/>
              </w:rPr>
            </w:pPr>
            <w:r w:rsidRPr="00203EB0">
              <w:rPr>
                <w:rFonts w:cs="Times New Roman"/>
              </w:rPr>
              <w:t>23.6 (</w:t>
            </w:r>
            <m:oMath>
              <m:r>
                <w:rPr>
                  <w:rFonts w:ascii="Cambria Math" w:hAnsi="Cambria Math" w:cs="Times New Roman"/>
                </w:rPr>
                <m:t>±</m:t>
              </m:r>
            </m:oMath>
            <w:r w:rsidRPr="00203EB0">
              <w:rPr>
                <w:rFonts w:eastAsiaTheme="minorEastAsia" w:cs="Times New Roman"/>
              </w:rPr>
              <w:t>4.5)</w:t>
            </w:r>
          </w:p>
        </w:tc>
        <w:tc>
          <w:tcPr>
            <w:tcW w:w="2207" w:type="dxa"/>
            <w:tcBorders>
              <w:bottom w:val="single" w:sz="4" w:space="0" w:color="auto"/>
            </w:tcBorders>
          </w:tcPr>
          <w:p w14:paraId="4D83CC00" w14:textId="08E2E2D5" w:rsidR="00B32FFF" w:rsidRPr="00203EB0" w:rsidRDefault="00B32FFF" w:rsidP="00652800">
            <w:pPr>
              <w:jc w:val="center"/>
              <w:rPr>
                <w:rFonts w:cs="Times New Roman"/>
              </w:rPr>
            </w:pPr>
            <w:r w:rsidRPr="00203EB0">
              <w:rPr>
                <w:rFonts w:cs="Times New Roman"/>
              </w:rPr>
              <w:t>11.1 (</w:t>
            </w:r>
            <m:oMath>
              <m:r>
                <w:rPr>
                  <w:rFonts w:ascii="Cambria Math" w:hAnsi="Cambria Math" w:cs="Times New Roman"/>
                </w:rPr>
                <m:t>±</m:t>
              </m:r>
            </m:oMath>
            <w:r w:rsidRPr="00203EB0">
              <w:rPr>
                <w:rFonts w:eastAsiaTheme="minorEastAsia" w:cs="Times New Roman"/>
              </w:rPr>
              <w:t>7.7) a</w:t>
            </w:r>
          </w:p>
        </w:tc>
        <w:tc>
          <w:tcPr>
            <w:tcW w:w="2207" w:type="dxa"/>
            <w:tcBorders>
              <w:bottom w:val="single" w:sz="4" w:space="0" w:color="auto"/>
            </w:tcBorders>
          </w:tcPr>
          <w:p w14:paraId="5435FD08" w14:textId="77777777" w:rsidR="00B32FFF" w:rsidRPr="00203EB0" w:rsidRDefault="00B32FFF" w:rsidP="00652800">
            <w:pPr>
              <w:jc w:val="center"/>
              <w:rPr>
                <w:rFonts w:cs="Times New Roman"/>
              </w:rPr>
            </w:pPr>
            <w:r w:rsidRPr="00203EB0">
              <w:rPr>
                <w:rFonts w:cs="Times New Roman"/>
              </w:rPr>
              <w:t>34.7 (</w:t>
            </w:r>
            <m:oMath>
              <m:r>
                <w:rPr>
                  <w:rFonts w:ascii="Cambria Math" w:hAnsi="Cambria Math" w:cs="Times New Roman"/>
                </w:rPr>
                <m:t>±</m:t>
              </m:r>
            </m:oMath>
            <w:r w:rsidRPr="00203EB0">
              <w:rPr>
                <w:rFonts w:eastAsiaTheme="minorEastAsia" w:cs="Times New Roman"/>
              </w:rPr>
              <w:t>6.7)</w:t>
            </w:r>
          </w:p>
        </w:tc>
      </w:tr>
      <w:tr w:rsidR="00B32FFF" w:rsidRPr="00203EB0" w14:paraId="60FC47A6" w14:textId="77777777" w:rsidTr="00652800">
        <w:tc>
          <w:tcPr>
            <w:tcW w:w="2207" w:type="dxa"/>
            <w:tcBorders>
              <w:top w:val="single" w:sz="4" w:space="0" w:color="auto"/>
              <w:bottom w:val="single" w:sz="4" w:space="0" w:color="auto"/>
            </w:tcBorders>
          </w:tcPr>
          <w:p w14:paraId="43830330" w14:textId="77777777" w:rsidR="00B32FFF" w:rsidRPr="00203EB0" w:rsidRDefault="00B32FFF" w:rsidP="00652800">
            <w:pPr>
              <w:rPr>
                <w:rFonts w:cs="Times New Roman"/>
              </w:rPr>
            </w:pPr>
            <w:r w:rsidRPr="00203EB0">
              <w:rPr>
                <w:rFonts w:cs="Times New Roman"/>
              </w:rPr>
              <w:t>Tillage</w:t>
            </w:r>
          </w:p>
        </w:tc>
        <w:tc>
          <w:tcPr>
            <w:tcW w:w="6621" w:type="dxa"/>
            <w:gridSpan w:val="3"/>
            <w:tcBorders>
              <w:top w:val="single" w:sz="4" w:space="0" w:color="auto"/>
              <w:bottom w:val="single" w:sz="4" w:space="0" w:color="auto"/>
            </w:tcBorders>
          </w:tcPr>
          <w:p w14:paraId="141E1445" w14:textId="77777777" w:rsidR="00B32FFF" w:rsidRPr="00203EB0" w:rsidRDefault="00B32FFF" w:rsidP="00652800">
            <w:pPr>
              <w:rPr>
                <w:rFonts w:cs="Times New Roman"/>
              </w:rPr>
            </w:pPr>
          </w:p>
        </w:tc>
      </w:tr>
      <w:tr w:rsidR="00B32FFF" w:rsidRPr="00203EB0" w14:paraId="1958B44C" w14:textId="77777777" w:rsidTr="00652800">
        <w:tc>
          <w:tcPr>
            <w:tcW w:w="2207" w:type="dxa"/>
            <w:tcBorders>
              <w:top w:val="single" w:sz="4" w:space="0" w:color="auto"/>
            </w:tcBorders>
          </w:tcPr>
          <w:p w14:paraId="49558811" w14:textId="77777777" w:rsidR="00B32FFF" w:rsidRPr="00203EB0" w:rsidRDefault="00B32FFF" w:rsidP="00652800">
            <w:pPr>
              <w:jc w:val="right"/>
              <w:rPr>
                <w:rFonts w:cs="Times New Roman"/>
                <w:b/>
              </w:rPr>
            </w:pPr>
            <w:r w:rsidRPr="00203EB0">
              <w:rPr>
                <w:rFonts w:cs="Times New Roman"/>
                <w:b/>
              </w:rPr>
              <w:t>CT</w:t>
            </w:r>
          </w:p>
        </w:tc>
        <w:tc>
          <w:tcPr>
            <w:tcW w:w="2207" w:type="dxa"/>
            <w:tcBorders>
              <w:top w:val="single" w:sz="4" w:space="0" w:color="auto"/>
            </w:tcBorders>
          </w:tcPr>
          <w:p w14:paraId="7151C911" w14:textId="77777777" w:rsidR="00B32FFF" w:rsidRPr="00203EB0" w:rsidRDefault="00B32FFF" w:rsidP="00652800">
            <w:pPr>
              <w:jc w:val="center"/>
              <w:rPr>
                <w:rFonts w:cs="Times New Roman"/>
              </w:rPr>
            </w:pPr>
            <w:r w:rsidRPr="00203EB0">
              <w:rPr>
                <w:rFonts w:cs="Times New Roman"/>
              </w:rPr>
              <w:t>25.4 (</w:t>
            </w:r>
            <m:oMath>
              <m:r>
                <w:rPr>
                  <w:rFonts w:ascii="Cambria Math" w:hAnsi="Cambria Math" w:cs="Times New Roman"/>
                </w:rPr>
                <m:t>±</m:t>
              </m:r>
            </m:oMath>
            <w:r w:rsidRPr="00203EB0">
              <w:rPr>
                <w:rFonts w:eastAsiaTheme="minorEastAsia" w:cs="Times New Roman"/>
              </w:rPr>
              <w:t>6.1)</w:t>
            </w:r>
          </w:p>
        </w:tc>
        <w:tc>
          <w:tcPr>
            <w:tcW w:w="2207" w:type="dxa"/>
            <w:tcBorders>
              <w:top w:val="single" w:sz="4" w:space="0" w:color="auto"/>
            </w:tcBorders>
          </w:tcPr>
          <w:p w14:paraId="699B89A9" w14:textId="79015DFF" w:rsidR="00B32FFF" w:rsidRPr="00203EB0" w:rsidRDefault="00197BEB" w:rsidP="00652800">
            <w:pPr>
              <w:jc w:val="center"/>
              <w:rPr>
                <w:rFonts w:cs="Times New Roman"/>
              </w:rPr>
            </w:pPr>
            <w:r w:rsidRPr="00203EB0">
              <w:rPr>
                <w:rFonts w:cs="Times New Roman"/>
              </w:rPr>
              <w:t xml:space="preserve"> </w:t>
            </w:r>
            <w:r w:rsidR="00B32FFF" w:rsidRPr="00203EB0">
              <w:rPr>
                <w:rFonts w:cs="Times New Roman"/>
              </w:rPr>
              <w:t>6.3 (</w:t>
            </w:r>
            <m:oMath>
              <m:r>
                <w:rPr>
                  <w:rFonts w:ascii="Cambria Math" w:hAnsi="Cambria Math" w:cs="Times New Roman"/>
                </w:rPr>
                <m:t>±</m:t>
              </m:r>
            </m:oMath>
            <w:r w:rsidR="00B32FFF" w:rsidRPr="00203EB0">
              <w:rPr>
                <w:rFonts w:eastAsiaTheme="minorEastAsia" w:cs="Times New Roman"/>
              </w:rPr>
              <w:t>3.3</w:t>
            </w:r>
            <w:proofErr w:type="gramStart"/>
            <w:r w:rsidR="00B32FFF" w:rsidRPr="00203EB0">
              <w:rPr>
                <w:rFonts w:eastAsiaTheme="minorEastAsia" w:cs="Times New Roman"/>
              </w:rPr>
              <w:t xml:space="preserve">) </w:t>
            </w:r>
            <w:r w:rsidR="00020D20" w:rsidRPr="00203EB0">
              <w:rPr>
                <w:rFonts w:eastAsiaTheme="minorEastAsia" w:cs="Times New Roman"/>
              </w:rPr>
              <w:t xml:space="preserve"> </w:t>
            </w:r>
            <w:r w:rsidR="00B32FFF" w:rsidRPr="00203EB0">
              <w:rPr>
                <w:rFonts w:eastAsiaTheme="minorEastAsia" w:cs="Times New Roman"/>
              </w:rPr>
              <w:t>b</w:t>
            </w:r>
            <w:proofErr w:type="gramEnd"/>
          </w:p>
        </w:tc>
        <w:tc>
          <w:tcPr>
            <w:tcW w:w="2207" w:type="dxa"/>
            <w:tcBorders>
              <w:top w:val="single" w:sz="4" w:space="0" w:color="auto"/>
            </w:tcBorders>
          </w:tcPr>
          <w:p w14:paraId="0EFCF53C" w14:textId="77777777" w:rsidR="00B32FFF" w:rsidRPr="00203EB0" w:rsidRDefault="00B32FFF" w:rsidP="00652800">
            <w:pPr>
              <w:jc w:val="center"/>
              <w:rPr>
                <w:rFonts w:cs="Times New Roman"/>
              </w:rPr>
            </w:pPr>
            <w:r w:rsidRPr="00203EB0">
              <w:rPr>
                <w:rFonts w:cs="Times New Roman"/>
              </w:rPr>
              <w:t>31.7 (</w:t>
            </w:r>
            <m:oMath>
              <m:r>
                <w:rPr>
                  <w:rFonts w:ascii="Cambria Math" w:hAnsi="Cambria Math" w:cs="Times New Roman"/>
                </w:rPr>
                <m:t>±</m:t>
              </m:r>
            </m:oMath>
            <w:r w:rsidRPr="00203EB0">
              <w:rPr>
                <w:rFonts w:eastAsiaTheme="minorEastAsia" w:cs="Times New Roman"/>
              </w:rPr>
              <w:t>5.7) b</w:t>
            </w:r>
          </w:p>
        </w:tc>
      </w:tr>
      <w:tr w:rsidR="00B32FFF" w:rsidRPr="00203EB0" w14:paraId="0BC17649" w14:textId="77777777" w:rsidTr="00652800">
        <w:tc>
          <w:tcPr>
            <w:tcW w:w="2207" w:type="dxa"/>
            <w:tcBorders>
              <w:bottom w:val="single" w:sz="4" w:space="0" w:color="auto"/>
            </w:tcBorders>
          </w:tcPr>
          <w:p w14:paraId="7B09959B" w14:textId="77777777" w:rsidR="00B32FFF" w:rsidRPr="00203EB0" w:rsidRDefault="00B32FFF" w:rsidP="00652800">
            <w:pPr>
              <w:jc w:val="right"/>
              <w:rPr>
                <w:rFonts w:cs="Times New Roman"/>
                <w:b/>
              </w:rPr>
            </w:pPr>
            <w:r w:rsidRPr="00203EB0">
              <w:rPr>
                <w:rFonts w:cs="Times New Roman"/>
                <w:b/>
              </w:rPr>
              <w:t>NT</w:t>
            </w:r>
          </w:p>
        </w:tc>
        <w:tc>
          <w:tcPr>
            <w:tcW w:w="2207" w:type="dxa"/>
            <w:tcBorders>
              <w:bottom w:val="single" w:sz="4" w:space="0" w:color="auto"/>
            </w:tcBorders>
          </w:tcPr>
          <w:p w14:paraId="39BD5EE2" w14:textId="77777777" w:rsidR="00B32FFF" w:rsidRPr="00203EB0" w:rsidRDefault="00B32FFF" w:rsidP="00652800">
            <w:pPr>
              <w:jc w:val="center"/>
              <w:rPr>
                <w:rFonts w:cs="Times New Roman"/>
              </w:rPr>
            </w:pPr>
            <w:r w:rsidRPr="00203EB0">
              <w:rPr>
                <w:rFonts w:cs="Times New Roman"/>
              </w:rPr>
              <w:t>25.9 (</w:t>
            </w:r>
            <m:oMath>
              <m:r>
                <w:rPr>
                  <w:rFonts w:ascii="Cambria Math" w:hAnsi="Cambria Math" w:cs="Times New Roman"/>
                </w:rPr>
                <m:t>±</m:t>
              </m:r>
            </m:oMath>
            <w:r w:rsidRPr="00203EB0">
              <w:rPr>
                <w:rFonts w:eastAsiaTheme="minorEastAsia" w:cs="Times New Roman"/>
              </w:rPr>
              <w:t>7.3)</w:t>
            </w:r>
          </w:p>
        </w:tc>
        <w:tc>
          <w:tcPr>
            <w:tcW w:w="2207" w:type="dxa"/>
            <w:tcBorders>
              <w:bottom w:val="single" w:sz="4" w:space="0" w:color="auto"/>
            </w:tcBorders>
          </w:tcPr>
          <w:p w14:paraId="30EDDC71" w14:textId="77777777" w:rsidR="00B32FFF" w:rsidRPr="00203EB0" w:rsidRDefault="00B32FFF" w:rsidP="00652800">
            <w:pPr>
              <w:jc w:val="center"/>
              <w:rPr>
                <w:rFonts w:cs="Times New Roman"/>
              </w:rPr>
            </w:pPr>
            <w:r w:rsidRPr="00203EB0">
              <w:rPr>
                <w:rFonts w:cs="Times New Roman"/>
              </w:rPr>
              <w:t>10.0 (</w:t>
            </w:r>
            <m:oMath>
              <m:r>
                <w:rPr>
                  <w:rFonts w:ascii="Cambria Math" w:hAnsi="Cambria Math" w:cs="Times New Roman"/>
                </w:rPr>
                <m:t>±</m:t>
              </m:r>
            </m:oMath>
            <w:r w:rsidRPr="00203EB0">
              <w:rPr>
                <w:rFonts w:eastAsiaTheme="minorEastAsia" w:cs="Times New Roman"/>
              </w:rPr>
              <w:t>6.4) a</w:t>
            </w:r>
          </w:p>
        </w:tc>
        <w:tc>
          <w:tcPr>
            <w:tcW w:w="2207" w:type="dxa"/>
            <w:tcBorders>
              <w:bottom w:val="single" w:sz="4" w:space="0" w:color="auto"/>
            </w:tcBorders>
          </w:tcPr>
          <w:p w14:paraId="302EBACF" w14:textId="77777777" w:rsidR="00B32FFF" w:rsidRPr="00203EB0" w:rsidRDefault="00B32FFF" w:rsidP="00652800">
            <w:pPr>
              <w:jc w:val="center"/>
              <w:rPr>
                <w:rFonts w:cs="Times New Roman"/>
              </w:rPr>
            </w:pPr>
            <w:r w:rsidRPr="00203EB0">
              <w:rPr>
                <w:rFonts w:cs="Times New Roman"/>
              </w:rPr>
              <w:t>35.9 (</w:t>
            </w:r>
            <m:oMath>
              <m:r>
                <w:rPr>
                  <w:rFonts w:ascii="Cambria Math" w:hAnsi="Cambria Math" w:cs="Times New Roman"/>
                </w:rPr>
                <m:t>±</m:t>
              </m:r>
            </m:oMath>
            <w:r w:rsidRPr="00203EB0">
              <w:rPr>
                <w:rFonts w:eastAsiaTheme="minorEastAsia" w:cs="Times New Roman"/>
              </w:rPr>
              <w:t>6.5) a</w:t>
            </w:r>
          </w:p>
        </w:tc>
      </w:tr>
    </w:tbl>
    <w:p w14:paraId="135846A2" w14:textId="0FE96B06" w:rsidR="002B3951" w:rsidRPr="00203EB0" w:rsidRDefault="00B32FFF" w:rsidP="00B902C8">
      <w:pPr>
        <w:rPr>
          <w:rFonts w:cs="Times New Roman"/>
        </w:rPr>
      </w:pPr>
      <w:r w:rsidRPr="00203EB0">
        <w:rPr>
          <w:rFonts w:cs="Times New Roman"/>
          <w:i/>
          <w:sz w:val="20"/>
          <w:szCs w:val="20"/>
        </w:rPr>
        <w:t>Note</w:t>
      </w:r>
      <w:r w:rsidRPr="00203EB0">
        <w:rPr>
          <w:rFonts w:cs="Times New Roman"/>
          <w:sz w:val="20"/>
          <w:szCs w:val="20"/>
        </w:rPr>
        <w:t xml:space="preserve">: Letters indicate significant treatment effects (p-value </w:t>
      </w:r>
      <m:oMath>
        <m:r>
          <w:rPr>
            <w:rFonts w:ascii="Cambria Math" w:hAnsi="Cambria Math" w:cs="Times New Roman"/>
            <w:sz w:val="20"/>
            <w:szCs w:val="20"/>
          </w:rPr>
          <m:t>≤</m:t>
        </m:r>
      </m:oMath>
      <w:r w:rsidRPr="00203EB0">
        <w:rPr>
          <w:rFonts w:cs="Times New Roman"/>
          <w:sz w:val="20"/>
          <w:szCs w:val="20"/>
        </w:rPr>
        <w:t xml:space="preserve"> 0.05)</w:t>
      </w:r>
      <w:r w:rsidR="0093052F" w:rsidRPr="00203EB0">
        <w:rPr>
          <w:rFonts w:cs="Times New Roman"/>
          <w:sz w:val="20"/>
          <w:szCs w:val="20"/>
        </w:rPr>
        <w:t>; interactions were not significant.</w:t>
      </w:r>
    </w:p>
    <w:p w14:paraId="39F0AB97" w14:textId="77777777" w:rsidR="00EA05A2" w:rsidRDefault="00EA05A2" w:rsidP="005C7C93">
      <w:pPr>
        <w:spacing w:after="160" w:line="480" w:lineRule="auto"/>
        <w:rPr>
          <w:rFonts w:cs="Times New Roman"/>
        </w:rPr>
      </w:pPr>
    </w:p>
    <w:p w14:paraId="788E022D" w14:textId="040D89BC" w:rsidR="005C7C93" w:rsidRPr="00203EB0" w:rsidRDefault="005C7C93" w:rsidP="008D01AC">
      <w:pPr>
        <w:spacing w:after="160" w:line="480" w:lineRule="auto"/>
        <w:contextualSpacing/>
        <w:rPr>
          <w:rFonts w:eastAsiaTheme="minorEastAsia" w:cs="Times New Roman"/>
        </w:rPr>
      </w:pPr>
      <w:r w:rsidRPr="00203EB0">
        <w:rPr>
          <w:rFonts w:cs="Times New Roman"/>
        </w:rPr>
        <w:lastRenderedPageBreak/>
        <w:t>While HV</w:t>
      </w:r>
      <w:r w:rsidR="00830462" w:rsidRPr="00203EB0">
        <w:rPr>
          <w:rFonts w:cs="Times New Roman"/>
        </w:rPr>
        <w:t xml:space="preserve"> aboveground </w:t>
      </w:r>
      <w:r w:rsidRPr="00203EB0">
        <w:rPr>
          <w:rFonts w:cs="Times New Roman"/>
        </w:rPr>
        <w:t xml:space="preserve">biomass </w:t>
      </w:r>
      <w:r w:rsidR="00830462" w:rsidRPr="00203EB0">
        <w:rPr>
          <w:rFonts w:cs="Times New Roman"/>
        </w:rPr>
        <w:t xml:space="preserve">production </w:t>
      </w:r>
      <w:r w:rsidRPr="00203EB0">
        <w:rPr>
          <w:rFonts w:cs="Times New Roman"/>
        </w:rPr>
        <w:t>remained unaffected by tillage or fertilization (</w:t>
      </w:r>
      <w:r w:rsidRPr="00203EB0">
        <w:rPr>
          <w:rFonts w:cs="Times New Roman"/>
          <w:b/>
        </w:rPr>
        <w:t>Figure 2.3</w:t>
      </w:r>
      <w:r w:rsidRPr="00203EB0">
        <w:rPr>
          <w:rFonts w:cs="Times New Roman"/>
        </w:rPr>
        <w:t xml:space="preserve">), tillage strongly influenced </w:t>
      </w:r>
      <w:r w:rsidR="00A929AA" w:rsidRPr="00203EB0">
        <w:rPr>
          <w:rFonts w:cs="Times New Roman"/>
        </w:rPr>
        <w:t>soil N supply</w:t>
      </w:r>
      <w:r w:rsidRPr="00203EB0">
        <w:rPr>
          <w:rFonts w:cs="Times New Roman"/>
        </w:rPr>
        <w:t xml:space="preserve">. Total N uptake was significantly higher under NT compared to CT, primarily due to greater soil derived N availability, while the amount of atmospheric N fixed did not differ between systems </w:t>
      </w:r>
      <w:r w:rsidRPr="00203EB0">
        <w:rPr>
          <w:rFonts w:eastAsiaTheme="minorEastAsia" w:cs="Times New Roman"/>
        </w:rPr>
        <w:t>(</w:t>
      </w:r>
      <w:r w:rsidRPr="00203EB0">
        <w:rPr>
          <w:rFonts w:eastAsiaTheme="minorEastAsia" w:cs="Times New Roman"/>
          <w:b/>
        </w:rPr>
        <w:t>Table 2.1, Figure 2.1C, Figure 2.1D</w:t>
      </w:r>
      <w:r w:rsidRPr="00203EB0">
        <w:rPr>
          <w:rFonts w:eastAsiaTheme="minorEastAsia" w:cs="Times New Roman"/>
        </w:rPr>
        <w:t xml:space="preserve">). Conversely, </w:t>
      </w:r>
      <w:r w:rsidRPr="00203EB0">
        <w:rPr>
          <w:rFonts w:cs="Times New Roman"/>
        </w:rPr>
        <w:t xml:space="preserve">long-term </w:t>
      </w:r>
      <w:r w:rsidR="00D27580">
        <w:rPr>
          <w:rFonts w:cs="Times New Roman"/>
        </w:rPr>
        <w:t xml:space="preserve">application of different </w:t>
      </w:r>
      <w:r w:rsidRPr="00203EB0">
        <w:rPr>
          <w:rFonts w:cs="Times New Roman"/>
        </w:rPr>
        <w:t>N</w:t>
      </w:r>
      <w:r w:rsidR="00D27580">
        <w:rPr>
          <w:rFonts w:cs="Times New Roman"/>
        </w:rPr>
        <w:t xml:space="preserve"> rates</w:t>
      </w:r>
      <w:r w:rsidRPr="00203EB0">
        <w:rPr>
          <w:rFonts w:cs="Times New Roman"/>
        </w:rPr>
        <w:t xml:space="preserve"> had a less pronounced effect: total N uptake by vetch remained unchanged across fertilization rates. However, the relative contributions of soil and atmospheric sources shifted with increasing N input. Higher N application to the preceding cotton crop significantly increased the amount of N </w:t>
      </w:r>
      <w:r w:rsidR="00DA5A71" w:rsidRPr="00203EB0">
        <w:rPr>
          <w:rFonts w:cs="Times New Roman"/>
        </w:rPr>
        <w:t xml:space="preserve">in HV </w:t>
      </w:r>
      <w:r w:rsidRPr="00203EB0">
        <w:rPr>
          <w:rFonts w:cs="Times New Roman"/>
        </w:rPr>
        <w:t>derived from soil</w:t>
      </w:r>
      <w:r w:rsidRPr="00203EB0">
        <w:rPr>
          <w:rFonts w:eastAsiaTheme="minorEastAsia" w:cs="Times New Roman"/>
        </w:rPr>
        <w:t>, while the amount of atmospheric N fixed per unit biomass</w:t>
      </w:r>
      <w:r w:rsidR="00D27580">
        <w:rPr>
          <w:rFonts w:eastAsiaTheme="minorEastAsia" w:cs="Times New Roman"/>
        </w:rPr>
        <w:t xml:space="preserve"> marginally declined </w:t>
      </w:r>
      <w:r w:rsidR="00224475" w:rsidRPr="00203EB0">
        <w:rPr>
          <w:rFonts w:eastAsiaTheme="minorEastAsia" w:cs="Times New Roman"/>
        </w:rPr>
        <w:t>(p</w:t>
      </w:r>
      <w:r w:rsidR="00D821BE">
        <w:rPr>
          <w:rFonts w:eastAsiaTheme="minorEastAsia" w:cs="Times New Roman"/>
        </w:rPr>
        <w:t xml:space="preserve"> </w:t>
      </w:r>
      <w:r w:rsidR="00224475" w:rsidRPr="00203EB0">
        <w:rPr>
          <w:rFonts w:eastAsiaTheme="minorEastAsia" w:cs="Times New Roman"/>
        </w:rPr>
        <w:t>&gt;</w:t>
      </w:r>
      <w:r w:rsidR="00D821BE">
        <w:rPr>
          <w:rFonts w:eastAsiaTheme="minorEastAsia" w:cs="Times New Roman"/>
        </w:rPr>
        <w:t xml:space="preserve"> </w:t>
      </w:r>
      <w:r w:rsidR="00224475" w:rsidRPr="00203EB0">
        <w:rPr>
          <w:rFonts w:eastAsiaTheme="minorEastAsia" w:cs="Times New Roman"/>
        </w:rPr>
        <w:t>0.05)</w:t>
      </w:r>
      <w:r w:rsidR="00D27580">
        <w:rPr>
          <w:rFonts w:eastAsiaTheme="minorEastAsia" w:cs="Times New Roman"/>
        </w:rPr>
        <w:t xml:space="preserve"> </w:t>
      </w:r>
      <w:r w:rsidRPr="00203EB0">
        <w:rPr>
          <w:rFonts w:eastAsiaTheme="minorEastAsia" w:cs="Times New Roman"/>
        </w:rPr>
        <w:t>with increasing N rate</w:t>
      </w:r>
      <w:r w:rsidR="00224475" w:rsidRPr="00203EB0">
        <w:rPr>
          <w:rFonts w:eastAsiaTheme="minorEastAsia" w:cs="Times New Roman"/>
        </w:rPr>
        <w:t xml:space="preserve"> – indicating a compensator role by soil N supply</w:t>
      </w:r>
      <w:r w:rsidRPr="00203EB0">
        <w:rPr>
          <w:rFonts w:eastAsiaTheme="minorEastAsia" w:cs="Times New Roman"/>
        </w:rPr>
        <w:t xml:space="preserve"> (</w:t>
      </w:r>
      <w:r w:rsidRPr="00203EB0">
        <w:rPr>
          <w:rFonts w:eastAsiaTheme="minorEastAsia" w:cs="Times New Roman"/>
          <w:b/>
        </w:rPr>
        <w:t>Table 2.1</w:t>
      </w:r>
      <w:r w:rsidRPr="00203EB0">
        <w:rPr>
          <w:rFonts w:eastAsiaTheme="minorEastAsia" w:cs="Times New Roman"/>
        </w:rPr>
        <w:t>).</w:t>
      </w:r>
    </w:p>
    <w:p w14:paraId="7AF674BA" w14:textId="080B62AD" w:rsidR="005C7C93" w:rsidRPr="00203EB0" w:rsidRDefault="005C7C93" w:rsidP="008D01AC">
      <w:pPr>
        <w:tabs>
          <w:tab w:val="left" w:pos="6348"/>
        </w:tabs>
        <w:spacing w:after="160" w:line="480" w:lineRule="auto"/>
        <w:contextualSpacing/>
        <w:rPr>
          <w:rFonts w:cs="Times New Roman"/>
        </w:rPr>
      </w:pPr>
      <w:r w:rsidRPr="00203EB0">
        <w:rPr>
          <w:rFonts w:cs="Times New Roman"/>
        </w:rPr>
        <w:t>The RDA provided further insight into treatments effects, with the first two axes explaining 83.2% of the variance in N related variables (</w:t>
      </w:r>
      <w:r w:rsidRPr="00203EB0">
        <w:rPr>
          <w:rFonts w:cs="Times New Roman"/>
          <w:b/>
        </w:rPr>
        <w:t>Figure 2.4</w:t>
      </w:r>
      <w:r w:rsidRPr="00203EB0">
        <w:rPr>
          <w:rFonts w:cs="Times New Roman"/>
        </w:rPr>
        <w:t>). RDA1 primarily captured a gradient in N source and status: higher NNI, soil derived N, and SOM were associated with more negative scores, while higher %</w:t>
      </w:r>
      <w:proofErr w:type="spellStart"/>
      <w:r w:rsidRPr="00203EB0">
        <w:rPr>
          <w:rFonts w:cs="Times New Roman"/>
        </w:rPr>
        <w:t>Ndfa</w:t>
      </w:r>
      <w:proofErr w:type="spellEnd"/>
      <w:r w:rsidRPr="00203EB0">
        <w:rPr>
          <w:rFonts w:cs="Times New Roman"/>
        </w:rPr>
        <w:t xml:space="preserve"> aligned with more positive scores (</w:t>
      </w:r>
      <w:r w:rsidRPr="00203EB0">
        <w:rPr>
          <w:rFonts w:cs="Times New Roman"/>
          <w:b/>
        </w:rPr>
        <w:t>Table 2.2</w:t>
      </w:r>
      <w:r w:rsidRPr="00203EB0">
        <w:rPr>
          <w:rFonts w:cs="Times New Roman"/>
        </w:rPr>
        <w:t xml:space="preserve">). This reflects a tradeoff between reliance on soil derived N and atmospheric N fixation, with treatments positioned along this axis according to their dominant N source. NT treatments clustered on the negative side of RDA1 – NT-101N, NT-67N, NT-34N, and NT-0N – following a gradient of increasing soil derived N and N status with greater fertilization. CT treatments, in contrast, were distributed along the positive side – CT-0N, CT-34N, NT-67N, and CT-101 N – reflecting lower soil N supply and a stronger dependence on BNF, particularly under low N inputs. This separation is consistent with the long-term benefits </w:t>
      </w:r>
      <w:r w:rsidRPr="00203EB0">
        <w:rPr>
          <w:rFonts w:cs="Times New Roman"/>
        </w:rPr>
        <w:lastRenderedPageBreak/>
        <w:t xml:space="preserve">of NT in enhancing SOM and soil N availability </w:t>
      </w:r>
      <w:r w:rsidRPr="00203EB0">
        <w:rPr>
          <w:rFonts w:cs="Times New Roman"/>
        </w:rPr>
        <w:fldChar w:fldCharType="begin" w:fldLock="1"/>
      </w:r>
      <w:r w:rsidRPr="00203EB0">
        <w:rPr>
          <w:rFonts w:cs="Times New Roman"/>
        </w:rPr>
        <w:instrText>ADDIN CSL_CITATION {"citationItems":[{"id":"ITEM-1","itemData":{"DOI":"10.2134/agronj2011.0339","ISSN":"00021962","abstract":"Increased soil N in no-till (NT) systems can interfere with biological dinitrogen fixation (BNF), stimulate vegetative biomass, and affect harvest index (HI) and yield of lentil (Lens culinaris L.). In the black soils of Saskatchewan, the effects of short-term (5-7 yr: ST) and long-term (28-30 yr: LT) NT practices on lentil were investigated in two experiments from 2006 to 2008. One trial tested the effects of NT duration on plant N and yield of five cultivars; the second examined the response of a late-maturing cultivar to NT duration at four rates of N fertilization. In both studies, average grain yield in 2006 and 2007 (warm seasons) was 21% greater than in 2008 (cool season), although total rainfall and plant N content was similar in 2007 and 2008. Average soil available N over the years was 23% greater in LT than ST, but the cultivars had 33% less N and 28% less yield in LT than ST in a dry year (2006), and similar performance in LT and ST in the wet years (2007 and 2008). The 60 kg N ha-1 treatment in the second trial diminished the yield difference between LT and ST in 2006. The only BNF measurement in 2008 showed that the cultivars fixed 10% less atmospheric N2 in LT than ST in this year. Overall, cool and wet growing conditions stimulate vegetative biomass and lower HI and yield of lentil, whereas a possible reduction of lentil BNF in NT systems is less likely to affect lentil yield. © 2012 by the American Society of Agronomy.","author":[{"dropping-particle":"","family":"Zakeri","given":"Hossein","non-dropping-particle":"","parse-names":false,"suffix":""},{"dropping-particle":"","family":"Lafond","given":"Guy P.","non-dropping-particle":"","parse-names":false,"suffix":""},{"dropping-particle":"","family":"Schoenau","given":"Jeff J.","non-dropping-particle":"","parse-names":false,"suffix":""},{"dropping-particle":"","family":"Hadi Pahlavani","given":"M.","non-dropping-particle":"","parse-names":false,"suffix":""},{"dropping-particle":"","family":"Vandenberg","given":"Albert","non-dropping-particle":"","parse-names":false,"suffix":""},{"dropping-particle":"","family":"May","given":"William E.","non-dropping-particle":"","parse-names":false,"suffix":""},{"dropping-particle":"","family":"Holzapfel","given":"Chris B.","non-dropping-particle":"","parse-names":false,"suffix":""},{"dropping-particle":"","family":"Bueckert","given":"Rosalind A.","non-dropping-particle":"","parse-names":false,"suffix":""}],"container-title":"Agronomy Journal","id":"ITEM-1","issue":"6","issued":{"date-parts":[["2012"]]},"page":"1501-1509","title":"Lentil performance in response to weather, no-till duration, and nitrogen in Saskatchewan","type":"article-journal","volume":"104"},"uris":["http://www.mendeley.com/documents/?uuid=bbbff43b-df73-4e0b-a4c2-586d7ec2f952"]}],"mendeley":{"formattedCitation":"(Zakeri et al., 2012)","plainTextFormattedCitation":"(Zakeri et al., 2012)","previouslyFormattedCitation":"(Zakeri et al., 2012)"},"properties":{"noteIndex":0},"schema":"https://github.com/citation-style-language/schema/raw/master/csl-citation.json"}</w:instrText>
      </w:r>
      <w:r w:rsidRPr="00203EB0">
        <w:rPr>
          <w:rFonts w:cs="Times New Roman"/>
        </w:rPr>
        <w:fldChar w:fldCharType="separate"/>
      </w:r>
      <w:r w:rsidRPr="00203EB0">
        <w:rPr>
          <w:rFonts w:cs="Times New Roman"/>
          <w:noProof/>
        </w:rPr>
        <w:t>(Zakeri et al., 2012)</w:t>
      </w:r>
      <w:r w:rsidRPr="00203EB0">
        <w:rPr>
          <w:rFonts w:cs="Times New Roman"/>
        </w:rPr>
        <w:fldChar w:fldCharType="end"/>
      </w:r>
      <w:r w:rsidRPr="00203EB0">
        <w:rPr>
          <w:rFonts w:cs="Times New Roman"/>
        </w:rPr>
        <w:t xml:space="preserve">, and with the inhibitory effects of elevated soil nitrate on BNF </w:t>
      </w:r>
      <w:r w:rsidRPr="00203EB0">
        <w:rPr>
          <w:rFonts w:cs="Times New Roman"/>
        </w:rPr>
        <w:fldChar w:fldCharType="begin" w:fldLock="1"/>
      </w:r>
      <w:r w:rsidRPr="00203EB0">
        <w:rPr>
          <w:rFonts w:cs="Times New Roman"/>
        </w:rPr>
        <w:instrText>ADDIN CSL_CITATION {"citationItems":[{"id":"ITEM-1","itemData":{"DOI":"10.1007/BF00032242","ISSN":"0032079X","abstract":"Atmospheric N2 fixed symbiotically by associations between Rhizobium spp. and legumes represents a renewable source of N for agriculture. Contribution of legume N2 fixation to the N-economy of any ecosystem is mediated by: (i) legume reliance upon N2 fixation for growth, and (ii) the total amount of legume-N accumulated. Strategies that change the numbers of effective rhizobia present in soil, reduce the inhibitory effects of soil nitrate, or influence legume biomass all have potential to alter net inputs of fixed N. A range of management options can be applied to legumes growing in farming systems to manipulate N2 fixation and improve the N benefits to agriculture and agroforestry. © 1995 Kluwer Academic Publishers.","author":[{"dropping-particle":"","family":"Peoples","given":"M. B.","non-dropping-particle":"","parse-names":false,"suffix":""},{"dropping-particle":"","family":"Ladha","given":"J. K.","non-dropping-particle":"","parse-names":false,"suffix":""},{"dropping-particle":"","family":"Herridge","given":"D. F.","non-dropping-particle":"","parse-names":false,"suffix":""}],"container-title":"Plant and Soil","id":"ITEM-1","issue":"1-2","issued":{"date-parts":[["1995"]]},"page":"83-101","title":"Enhancing legume N2 fixation through plant and soil management","type":"article-journal","volume":"174"},"uris":["http://www.mendeley.com/documents/?uuid=aa7e3aad-f68d-4085-b00a-abdbd6208e73"]},{"id":"ITEM-2","itemData":{"DOI":"10.1016/j.still.2019.104380","ISSN":"01671987","abstract":"Nitrogen supplement by adding N-fertilizer and/or growing of N-fixing trees are considered as important stimulus for the development of early vegetation. We performed pot experiments to determine the responses of legumes (N-fixing) and grasses (non-N fixing) in respect to their biomass to N fertilization, legacy of N, and combination of these two in various ages of post mining soils. N legacy was achieved either by long-term mineral N fertilization (legacy of inorganic N) (experiment 1) or growing of N2 fixing plant (legacy of N-fixing) (experiment 2). The first pot experiment was conducted to test N fertilization and legacy of inorganic N and these two on growth of Festuca rubra and Lotus corniculatus when grown separately. Following this, plant-soil feedback was defined as positive or negative by comparing the second generation of plant biomass in soils with and without plants in the previous generation. In the second pot experiment, we compared the performance of P. compressa and L. corniculatus in the presence of legacy of N-fixing and N fertiliaztion when grown together, and at the same time, plant-soil feedback was determined. N fertilization increased the growth of grasses, but only increased biomass of legumes in young soils. N-legacy induced variable plant growth, in particular often decreased the biomass of legumes. Legacy of inorganic N was only beneficial for grasses rather than legumes in medium soils. When growing in the same pot, legacy of N-fixing showed positive effects on grasses, depending on soil age and N fertilization. Repeated growing of plants in the same soil mostly resulted in negative plant-soil feedback. Negative plant-soil feedback was not alleviated by N fertilization and legacy of inorganic N for both grasses and legumes when grown separately. However, growing grasses and legumes together can induce positive plant-soil feedback with no legacy of N-fixing. In conclusion, N addition often stimulates plant growth more than long-term N effect. Legacy of N tends to be only beneficial for non-N fixing plants in medium aged soils. While negative plant-soil feedback occurs for grasses and legumes both grown separately or together, legumes can induce positive plant-soil feedback when grown with grasses in no legacy of N-fixing soils.","author":[{"dropping-particle":"","family":"Sun","given":"Daquan","non-dropping-particle":"","parse-names":false,"suffix":""},{"dropping-particle":"","family":"Müllerová","given":"Věra","non-dropping-particle":"","parse-names":false,"suffix":""},{"dropping-particle":"","family":"Ardestani","given":"Masoud M.","non-dropping-particle":"","parse-names":false,"suffix":""},{"dropping-particle":"","family":"Frouz","given":"Jan","non-dropping-particle":"","parse-names":false,"suffix":""}],"container-title":"Soil and Tillage Research","id":"ITEM-2","issue":"April","issued":{"date-parts":[["2019"]]},"title":"Nitrogen fertilization and its legacy have inconsistent and often negative effect on plant growth in undeveloped post mining soils","type":"article-journal","volume":"195"},"uris":["http://www.mendeley.com/documents/?uuid=0529eed2-d361-4d5e-ac01-ccb45411d614"]}],"mendeley":{"formattedCitation":"(Peoples et al., 1995; Sun et al., 2019)","plainTextFormattedCitation":"(Peoples et al., 1995; Sun et al., 2019)","previouslyFormattedCitation":"(Peoples et al., 1995; Sun et al., 2019)"},"properties":{"noteIndex":0},"schema":"https://github.com/citation-style-language/schema/raw/master/csl-citation.json"}</w:instrText>
      </w:r>
      <w:r w:rsidRPr="00203EB0">
        <w:rPr>
          <w:rFonts w:cs="Times New Roman"/>
        </w:rPr>
        <w:fldChar w:fldCharType="separate"/>
      </w:r>
      <w:r w:rsidRPr="00203EB0">
        <w:rPr>
          <w:rFonts w:cs="Times New Roman"/>
          <w:noProof/>
        </w:rPr>
        <w:t>(Peoples et al., 1995; Sun et al., 2019)</w:t>
      </w:r>
      <w:r w:rsidRPr="00203EB0">
        <w:rPr>
          <w:rFonts w:cs="Times New Roman"/>
        </w:rPr>
        <w:fldChar w:fldCharType="end"/>
      </w:r>
      <w:r w:rsidRPr="00203EB0">
        <w:rPr>
          <w:rFonts w:cs="Times New Roman"/>
        </w:rPr>
        <w:t xml:space="preserve">. </w:t>
      </w:r>
      <w:r w:rsidR="00800CF4" w:rsidRPr="00203EB0">
        <w:rPr>
          <w:rFonts w:cs="Times New Roman"/>
        </w:rPr>
        <w:t>RDA2 captured variation related to BNF efficiency and SOM, where more positive scores corresponding to higher kg N fixed per Mg</w:t>
      </w:r>
      <w:r w:rsidR="00800CF4">
        <w:rPr>
          <w:rFonts w:cs="Times New Roman"/>
        </w:rPr>
        <w:t xml:space="preserve"> dry matter</w:t>
      </w:r>
      <w:r w:rsidR="00800CF4" w:rsidRPr="00203EB0">
        <w:rPr>
          <w:rFonts w:cs="Times New Roman"/>
        </w:rPr>
        <w:t xml:space="preserve"> and greater SOM. Treatments such as NT-34N, NT-0N, NT-101N, and NT-67N were associated with higher RDA2 values, reflecting both enhanced SOM and, for NT-0N and NT-34N, higher N fixation efficiency under low N input. In contrast, CT treatments generally showed lower RDA2 scores, indicating reduced SOM under CT, though CT-0N and CT-34N still aligned with greater BNF efficiency under low fertilization. </w:t>
      </w:r>
    </w:p>
    <w:p w14:paraId="5A181846" w14:textId="584DF6F5" w:rsidR="00677881" w:rsidRPr="00203EB0" w:rsidRDefault="0023261F" w:rsidP="00F30FC6">
      <w:pPr>
        <w:rPr>
          <w:rFonts w:cs="Times New Roman"/>
        </w:rPr>
      </w:pPr>
      <w:r>
        <w:rPr>
          <w:noProof/>
        </w:rPr>
        <w:drawing>
          <wp:inline distT="0" distB="0" distL="0" distR="0" wp14:anchorId="741B0289" wp14:editId="7ED26F99">
            <wp:extent cx="5486400" cy="3918585"/>
            <wp:effectExtent l="0" t="0" r="0" b="5715"/>
            <wp:docPr id="700827385" name="Picture 1" descr="A diagram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27385" name="Picture 1" descr="A diagram of different colored squares&#10;&#10;AI-generated content may be incorrect."/>
                    <pic:cNvPicPr>
                      <a:picLocks noChangeAspect="1" noChangeArrowheads="1"/>
                    </pic:cNvPicPr>
                  </pic:nvPicPr>
                  <pic:blipFill>
                    <a:blip r:embed="rId16" cstate="hqprint">
                      <a:extLst>
                        <a:ext uri="{28A0092B-C50C-407E-A947-70E740481C1C}">
                          <a14:useLocalDpi xmlns:a14="http://schemas.microsoft.com/office/drawing/2010/main" val="0"/>
                        </a:ext>
                      </a:extLst>
                    </a:blip>
                    <a:srcRect/>
                    <a:stretch>
                      <a:fillRect/>
                    </a:stretch>
                  </pic:blipFill>
                  <pic:spPr bwMode="auto">
                    <a:xfrm>
                      <a:off x="0" y="0"/>
                      <a:ext cx="5486400" cy="3918585"/>
                    </a:xfrm>
                    <a:prstGeom prst="rect">
                      <a:avLst/>
                    </a:prstGeom>
                    <a:noFill/>
                    <a:ln>
                      <a:noFill/>
                    </a:ln>
                  </pic:spPr>
                </pic:pic>
              </a:graphicData>
            </a:graphic>
          </wp:inline>
        </w:drawing>
      </w:r>
    </w:p>
    <w:p w14:paraId="46AEF386" w14:textId="3BC7EFFB" w:rsidR="005749B5" w:rsidRDefault="00F30FC6" w:rsidP="00F30FC6">
      <w:pPr>
        <w:rPr>
          <w:rFonts w:cs="Times New Roman"/>
        </w:rPr>
      </w:pPr>
      <w:bookmarkStart w:id="26" w:name="_Toc206669262"/>
      <w:r w:rsidRPr="00203EB0">
        <w:rPr>
          <w:rFonts w:cs="Times New Roman"/>
          <w:b/>
        </w:rPr>
        <w:t xml:space="preserve">Figure </w:t>
      </w:r>
      <w:r w:rsidR="00BD46F8" w:rsidRPr="00203EB0">
        <w:rPr>
          <w:rFonts w:cs="Times New Roman"/>
          <w:b/>
        </w:rPr>
        <w:fldChar w:fldCharType="begin"/>
      </w:r>
      <w:r w:rsidR="00BD46F8" w:rsidRPr="00203EB0">
        <w:rPr>
          <w:rFonts w:cs="Times New Roman"/>
          <w:b/>
        </w:rPr>
        <w:instrText xml:space="preserve"> STYLEREF 1 \s </w:instrText>
      </w:r>
      <w:r w:rsidR="00BD46F8" w:rsidRPr="00203EB0">
        <w:rPr>
          <w:rFonts w:cs="Times New Roman"/>
          <w:b/>
        </w:rPr>
        <w:fldChar w:fldCharType="separate"/>
      </w:r>
      <w:r w:rsidR="00D56363" w:rsidRPr="00203EB0">
        <w:rPr>
          <w:rFonts w:cs="Times New Roman"/>
          <w:b/>
        </w:rPr>
        <w:t>2</w:t>
      </w:r>
      <w:r w:rsidR="00BD46F8" w:rsidRPr="00203EB0">
        <w:rPr>
          <w:rFonts w:cs="Times New Roman"/>
          <w:b/>
        </w:rPr>
        <w:fldChar w:fldCharType="end"/>
      </w:r>
      <w:r w:rsidR="00BD46F8" w:rsidRPr="00203EB0">
        <w:rPr>
          <w:rFonts w:cs="Times New Roman"/>
          <w:b/>
        </w:rPr>
        <w:t>.</w:t>
      </w:r>
      <w:r w:rsidR="00BD46F8" w:rsidRPr="00203EB0">
        <w:rPr>
          <w:rFonts w:cs="Times New Roman"/>
          <w:b/>
        </w:rPr>
        <w:fldChar w:fldCharType="begin"/>
      </w:r>
      <w:r w:rsidR="00BD46F8" w:rsidRPr="00203EB0">
        <w:rPr>
          <w:rFonts w:cs="Times New Roman"/>
          <w:b/>
        </w:rPr>
        <w:instrText xml:space="preserve"> SEQ Figure \* ARABIC \s 1 </w:instrText>
      </w:r>
      <w:r w:rsidR="00BD46F8" w:rsidRPr="00203EB0">
        <w:rPr>
          <w:rFonts w:cs="Times New Roman"/>
          <w:b/>
        </w:rPr>
        <w:fldChar w:fldCharType="separate"/>
      </w:r>
      <w:r w:rsidR="00D56363" w:rsidRPr="00203EB0">
        <w:rPr>
          <w:rFonts w:cs="Times New Roman"/>
          <w:b/>
        </w:rPr>
        <w:t>3</w:t>
      </w:r>
      <w:r w:rsidR="00BD46F8" w:rsidRPr="00203EB0">
        <w:rPr>
          <w:rFonts w:cs="Times New Roman"/>
          <w:b/>
        </w:rPr>
        <w:fldChar w:fldCharType="end"/>
      </w:r>
      <w:r w:rsidRPr="00203EB0">
        <w:rPr>
          <w:rFonts w:cs="Times New Roman"/>
          <w:b/>
        </w:rPr>
        <w:t xml:space="preserve"> :</w:t>
      </w:r>
      <w:r w:rsidRPr="00203EB0">
        <w:rPr>
          <w:rFonts w:cs="Times New Roman"/>
        </w:rPr>
        <w:t xml:space="preserve"> Scattered boxplots showing the effects of fertilization and tillage on dry matter production.</w:t>
      </w:r>
      <w:bookmarkEnd w:id="26"/>
    </w:p>
    <w:p w14:paraId="07D56EBA" w14:textId="77777777" w:rsidR="00577E60" w:rsidRPr="00203EB0" w:rsidRDefault="00577E60" w:rsidP="00F30FC6">
      <w:pPr>
        <w:rPr>
          <w:rFonts w:cs="Times New Roman"/>
        </w:rPr>
      </w:pPr>
    </w:p>
    <w:p w14:paraId="64959BB5" w14:textId="53A38675" w:rsidR="005749B5" w:rsidRPr="00203EB0" w:rsidRDefault="005749B5" w:rsidP="00001ABC">
      <w:pPr>
        <w:pStyle w:val="Caption"/>
        <w:rPr>
          <w:rFonts w:cs="Times New Roman"/>
        </w:rPr>
      </w:pPr>
      <w:bookmarkStart w:id="27" w:name="_Toc206669218"/>
      <w:r w:rsidRPr="00203EB0">
        <w:rPr>
          <w:b/>
          <w:bCs/>
        </w:rPr>
        <w:lastRenderedPageBreak/>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2</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2</w:t>
      </w:r>
      <w:r w:rsidR="00775F57" w:rsidRPr="00203EB0">
        <w:rPr>
          <w:b/>
          <w:bCs/>
        </w:rPr>
        <w:fldChar w:fldCharType="end"/>
      </w:r>
      <w:r w:rsidR="009024EF" w:rsidRPr="00203EB0">
        <w:rPr>
          <w:b/>
          <w:bCs/>
        </w:rPr>
        <w:t>:</w:t>
      </w:r>
      <w:r w:rsidRPr="00203EB0">
        <w:t xml:space="preserve"> Loadings of response variables on the first two RDA axes (RDA1 and RDA2). Values represent the contribution (correlation coefficients) of each variable to the constrained ordination space.</w:t>
      </w:r>
      <w:r w:rsidRPr="00203EB0">
        <w:rPr>
          <w:rFonts w:cs="Times New Roman"/>
          <w:szCs w:val="24"/>
        </w:rPr>
        <w:t xml:space="preserve"> Higher absolute values indicate stronger influence on the corresponding axis. Loadings were derived from PCA performed on the fitted values of the multivariate linear model constrained by Tillage, Fertilization, Block, and Year.</w:t>
      </w:r>
      <w:bookmarkEnd w:id="27"/>
    </w:p>
    <w:tbl>
      <w:tblPr>
        <w:tblStyle w:val="TableGrid"/>
        <w:tblW w:w="0" w:type="auto"/>
        <w:tblLook w:val="04A0" w:firstRow="1" w:lastRow="0" w:firstColumn="1" w:lastColumn="0" w:noHBand="0" w:noVBand="1"/>
      </w:tblPr>
      <w:tblGrid>
        <w:gridCol w:w="2884"/>
        <w:gridCol w:w="2878"/>
        <w:gridCol w:w="2878"/>
      </w:tblGrid>
      <w:tr w:rsidR="005749B5" w:rsidRPr="00203EB0" w14:paraId="357E5068" w14:textId="77777777" w:rsidTr="00652800">
        <w:tc>
          <w:tcPr>
            <w:tcW w:w="2942" w:type="dxa"/>
            <w:tcBorders>
              <w:top w:val="single" w:sz="4" w:space="0" w:color="auto"/>
              <w:left w:val="nil"/>
              <w:bottom w:val="single" w:sz="4" w:space="0" w:color="auto"/>
              <w:right w:val="nil"/>
            </w:tcBorders>
          </w:tcPr>
          <w:p w14:paraId="5F66A480" w14:textId="77777777" w:rsidR="005749B5" w:rsidRPr="00203EB0" w:rsidRDefault="005749B5" w:rsidP="00652800">
            <w:pPr>
              <w:jc w:val="center"/>
              <w:rPr>
                <w:rFonts w:cs="Times New Roman"/>
                <w:b/>
              </w:rPr>
            </w:pPr>
            <w:r w:rsidRPr="00203EB0">
              <w:rPr>
                <w:rFonts w:cs="Times New Roman"/>
                <w:b/>
              </w:rPr>
              <w:t>Variables</w:t>
            </w:r>
          </w:p>
        </w:tc>
        <w:tc>
          <w:tcPr>
            <w:tcW w:w="2943" w:type="dxa"/>
            <w:tcBorders>
              <w:top w:val="single" w:sz="4" w:space="0" w:color="auto"/>
              <w:left w:val="nil"/>
              <w:bottom w:val="single" w:sz="4" w:space="0" w:color="auto"/>
              <w:right w:val="nil"/>
            </w:tcBorders>
          </w:tcPr>
          <w:p w14:paraId="7FC1B237" w14:textId="77777777" w:rsidR="005749B5" w:rsidRPr="00203EB0" w:rsidRDefault="005749B5" w:rsidP="00652800">
            <w:pPr>
              <w:jc w:val="center"/>
              <w:rPr>
                <w:rFonts w:cs="Times New Roman"/>
                <w:b/>
              </w:rPr>
            </w:pPr>
            <w:r w:rsidRPr="00203EB0">
              <w:rPr>
                <w:rFonts w:cs="Times New Roman"/>
                <w:b/>
              </w:rPr>
              <w:t>RDA1 loading</w:t>
            </w:r>
          </w:p>
        </w:tc>
        <w:tc>
          <w:tcPr>
            <w:tcW w:w="2943" w:type="dxa"/>
            <w:tcBorders>
              <w:top w:val="single" w:sz="4" w:space="0" w:color="auto"/>
              <w:left w:val="nil"/>
              <w:bottom w:val="single" w:sz="4" w:space="0" w:color="auto"/>
              <w:right w:val="nil"/>
            </w:tcBorders>
          </w:tcPr>
          <w:p w14:paraId="44DEE184" w14:textId="77777777" w:rsidR="005749B5" w:rsidRPr="00203EB0" w:rsidRDefault="005749B5" w:rsidP="00652800">
            <w:pPr>
              <w:jc w:val="center"/>
              <w:rPr>
                <w:rFonts w:cs="Times New Roman"/>
                <w:b/>
              </w:rPr>
            </w:pPr>
            <w:r w:rsidRPr="00203EB0">
              <w:rPr>
                <w:rFonts w:cs="Times New Roman"/>
                <w:b/>
              </w:rPr>
              <w:t>RDA2 loading</w:t>
            </w:r>
          </w:p>
        </w:tc>
      </w:tr>
      <w:tr w:rsidR="005749B5" w:rsidRPr="00203EB0" w14:paraId="72E1D894" w14:textId="77777777" w:rsidTr="00652800">
        <w:tc>
          <w:tcPr>
            <w:tcW w:w="2942" w:type="dxa"/>
            <w:tcBorders>
              <w:top w:val="single" w:sz="4" w:space="0" w:color="auto"/>
              <w:left w:val="nil"/>
              <w:bottom w:val="nil"/>
              <w:right w:val="nil"/>
            </w:tcBorders>
          </w:tcPr>
          <w:p w14:paraId="49DF7C40" w14:textId="77777777" w:rsidR="005749B5" w:rsidRPr="00203EB0" w:rsidRDefault="005749B5" w:rsidP="00652800">
            <w:pPr>
              <w:rPr>
                <w:rFonts w:cs="Times New Roman"/>
              </w:rPr>
            </w:pPr>
            <w:r w:rsidRPr="00203EB0">
              <w:rPr>
                <w:rFonts w:cs="Times New Roman"/>
              </w:rPr>
              <w:t>NNI</w:t>
            </w:r>
          </w:p>
        </w:tc>
        <w:tc>
          <w:tcPr>
            <w:tcW w:w="2943" w:type="dxa"/>
            <w:tcBorders>
              <w:top w:val="single" w:sz="4" w:space="0" w:color="auto"/>
              <w:left w:val="nil"/>
              <w:bottom w:val="nil"/>
              <w:right w:val="nil"/>
            </w:tcBorders>
          </w:tcPr>
          <w:p w14:paraId="1DAE6E41" w14:textId="77777777" w:rsidR="005749B5" w:rsidRPr="00203EB0" w:rsidRDefault="005749B5" w:rsidP="00652800">
            <w:pPr>
              <w:jc w:val="center"/>
              <w:rPr>
                <w:rFonts w:cs="Times New Roman"/>
              </w:rPr>
            </w:pPr>
            <w:r w:rsidRPr="00203EB0">
              <w:rPr>
                <w:rFonts w:cs="Times New Roman"/>
              </w:rPr>
              <w:t>-0.42</w:t>
            </w:r>
          </w:p>
        </w:tc>
        <w:tc>
          <w:tcPr>
            <w:tcW w:w="2943" w:type="dxa"/>
            <w:tcBorders>
              <w:top w:val="single" w:sz="4" w:space="0" w:color="auto"/>
              <w:left w:val="nil"/>
              <w:bottom w:val="nil"/>
              <w:right w:val="nil"/>
            </w:tcBorders>
          </w:tcPr>
          <w:p w14:paraId="47C886A2" w14:textId="77777777" w:rsidR="005749B5" w:rsidRPr="00203EB0" w:rsidRDefault="005749B5" w:rsidP="00652800">
            <w:pPr>
              <w:jc w:val="center"/>
              <w:rPr>
                <w:rFonts w:cs="Times New Roman"/>
              </w:rPr>
            </w:pPr>
            <w:r w:rsidRPr="00203EB0">
              <w:rPr>
                <w:rFonts w:cs="Times New Roman"/>
              </w:rPr>
              <w:t>-0.13</w:t>
            </w:r>
          </w:p>
        </w:tc>
      </w:tr>
      <w:tr w:rsidR="005749B5" w:rsidRPr="00203EB0" w14:paraId="52F324B1" w14:textId="77777777" w:rsidTr="00652800">
        <w:tc>
          <w:tcPr>
            <w:tcW w:w="2942" w:type="dxa"/>
            <w:tcBorders>
              <w:top w:val="nil"/>
              <w:left w:val="nil"/>
              <w:bottom w:val="nil"/>
              <w:right w:val="nil"/>
            </w:tcBorders>
          </w:tcPr>
          <w:p w14:paraId="5D3E9CE6" w14:textId="77777777" w:rsidR="005749B5" w:rsidRPr="00203EB0" w:rsidRDefault="005749B5" w:rsidP="00652800">
            <w:pPr>
              <w:rPr>
                <w:rFonts w:cs="Times New Roman"/>
              </w:rPr>
            </w:pPr>
            <w:proofErr w:type="spellStart"/>
            <w:r w:rsidRPr="00203EB0">
              <w:rPr>
                <w:rFonts w:cs="Times New Roman"/>
              </w:rPr>
              <w:t>Ndfa</w:t>
            </w:r>
            <w:proofErr w:type="spellEnd"/>
            <w:r w:rsidRPr="00203EB0">
              <w:rPr>
                <w:rFonts w:cs="Times New Roman"/>
              </w:rPr>
              <w:t xml:space="preserve"> (%)</w:t>
            </w:r>
          </w:p>
        </w:tc>
        <w:tc>
          <w:tcPr>
            <w:tcW w:w="2943" w:type="dxa"/>
            <w:tcBorders>
              <w:top w:val="nil"/>
              <w:left w:val="nil"/>
              <w:bottom w:val="nil"/>
              <w:right w:val="nil"/>
            </w:tcBorders>
          </w:tcPr>
          <w:p w14:paraId="46161C90" w14:textId="77777777" w:rsidR="005749B5" w:rsidRPr="00203EB0" w:rsidRDefault="005749B5" w:rsidP="00652800">
            <w:pPr>
              <w:jc w:val="center"/>
              <w:rPr>
                <w:rFonts w:cs="Times New Roman"/>
              </w:rPr>
            </w:pPr>
            <w:r w:rsidRPr="00203EB0">
              <w:rPr>
                <w:rFonts w:cs="Times New Roman"/>
              </w:rPr>
              <w:t>0.54</w:t>
            </w:r>
          </w:p>
        </w:tc>
        <w:tc>
          <w:tcPr>
            <w:tcW w:w="2943" w:type="dxa"/>
            <w:tcBorders>
              <w:top w:val="nil"/>
              <w:left w:val="nil"/>
              <w:bottom w:val="nil"/>
              <w:right w:val="nil"/>
            </w:tcBorders>
          </w:tcPr>
          <w:p w14:paraId="5952A790" w14:textId="77777777" w:rsidR="005749B5" w:rsidRPr="00203EB0" w:rsidRDefault="005749B5" w:rsidP="00652800">
            <w:pPr>
              <w:jc w:val="center"/>
              <w:rPr>
                <w:rFonts w:cs="Times New Roman"/>
              </w:rPr>
            </w:pPr>
            <w:r w:rsidRPr="00203EB0">
              <w:rPr>
                <w:rFonts w:cs="Times New Roman"/>
              </w:rPr>
              <w:t>0.11</w:t>
            </w:r>
          </w:p>
        </w:tc>
      </w:tr>
      <w:tr w:rsidR="005749B5" w:rsidRPr="00203EB0" w14:paraId="050C175E" w14:textId="77777777" w:rsidTr="00652800">
        <w:tc>
          <w:tcPr>
            <w:tcW w:w="2942" w:type="dxa"/>
            <w:tcBorders>
              <w:top w:val="nil"/>
              <w:left w:val="nil"/>
              <w:bottom w:val="nil"/>
              <w:right w:val="nil"/>
            </w:tcBorders>
          </w:tcPr>
          <w:p w14:paraId="54D36AEC" w14:textId="033E4424" w:rsidR="005749B5" w:rsidRPr="00203EB0" w:rsidRDefault="005749B5" w:rsidP="00652800">
            <w:pPr>
              <w:rPr>
                <w:rFonts w:cs="Times New Roman"/>
              </w:rPr>
            </w:pPr>
            <w:r w:rsidRPr="00203EB0">
              <w:rPr>
                <w:rFonts w:cs="Times New Roman"/>
              </w:rPr>
              <w:t xml:space="preserve">Kg N fix </w:t>
            </w:r>
            <w:r w:rsidR="00CA0C39" w:rsidRPr="00203EB0">
              <w:rPr>
                <w:rFonts w:cs="Times New Roman"/>
              </w:rPr>
              <w:t>Mg</w:t>
            </w:r>
            <w:r w:rsidRPr="00203EB0">
              <w:rPr>
                <w:rFonts w:cs="Times New Roman"/>
                <w:vertAlign w:val="superscript"/>
              </w:rPr>
              <w:t>-1</w:t>
            </w:r>
          </w:p>
        </w:tc>
        <w:tc>
          <w:tcPr>
            <w:tcW w:w="2943" w:type="dxa"/>
            <w:tcBorders>
              <w:top w:val="nil"/>
              <w:left w:val="nil"/>
              <w:bottom w:val="nil"/>
              <w:right w:val="nil"/>
            </w:tcBorders>
          </w:tcPr>
          <w:p w14:paraId="4DB9CAA8" w14:textId="77777777" w:rsidR="005749B5" w:rsidRPr="00203EB0" w:rsidRDefault="005749B5" w:rsidP="00652800">
            <w:pPr>
              <w:jc w:val="center"/>
              <w:rPr>
                <w:rFonts w:cs="Times New Roman"/>
              </w:rPr>
            </w:pPr>
            <w:r w:rsidRPr="00203EB0">
              <w:rPr>
                <w:rFonts w:cs="Times New Roman"/>
              </w:rPr>
              <w:t>0.31</w:t>
            </w:r>
          </w:p>
        </w:tc>
        <w:tc>
          <w:tcPr>
            <w:tcW w:w="2943" w:type="dxa"/>
            <w:tcBorders>
              <w:top w:val="nil"/>
              <w:left w:val="nil"/>
              <w:bottom w:val="nil"/>
              <w:right w:val="nil"/>
            </w:tcBorders>
          </w:tcPr>
          <w:p w14:paraId="6BA07096" w14:textId="77777777" w:rsidR="005749B5" w:rsidRPr="00203EB0" w:rsidRDefault="005749B5" w:rsidP="00652800">
            <w:pPr>
              <w:jc w:val="center"/>
              <w:rPr>
                <w:rFonts w:cs="Times New Roman"/>
              </w:rPr>
            </w:pPr>
            <w:r w:rsidRPr="00203EB0">
              <w:rPr>
                <w:rFonts w:cs="Times New Roman"/>
              </w:rPr>
              <w:t>0.74</w:t>
            </w:r>
          </w:p>
        </w:tc>
      </w:tr>
      <w:tr w:rsidR="005749B5" w:rsidRPr="00203EB0" w14:paraId="58E40B18" w14:textId="77777777" w:rsidTr="00652800">
        <w:tc>
          <w:tcPr>
            <w:tcW w:w="2942" w:type="dxa"/>
            <w:tcBorders>
              <w:top w:val="nil"/>
              <w:left w:val="nil"/>
              <w:bottom w:val="nil"/>
              <w:right w:val="nil"/>
            </w:tcBorders>
          </w:tcPr>
          <w:p w14:paraId="3BE921C7" w14:textId="6B7A6D6B" w:rsidR="005749B5" w:rsidRPr="00203EB0" w:rsidRDefault="005749B5" w:rsidP="00652800">
            <w:pPr>
              <w:rPr>
                <w:rFonts w:cs="Times New Roman"/>
              </w:rPr>
            </w:pPr>
            <w:r w:rsidRPr="00203EB0">
              <w:rPr>
                <w:rFonts w:cs="Times New Roman"/>
              </w:rPr>
              <w:t xml:space="preserve">Kg N soil </w:t>
            </w:r>
            <w:r w:rsidR="00CA0C39" w:rsidRPr="00203EB0">
              <w:rPr>
                <w:rFonts w:cs="Times New Roman"/>
              </w:rPr>
              <w:t>Mg</w:t>
            </w:r>
            <w:r w:rsidRPr="00203EB0">
              <w:rPr>
                <w:rFonts w:cs="Times New Roman"/>
                <w:vertAlign w:val="superscript"/>
              </w:rPr>
              <w:t>-1</w:t>
            </w:r>
          </w:p>
        </w:tc>
        <w:tc>
          <w:tcPr>
            <w:tcW w:w="2943" w:type="dxa"/>
            <w:tcBorders>
              <w:top w:val="nil"/>
              <w:left w:val="nil"/>
              <w:bottom w:val="nil"/>
              <w:right w:val="nil"/>
            </w:tcBorders>
          </w:tcPr>
          <w:p w14:paraId="79C1A4B5" w14:textId="77777777" w:rsidR="005749B5" w:rsidRPr="00203EB0" w:rsidRDefault="005749B5" w:rsidP="00652800">
            <w:pPr>
              <w:jc w:val="center"/>
              <w:rPr>
                <w:rFonts w:cs="Times New Roman"/>
              </w:rPr>
            </w:pPr>
            <w:r w:rsidRPr="00203EB0">
              <w:rPr>
                <w:rFonts w:cs="Times New Roman"/>
              </w:rPr>
              <w:t>-0.51</w:t>
            </w:r>
          </w:p>
        </w:tc>
        <w:tc>
          <w:tcPr>
            <w:tcW w:w="2943" w:type="dxa"/>
            <w:tcBorders>
              <w:top w:val="nil"/>
              <w:left w:val="nil"/>
              <w:bottom w:val="nil"/>
              <w:right w:val="nil"/>
            </w:tcBorders>
          </w:tcPr>
          <w:p w14:paraId="14D8B6A8" w14:textId="77777777" w:rsidR="005749B5" w:rsidRPr="00203EB0" w:rsidRDefault="005749B5" w:rsidP="00652800">
            <w:pPr>
              <w:jc w:val="center"/>
              <w:rPr>
                <w:rFonts w:cs="Times New Roman"/>
              </w:rPr>
            </w:pPr>
            <w:r w:rsidRPr="00203EB0">
              <w:rPr>
                <w:rFonts w:cs="Times New Roman"/>
              </w:rPr>
              <w:t>0.13</w:t>
            </w:r>
          </w:p>
        </w:tc>
      </w:tr>
      <w:tr w:rsidR="005749B5" w:rsidRPr="00203EB0" w14:paraId="08AABAD3" w14:textId="77777777" w:rsidTr="00652800">
        <w:tc>
          <w:tcPr>
            <w:tcW w:w="2942" w:type="dxa"/>
            <w:tcBorders>
              <w:top w:val="nil"/>
              <w:left w:val="nil"/>
              <w:bottom w:val="single" w:sz="4" w:space="0" w:color="auto"/>
              <w:right w:val="nil"/>
            </w:tcBorders>
          </w:tcPr>
          <w:p w14:paraId="3F8A7D2C" w14:textId="77777777" w:rsidR="005749B5" w:rsidRPr="00203EB0" w:rsidRDefault="005749B5" w:rsidP="00652800">
            <w:pPr>
              <w:rPr>
                <w:rFonts w:cs="Times New Roman"/>
              </w:rPr>
            </w:pPr>
            <w:r w:rsidRPr="00203EB0">
              <w:rPr>
                <w:rFonts w:cs="Times New Roman"/>
              </w:rPr>
              <w:t>SOM</w:t>
            </w:r>
          </w:p>
        </w:tc>
        <w:tc>
          <w:tcPr>
            <w:tcW w:w="2943" w:type="dxa"/>
            <w:tcBorders>
              <w:top w:val="nil"/>
              <w:left w:val="nil"/>
              <w:bottom w:val="single" w:sz="4" w:space="0" w:color="auto"/>
              <w:right w:val="nil"/>
            </w:tcBorders>
          </w:tcPr>
          <w:p w14:paraId="3EF0D893" w14:textId="77777777" w:rsidR="005749B5" w:rsidRPr="00203EB0" w:rsidRDefault="005749B5" w:rsidP="00652800">
            <w:pPr>
              <w:jc w:val="center"/>
              <w:rPr>
                <w:rFonts w:cs="Times New Roman"/>
              </w:rPr>
            </w:pPr>
            <w:r w:rsidRPr="00203EB0">
              <w:rPr>
                <w:rFonts w:cs="Times New Roman"/>
              </w:rPr>
              <w:t>-0.43</w:t>
            </w:r>
          </w:p>
        </w:tc>
        <w:tc>
          <w:tcPr>
            <w:tcW w:w="2943" w:type="dxa"/>
            <w:tcBorders>
              <w:top w:val="nil"/>
              <w:left w:val="nil"/>
              <w:bottom w:val="single" w:sz="4" w:space="0" w:color="auto"/>
              <w:right w:val="nil"/>
            </w:tcBorders>
          </w:tcPr>
          <w:p w14:paraId="38B16634" w14:textId="77777777" w:rsidR="005749B5" w:rsidRPr="00203EB0" w:rsidRDefault="005749B5" w:rsidP="00652800">
            <w:pPr>
              <w:jc w:val="center"/>
              <w:rPr>
                <w:rFonts w:cs="Times New Roman"/>
              </w:rPr>
            </w:pPr>
            <w:r w:rsidRPr="00203EB0">
              <w:rPr>
                <w:rFonts w:cs="Times New Roman"/>
              </w:rPr>
              <w:t>0.64</w:t>
            </w:r>
          </w:p>
        </w:tc>
      </w:tr>
    </w:tbl>
    <w:p w14:paraId="05E91298" w14:textId="77777777" w:rsidR="00B2079D" w:rsidRPr="00203EB0" w:rsidRDefault="00B2079D" w:rsidP="002B3951">
      <w:pPr>
        <w:spacing w:line="480" w:lineRule="auto"/>
        <w:rPr>
          <w:rFonts w:cs="Times New Roman"/>
        </w:rPr>
      </w:pPr>
    </w:p>
    <w:p w14:paraId="422DEDA7" w14:textId="4A2F1EDC" w:rsidR="00510E31" w:rsidRPr="00203EB0" w:rsidRDefault="008A3818" w:rsidP="00B2079D">
      <w:pPr>
        <w:jc w:val="center"/>
        <w:rPr>
          <w:rFonts w:cs="Times New Roman"/>
        </w:rPr>
      </w:pPr>
      <w:r>
        <w:rPr>
          <w:noProof/>
        </w:rPr>
        <w:drawing>
          <wp:inline distT="0" distB="0" distL="0" distR="0" wp14:anchorId="40BFCCCD" wp14:editId="6F3465C5">
            <wp:extent cx="4511040" cy="4188897"/>
            <wp:effectExtent l="0" t="0" r="3810" b="2540"/>
            <wp:docPr id="207843350" name="Picture 2" descr="A diagram of different soil valu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3350" name="Picture 2" descr="A diagram of different soil values&#10;&#10;AI-generated content may be incorrect."/>
                    <pic:cNvPicPr>
                      <a:picLocks noChangeAspect="1" noChangeArrowheads="1"/>
                    </pic:cNvPicPr>
                  </pic:nvPicPr>
                  <pic:blipFill>
                    <a:blip r:embed="rId17" cstate="hqprint">
                      <a:extLst>
                        <a:ext uri="{28A0092B-C50C-407E-A947-70E740481C1C}">
                          <a14:useLocalDpi xmlns:a14="http://schemas.microsoft.com/office/drawing/2010/main" val="0"/>
                        </a:ext>
                      </a:extLst>
                    </a:blip>
                    <a:srcRect/>
                    <a:stretch>
                      <a:fillRect/>
                    </a:stretch>
                  </pic:blipFill>
                  <pic:spPr bwMode="auto">
                    <a:xfrm>
                      <a:off x="0" y="0"/>
                      <a:ext cx="4524791" cy="4201666"/>
                    </a:xfrm>
                    <a:prstGeom prst="rect">
                      <a:avLst/>
                    </a:prstGeom>
                    <a:noFill/>
                    <a:ln>
                      <a:noFill/>
                    </a:ln>
                  </pic:spPr>
                </pic:pic>
              </a:graphicData>
            </a:graphic>
          </wp:inline>
        </w:drawing>
      </w:r>
    </w:p>
    <w:p w14:paraId="72DE2461" w14:textId="47D2B5C7" w:rsidR="005749B5" w:rsidRPr="00203EB0" w:rsidRDefault="005749B5" w:rsidP="005749B5">
      <w:pPr>
        <w:rPr>
          <w:rFonts w:cs="Times New Roman"/>
        </w:rPr>
      </w:pPr>
      <w:bookmarkStart w:id="28" w:name="_Toc206669263"/>
      <w:r w:rsidRPr="00203EB0">
        <w:rPr>
          <w:rFonts w:cs="Times New Roman"/>
          <w:b/>
        </w:rPr>
        <w:t xml:space="preserve">Figure </w:t>
      </w:r>
      <w:r w:rsidR="00BD46F8" w:rsidRPr="00203EB0">
        <w:rPr>
          <w:rFonts w:cs="Times New Roman"/>
          <w:b/>
        </w:rPr>
        <w:fldChar w:fldCharType="begin"/>
      </w:r>
      <w:r w:rsidR="00BD46F8" w:rsidRPr="00203EB0">
        <w:rPr>
          <w:rFonts w:cs="Times New Roman"/>
          <w:b/>
        </w:rPr>
        <w:instrText xml:space="preserve"> STYLEREF 1 \s </w:instrText>
      </w:r>
      <w:r w:rsidR="00BD46F8" w:rsidRPr="00203EB0">
        <w:rPr>
          <w:rFonts w:cs="Times New Roman"/>
          <w:b/>
        </w:rPr>
        <w:fldChar w:fldCharType="separate"/>
      </w:r>
      <w:r w:rsidR="00D56363" w:rsidRPr="00203EB0">
        <w:rPr>
          <w:rFonts w:cs="Times New Roman"/>
          <w:b/>
        </w:rPr>
        <w:t>2</w:t>
      </w:r>
      <w:r w:rsidR="00BD46F8" w:rsidRPr="00203EB0">
        <w:rPr>
          <w:rFonts w:cs="Times New Roman"/>
          <w:b/>
        </w:rPr>
        <w:fldChar w:fldCharType="end"/>
      </w:r>
      <w:r w:rsidR="00BD46F8" w:rsidRPr="00203EB0">
        <w:rPr>
          <w:rFonts w:cs="Times New Roman"/>
          <w:b/>
        </w:rPr>
        <w:t>.</w:t>
      </w:r>
      <w:r w:rsidR="00BD46F8" w:rsidRPr="00203EB0">
        <w:rPr>
          <w:rFonts w:cs="Times New Roman"/>
          <w:b/>
        </w:rPr>
        <w:fldChar w:fldCharType="begin"/>
      </w:r>
      <w:r w:rsidR="00BD46F8" w:rsidRPr="00203EB0">
        <w:rPr>
          <w:rFonts w:cs="Times New Roman"/>
          <w:b/>
        </w:rPr>
        <w:instrText xml:space="preserve"> SEQ Figure \* ARABIC \s 1 </w:instrText>
      </w:r>
      <w:r w:rsidR="00BD46F8" w:rsidRPr="00203EB0">
        <w:rPr>
          <w:rFonts w:cs="Times New Roman"/>
          <w:b/>
        </w:rPr>
        <w:fldChar w:fldCharType="separate"/>
      </w:r>
      <w:r w:rsidR="00D56363" w:rsidRPr="00203EB0">
        <w:rPr>
          <w:rFonts w:cs="Times New Roman"/>
          <w:b/>
        </w:rPr>
        <w:t>4</w:t>
      </w:r>
      <w:r w:rsidR="00BD46F8" w:rsidRPr="00203EB0">
        <w:rPr>
          <w:rFonts w:cs="Times New Roman"/>
          <w:b/>
        </w:rPr>
        <w:fldChar w:fldCharType="end"/>
      </w:r>
      <w:r w:rsidR="009024EF" w:rsidRPr="00203EB0">
        <w:rPr>
          <w:rFonts w:cs="Times New Roman"/>
          <w:b/>
        </w:rPr>
        <w:t>:</w:t>
      </w:r>
      <w:r w:rsidRPr="00203EB0">
        <w:rPr>
          <w:rFonts w:cs="Times New Roman"/>
        </w:rPr>
        <w:t xml:space="preserve"> Redundancy Analysis (RDA) biplot showing individual samples and treatments centroids based on nitrogen-related variables. Transparent markers represent individual observations, while solid, enlarged markers indicate group centroids for each Tillage × Fertilization treatment combination. Black arrows represent the response variables (NNI, </w:t>
      </w:r>
      <w:proofErr w:type="spellStart"/>
      <w:r w:rsidRPr="00203EB0">
        <w:rPr>
          <w:rFonts w:cs="Times New Roman"/>
        </w:rPr>
        <w:t>Ndfa</w:t>
      </w:r>
      <w:proofErr w:type="spellEnd"/>
      <w:r w:rsidRPr="00203EB0">
        <w:rPr>
          <w:rFonts w:cs="Times New Roman"/>
        </w:rPr>
        <w:t>, kg N fix, kg N soil, and SOM), with direction and length indicating their contribution to the constrained ordination axes.</w:t>
      </w:r>
      <w:bookmarkEnd w:id="28"/>
      <w:r w:rsidRPr="00203EB0">
        <w:rPr>
          <w:rFonts w:cs="Times New Roman"/>
        </w:rPr>
        <w:t xml:space="preserve"> </w:t>
      </w:r>
    </w:p>
    <w:p w14:paraId="41AA8AB9" w14:textId="77777777" w:rsidR="00EF388D" w:rsidRDefault="00EF388D" w:rsidP="008D01AC">
      <w:pPr>
        <w:tabs>
          <w:tab w:val="left" w:pos="6348"/>
        </w:tabs>
        <w:spacing w:after="160" w:line="480" w:lineRule="auto"/>
        <w:contextualSpacing/>
        <w:rPr>
          <w:rFonts w:cs="Times New Roman"/>
        </w:rPr>
      </w:pPr>
    </w:p>
    <w:p w14:paraId="4D5D6E38" w14:textId="7207C453" w:rsidR="005749B5" w:rsidRDefault="00B902C8" w:rsidP="008D01AC">
      <w:pPr>
        <w:tabs>
          <w:tab w:val="left" w:pos="6348"/>
        </w:tabs>
        <w:spacing w:after="160" w:line="480" w:lineRule="auto"/>
        <w:contextualSpacing/>
        <w:rPr>
          <w:rFonts w:cs="Times New Roman"/>
        </w:rPr>
      </w:pPr>
      <w:r w:rsidRPr="00203EB0">
        <w:rPr>
          <w:rFonts w:cs="Times New Roman"/>
        </w:rPr>
        <w:lastRenderedPageBreak/>
        <w:t xml:space="preserve">Our findings demonstrate that the legacy effects of long-term tillage and N fertilization shape N status, BNF, and N acquisition strategies in HV within a continuous cotton system. </w:t>
      </w:r>
      <w:r w:rsidR="005749B5" w:rsidRPr="00203EB0">
        <w:rPr>
          <w:rFonts w:cs="Times New Roman"/>
        </w:rPr>
        <w:t xml:space="preserve">Overall, the RDA reveals clear management driven patterns: NT plots aligned with improved N status, greater soil derived N uptake, and enhanced SOM, while CT plots were characterized by lower SOM and a greater compensatory reliance on atmospheric N fixation. Although less pronounced than tillage effects, fertilization history shaped N acquisition strategies </w:t>
      </w:r>
      <w:r w:rsidR="00F85D28">
        <w:rPr>
          <w:rFonts w:cs="Times New Roman"/>
        </w:rPr>
        <w:t xml:space="preserve">in </w:t>
      </w:r>
      <w:r w:rsidR="005749B5" w:rsidRPr="00203EB0">
        <w:rPr>
          <w:rFonts w:cs="Times New Roman"/>
        </w:rPr>
        <w:t xml:space="preserve">both </w:t>
      </w:r>
      <w:r w:rsidR="00F85D28">
        <w:rPr>
          <w:rFonts w:cs="Times New Roman"/>
        </w:rPr>
        <w:t xml:space="preserve">tillage </w:t>
      </w:r>
      <w:r w:rsidR="005749B5" w:rsidRPr="00203EB0">
        <w:rPr>
          <w:rFonts w:cs="Times New Roman"/>
        </w:rPr>
        <w:t>systems. Lower N inputs (0 and 34 kg N ha</w:t>
      </w:r>
      <w:r w:rsidR="005749B5" w:rsidRPr="00203EB0">
        <w:rPr>
          <w:rFonts w:cs="Times New Roman"/>
          <w:vertAlign w:val="superscript"/>
        </w:rPr>
        <w:t>-1</w:t>
      </w:r>
      <w:r w:rsidR="005749B5" w:rsidRPr="00203EB0">
        <w:rPr>
          <w:rFonts w:cs="Times New Roman"/>
        </w:rPr>
        <w:t xml:space="preserve">) were consistently associated with higher BNF efficiency, suggesting the concept of a compensatory response under limited soil </w:t>
      </w:r>
      <w:r w:rsidR="00224475" w:rsidRPr="00203EB0">
        <w:rPr>
          <w:rFonts w:cs="Times New Roman"/>
        </w:rPr>
        <w:t xml:space="preserve">N </w:t>
      </w:r>
      <w:r w:rsidR="005749B5" w:rsidRPr="00203EB0">
        <w:rPr>
          <w:rFonts w:cs="Times New Roman"/>
        </w:rPr>
        <w:t xml:space="preserve">availability </w:t>
      </w:r>
      <w:r w:rsidR="005749B5" w:rsidRPr="00203EB0">
        <w:rPr>
          <w:rFonts w:cs="Times New Roman"/>
        </w:rPr>
        <w:fldChar w:fldCharType="begin" w:fldLock="1"/>
      </w:r>
      <w:r w:rsidR="00EB2F35" w:rsidRPr="00203EB0">
        <w:rPr>
          <w:rFonts w:cs="Times New Roman"/>
        </w:rPr>
        <w:instrText>ADDIN CSL_CITATION {"citationItems":[{"id":"ITEM-1","itemData":{"DOI":"10.1007/BF00032242","ISSN":"0032079X","abstract":"Atmospheric N2 fixed symbiotically by associations between Rhizobium spp. and legumes represents a renewable source of N for agriculture. Contribution of legume N2 fixation to the N-economy of any ecosystem is mediated by: (i) legume reliance upon N2 fixation for growth, and (ii) the total amount of legume-N accumulated. Strategies that change the numbers of effective rhizobia present in soil, reduce the inhibitory effects of soil nitrate, or influence legume biomass all have potential to alter net inputs of fixed N. A range of management options can be applied to legumes growing in farming systems to manipulate N2 fixation and improve the N benefits to agriculture and agroforestry. © 1995 Kluwer Academic Publishers.","author":[{"dropping-particle":"","family":"Peoples","given":"M. B.","non-dropping-particle":"","parse-names":false,"suffix":""},{"dropping-particle":"","family":"Ladha","given":"J. K.","non-dropping-particle":"","parse-names":false,"suffix":""},{"dropping-particle":"","family":"Herridge","given":"D. F.","non-dropping-particle":"","parse-names":false,"suffix":""}],"container-title":"Plant and Soil","id":"ITEM-1","issue":"1-2","issued":{"date-parts":[["1995"]]},"page":"83-101","title":"Enhancing legume N2 fixation through plant and soil management","type":"article-journal","volume":"174"},"uris":["http://www.mendeley.com/documents/?uuid=aa7e3aad-f68d-4085-b00a-abdbd6208e73"]},{"id":"ITEM-2","itemData":{"DOI":"10.1007/978-3-642-60684-7","abstract":"Jurnal ini membahas bagaimana koran kuning menerapkan Etika Jurnalisme dalam pemberitaannya. Koran Lampu Hijau dipilih sebagai obyek bahasan karena Lampu Hijau adalah salah satu Koran Kuning Indonesia yang masih bertahan hingga saat ini. Selain itu, penulis merasa penulisan berita di Lampu Hijau dapat dikatakan paling sensasional diantara Koran Kuning Indonesia lainnya. Dengan membahas Lampu Hijau, penulis berharap media di Indonesia dapat selayaknya menjadi jembatan yang kuat yang mampu mengedukasi dan memberikan informasi yang layak bagi masyarakat Indonesia.","author":[{"dropping-particle":"","family":"Lemaire","given":"Gilles","non-dropping-particle":"","parse-names":false,"suffix":""}],"container-title":"Etika Jurnalisme Pada Koran Kuning : Sebuah Studi Mengenai Koran Lampu Hijau","editor":[{"dropping-particle":"","family":"Lemaire","given":"Gilles","non-dropping-particle":"","parse-names":false,"suffix":""}],"id":"ITEM-2","issued":{"date-parts":[["1997"]]},"publisher":"Library of Congress Cataloging-in-Publication Data.","title":"Diagnosis of the nitrogen status in crops","type":"book"},"uris":["http://www.mendeley.com/documents/?uuid=519109d6-cbbf-4bca-8bbc-09a9de650fde"]},{"id":"ITEM-3","itemData":{"DOI":"10.1016/j.still.2019.104380","ISSN":"01671987","abstract":"Nitrogen supplement by adding N-fertilizer and/or growing of N-fixing trees are considered as important stimulus for the development of early vegetation. We performed pot experiments to determine the responses of legumes (N-fixing) and grasses (non-N fixing) in respect to their biomass to N fertilization, legacy of N, and combination of these two in various ages of post mining soils. N legacy was achieved either by long-term mineral N fertilization (legacy of inorganic N) (experiment 1) or growing of N2 fixing plant (legacy of N-fixing) (experiment 2). The first pot experiment was conducted to test N fertilization and legacy of inorganic N and these two on growth of Festuca rubra and Lotus corniculatus when grown separately. Following this, plant-soil feedback was defined as positive or negative by comparing the second generation of plant biomass in soils with and without plants in the previous generation. In the second pot experiment, we compared the performance of P. compressa and L. corniculatus in the presence of legacy of N-fixing and N fertiliaztion when grown together, and at the same time, plant-soil feedback was determined. N fertilization increased the growth of grasses, but only increased biomass of legumes in young soils. N-legacy induced variable plant growth, in particular often decreased the biomass of legumes. Legacy of inorganic N was only beneficial for grasses rather than legumes in medium soils. When growing in the same pot, legacy of N-fixing showed positive effects on grasses, depending on soil age and N fertilization. Repeated growing of plants in the same soil mostly resulted in negative plant-soil feedback. Negative plant-soil feedback was not alleviated by N fertilization and legacy of inorganic N for both grasses and legumes when grown separately. However, growing grasses and legumes together can induce positive plant-soil feedback with no legacy of N-fixing. In conclusion, N addition often stimulates plant growth more than long-term N effect. Legacy of N tends to be only beneficial for non-N fixing plants in medium aged soils. While negative plant-soil feedback occurs for grasses and legumes both grown separately or together, legumes can induce positive plant-soil feedback when grown with grasses in no legacy of N-fixing soils.","author":[{"dropping-particle":"","family":"Sun","given":"Daquan","non-dropping-particle":"","parse-names":false,"suffix":""},{"dropping-particle":"","family":"Müllerová","given":"Věra","non-dropping-particle":"","parse-names":false,"suffix":""},{"dropping-particle":"","family":"Ardestani","given":"Masoud M.","non-dropping-particle":"","parse-names":false,"suffix":""},{"dropping-particle":"","family":"Frouz","given":"Jan","non-dropping-particle":"","parse-names":false,"suffix":""}],"container-title":"Soil and Tillage Research","id":"ITEM-3","issue":"April","issued":{"date-parts":[["2019"]]},"title":"Nitrogen fertilization and its legacy have inconsistent and often negative effect on plant growth in undeveloped post mining soils","type":"article-journal","volume":"195"},"uris":["http://www.mendeley.com/documents/?uuid=0529eed2-d361-4d5e-ac01-ccb45411d614"]}],"mendeley":{"formattedCitation":"(Peoples et al., 1995; Lemaire, 1997; Sun et al., 2019)","plainTextFormattedCitation":"(Peoples et al., 1995; Lemaire, 1997; Sun et al., 2019)","previouslyFormattedCitation":"(Peoples et al., 1995; Lemaire, 1997; Sun et al., 2019)"},"properties":{"noteIndex":0},"schema":"https://github.com/citation-style-language/schema/raw/master/csl-citation.json"}</w:instrText>
      </w:r>
      <w:r w:rsidR="005749B5" w:rsidRPr="00203EB0">
        <w:rPr>
          <w:rFonts w:cs="Times New Roman"/>
        </w:rPr>
        <w:fldChar w:fldCharType="separate"/>
      </w:r>
      <w:r w:rsidR="00EB2F35" w:rsidRPr="00203EB0">
        <w:rPr>
          <w:rFonts w:cs="Times New Roman"/>
          <w:noProof/>
        </w:rPr>
        <w:t>(Peoples et al., 1995; Lemaire, 1997; Sun et al., 2019)</w:t>
      </w:r>
      <w:r w:rsidR="005749B5" w:rsidRPr="00203EB0">
        <w:rPr>
          <w:rFonts w:cs="Times New Roman"/>
        </w:rPr>
        <w:fldChar w:fldCharType="end"/>
      </w:r>
      <w:r w:rsidR="005749B5" w:rsidRPr="00203EB0">
        <w:rPr>
          <w:rFonts w:cs="Times New Roman"/>
        </w:rPr>
        <w:t xml:space="preserve">. </w:t>
      </w:r>
      <w:r w:rsidR="00611B4C" w:rsidRPr="00203EB0">
        <w:rPr>
          <w:rFonts w:cs="Times New Roman"/>
        </w:rPr>
        <w:t xml:space="preserve">Importantly, total HV aboveground biomass N contribution was not altered due to this compensatory mechanism, however, shifts in the balance of N sourcing are likely to influence soil N status over time, either through mining of soil reserves or the introduction of external N via fixation. </w:t>
      </w:r>
      <w:r w:rsidR="005749B5" w:rsidRPr="00203EB0">
        <w:rPr>
          <w:rFonts w:cs="Times New Roman"/>
        </w:rPr>
        <w:t xml:space="preserve">Together, these results underscore how legacy effects of tillage and fertilization history regulate the balance between soil and atmospheric N sources in legume systems, helping </w:t>
      </w:r>
      <w:r w:rsidR="00F85D28">
        <w:rPr>
          <w:rFonts w:cs="Times New Roman"/>
        </w:rPr>
        <w:t xml:space="preserve">to </w:t>
      </w:r>
      <w:r w:rsidR="005749B5" w:rsidRPr="00203EB0">
        <w:rPr>
          <w:rFonts w:cs="Times New Roman"/>
        </w:rPr>
        <w:t>contextualize the</w:t>
      </w:r>
      <w:r w:rsidR="00F85D28">
        <w:rPr>
          <w:rFonts w:cs="Times New Roman"/>
        </w:rPr>
        <w:t xml:space="preserve"> tested</w:t>
      </w:r>
      <w:r w:rsidR="005749B5" w:rsidRPr="00203EB0">
        <w:rPr>
          <w:rFonts w:cs="Times New Roman"/>
        </w:rPr>
        <w:t xml:space="preserve"> treatments combinations in terms of N acquisition strategies, SOM status, and overall plant N dynamics. </w:t>
      </w:r>
    </w:p>
    <w:p w14:paraId="7FCB3D38" w14:textId="77777777" w:rsidR="00C30951" w:rsidRDefault="00C30951" w:rsidP="008D01AC">
      <w:pPr>
        <w:tabs>
          <w:tab w:val="left" w:pos="6348"/>
        </w:tabs>
        <w:spacing w:after="160" w:line="480" w:lineRule="auto"/>
        <w:contextualSpacing/>
        <w:rPr>
          <w:rFonts w:cs="Times New Roman"/>
        </w:rPr>
      </w:pPr>
    </w:p>
    <w:p w14:paraId="56BFF17E" w14:textId="77777777" w:rsidR="00C30951" w:rsidRDefault="00C30951" w:rsidP="008D01AC">
      <w:pPr>
        <w:tabs>
          <w:tab w:val="left" w:pos="6348"/>
        </w:tabs>
        <w:spacing w:after="160" w:line="480" w:lineRule="auto"/>
        <w:contextualSpacing/>
        <w:rPr>
          <w:rFonts w:cs="Times New Roman"/>
        </w:rPr>
      </w:pPr>
    </w:p>
    <w:p w14:paraId="5220DD7C" w14:textId="77777777" w:rsidR="00C30951" w:rsidRPr="00203EB0" w:rsidRDefault="00C30951" w:rsidP="008D01AC">
      <w:pPr>
        <w:tabs>
          <w:tab w:val="left" w:pos="6348"/>
        </w:tabs>
        <w:spacing w:after="160" w:line="480" w:lineRule="auto"/>
        <w:contextualSpacing/>
        <w:rPr>
          <w:rFonts w:cs="Times New Roman"/>
        </w:rPr>
      </w:pPr>
    </w:p>
    <w:p w14:paraId="2BC28840" w14:textId="4BF0C1E5" w:rsidR="005749B5" w:rsidRPr="00203EB0" w:rsidRDefault="00E611A7" w:rsidP="00A61CF4">
      <w:pPr>
        <w:pStyle w:val="Heading2"/>
      </w:pPr>
      <w:bookmarkStart w:id="29" w:name="_Toc206669110"/>
      <w:r w:rsidRPr="00203EB0">
        <w:lastRenderedPageBreak/>
        <w:t>Conclusions</w:t>
      </w:r>
      <w:bookmarkEnd w:id="29"/>
    </w:p>
    <w:p w14:paraId="466F6B72" w14:textId="1B10B1AD" w:rsidR="00E611A7" w:rsidRPr="00203EB0" w:rsidRDefault="00E611A7" w:rsidP="00145844">
      <w:pPr>
        <w:spacing w:line="480" w:lineRule="auto"/>
        <w:rPr>
          <w:rFonts w:cs="Times New Roman"/>
        </w:rPr>
      </w:pPr>
      <w:r w:rsidRPr="00203EB0">
        <w:rPr>
          <w:rFonts w:cs="Times New Roman"/>
        </w:rPr>
        <w:t xml:space="preserve">Our findings demonstrate that long-term management practices shape N acquisition strategies in legume CCs within continuous cotton systems. The combined effects of tillage and N fertilization influenced the balance between soil and atmosphere derived N in HV. NT promoted greater SOM accumulation and </w:t>
      </w:r>
      <w:proofErr w:type="gramStart"/>
      <w:r w:rsidRPr="00203EB0">
        <w:rPr>
          <w:rFonts w:cs="Times New Roman"/>
        </w:rPr>
        <w:t xml:space="preserve">hence </w:t>
      </w:r>
      <w:r w:rsidR="004169AD" w:rsidRPr="00203EB0">
        <w:rPr>
          <w:rFonts w:cs="Times New Roman"/>
        </w:rPr>
        <w:t>overall</w:t>
      </w:r>
      <w:proofErr w:type="gramEnd"/>
      <w:r w:rsidR="004169AD" w:rsidRPr="00203EB0">
        <w:rPr>
          <w:rFonts w:cs="Times New Roman"/>
        </w:rPr>
        <w:t xml:space="preserve"> </w:t>
      </w:r>
      <w:r w:rsidRPr="00203EB0">
        <w:rPr>
          <w:rFonts w:cs="Times New Roman"/>
        </w:rPr>
        <w:t xml:space="preserve">higher soil derived N uptake, while CT was associated with lower SOM and increased reliance on BNF, particularly under low fertilization. Although total N input from HV was not significantly affected by fertilization, the relative contribution of atmospheric N increased under reduced N inputs, indicating a compensatory shift in fixation efficiency. This pattern, consistent </w:t>
      </w:r>
      <w:r w:rsidR="00345F87">
        <w:rPr>
          <w:rFonts w:cs="Times New Roman"/>
        </w:rPr>
        <w:t>in</w:t>
      </w:r>
      <w:r w:rsidRPr="00203EB0">
        <w:rPr>
          <w:rFonts w:cs="Times New Roman"/>
        </w:rPr>
        <w:t xml:space="preserve"> both tillage systems</w:t>
      </w:r>
      <w:r w:rsidR="00345F87">
        <w:rPr>
          <w:rFonts w:cs="Times New Roman"/>
        </w:rPr>
        <w:t xml:space="preserve"> and supported by the RDA results</w:t>
      </w:r>
      <w:r w:rsidRPr="00203EB0">
        <w:rPr>
          <w:rFonts w:cs="Times New Roman"/>
        </w:rPr>
        <w:t>, suggests that legume CCs can partially offset reduced fertilizer inputs through enhanced BNF.</w:t>
      </w:r>
    </w:p>
    <w:p w14:paraId="11295CB2" w14:textId="7AD5CDA3" w:rsidR="00C30951" w:rsidRDefault="00E611A7" w:rsidP="002B3951">
      <w:pPr>
        <w:spacing w:line="480" w:lineRule="auto"/>
        <w:rPr>
          <w:rFonts w:cs="Times New Roman"/>
        </w:rPr>
      </w:pPr>
      <w:r w:rsidRPr="00203EB0">
        <w:rPr>
          <w:rFonts w:cs="Times New Roman"/>
        </w:rPr>
        <w:t>These results highlight the importance of long-term soil health practices, particularly NT, in improving soil fertility and supporting legume N status in nutrient-limited systems. While legumes can rely on BNF, their N status remains closely tied to soil mineral N availability. CCs exhibited flexible N acquisition strategies, adjusting their reliance on BNF and soil derived N across fertilization</w:t>
      </w:r>
      <w:r w:rsidR="002E4E52">
        <w:rPr>
          <w:rFonts w:cs="Times New Roman"/>
        </w:rPr>
        <w:t xml:space="preserve"> </w:t>
      </w:r>
      <w:r w:rsidRPr="00203EB0">
        <w:rPr>
          <w:rFonts w:cs="Times New Roman"/>
        </w:rPr>
        <w:t xml:space="preserve">levels. However, in unfertilized systems, legume N status </w:t>
      </w:r>
      <w:r w:rsidR="002E4E52">
        <w:rPr>
          <w:rFonts w:cs="Times New Roman"/>
        </w:rPr>
        <w:t xml:space="preserve">markedly </w:t>
      </w:r>
      <w:r w:rsidRPr="00203EB0">
        <w:rPr>
          <w:rFonts w:cs="Times New Roman"/>
        </w:rPr>
        <w:t>declined</w:t>
      </w:r>
      <w:r w:rsidR="002E4E52">
        <w:rPr>
          <w:rFonts w:cs="Times New Roman"/>
        </w:rPr>
        <w:t xml:space="preserve"> (NNI &lt; 0.85)</w:t>
      </w:r>
      <w:r w:rsidRPr="00203EB0">
        <w:rPr>
          <w:rFonts w:cs="Times New Roman"/>
        </w:rPr>
        <w:t>, highlighting the need for adequate N</w:t>
      </w:r>
      <w:r w:rsidR="002E4E52">
        <w:rPr>
          <w:rFonts w:cs="Times New Roman"/>
        </w:rPr>
        <w:t xml:space="preserve"> fertilization throughout the crop rotation</w:t>
      </w:r>
      <w:r w:rsidRPr="00203EB0">
        <w:rPr>
          <w:rFonts w:cs="Times New Roman"/>
        </w:rPr>
        <w:t xml:space="preserve"> even under NT. Overall, these findings support</w:t>
      </w:r>
      <w:r w:rsidR="008302DA">
        <w:rPr>
          <w:rFonts w:cs="Times New Roman"/>
        </w:rPr>
        <w:t xml:space="preserve"> </w:t>
      </w:r>
      <w:r w:rsidRPr="00203EB0">
        <w:rPr>
          <w:rFonts w:cs="Times New Roman"/>
        </w:rPr>
        <w:t>integrati</w:t>
      </w:r>
      <w:r w:rsidR="008302DA">
        <w:rPr>
          <w:rFonts w:cs="Times New Roman"/>
        </w:rPr>
        <w:t>ng</w:t>
      </w:r>
      <w:r w:rsidRPr="00203EB0">
        <w:rPr>
          <w:rFonts w:cs="Times New Roman"/>
        </w:rPr>
        <w:t xml:space="preserve"> NT </w:t>
      </w:r>
      <w:r w:rsidR="008302DA">
        <w:rPr>
          <w:rFonts w:cs="Times New Roman"/>
        </w:rPr>
        <w:t xml:space="preserve">with </w:t>
      </w:r>
      <w:r w:rsidRPr="00203EB0">
        <w:rPr>
          <w:rFonts w:cs="Times New Roman"/>
        </w:rPr>
        <w:t>fertilization</w:t>
      </w:r>
      <w:r w:rsidR="008302DA">
        <w:rPr>
          <w:rFonts w:cs="Times New Roman"/>
        </w:rPr>
        <w:t xml:space="preserve"> rates adjusted to the crop rotation</w:t>
      </w:r>
      <w:r w:rsidRPr="00203EB0">
        <w:rPr>
          <w:rFonts w:cs="Times New Roman"/>
        </w:rPr>
        <w:t xml:space="preserve"> as part of sustainable nutrient management to sustain legume performance, soil function, and long-term agricultural resilience.   </w:t>
      </w:r>
    </w:p>
    <w:p w14:paraId="5A9D4D97" w14:textId="77777777" w:rsidR="00EF388D" w:rsidRPr="00203EB0" w:rsidRDefault="00EF388D" w:rsidP="002B3951">
      <w:pPr>
        <w:spacing w:line="480" w:lineRule="auto"/>
        <w:rPr>
          <w:rFonts w:cs="Times New Roman"/>
        </w:rPr>
      </w:pPr>
    </w:p>
    <w:p w14:paraId="577F802C" w14:textId="5DD4E467" w:rsidR="004F08CE" w:rsidRPr="00203EB0" w:rsidRDefault="006D474B" w:rsidP="00BD46F8">
      <w:pPr>
        <w:pStyle w:val="Heading1"/>
      </w:pPr>
      <w:bookmarkStart w:id="30" w:name="_Toc420995900"/>
      <w:bookmarkStart w:id="31" w:name="_Toc422997487"/>
      <w:r w:rsidRPr="00203EB0">
        <w:lastRenderedPageBreak/>
        <w:br/>
      </w:r>
      <w:bookmarkStart w:id="32" w:name="_Toc206669111"/>
      <w:bookmarkEnd w:id="30"/>
      <w:bookmarkEnd w:id="31"/>
      <w:r w:rsidR="00D67C6B" w:rsidRPr="00203EB0">
        <w:t>42 years of no-tillage and cover cropping improved soil oxygen availability and resilience</w:t>
      </w:r>
      <w:bookmarkEnd w:id="32"/>
      <w:r w:rsidR="00D67C6B" w:rsidRPr="00203EB0">
        <w:t xml:space="preserve"> </w:t>
      </w:r>
    </w:p>
    <w:p w14:paraId="335C9BFE" w14:textId="36FD36D1" w:rsidR="00E07AE8" w:rsidRPr="00203EB0" w:rsidRDefault="00E07AE8" w:rsidP="00E07AE8"/>
    <w:p w14:paraId="2B2CD408" w14:textId="0EF427C1" w:rsidR="00E07AE8" w:rsidRPr="00203EB0" w:rsidRDefault="00E07AE8" w:rsidP="00E07AE8"/>
    <w:p w14:paraId="47A5C6FE" w14:textId="72333BC1" w:rsidR="00E07AE8" w:rsidRPr="00203EB0" w:rsidRDefault="00E07AE8" w:rsidP="00E07AE8"/>
    <w:p w14:paraId="32884BBB" w14:textId="77FDCF51" w:rsidR="00E07AE8" w:rsidRPr="00203EB0" w:rsidRDefault="00E07AE8" w:rsidP="00E07AE8"/>
    <w:p w14:paraId="5F075248" w14:textId="2A5CB285" w:rsidR="00E07AE8" w:rsidRPr="00203EB0" w:rsidRDefault="00E07AE8" w:rsidP="00E07AE8"/>
    <w:p w14:paraId="4139560F" w14:textId="59BAABD0" w:rsidR="00E07AE8" w:rsidRPr="00203EB0" w:rsidRDefault="00E07AE8" w:rsidP="00E07AE8"/>
    <w:p w14:paraId="695E3628" w14:textId="3482822B" w:rsidR="00E07AE8" w:rsidRPr="00203EB0" w:rsidRDefault="00E07AE8" w:rsidP="00E07AE8"/>
    <w:p w14:paraId="0DC885B1" w14:textId="5C3D9A3D" w:rsidR="00E07AE8" w:rsidRPr="00203EB0" w:rsidRDefault="00E07AE8" w:rsidP="00E07AE8"/>
    <w:p w14:paraId="4252FBD7" w14:textId="45A80AD9" w:rsidR="00E07AE8" w:rsidRPr="00203EB0" w:rsidRDefault="00E07AE8" w:rsidP="00E07AE8"/>
    <w:p w14:paraId="5AB504DE" w14:textId="4AFE772D" w:rsidR="00E07AE8" w:rsidRPr="00203EB0" w:rsidRDefault="00E07AE8" w:rsidP="00E07AE8"/>
    <w:p w14:paraId="1F2ECF84" w14:textId="3EB018BE" w:rsidR="00E07AE8" w:rsidRPr="00203EB0" w:rsidRDefault="00E07AE8" w:rsidP="00E07AE8"/>
    <w:p w14:paraId="04B2094B" w14:textId="797EBA8F" w:rsidR="00E07AE8" w:rsidRPr="00203EB0" w:rsidRDefault="00E07AE8" w:rsidP="00E07AE8"/>
    <w:p w14:paraId="0DC7EA47" w14:textId="423C9517" w:rsidR="00E07AE8" w:rsidRPr="00203EB0" w:rsidRDefault="00E07AE8" w:rsidP="00E07AE8"/>
    <w:p w14:paraId="29306687" w14:textId="147EAC58" w:rsidR="00E07AE8" w:rsidRPr="00203EB0" w:rsidRDefault="00E07AE8" w:rsidP="00E07AE8"/>
    <w:p w14:paraId="5AA66477" w14:textId="1A0F7D65" w:rsidR="00E07AE8" w:rsidRPr="00203EB0" w:rsidRDefault="00E07AE8" w:rsidP="00E07AE8"/>
    <w:p w14:paraId="5F4A57E4" w14:textId="3AA8075C" w:rsidR="00E07AE8" w:rsidRPr="00203EB0" w:rsidRDefault="00E07AE8" w:rsidP="00E07AE8"/>
    <w:p w14:paraId="5B2F1A1B" w14:textId="0BCC6F18" w:rsidR="00E07AE8" w:rsidRPr="00203EB0" w:rsidRDefault="00E07AE8" w:rsidP="00E07AE8"/>
    <w:p w14:paraId="3CCEAEC8" w14:textId="56CC0362" w:rsidR="00E07AE8" w:rsidRPr="00203EB0" w:rsidRDefault="00E07AE8" w:rsidP="00E07AE8"/>
    <w:p w14:paraId="6BAA97E5" w14:textId="48ECA097" w:rsidR="00E07AE8" w:rsidRPr="00203EB0" w:rsidRDefault="00E07AE8" w:rsidP="00E07AE8"/>
    <w:p w14:paraId="38D992D4" w14:textId="1E558273" w:rsidR="00E07AE8" w:rsidRPr="00203EB0" w:rsidRDefault="00E07AE8" w:rsidP="00E07AE8"/>
    <w:p w14:paraId="517A36E4" w14:textId="28EE2F26" w:rsidR="00E07AE8" w:rsidRPr="00203EB0" w:rsidRDefault="00E07AE8" w:rsidP="00E07AE8"/>
    <w:p w14:paraId="54939C3F" w14:textId="6D0C8D56" w:rsidR="00E07AE8" w:rsidRPr="00203EB0" w:rsidRDefault="00E07AE8" w:rsidP="00E07AE8"/>
    <w:p w14:paraId="15971840" w14:textId="4AE33727" w:rsidR="00E07AE8" w:rsidRPr="00203EB0" w:rsidRDefault="00E07AE8" w:rsidP="00E07AE8"/>
    <w:p w14:paraId="09C7A9A4" w14:textId="31E50246" w:rsidR="00E07AE8" w:rsidRPr="00203EB0" w:rsidRDefault="00E07AE8" w:rsidP="00E07AE8"/>
    <w:p w14:paraId="3995055B" w14:textId="6F6E0FC2" w:rsidR="00E07AE8" w:rsidRPr="00203EB0" w:rsidRDefault="00E07AE8" w:rsidP="00E07AE8"/>
    <w:p w14:paraId="6C5F6F6C" w14:textId="7424DEE4" w:rsidR="00E07AE8" w:rsidRPr="00203EB0" w:rsidRDefault="00E07AE8" w:rsidP="00E07AE8"/>
    <w:p w14:paraId="4587C56B" w14:textId="3F1FD6EA" w:rsidR="00E07AE8" w:rsidRPr="00203EB0" w:rsidRDefault="00E07AE8" w:rsidP="00E07AE8"/>
    <w:p w14:paraId="43849A29" w14:textId="177C88BA" w:rsidR="00E07AE8" w:rsidRPr="00203EB0" w:rsidRDefault="00E07AE8" w:rsidP="00E07AE8"/>
    <w:p w14:paraId="1F96089C" w14:textId="1E077D2F" w:rsidR="00E07AE8" w:rsidRPr="00203EB0" w:rsidRDefault="00E07AE8" w:rsidP="00E07AE8"/>
    <w:p w14:paraId="205A2874" w14:textId="5431864D" w:rsidR="00E07AE8" w:rsidRPr="00203EB0" w:rsidRDefault="00E07AE8" w:rsidP="00E07AE8"/>
    <w:p w14:paraId="0AFA09F3" w14:textId="6561C18A" w:rsidR="00E07AE8" w:rsidRPr="00203EB0" w:rsidRDefault="00E07AE8" w:rsidP="00E07AE8"/>
    <w:p w14:paraId="724AB514" w14:textId="03C95821" w:rsidR="00E07AE8" w:rsidRPr="00203EB0" w:rsidRDefault="00E07AE8" w:rsidP="00E07AE8"/>
    <w:p w14:paraId="5E468E41" w14:textId="1A9D25C5" w:rsidR="00E07AE8" w:rsidRPr="00203EB0" w:rsidRDefault="00E07AE8" w:rsidP="00E07AE8"/>
    <w:p w14:paraId="19BEC10C" w14:textId="19B30418" w:rsidR="00E07AE8" w:rsidRPr="00203EB0" w:rsidRDefault="00E07AE8" w:rsidP="00E07AE8"/>
    <w:p w14:paraId="03B0C020" w14:textId="10B91A88" w:rsidR="00E07AE8" w:rsidRPr="00203EB0" w:rsidRDefault="00E07AE8" w:rsidP="00E07AE8"/>
    <w:p w14:paraId="283B8D54" w14:textId="795F244D" w:rsidR="00E07AE8" w:rsidRPr="00203EB0" w:rsidRDefault="00E07AE8" w:rsidP="00E07AE8"/>
    <w:p w14:paraId="5200908A" w14:textId="2CACF24A" w:rsidR="00E07AE8" w:rsidRPr="00203EB0" w:rsidRDefault="00E07AE8" w:rsidP="00E07AE8"/>
    <w:p w14:paraId="01D7BDCE" w14:textId="50456025" w:rsidR="00E07AE8" w:rsidRPr="00203EB0" w:rsidRDefault="00E07AE8" w:rsidP="00E07AE8"/>
    <w:p w14:paraId="10865BC3" w14:textId="69A91FA4" w:rsidR="00E07AE8" w:rsidRPr="00203EB0" w:rsidRDefault="00E07AE8" w:rsidP="00843D8E">
      <w:pPr>
        <w:spacing w:line="480" w:lineRule="auto"/>
        <w:rPr>
          <w:rFonts w:cs="Times New Roman"/>
        </w:rPr>
      </w:pPr>
      <w:r w:rsidRPr="00203EB0">
        <w:rPr>
          <w:rFonts w:cs="Times New Roman"/>
        </w:rPr>
        <w:lastRenderedPageBreak/>
        <w:t>A ver</w:t>
      </w:r>
      <w:r w:rsidR="006B3769" w:rsidRPr="00203EB0">
        <w:rPr>
          <w:rFonts w:cs="Times New Roman"/>
        </w:rPr>
        <w:t>sion of this chapter was</w:t>
      </w:r>
      <w:r w:rsidRPr="00203EB0">
        <w:rPr>
          <w:rFonts w:cs="Times New Roman"/>
        </w:rPr>
        <w:t xml:space="preserve"> published in Agricultural &amp; Environmental Letters. </w:t>
      </w:r>
      <w:r w:rsidR="00475944" w:rsidRPr="00203EB0">
        <w:rPr>
          <w:rFonts w:eastAsia="Calibri" w:cs="Times New Roman"/>
        </w:rPr>
        <w:t xml:space="preserve">Facundo Lussich was </w:t>
      </w:r>
      <w:r w:rsidRPr="00203EB0">
        <w:rPr>
          <w:rFonts w:eastAsia="Calibri" w:cs="Times New Roman"/>
        </w:rPr>
        <w:t>responsible for conceptualization, formal analysis, investigation, methodology, and writing. Debasish Saha</w:t>
      </w:r>
      <w:r w:rsidR="00475944" w:rsidRPr="00203EB0">
        <w:rPr>
          <w:rFonts w:eastAsia="Calibri" w:cs="Times New Roman"/>
        </w:rPr>
        <w:t>, Wesley Wright,</w:t>
      </w:r>
      <w:r w:rsidRPr="00203EB0">
        <w:rPr>
          <w:rFonts w:eastAsia="Calibri" w:cs="Times New Roman"/>
        </w:rPr>
        <w:t xml:space="preserve"> </w:t>
      </w:r>
      <w:r w:rsidRPr="00203EB0">
        <w:rPr>
          <w:rFonts w:cs="Times New Roman"/>
        </w:rPr>
        <w:t xml:space="preserve">and </w:t>
      </w:r>
      <w:proofErr w:type="spellStart"/>
      <w:r w:rsidRPr="00203EB0">
        <w:rPr>
          <w:rFonts w:cs="Times New Roman"/>
        </w:rPr>
        <w:t>Jashanjeet</w:t>
      </w:r>
      <w:proofErr w:type="spellEnd"/>
      <w:r w:rsidRPr="00203EB0">
        <w:rPr>
          <w:rFonts w:cs="Times New Roman"/>
        </w:rPr>
        <w:t xml:space="preserve"> Kaur Dhaliwal provided</w:t>
      </w:r>
      <w:r w:rsidRPr="00203EB0">
        <w:rPr>
          <w:rFonts w:eastAsia="Calibri" w:cs="Times New Roman"/>
        </w:rPr>
        <w:t xml:space="preserve"> </w:t>
      </w:r>
      <w:r w:rsidRPr="00203EB0">
        <w:rPr>
          <w:rFonts w:cs="Times New Roman"/>
        </w:rPr>
        <w:t xml:space="preserve">input on </w:t>
      </w:r>
      <w:r w:rsidRPr="00203EB0">
        <w:rPr>
          <w:rFonts w:eastAsia="Calibri" w:cs="Times New Roman"/>
        </w:rPr>
        <w:t>methodology, review &amp; editing.</w:t>
      </w:r>
    </w:p>
    <w:p w14:paraId="5164ED2D" w14:textId="0B4241C6" w:rsidR="00236E6D" w:rsidRPr="00203EB0" w:rsidRDefault="00D22D54" w:rsidP="00843D8E">
      <w:pPr>
        <w:pStyle w:val="Heading2"/>
      </w:pPr>
      <w:bookmarkStart w:id="33" w:name="_Toc206669112"/>
      <w:r w:rsidRPr="00203EB0">
        <w:t>Abstract</w:t>
      </w:r>
      <w:bookmarkEnd w:id="33"/>
    </w:p>
    <w:p w14:paraId="6CE1261F" w14:textId="56608292" w:rsidR="00475944" w:rsidRPr="00203EB0" w:rsidRDefault="00475944" w:rsidP="00843D8E">
      <w:pPr>
        <w:spacing w:line="480" w:lineRule="auto"/>
        <w:rPr>
          <w:rFonts w:cs="Times New Roman"/>
        </w:rPr>
      </w:pPr>
      <w:r w:rsidRPr="00203EB0">
        <w:rPr>
          <w:rFonts w:cs="Times New Roman"/>
        </w:rPr>
        <w:t>Healthy soil air-water balance is critical for crop growth. Conservation agricultural practices improve soil physical properties to influence soil oxygen availability. We evaluated the impact of 42 years of hairy vetch (HV) cover cropping (CC) and no-tillage (NT) on soil oxygen dynamics during a cotton growing season experiencing multiple intensive rain events in silt loam soil. HV and NT treatments exhibited higher growing season soil oxygen availability (</w:t>
      </w:r>
      <w:r w:rsidRPr="00203EB0">
        <w:rPr>
          <w:rFonts w:cs="Times New Roman"/>
          <w:i/>
        </w:rPr>
        <w:t xml:space="preserve">p </w:t>
      </w:r>
      <w:r w:rsidRPr="00203EB0">
        <w:rPr>
          <w:rFonts w:cs="Times New Roman"/>
        </w:rPr>
        <w:t>&lt; 0.05</w:t>
      </w:r>
      <w:proofErr w:type="gramStart"/>
      <w:r w:rsidRPr="00203EB0">
        <w:rPr>
          <w:rFonts w:cs="Times New Roman"/>
        </w:rPr>
        <w:t>), and</w:t>
      </w:r>
      <w:proofErr w:type="gramEnd"/>
      <w:r w:rsidRPr="00203EB0">
        <w:rPr>
          <w:rFonts w:cs="Times New Roman"/>
        </w:rPr>
        <w:t xml:space="preserve"> experienced 3 to 4-times fewer hours of oxygen limitation (i.e., oxygen concentration &lt;10%) as compared to no cover (NC) and conventional tillage (CT) treatments. After a heavy rainfall, NT-HV treatment exhibited the highest soil oxygen availability, followed by NT-NC, CT-HV, and CT-NC treatments (</w:t>
      </w:r>
      <w:r w:rsidRPr="00203EB0">
        <w:rPr>
          <w:rFonts w:cs="Times New Roman"/>
          <w:i/>
        </w:rPr>
        <w:t xml:space="preserve">p </w:t>
      </w:r>
      <w:r w:rsidRPr="00203EB0">
        <w:rPr>
          <w:rFonts w:cs="Times New Roman"/>
        </w:rPr>
        <w:t xml:space="preserve">&lt; 0.05). While CC and/or NT treatments quickly regained soil oxygen status within 24 hours after saturating rain events, CT-NC suffered from sub-optimal soil aeration until the third-day post-rainfall. The combination of CC with NT practices enhanced soil oxygen availability and resilience to extreme precipitation events. </w:t>
      </w:r>
    </w:p>
    <w:p w14:paraId="55C2656D" w14:textId="322D39FD" w:rsidR="00C376AE" w:rsidRPr="00203EB0" w:rsidRDefault="00C376AE" w:rsidP="00C376AE"/>
    <w:p w14:paraId="0C166317" w14:textId="03AFEC36" w:rsidR="00475944" w:rsidRPr="00203EB0" w:rsidRDefault="00475944" w:rsidP="00C376AE"/>
    <w:p w14:paraId="0F0597BB" w14:textId="77777777" w:rsidR="00475944" w:rsidRPr="00203EB0" w:rsidRDefault="00475944" w:rsidP="00C376AE"/>
    <w:p w14:paraId="7143F6EF" w14:textId="77777777" w:rsidR="00C376AE" w:rsidRPr="00203EB0" w:rsidRDefault="00C376AE" w:rsidP="00C376AE"/>
    <w:p w14:paraId="348C567C" w14:textId="62114805" w:rsidR="004F08CE" w:rsidRPr="00203EB0" w:rsidRDefault="0042446F" w:rsidP="00A61CF4">
      <w:pPr>
        <w:pStyle w:val="Heading2"/>
      </w:pPr>
      <w:bookmarkStart w:id="34" w:name="_Toc206669113"/>
      <w:bookmarkStart w:id="35" w:name="_Toc420995905"/>
      <w:bookmarkStart w:id="36" w:name="_Toc422997492"/>
      <w:bookmarkStart w:id="37" w:name="_Toc427156475"/>
      <w:r w:rsidRPr="00203EB0">
        <w:lastRenderedPageBreak/>
        <w:t>Introduction</w:t>
      </w:r>
      <w:bookmarkEnd w:id="34"/>
      <w:r w:rsidRPr="00203EB0">
        <w:t xml:space="preserve"> </w:t>
      </w:r>
    </w:p>
    <w:bookmarkEnd w:id="35"/>
    <w:bookmarkEnd w:id="36"/>
    <w:bookmarkEnd w:id="37"/>
    <w:p w14:paraId="199A826B" w14:textId="4146DE30" w:rsidR="0042446F" w:rsidRPr="00203EB0" w:rsidRDefault="0042446F" w:rsidP="00977E39">
      <w:pPr>
        <w:pStyle w:val="ParaText"/>
        <w:spacing w:line="480" w:lineRule="auto"/>
        <w:ind w:firstLine="0"/>
        <w:contextualSpacing/>
        <w:jc w:val="both"/>
        <w:rPr>
          <w:szCs w:val="24"/>
        </w:rPr>
      </w:pPr>
      <w:r w:rsidRPr="00203EB0">
        <w:rPr>
          <w:szCs w:val="24"/>
        </w:rPr>
        <w:t xml:space="preserve">The adoption of long-term cover cropping and no-tillage (NT) practices has demonstrated a consistent improvement in soil organic carbon accumulation across diverse agricultural systems in the US </w:t>
      </w:r>
      <w:r w:rsidRPr="00203EB0">
        <w:rPr>
          <w:szCs w:val="24"/>
        </w:rPr>
        <w:fldChar w:fldCharType="begin" w:fldLock="1"/>
      </w:r>
      <w:r w:rsidR="004179E3" w:rsidRPr="00203EB0">
        <w:rPr>
          <w:szCs w:val="24"/>
        </w:rPr>
        <w:instrText>ADDIN CSL_CITATION {"citationItems":[{"id":"ITEM-1","itemData":{"DOI":"10.1023/A:1006271331703","ISSN":"01682563","abstract":"Crop-based agriculture occupies 1.7 billion hectares, globally, with a soil C stock of about 170 Pg. Of the past anthropogenic CO2 additions to the atmosphere, about 50 Pg C came from the loss of soil organic matter (SOM) in cultivated soils. Improved management practices, however, can rebuild C stocks in agricultural soils and help mitigate CO2 emissions. Increasing soil C stocks requires increasing C inputs and/or reducing soil heterotrophic respiration. Management options that contribute to reduced soil respiration include reduced tillage practices (especially no-till) and increased cropping intensity. Physical disturbance associated with intensive soil tillage increases the turnover of soil aggregates and accelerates the decomposition of aggregate-associated SOM. No-till increases aggregate stability and promotes the formation of recalcitrant SOM fractions within stabilized micro- and macro-aggregate structures. Experiments using 13C natural abundance show up to a two-fold increase in mean residence time of SOM under no-till vs intensive tillage. Greater cropping intensity, i.e., by reducing the frequency of bare fallow in crop rotations and increasing the use of perennial vegetation, can increase water and nutrient use efficiency by plants, thereby increasing C inputs to soil and reducing organic matter decomposition rates. Management and policies to sequester C in soils need to consider that: soils have a finite capacity to store C, gains in soil C can be reversed if proper management is not maintained, and fossil fuel inputs for different management practices need to be factored into a total agricultural CO2 balance.","author":[{"dropping-particle":"","family":"Paustian","given":"K.","non-dropping-particle":"","parse-names":false,"suffix":""},{"dropping-particle":"","family":"Six","given":"J.","non-dropping-particle":"","parse-names":false,"suffix":""},{"dropping-particle":"","family":"Elliott","given":"E. T.","non-dropping-particle":"","parse-names":false,"suffix":""},{"dropping-particle":"","family":"Hunt","given":"H. W.","non-dropping-particle":"","parse-names":false,"suffix":""}],"container-title":"Biogeochemistry","id":"ITEM-1","issue":"1","issued":{"date-parts":[["2000"]]},"page":"147-163","title":"Management options for reducing CO2 emissions from agricultural soils","type":"article-journal","volume":"48"},"uris":["http://www.mendeley.com/documents/?uuid=c2343991-03ee-429b-8b74-094bdcb96466"]},{"id":"ITEM-2","itemData":{"DOI":"10.2136/sssaj2010.0430","ISSN":"03615995","abstract":"Inclusion of cover crops (CCs) may be a potential strategy to boost no-till performance by improving soil physical properties. To assess this potential, we utilized a winter wheat (Triticum aestivum L.)-grain sorghum [Sorghum bicolor (L.) Moench] rotation, four N rates, and a hairy vetch (HV; Vicia villosa Roth) CC after wheat during the first rotation cycles, which was replaced in subsequent cycles with sunn hemp (SH; Crotalaria juncea L.) and late-maturing soybean [LMS; Glycine max (L.) Merr.] CCs in no-till on a silt loam. At the end of 15 yr, we studied the cumulative impacts of CCs on soil physical properties and assessed relationships between soil properties and soil organic C (SOC) concentration. Across N rates, SH reduced near-surface bulk density ( ρb ) by 4% and increased cumulative infiltration by three times relative to no-CC plots. Without N application, SH and LMS reduced Proctor maximum ρb , a parameter of soil compactibility, by 5%, indicating that soils under CCs may be less susceptible to compaction. Cover crops also increased mean weight diameter of aggregates (MWDA) by 80% in the 0- to 7.5-cm depth. The SOC concentration was 30% greater for SH and 20% greater for LMS than for no-CC plots in the 0- to 7.5-cm depth. The CC-induced increase in SOC concentration was negatively correlated with Proctor maximum ρb and positively with MWDA and cumulative infiltration. Overall, addition of CCs to no-till systems improved soil physical properties, and the CC-induced change in SOC concentration was correlated with soil physical properties. © Soil Science Society of America.","author":[{"dropping-particle":"","family":"Blanco-Canqui","given":"Humberto","non-dropping-particle":"","parse-names":false,"suffix":""},{"dropping-particle":"","family":"Mikha","given":"Maysoon M.","non-dropping-particle":"","parse-names":false,"suffix":""},{"dropping-particle":"","family":"Presley","given":"DeAnn R.","non-dropping-particle":"","parse-names":false,"suffix":""},{"dropping-particle":"","family":"Claassen","given":"Mark M.","non-dropping-particle":"","parse-names":false,"suffix":""}],"container-title":"Soil Science Society of America Journal","id":"ITEM-2","issue":"4","issued":{"date-parts":[["2011"]]},"page":"1471-1482","title":"Addition of cover crops enhances no-till potential for improving soil physical properties","type":"article-journal","volume":"75"},"uris":["http://www.mendeley.com/documents/?uuid=bd811282-56ce-4d24-98d6-fd580266fb1d"]},{"id":"ITEM-3","itemData":{"DOI":"10.2134/jeq2005.0166","ISSN":"0047-2425","PMID":"16825469","abstract":"No‐till cropping can increase soil C stocks and aggregation but patterns of long‐term changes in N 2 O emissions, soil N availability, and crop yields still need to be resolved. We measured soil C accumulation, aggregation, soil water, N 2 O emissions, soil inorganic N, and crop yields in till and no‐till corn–soybean–wheat rotations between 1989 and 2002 in southwestern Michigan and investigated whether tillage effects varied over time or by crop. Mean annual NO 3 − concentrations in no‐till were significantly less than in conventional till in three of six corn years and during one year of wheat production. Yields were similar in each system for all 14 years but three, during which yields were higher in no‐till, indicating that lower soil NO 3 − concentrations did not result in lower yields. Carbon accumulated in no‐till soils at a rate of 26 g C m −2 yr −1 over 12 years at the 0‐ to 5‐cm soil depth. Average nitrous oxide emissions were similar in till (3.27 ± 0.52 g N ha d −1 ) and no‐till (3.63 ± 0.53 g N ha d −1 ) systems and were sufficient to offset 56 to 61% of the reduction in CO 2 equivalents associated with no‐till C sequestration. After controlling for rotation and environmental effects by normalizing treatment differences between till and no‐till systems we found no significant trends in soil N, N 2 O emissions, or yields through time. In our sandy loam soils, no‐till cropping enhances C storage, aggregation, and associated environmental processes with no significant ecological or yield tradeoffs.","author":[{"dropping-particle":"","family":"Grandy","given":"A. Stuart","non-dropping-particle":"","parse-names":false,"suffix":""},{"dropping-particle":"","family":"Loecke","given":"Terrance D.","non-dropping-particle":"","parse-names":false,"suffix":""},{"dropping-particle":"","family":"Parr","given":"Sara","non-dropping-particle":"","parse-names":false,"suffix":""},{"dropping-particle":"","family":"Robertson","given":"G. Philip","non-dropping-particle":"","parse-names":false,"suffix":""}],"container-title":"Journal of Environmental Quality","id":"ITEM-3","issue":"4","issued":{"date-parts":[["2006"]]},"page":"1487-1495","title":"Long‐term trends in nitrous oxide emissions, soil nitrogen, and crop yields of till and no‐till cropping systems","type":"article-journal","volume":"35"},"uris":["http://www.mendeley.com/documents/?uuid=040661d0-569c-4417-a183-2c3b11571a0b"]},{"id":"ITEM-4","itemData":{"DOI":"10.1016/j.agee.2014.10.024","ISSN":"01678809","abstract":"A promising option to sequester carbon in agricultural soils is the inclusion of cover crops in cropping systems. The advantage of cover crops as compared to other management practices that increase soil organic carbon (SOC) is that they neither cause a decline in yields, like extensification, nor carbon losses in other systems, like organic manure applications may do. However, the effect of cover crop green manuring on SOC stocks is widely overlooked. We therefore conducted a meta-analysis to derive a carbon response function describing SOC stock changes as a function of time. Data from 139 plots at 37 different sites were compiled. In total, the cover crop treatments had a significantly higher SOC stock than the reference croplands. The time since introduction of cover crops in crop rotations was linearly correlated with SOC stock change (R2=0.19) with an annual change rate of 0.32±0.08Mgha-1yr-1 in a mean soil depth of 22cm and during the observed period of up to 54 years. Elevation above sea level of the plot and sampling depth could be used as explanatory variables to improve the model fit. Assuming that the observed linear SOC accumulation would not proceed indefinitely, we modeled the average SOC stock change with the carbon turnover model RothC. The predicted new steady state was reached after 155 years of cover crop cultivation with a total mean SOC stock accumulation of 16.7±1.5Mgha-1 for a soil depth of 22cm. Thus, the C input driven SOC sequestration with the introduction of cover crops proved to be highly efficient. We estimated a potential global SOC sequestration of 0.12±0.03PgCyr-1, which would compensate for 8% of the direct annual greenhouse gas emissions from agriculture. However, altered N2O emissions and albedo due to cover crop cultivation have not been taken into account here. Data on those processes, which are most likely species-specific, would be needed for reliable greenhouse gas budgets.","author":[{"dropping-particle":"","family":"Poeplau","given":"Christopher","non-dropping-particle":"","parse-names":false,"suffix":""},{"dropping-particle":"","family":"Don","given":"Axel","non-dropping-particle":"","parse-names":false,"suffix":""}],"container-title":"Agriculture, Ecosystems and Environment","id":"ITEM-4","issued":{"date-parts":[["2015"]]},"page":"33-41","publisher":"Elsevier B.V.","title":"Carbon sequestration in agricultural soils via cultivation of cover crops - A meta-analysis","type":"article-journal","volume":"200"},"uris":["http://www.mendeley.com/documents/?uuid=91f08793-f8b2-419b-a289-f140ca85a4f4"]}],"mendeley":{"formattedCitation":"(Paustian et al., 2000; Grandy et al., 2006; Blanco-Canqui et al., 2011; Poeplau and Don, 2015)","plainTextFormattedCitation":"(Paustian et al., 2000; Grandy et al., 2006; Blanco-Canqui et al., 2011; Poeplau and Don, 2015)","previouslyFormattedCitation":"(Paustian et al., 2000; Grandy et al., 2006; Blanco-Canqui et al., 2011; Poeplau and Don, 2015)"},"properties":{"noteIndex":0},"schema":"https://github.com/citation-style-language/schema/raw/master/csl-citation.json"}</w:instrText>
      </w:r>
      <w:r w:rsidRPr="00203EB0">
        <w:rPr>
          <w:szCs w:val="24"/>
        </w:rPr>
        <w:fldChar w:fldCharType="separate"/>
      </w:r>
      <w:r w:rsidR="00EB2F35" w:rsidRPr="00203EB0">
        <w:rPr>
          <w:noProof/>
          <w:szCs w:val="24"/>
        </w:rPr>
        <w:t>(Paustian et al., 2000; Grandy et al., 2006; Blanco-Canqui et al., 2011; Poeplau and Don, 2015)</w:t>
      </w:r>
      <w:r w:rsidRPr="00203EB0">
        <w:rPr>
          <w:szCs w:val="24"/>
        </w:rPr>
        <w:fldChar w:fldCharType="end"/>
      </w:r>
      <w:r w:rsidRPr="00203EB0">
        <w:rPr>
          <w:szCs w:val="24"/>
        </w:rPr>
        <w:t xml:space="preserve">, leading to enhanced soil quality and productivity. Besides increasing carbon input, cover crops (CC) alleviate soil compaction as well as improve soil structural and hydraulic properties </w:t>
      </w:r>
      <w:r w:rsidRPr="00203EB0">
        <w:rPr>
          <w:szCs w:val="24"/>
        </w:rPr>
        <w:fldChar w:fldCharType="begin" w:fldLock="1"/>
      </w:r>
      <w:r w:rsidRPr="00203EB0">
        <w:rPr>
          <w:szCs w:val="24"/>
        </w:rPr>
        <w:instrText>ADDIN CSL_CITATION {"citationItems":[{"id":"ITEM-1","itemData":{"DOI":"10.2134/agronj15.0086","ISSN":"14350645","abstract":"Cover crops (CCs) can provide multiple soil, agricultural production, and environmental benefits. However, a better understanding of such potential ecosystem services is needed. We summarized the current state of knowledge of CC effects on soil C stocks, soil erosion, physical properties, soil water, nutrients, microbial properties, weed control, crop yields, expanded uses, and economics and highlighted research needs. Our review indicates that CCs are multifunctional. Cover crops increase soil organic C stocks (0.1-1. Mg ha-1 yr-1) with the magnitude depending on biomass amount, years in CCs, and initial soil C level. Runoff loss can decrease by up to 80% and sediment loss from 40 to 96% with CCs. Wind erosion potential also decreases with CCs, but studies are few. Cover crops alleviate soil compaction, improve soil structural and hydraulic properties, moderate soil temperature, improve microbial properties, recycle nutrients, and suppress weeds. Cover crops increase or have no effect on crop yields but reduce yields in water-limited regions by reducing available water for the subsequent crops. The few available studies indicate that grazing and haying of CCs do not adversely affect soil and crop production, which suggests that CC biomass removal for livestock or biofuel production can be another benefit from CCs. Overall, CCs provide numerous ecosystem services (i.e., soil, crop-livestock systems, and environment), although the magnitude of benefits is highly site specific. More research data are needed on the (i) multi-functionality of CCs for different climates and management scenarios and (ii) short-and long-term economic return from CCs.","author":[{"dropping-particle":"","family":"Blanco-Canqui","given":"Humberto","non-dropping-particle":"","parse-names":false,"suffix":""},{"dropping-particle":"","family":"Shaver","given":"Tim M.","non-dropping-particle":"","parse-names":false,"suffix":""},{"dropping-particle":"","family":"Lindquist","given":"John L.","non-dropping-particle":"","parse-names":false,"suffix":""},{"dropping-particle":"","family":"Shapiro","given":"Charles A.","non-dropping-particle":"","parse-names":false,"suffix":""},{"dropping-particle":"","family":"Elmore","given":"Roger W.","non-dropping-particle":"","parse-names":false,"suffix":""},{"dropping-particle":"","family":"Francis","given":"Charles A.","non-dropping-particle":"","parse-names":false,"suffix":""},{"dropping-particle":"","family":"Hergert","given":"Gary W.","non-dropping-particle":"","parse-names":false,"suffix":""}],"container-title":"Agronomy Journal","id":"ITEM-1","issue":"6","issued":{"date-parts":[["2015"]]},"page":"2449-2474","title":"Cover crops and ecosystem services: Insights from studies in temperate soils","type":"article-journal","volume":"107"},"uris":["http://www.mendeley.com/documents/?uuid=20454a17-5493-4265-8396-8283e61f78b2"]}],"mendeley":{"formattedCitation":"(Blanco-Canqui et al., 2015)","plainTextFormattedCitation":"(Blanco-Canqui et al., 2015)","previouslyFormattedCitation":"(Blanco-Canqui et al., 2015)"},"properties":{"noteIndex":0},"schema":"https://github.com/citation-style-language/schema/raw/master/csl-citation.json"}</w:instrText>
      </w:r>
      <w:r w:rsidRPr="00203EB0">
        <w:rPr>
          <w:szCs w:val="24"/>
        </w:rPr>
        <w:fldChar w:fldCharType="separate"/>
      </w:r>
      <w:r w:rsidRPr="00203EB0">
        <w:rPr>
          <w:noProof/>
          <w:szCs w:val="24"/>
        </w:rPr>
        <w:t>(Blanco-Canqui et al., 2015)</w:t>
      </w:r>
      <w:r w:rsidRPr="00203EB0">
        <w:rPr>
          <w:szCs w:val="24"/>
        </w:rPr>
        <w:fldChar w:fldCharType="end"/>
      </w:r>
      <w:r w:rsidRPr="00203EB0">
        <w:rPr>
          <w:szCs w:val="24"/>
        </w:rPr>
        <w:t xml:space="preserve">. Similarly, NT practices minimize soil disturbance and protects soil organic carbon from microbial decomposition, improving soil physical health through improved soil aggregation and aggregate stability, thereby also enhancing soil hydrologic properties </w:t>
      </w:r>
      <w:r w:rsidRPr="00203EB0">
        <w:rPr>
          <w:szCs w:val="24"/>
        </w:rPr>
        <w:fldChar w:fldCharType="begin" w:fldLock="1"/>
      </w:r>
      <w:r w:rsidR="004179E3" w:rsidRPr="00203EB0">
        <w:rPr>
          <w:szCs w:val="24"/>
        </w:rPr>
        <w:instrText>ADDIN CSL_CITATION {"citationItems":[{"id":"ITEM-1","itemData":{"DOI":"10.2136/sssaj2000.642681x","ISSN":"0361-5995","abstract":"Cultivation reduces soil C content and changes the distribution and stability of soil aggregates. We investigated the effect of cultivation intensity on aggregate distribution and aggregate C in three soils dominated by 2:1 clay mineralogy and one soil characterized by a mixed (2:1 and 1:1) mineralogy. Each site had native vegetation (NV), no‐tillage (NT), and conventional tillage (CT) treatments. Slaked (i.e., air‐dried and fast‐rewetted) and capillary rewetted soils were separated into four aggregate‐size classes (&lt;53, 53–250, 250–2000, and &gt;2000 μm) by wet sieving. In rewetted soils, the proportion of macroaggregates accounted for 85% of the dry soil weight and was similar across management treatments. In contrast, aggregate distribution from slaked soils increasingly shifted toward more microaggregates and fewer macroaggregates with increasing cultivation intensity. In soils dominated by 2:1 clay mineralogy, the C content of macroaggregates was 1.65 times greater compared to microaggregates. These observations support an aggregate hierarchy in which microaggregates are bound together into macroaggregates by organic binding agents in 2:1 clay‐dominated soils. In the soil with mixed mineralogy, aggregate C did not increase with increasing aggregate size. At all sites, rewetted macro‐ and microaggregate C and slaked microaggregate C differed in the order NV &gt; NT &gt; CT. In contrast, slaked macroaggregate C concentration was similar across management treatments, except in the soil with mixed clay mineralogy. We conclude that increasing cultivation intensity leads to a loss of C‐rich macroaggregates and an increase of C‐depleted microaggregates in soils that express aggregate hierarchy.","author":[{"dropping-particle":"","family":"Six","given":"J.","non-dropping-particle":"","parse-names":false,"suffix":""},{"dropping-particle":"","family":"Paustian","given":"K.","non-dropping-particle":"","parse-names":false,"suffix":""},{"dropping-particle":"","family":"Elliott","given":"E. T.","non-dropping-particle":"","parse-names":false,"suffix":""},{"dropping-particle":"","family":"Combrink","given":"C.","non-dropping-particle":"","parse-names":false,"suffix":""}],"container-title":"Soil Science Society of America Journal","id":"ITEM-1","issue":"2","issued":{"date-parts":[["2000"]]},"page":"681-689","title":"Soil structure and organic matter I. distribution of aggregate‐size classes and aggregate‐associated carbon","type":"article-journal","volume":"64"},"uris":["http://www.mendeley.com/documents/?uuid=4336691b-6a87-4fff-a1cf-907f0a0b1863"]}],"mendeley":{"formattedCitation":"(Six et al., 2000)","plainTextFormattedCitation":"(Six et al., 2000)","previouslyFormattedCitation":"(Six et al., 2000)"},"properties":{"noteIndex":0},"schema":"https://github.com/citation-style-language/schema/raw/master/csl-citation.json"}</w:instrText>
      </w:r>
      <w:r w:rsidRPr="00203EB0">
        <w:rPr>
          <w:szCs w:val="24"/>
        </w:rPr>
        <w:fldChar w:fldCharType="separate"/>
      </w:r>
      <w:r w:rsidRPr="00203EB0">
        <w:rPr>
          <w:noProof/>
          <w:szCs w:val="24"/>
        </w:rPr>
        <w:t>(Six et al., 2000)</w:t>
      </w:r>
      <w:r w:rsidRPr="00203EB0">
        <w:rPr>
          <w:szCs w:val="24"/>
        </w:rPr>
        <w:fldChar w:fldCharType="end"/>
      </w:r>
      <w:r w:rsidRPr="00203EB0">
        <w:rPr>
          <w:szCs w:val="24"/>
        </w:rPr>
        <w:t xml:space="preserve">. </w:t>
      </w:r>
    </w:p>
    <w:p w14:paraId="5789EFE7" w14:textId="06EEBA2F" w:rsidR="0042446F" w:rsidRPr="00203EB0" w:rsidRDefault="0042446F" w:rsidP="00977E39">
      <w:pPr>
        <w:pStyle w:val="ParaText"/>
        <w:spacing w:line="480" w:lineRule="auto"/>
        <w:ind w:firstLine="0"/>
        <w:contextualSpacing/>
        <w:jc w:val="both"/>
      </w:pPr>
      <w:r w:rsidRPr="00203EB0">
        <w:rPr>
          <w:szCs w:val="24"/>
        </w:rPr>
        <w:t xml:space="preserve">Improved soil hydrologic properties positively influence soil drainage and moisture retention to maintain a healthy soil air-water balance supportive of root growth and optimal crop performance </w:t>
      </w:r>
      <w:r w:rsidRPr="00203EB0">
        <w:rPr>
          <w:szCs w:val="24"/>
        </w:rPr>
        <w:fldChar w:fldCharType="begin" w:fldLock="1"/>
      </w:r>
      <w:r w:rsidR="00EB2F35" w:rsidRPr="00203EB0">
        <w:rPr>
          <w:szCs w:val="24"/>
        </w:rPr>
        <w:instrText>ADDIN CSL_CITATION {"citationItems":[{"id":"ITEM-1","itemData":{"DOI":"10.1016/j.still.2008.11.004","ISSN":"01671987","abstract":"Tillage-induced changes in soil quality are important to understanding soil strength and water retention and transmission properties. Thus, this study was conducted to assess the effects of two tillage systems under un-drained and drained conditions on tensile strength (TS) of 5-8 mm aggregates, soil water characteristics (SWC), plant available water (PAW), and the water infiltration rate (i). Soil properties were determined mainly in the surface (0-10 cm) layer on a Crosby (fine, mixed, mesic, Aeric Ochraqualf) silt loam soil at the Waterman Farm of the Ohio State University, Columbus, OH on a 14-year-old field study. Effect of two tillage treatments comprising no-tillage (NT) and conventional tillage (CT) were studied for two levels of drainage: un-drained (UD) and tile drained (D). The TS for 0-10 cm depth was significantly (P ≤ 0.01) affected by tillage and drainage treatments, and was higher in CT than NT by 61% in UD and by 48% in D soil. In comparison, TS increased by 13% in NT and 4% in CT in D compared with the UD treatments. Soil organic carbon (SOC) in 0-10 cm depth of NT-UD treatment was 23% higher than CT-UD treatment and 38% more than NT-D treatments. Tillage and drainage impact on SWC was non-significant at 0 kPa suction, but significant (P ≤ 0.1) at -3, -6, -10, -30, -100 and -300 kPa suctions indicating that water was retained more in NT-UD than CT-UD soil. The PAW was significantly influenced by drainage (P ≤ 0.01) but not by tillage treatments. Yet, there existed a general trend of about 8% more PAW in NT-UD than CT-UD treatments. In contrast, PAW was 48% more in soil from NT-UD than NT-D treatments. PAW increased with increase in the SOC concentration (R2 = 0.89; P ≤ 0.01). There were also differences in soil water sorptivity (S), and equilibrium infiltration rate (ic) in NT-UD compared with CT-UD treatments. A positive and significant correlation (r = 0.57, P ≤ 0.05) occurred between ic and SOC concentration. The value of S was more in NT-UD by 70% than CT-UD, and 46% in NT-D than CT-D. Similarly, the ic was more in NT than CT by 119% in UD compared with 82% in D soil. The value of A in NT was higher than that in CT by 39% and 12% in UD and D treatments, respectively. The mean cumulative infiltration (I) in 3 h was 71.4 cm in NT versus 44.0 cm in CT in UD compared with 62.1 cm in NT and 48.4 cm in CT for the D treatment. The I was positively and significantly correlated with SOC concentration (r = 0.32, n = 12, P ≤ 0.1) indicating i…","author":[{"dropping-particle":"","family":"Abid","given":"Muhammad","non-dropping-particle":"","parse-names":false,"suffix":""},{"dropping-particle":"","family":"Lal","given":"Rattan","non-dropping-particle":"","parse-names":false,"suffix":""}],"container-title":"Soil and Tillage Research","id":"ITEM-1","issue":"2","issued":{"date-parts":[["2009"]]},"page":"364-372","title":"Tillage and drainage impact on soil quality: II. Tensile strength of aggregates, moisture retention and water infiltration","type":"article-journal","volume":"103"},"uris":["http://www.mendeley.com/documents/?uuid=3d0b399d-8e69-4c09-8c6a-c0ef30516321"]}],"mendeley":{"formattedCitation":"(Abid and Lal, 2009)","plainTextFormattedCitation":"(Abid and Lal, 2009)","previouslyFormattedCitation":"(Abid and Lal, 2009)"},"properties":{"noteIndex":0},"schema":"https://github.com/citation-style-language/schema/raw/master/csl-citation.json"}</w:instrText>
      </w:r>
      <w:r w:rsidRPr="00203EB0">
        <w:rPr>
          <w:szCs w:val="24"/>
        </w:rPr>
        <w:fldChar w:fldCharType="separate"/>
      </w:r>
      <w:r w:rsidR="00EB2F35" w:rsidRPr="00203EB0">
        <w:rPr>
          <w:noProof/>
          <w:szCs w:val="24"/>
        </w:rPr>
        <w:t>(Abid and Lal, 2009)</w:t>
      </w:r>
      <w:r w:rsidRPr="00203EB0">
        <w:rPr>
          <w:szCs w:val="24"/>
        </w:rPr>
        <w:fldChar w:fldCharType="end"/>
      </w:r>
      <w:r w:rsidRPr="00203EB0">
        <w:rPr>
          <w:i/>
          <w:iCs/>
          <w:szCs w:val="24"/>
        </w:rPr>
        <w:t>.</w:t>
      </w:r>
      <w:r w:rsidRPr="00203EB0">
        <w:rPr>
          <w:iCs/>
          <w:szCs w:val="24"/>
        </w:rPr>
        <w:t xml:space="preserve"> </w:t>
      </w:r>
      <w:proofErr w:type="spellStart"/>
      <w:r w:rsidRPr="00203EB0">
        <w:rPr>
          <w:iCs/>
          <w:szCs w:val="24"/>
        </w:rPr>
        <w:t>Oxic</w:t>
      </w:r>
      <w:proofErr w:type="spellEnd"/>
      <w:r w:rsidRPr="00203EB0">
        <w:rPr>
          <w:iCs/>
          <w:szCs w:val="24"/>
        </w:rPr>
        <w:t xml:space="preserve"> </w:t>
      </w:r>
      <w:r w:rsidRPr="00203EB0">
        <w:rPr>
          <w:szCs w:val="24"/>
        </w:rPr>
        <w:t xml:space="preserve">conditions in the rhizosphere are crucial for healthy root respiration to facilitate efficient water and nutrient uptake - essential for achieving high yields. Poor soil physical health due to compaction and poor aggregation impacts hydrologic conditions </w:t>
      </w:r>
      <w:r w:rsidRPr="00203EB0">
        <w:rPr>
          <w:szCs w:val="24"/>
        </w:rPr>
        <w:fldChar w:fldCharType="begin" w:fldLock="1"/>
      </w:r>
      <w:r w:rsidRPr="00203EB0">
        <w:rPr>
          <w:szCs w:val="24"/>
        </w:rPr>
        <w:instrText>ADDIN CSL_CITATION {"citationItems":[{"id":"ITEM-1","itemData":{"DOI":"10.1016/j.geoderma.2018.10.016","ISSN":"00167061","abstract":"In subhumid Southeastern USA, rapid decomposition of initially low cotton residue limits the benefits of no-tillage system in regard to the soil quality. Long-term addition of cover crops may compensate the low cotton residue and further improve the soil physical quality under no-tillage system. We examined the long-term (34 yr) effect of two cover crop species, hairy vetch (Vicia villosa), and winter wheat (Triticum aestivum L.), and no cover crop, applied on conventional tillage and no-tillage on soil hydro-physical properties and cotton yield. Research was conducted on a Lexington silt loam in Jackson, TN, during 2015 and 2016. Soil physical properties including bulk density, cone penetration resistance, in-situ soil moisture content, wet aggregate stability, water infiltration and field-saturated hydraulic conductivity, soil water retention characteristics, and dry aggregate size distribution were measured. Bulk density assessed before the annual tillage did not differ significantly between no-tillage and conventional tillage systems. Cone penetration resistance showed a greater horizontal consistency of maximally resistant zones (&gt;2 MPa) under tilled managements, indicating a possible presence of a plow pan immediately below the plowed soil layer. Differences in field soil moisture content among tillage and cover crops were more evident in drier periods of the growing seasons, resulting in 28.6% and 36.4% greater moisture content in vetch cover crop and no-tillage than no cover crop and conventional tillage, respectively. No-tillage and vetch cover crop also increased the wet aggregate stability by 13% at 0–15 cm. Results showed a significant tillage × cover crop interaction in soil hydraulic properties. Our result demonstrates that long-term incorporation of cover crops, particularly vetch with no-tillage, significantly improved the initial infiltration rate, cumulative infiltration, and field-saturated hydraulic conductivity and increased the mean weight diameter of aggregates by promoting the macroaggregation. Improvement in soil physical properties was associated with an increase in cotton lint yield under cover crop and no-tillage management.","author":[{"dropping-particle":"","family":"Nouri","given":"Amin","non-dropping-particle":"","parse-names":false,"suffix":""},{"dropping-particle":"","family":"Lee","given":"Jaehoon","non-dropping-particle":"","parse-names":false,"suffix":""},{"dropping-particle":"","family":"Yin","given":"Xinhua","non-dropping-particle":"","parse-names":false,"suffix":""},{"dropping-particle":"","family":"Tyler","given":"Donald D.","non-dropping-particle":"","parse-names":false,"suffix":""},{"dropping-particle":"","family":"Saxton","given":"Arnold M.","non-dropping-particle":"","parse-names":false,"suffix":""}],"container-title":"Geoderma","id":"ITEM-1","issued":{"date-parts":[["2019"]]},"page":"998-1008","publisher":"Elsevier","title":"Thirty-four years of no-tillage and cover crops improve soil quality and increase cotton yield in Alfisols, Southeastern USA","type":"article-journal","volume":"337"},"uris":["http://www.mendeley.com/documents/?uuid=f59bd687-1bf6-498c-9a57-cf742e9572be"]}],"mendeley":{"formattedCitation":"(Nouri et al., 2019)","plainTextFormattedCitation":"(Nouri et al., 2019)","previouslyFormattedCitation":"(Nouri et al., 2019)"},"properties":{"noteIndex":0},"schema":"https://github.com/citation-style-language/schema/raw/master/csl-citation.json"}</w:instrText>
      </w:r>
      <w:r w:rsidRPr="00203EB0">
        <w:rPr>
          <w:szCs w:val="24"/>
        </w:rPr>
        <w:fldChar w:fldCharType="separate"/>
      </w:r>
      <w:r w:rsidRPr="00203EB0">
        <w:rPr>
          <w:noProof/>
          <w:szCs w:val="24"/>
        </w:rPr>
        <w:t>(Nouri et al., 2019)</w:t>
      </w:r>
      <w:r w:rsidRPr="00203EB0">
        <w:rPr>
          <w:szCs w:val="24"/>
        </w:rPr>
        <w:fldChar w:fldCharType="end"/>
      </w:r>
      <w:r w:rsidRPr="00203EB0">
        <w:rPr>
          <w:szCs w:val="24"/>
        </w:rPr>
        <w:t xml:space="preserve"> that can restrict oxygen availability following precipitation events and may constrain plant performance </w:t>
      </w:r>
      <w:r w:rsidRPr="00203EB0">
        <w:rPr>
          <w:szCs w:val="24"/>
        </w:rPr>
        <w:fldChar w:fldCharType="begin" w:fldLock="1"/>
      </w:r>
      <w:r w:rsidR="00EB2F35" w:rsidRPr="00203EB0">
        <w:rPr>
          <w:szCs w:val="24"/>
        </w:rPr>
        <w:instrText>ADDIN CSL_CITATION {"citationItems":[{"id":"ITEM-1","itemData":{"DOI":"10.1016/j.agwat.2021.107334","ISSN":"18732283","abstract":"Lysimeter experiments were conducted under a rain shelter to investigate the effects of waterlogging imposing at different stages and with different durations on maize growth, grain yield and yield components in 2017–2019 seasons. The waterlogging treatments were implemented for different durations (2, 4, 6, 8 and 10 days respectively) at the seedling (V3), jointing (V6), tasseling (VT) and milk maturity (R3) stages, with non-waterlogging treatment as control (CK). Results shown that waterlogging stage, duration, and the interaction of stage and duration have significant affects (P &lt; 0.01) on all growth index, all yield index, and nearly all yield components indexes in the three seasons. The waterlogging stress decreased plant height, leaf area index, chlorophyll content index, ear length, ear diameter, grain row number per ear, 100-grain weight, grain number per ear, aboveground biomass and harvest index, and increased the bald tip length, and eventually a significant reduction in the grain yield of summer maize. In addition, the severity of the adverse effects increased generally with the lengthening of waterlogging duration. The results of dominant influencing factors indicated that waterlogging occurred at V6 stage have the greatest effects on maize growth and grain yield, followed by V3, VT, and R3 stages, and that the 100-grain weight and grains per ear had the largest effect on grain yield, and other indexes affected maize yield by affecting the 100-grain weight and grains per ear.","author":[{"dropping-particle":"","family":"Huang","given":"Chao","non-dropping-particle":"","parse-names":false,"suffix":""},{"dropping-particle":"","family":"Gao","given":"Yang","non-dropping-particle":"","parse-names":false,"suffix":""},{"dropping-particle":"","family":"Qin","given":"Anzhen","non-dropping-particle":"","parse-names":false,"suffix":""},{"dropping-particle":"","family":"Liu","given":"Zugui","non-dropping-particle":"","parse-names":false,"suffix":""},{"dropping-particle":"","family":"Zhao","given":"Ben","non-dropping-particle":"","parse-names":false,"suffix":""},{"dropping-particle":"","family":"Ning","given":"Dongfeng","non-dropping-particle":"","parse-names":false,"suffix":""},{"dropping-particle":"","family":"Ma","given":"Shoutian","non-dropping-particle":"","parse-names":false,"suffix":""},{"dropping-particle":"","family":"Duan","given":"Aiwang","non-dropping-particle":"","parse-names":false,"suffix":""},{"dropping-particle":"","family":"Liu","given":"Zhandong","non-dropping-particle":"","parse-names":false,"suffix":""}],"container-title":"Agricultural Water Management","id":"ITEM-1","issued":{"date-parts":[["2022"]]},"page":"107334","publisher":"Elsevier B.V.","title":"Effects of waterlogging at different stages and durations on maize growth and grain yields","type":"article-journal","volume":"261"},"uris":["http://www.mendeley.com/documents/?uuid=c2589b94-cdb8-4810-bea0-9dfa90c24b7f"]},{"id":"ITEM-2","itemData":{"ISBN":"9780822395393","abstract":"This paper reviews four decades of economics research on the brain drain, with a focus on recent contributions and on development issues. We first assess the magnitude, intensity, and determinants of the brain drain, showing that brain drain (or high-skill) migration is becoming a dominant pattern of international migration and a major aspect of globalization. We then use a stylized growth model to analyze the various channels through which a brain drain affects the sending countries and review the evidence on these channels. The recent empirical literature shows that high-skill emigration need not deplete a country’s human capital stock and can generate positive network externalities. Three case studies are also considered: the African medical brain drain, the exodus of European scientists to the United States, and the role of the Indian diaspora in the development of India’s information technology sector. We conclude with a discussion of the implications of the analysis for education, immigration, and international taxation policies in a global context. ( JEL F02, F22, J24, J61, O15)","author":[{"dropping-particle":"","family":"Walne","given":"Charles Hunt","non-dropping-particle":"","parse-names":false,"suffix":""},{"dropping-particle":"","family":"Reddy","given":"K. Raja","non-dropping-particle":"","parse-names":false,"suffix":""}],"container-title":"Plants","id":"ITEM-2","issue":"2095","issued":{"date-parts":[["2021"]]},"page":"2095","title":"Developing Functional Relationships between Soil Waterlogging and Corn Shoot and Root Growth and Development","type":"article-journal","volume":"10"},"uris":["http://www.mendeley.com/documents/?uuid=ae482c41-0553-4957-a3c4-0c09a1f6c0ff"]},{"id":"ITEM-3","itemData":{"DOI":"10.1016/j.cj.2020.08.005","ISSN":"22145141","abstract":"Over the last few decades, waterlogging stress has increasingly threatened global cotton production. Waterlogging results in reduced soil oxygen, impairing the growth and development of this valuable crop and often resulting in severe yield loss or crop failure. However, as cotton has an indeterminate growth habit, it is able to adapt to waterlogging stress by activating three mechanisms: the escape, quiescence, and self-regulating compensation mechanisms. The escape mechanism includes accelerated growth, formation of adventitious roots, and production of aerenchyma. The quiescence mechanism involves reduced biomass accumulation and energy dissipation via physiological, biochemical, and molecular events. The self-regulation compensation mechanism allows plants to exploit their indeterminate growth habit and compensatory growth ability by accelerating growth and development following relief from waterlogging stress. We review how the growth and development of cotton is impaired by waterlogging, focusing on the three strategies associated with tolerance and adaptation to the stress. We discuss agronomic measures and prospects for mitigating the adverse effects of waterlogging stress.","author":[{"dropping-particle":"","family":"Zhang","given":"Yanjun","non-dropping-particle":"","parse-names":false,"suffix":""},{"dropping-particle":"","family":"Liu","given":"Guangya","non-dropping-particle":"","parse-names":false,"suffix":""},{"dropping-particle":"","family":"Dong","given":"Hezhong","non-dropping-particle":"","parse-names":false,"suffix":""},{"dropping-particle":"","family":"Li","given":"Cundong","non-dropping-particle":"","parse-names":false,"suffix":""}],"container-title":"Crop Journal","id":"ITEM-3","issue":"2","issued":{"date-parts":[["2021"]]},"page":"257-270","publisher":"Crop Science Society of China and Institute of Crop Science, CAAS","title":"Waterlogging stress in cotton: Damage, adaptability, alleviation strategies, and mechanisms","type":"article-journal","volume":"9"},"uris":["http://www.mendeley.com/documents/?uuid=3ad9af05-bf06-4e7b-a01d-6007abd369f7"]}],"mendeley":{"formattedCitation":"(Walne and Reddy, 2021; Zhang et al., 2021; Huang et al., 2022)","plainTextFormattedCitation":"(Walne and Reddy, 2021; Zhang et al., 2021; Huang et al., 2022)","previouslyFormattedCitation":"(Walne and Reddy, 2021; Zhang et al., 2021; Huang et al., 2022)"},"properties":{"noteIndex":0},"schema":"https://github.com/citation-style-language/schema/raw/master/csl-citation.json"}</w:instrText>
      </w:r>
      <w:r w:rsidRPr="00203EB0">
        <w:rPr>
          <w:szCs w:val="24"/>
        </w:rPr>
        <w:fldChar w:fldCharType="separate"/>
      </w:r>
      <w:r w:rsidR="00EB2F35" w:rsidRPr="00203EB0">
        <w:rPr>
          <w:noProof/>
          <w:szCs w:val="24"/>
        </w:rPr>
        <w:t>(Walne and Reddy, 2021; Zhang et al., 2021; Huang et al., 2022)</w:t>
      </w:r>
      <w:r w:rsidRPr="00203EB0">
        <w:rPr>
          <w:szCs w:val="24"/>
        </w:rPr>
        <w:fldChar w:fldCharType="end"/>
      </w:r>
      <w:r w:rsidRPr="00203EB0">
        <w:rPr>
          <w:szCs w:val="24"/>
        </w:rPr>
        <w:t>.</w:t>
      </w:r>
      <w:r w:rsidRPr="00203EB0">
        <w:rPr>
          <w:i/>
          <w:iCs/>
          <w:szCs w:val="24"/>
        </w:rPr>
        <w:t xml:space="preserve"> </w:t>
      </w:r>
      <w:r w:rsidRPr="00203EB0">
        <w:rPr>
          <w:iCs/>
          <w:szCs w:val="24"/>
        </w:rPr>
        <w:t xml:space="preserve">Furthermore, </w:t>
      </w:r>
      <w:r w:rsidRPr="00203EB0">
        <w:rPr>
          <w:szCs w:val="24"/>
        </w:rPr>
        <w:t xml:space="preserve">soil aeration and oxygen availability controls soil biotic (e.g. nitrification, denitrification) and abiotic (e.g. redox processes, Fe and Mn) processes </w:t>
      </w:r>
      <w:r w:rsidRPr="00203EB0">
        <w:rPr>
          <w:szCs w:val="24"/>
        </w:rPr>
        <w:fldChar w:fldCharType="begin" w:fldLock="1"/>
      </w:r>
      <w:r w:rsidR="004179E3" w:rsidRPr="00203EB0">
        <w:rPr>
          <w:szCs w:val="24"/>
        </w:rPr>
        <w:instrText>ADDIN CSL_CITATION {"citationItems":[{"id":"ITEM-1","itemData":{"DOI":"10.2136/sssaj1985.03615995004900030024x","ISSN":"0361-5995","abstract":"An oxygen microelectrode was modified to measure O 2 concentrations in wet aggregates of a silt loam soil. The microelectrode tip had an O 2 ‐permeable membrane opening 3 µm in diameter, and O 2 measurements could be made in as little as 0.1‐mm increments to a depth of 12 mm. When aggregates were incubated in air, steep O 2 gradients usually occurred over very small distances from the aggregate surface. The smallest aggregate exhibiting an anaerobic center had a radius of 4 mm, although small aggregates (radius ≤ 6 mm) were generally oxic. Larger aggregates (radius ≥ 10 mm) often had measureable anaerobic centers, with the exception of those from a native prairie soil which exhibited irregular O 2 profiles and had aerobic centers, apparently due to O 2 intrusion caused by old root channels. Oxygen profiles obtained in 45 degree increments around an aggregate circumference were used to construct contour maps of O 2 concentrations within the aggregate. Oxygen gradients were somewhat asymmetric, suggesting nonuniformly distributed sites of O 2 consumption. An average intra‐aggregate O 2 diffusion coefficient of 8.5 × 10 −6 cm 2 · s −1 was measured for water‐saturated aggregates. The radii of anaerobic centers within several aggregates, measured directly with the electrode, correlated with those calculated from a model of radial diffusion using measured respiration rates and the intra‐aggregate O 2 diffusion coefficient. Anaerobic centers were present in all aggregates that denitrified, but not all aggregates with anaerobic zones denitrified. The denitrification rate did not correlate with the size of the anaerobic zone, indicating that factors other than anaerobic volume contributed to the observed rates.","author":[{"dropping-particle":"","family":"Sexstone","given":"Alan J.","non-dropping-particle":"","parse-names":false,"suffix":""},{"dropping-particle":"","family":"Revsbech","given":"Niels Peter","non-dropping-particle":"","parse-names":false,"suffix":""},{"dropping-particle":"","family":"Parkin","given":"Timothy B.","non-dropping-particle":"","parse-names":false,"suffix":""},{"dropping-particle":"","family":"Tiedje","given":"James M.","non-dropping-particle":"","parse-names":false,"suffix":""}],"container-title":"Soil Science Society of America Journal","id":"ITEM-1","issue":"3","issued":{"date-parts":[["1985"]]},"page":"645-651","title":"Direct measurement of oxygen profiles and denitrification rates in soil aggregates","type":"article-journal","volume":"49"},"uris":["http://www.mendeley.com/documents/?uuid=9df618fa-4262-46a7-a1e0-4f1a468c6145"]},{"id":"ITEM-2","itemData":{"author":[{"dropping-particle":"","family":"Turner","given":"F.T","non-dropping-particle":"","parse-names":false,"suffix":""},{"dropping-particle":"","family":"Patrick","given":"W H","non-dropping-particle":"","parse-names":false,"suffix":""}],"container-title":"Transactions. 9th int. Congr. Soil Sci.","id":"ITEM-2","issued":{"date-parts":[["1968"]]},"page":"53-65","publisher-place":"Adelaide","title":"Chemical changes in waterlogged soils as a result of oxygen depletion","type":"paper-conference"},"uris":["http://www.mendeley.com/documents/?uuid=349c9b8e-96c4-4cce-b1cd-eaab84b3a75c"]}],"mendeley":{"formattedCitation":"(Turner and Patrick, 1968; Sexstone et al., 1985)","plainTextFormattedCitation":"(Turner and Patrick, 1968; Sexstone et al., 1985)","previouslyFormattedCitation":"(Turner and Patrick, 1968; Sexstone et al., 1985)"},"properties":{"noteIndex":0},"schema":"https://github.com/citation-style-language/schema/raw/master/csl-citation.json"}</w:instrText>
      </w:r>
      <w:r w:rsidRPr="00203EB0">
        <w:rPr>
          <w:szCs w:val="24"/>
        </w:rPr>
        <w:fldChar w:fldCharType="separate"/>
      </w:r>
      <w:r w:rsidR="00EB2F35" w:rsidRPr="00203EB0">
        <w:rPr>
          <w:noProof/>
          <w:szCs w:val="24"/>
        </w:rPr>
        <w:t>(Turner and Patrick, 1968; Sexstone et al., 1985)</w:t>
      </w:r>
      <w:r w:rsidRPr="00203EB0">
        <w:rPr>
          <w:szCs w:val="24"/>
        </w:rPr>
        <w:fldChar w:fldCharType="end"/>
      </w:r>
      <w:r w:rsidRPr="00203EB0">
        <w:rPr>
          <w:szCs w:val="24"/>
        </w:rPr>
        <w:t xml:space="preserve">. These processes regulate nutrient losses in agricultural systems, such as greenhouse gas emissions and nitrate leaching, influencing the overall environmental impact of soil health practices. </w:t>
      </w:r>
    </w:p>
    <w:p w14:paraId="70F2633F" w14:textId="24DD3F59" w:rsidR="004F08CE" w:rsidRPr="00203EB0" w:rsidRDefault="0042446F" w:rsidP="00977E39">
      <w:pPr>
        <w:pStyle w:val="ParaText"/>
        <w:spacing w:line="480" w:lineRule="auto"/>
        <w:ind w:firstLine="0"/>
        <w:contextualSpacing/>
        <w:jc w:val="both"/>
        <w:rPr>
          <w:iCs/>
          <w:szCs w:val="24"/>
        </w:rPr>
      </w:pPr>
      <w:r w:rsidRPr="00203EB0">
        <w:rPr>
          <w:iCs/>
          <w:szCs w:val="24"/>
        </w:rPr>
        <w:lastRenderedPageBreak/>
        <w:t xml:space="preserve">Increasing weather variability brings frequent extreme events </w:t>
      </w:r>
      <w:r w:rsidRPr="00203EB0">
        <w:rPr>
          <w:iCs/>
          <w:szCs w:val="24"/>
        </w:rPr>
        <w:fldChar w:fldCharType="begin" w:fldLock="1"/>
      </w:r>
      <w:r w:rsidR="004179E3" w:rsidRPr="00203EB0">
        <w:rPr>
          <w:iCs/>
          <w:szCs w:val="24"/>
        </w:rPr>
        <w:instrText>ADDIN CSL_CITATION {"citationItems":[{"id":"ITEM-1","itemData":{"DOI":"10.1017/9781009157896.013.","ISBN":"9781009157896","abstract":"This chapter assesses changes in weather and climate extremes on regional and global scales, including observed changes and their attribution, as well as projected changes. The extremes considered include temperature extremes, heavy precipitation and pluvial floods, river floods, droughts, storms (including tropical cyclones), as well as compound events (multivariate and concurrent extremes). The assessment focuses on land regions excluding Antarctica. Changes in marine extremes are addressed in Chapter 9 and Cross-Chapter Box 9.1. Assessments of past changes and their drivers are from 1950 onward, unless indicated otherwise. Projections for changes in extremes are presented for different levels of global warming, supplemented with information for the conversion to emissions scenario-based projections (Cross- Chapter Box 11.1 and Table 4.2). Since the IPCC Fifth Assessment Report (AR5), there have been important new developments and knowledge advances on changes in weather and climate extremes, in particular regarding human influence on individual extreme events, on changes in droughts, tropical cyclones, and compound events, and on projections at different global warming levels (1.5°C–4°C). These, together with new evidence at regional scales, provide a stronger basis and more regional information for the AR6 assessment on weather and climate extremes","author":[{"dropping-particle":"","family":"Seneviratne","given":"S.I.","non-dropping-particle":"","parse-names":false,"suffix":""},{"dropping-particle":"","family":"Zhang","given":"X.","non-dropping-particle":"","parse-names":false,"suffix":""},{"dropping-particle":"","family":"Adnan","given":"M.","non-dropping-particle":"","parse-names":false,"suffix":""},{"dropping-particle":"","family":"Badi","given":"W.","non-dropping-particle":"","parse-names":false,"suffix":""},{"dropping-particle":"","family":"Dereczynski","given":"C.","non-dropping-particle":"","parse-names":false,"suffix":""},{"dropping-particle":"Di","family":"Luca","given":"A.","non-dropping-particle":"","parse-names":false,"suffix":""},{"dropping-particle":"","family":"Ghosh","given":"S.","non-dropping-particle":"","parse-names":false,"suffix":""},{"dropping-particle":"","family":"Iskandar","given":"I.","non-dropping-particle":"","parse-names":false,"suffix":""},{"dropping-particle":"","family":"Kossin","given":"J.","non-dropping-particle":"","parse-names":false,"suffix":""},{"dropping-particle":"","family":"Lewis","given":"S.","non-dropping-particle":"","parse-names":false,"suffix":""},{"dropping-particle":"","family":"Otto","given":"F.","non-dropping-particle":"","parse-names":false,"suffix":""},{"dropping-particle":"","family":"Pinto","given":"I.","non-dropping-particle":"","parse-names":false,"suffix":""},{"dropping-particle":"","family":"Satoh","given":"M.","non-dropping-particle":"","parse-names":false,"suffix":""},{"dropping-particle":"","family":"Vicente-Serrano","given":"S.M.","non-dropping-particle":"","parse-names":false,"suffix":""},{"dropping-particle":"","family":"Wehner","given":"M.","non-dropping-particle":"","parse-names":false,"suffix":""},{"dropping-particle":"","family":"Zhou","given":"B.","non-dropping-particle":"","parse-names":false,"suffix":""}],"container-title":"Climate Change 2021 – The Physical Science Basis","editor":[{"dropping-particle":"","family":"Masson-Delmotte","given":"V.","non-dropping-particle":"","parse-names":false,"suffix":""},{"dropping-particle":"","family":"Zhai","given":"P.","non-dropping-particle":"","parse-names":false,"suffix":""},{"dropping-particle":"","family":"Pirani","given":"A.","non-dropping-particle":"","parse-names":false,"suffix":""},{"dropping-particle":"","family":"Connors","given":"S.L.","non-dropping-particle":"","parse-names":false,"suffix":""},{"dropping-particle":"","family":"Péan","given":"C.","non-dropping-particle":"","parse-names":false,"suffix":""},{"dropping-particle":"","family":"Berger","given":"S.","non-dropping-particle":"","parse-names":false,"suffix":""},{"dropping-particle":"","family":"Caud","given":"N.","non-dropping-particle":"","parse-names":false,"suffix":""},{"dropping-particle":"","family":"Chen","given":"Y.","non-dropping-particle":"","parse-names":false,"suffix":""},{"dropping-particle":"","family":"Goldfarb","given":"L.","non-dropping-particle":"","parse-names":false,"suffix":""},{"dropping-particle":"","family":"Gomis","given":"M.I.","non-dropping-particle":"","parse-names":false,"suffix":""},{"dropping-particle":"","family":"Huang","given":"M.","non-dropping-particle":"","parse-names":false,"suffix":""},{"dropping-particle":"","family":"Leitzell","given":"K.","non-dropping-particle":"","parse-names":false,"suffix":""},{"dropping-particle":"","family":"Lonnoy","given":"E.","non-dropping-particle":"","parse-names":false,"suffix":""},{"dropping-particle":"","family":"Matthews","given":"J.B.R.","non-dropping-particle":"","parse-names":false,"suffix":""},{"dropping-particle":"","family":"Maycock","given":"T.K.","non-dropping-particle":"","parse-names":false,"suffix":""},{"dropping-particle":"","family":"Waterfield","given":"T.","non-dropping-particle":"","parse-names":false,"suffix":""},{"dropping-particle":"","family":"Yelekçi","given":"O.","non-dropping-particle":"","parse-names":false,"suffix":""},{"dropping-particle":"","family":"Yu","given":"R.","non-dropping-particle":"","parse-names":false,"suffix":""},{"dropping-particle":"","family":"Zhou","given":"B.","non-dropping-particle":"","parse-names":false,"suffix":""}],"id":"ITEM-1","issued":{"date-parts":[["2021"]]},"number-of-pages":"1513-1766","publisher":"Cambridge University Press","publisher-place":"Cambridge, New York","title":"Weather and climate extreme events in a changing climate. In climate change 2021: The physical science basis. Contribution of working group I to the sixth assessment report of the Intergovernmental Panel on Climate Change","type":"book"},"uris":["http://www.mendeley.com/documents/?uuid=6e40c145-3624-4bf0-825b-2862edfb848f"]}],"mendeley":{"formattedCitation":"(Seneviratne et al., 2021)","plainTextFormattedCitation":"(Seneviratne et al., 2021)","previouslyFormattedCitation":"(Seneviratne et al., 2021)"},"properties":{"noteIndex":0},"schema":"https://github.com/citation-style-language/schema/raw/master/csl-citation.json"}</w:instrText>
      </w:r>
      <w:r w:rsidRPr="00203EB0">
        <w:rPr>
          <w:iCs/>
          <w:szCs w:val="24"/>
        </w:rPr>
        <w:fldChar w:fldCharType="separate"/>
      </w:r>
      <w:r w:rsidRPr="00203EB0">
        <w:rPr>
          <w:iCs/>
          <w:noProof/>
          <w:szCs w:val="24"/>
        </w:rPr>
        <w:t>(Seneviratne et al., 2021)</w:t>
      </w:r>
      <w:r w:rsidRPr="00203EB0">
        <w:rPr>
          <w:iCs/>
          <w:szCs w:val="24"/>
        </w:rPr>
        <w:fldChar w:fldCharType="end"/>
      </w:r>
      <w:r w:rsidRPr="00203EB0">
        <w:rPr>
          <w:iCs/>
          <w:szCs w:val="24"/>
        </w:rPr>
        <w:t xml:space="preserve">, including intense precipitation events to cause waterlogging. Studies have reported adverse effects of soil </w:t>
      </w:r>
      <w:r w:rsidRPr="00203EB0">
        <w:rPr>
          <w:szCs w:val="24"/>
        </w:rPr>
        <w:t xml:space="preserve">oxygen </w:t>
      </w:r>
      <w:r w:rsidRPr="00203EB0">
        <w:rPr>
          <w:iCs/>
          <w:szCs w:val="24"/>
        </w:rPr>
        <w:t xml:space="preserve">depletion during both short and prolonged waterlogging periods on plant growth </w:t>
      </w:r>
      <w:r w:rsidRPr="00203EB0">
        <w:rPr>
          <w:iCs/>
          <w:szCs w:val="24"/>
        </w:rPr>
        <w:fldChar w:fldCharType="begin" w:fldLock="1"/>
      </w:r>
      <w:r w:rsidR="00EB2F35" w:rsidRPr="00203EB0">
        <w:rPr>
          <w:iCs/>
          <w:szCs w:val="24"/>
        </w:rPr>
        <w:instrText>ADDIN CSL_CITATION {"citationItems":[{"id":"ITEM-1","itemData":{"DOI":"10.1046/j.0028-646X.2001.00318.x","ISSN":"0028646X","abstract":"The effect of different durations of waterlogging and subsequent drainage is described for 3-wk-old wheat (Triticum aestivum) plants. In a pot experiment, plants were subjected to waterlogging to the soil surface for 0, 3, 7, 14, 21 or 28 d, and then drained to allow recovery for up to 25 d. During waterlogging, the seminal root system stopped growing. Adventitious roots grew to a maximum length of c. 150 mm. Leaf nitrogen concentration was severely decreased by waterlogging. When waterlogged pots were drained, seminal root mass did not recover to control values, even when waterlogging lasted only 3 or 7 d, due to death of existing apices and no initiation of new lateral roots. By contrast, adventitious roots resumed elongation after drainage. By the end of the experiment, shoot mass remained two- to threefold lower in plants from all waterlogged treatments compared with continuously drained controls, due to lower tiller numbers and shorter final leaf lengths in previously waterlogged plants. The results demonstrate that even short periods (as little as 3 d) of waterlogging have considerable long-term effects on the growth of young wheat plants. © New Phytologist (2002).","author":[{"dropping-particle":"","family":"Malik","given":"Al Imran","non-dropping-particle":"","parse-names":false,"suffix":""},{"dropping-particle":"","family":"Colmer","given":"Timothy D.","non-dropping-particle":"","parse-names":false,"suffix":""},{"dropping-particle":"","family":"Lambers","given":"Hans","non-dropping-particle":"","parse-names":false,"suffix":""},{"dropping-particle":"","family":"Setter","given":"Timothy L.","non-dropping-particle":"","parse-names":false,"suffix":""},{"dropping-particle":"","family":"Schortemeyer","given":"Marcus","non-dropping-particle":"","parse-names":false,"suffix":""}],"container-title":"New Phytologist","id":"ITEM-1","issue":"2","issued":{"date-parts":[["2002"]]},"page":"225-236","title":"Short-term waterlogging has long-term effects on the growth and physiology of wheat","type":"article-journal","volume":"153"},"uris":["http://www.mendeley.com/documents/?uuid=a8c9d0c2-a372-421f-8047-8d7caa6c59c9"]},{"id":"ITEM-2","itemData":{"DOI":"10.1016/j.fcr.2023.109067","ISSN":"03784290","abstract":"Context: Waterlogging frequently occurs and causes serious damage to cotton. While genotypic variation in waterlogging tolerance has been reported in cotton, there is limited research on the difference in waterlogging tolerance among Chinese commercial cotton varieties, and whether waterlogging tolerance is related to their geographical origin remains unclear. Methods: To this end, we conducted a comparative study to evaluate the waterlogging tolerance of commercial cotton varieties from three major cotton-growing regions in China. Field-grown cotton was subjected to seven days of waterlogging stress at early flowering. The effects of waterlogging on growth, seedcotton yield, yield reduction, and various physiological responses were assessed. Results: The losses of seedcotton yield and biological yield of cotton varieties from the Yangtze River valley were the lowest (7.6% and 4.7%), followed by those from the Yellow River valley (14.4% and 7.7%), while the losses of cotton varieties from the Northwest Inland were the greatest (21.8% and 15.5%). This indicated that cotton ecotypes from the Yangtze River valley and Yellow River valley, characterized by higher precipitation, exhibit greater tolerance to waterlogging than those from the Northwest Inland. The increases in H2O2, malondialdehyde (MDA), and abscisic acid (ABA) contents in the cotton variety from the Yangtze River valley (YZ1) were the lowest (10.8%, 18.6%, and 20.8%, respectively), followed by those from the Yellow River valley (YL1) (32.6%, 33.2%, and 79.9%, respectively), while the increases in cotton varieties from the Northwest Inland (NW1) were the greatest (37.9%, 42.8%, and 84.4%, respectively). The decreases in indole-3-acetic acid (IAA), nitric oxide (NO), and nitrogen (N) contents of YZ1 were the lowest (10.3%, 32.5%, and 25.6%, respectively), followed by those from YL1 (12.7%, 39.8%, and 30.2%, respectively), while the decreases of NW1 were the greatest (24.9%, 48.3%, and 45.1%, respectively). Quantitative real-time PCR analysis showed the highest expression of the NO (GhNIR) and IAA (GhYUC8) synthesis genes, but the lowest expression of the genes involved in H2O2 production (GhRBOHC), and ABA synthesis (GhNCED2) in YZ1, followed by those in YL1 and NW1, indicating that gene expression patterns aligned with the changes of NO, IAA, H2O2 and ABA contents. Ten days after waterlogging relief, waterlogged YZ1 exhibited the greatest increases in biomass, leaf area, and canopy photosynthes…","author":[{"dropping-particle":"","family":"Zhang","given":"Yanjun","non-dropping-particle":"","parse-names":false,"suffix":""},{"dropping-particle":"","family":"Li","given":"Yan","non-dropping-particle":"","parse-names":false,"suffix":""},{"dropping-particle":"","family":"Liang","given":"Tiantian","non-dropping-particle":"","parse-names":false,"suffix":""},{"dropping-particle":"","family":"Yuan","given":"Yabin","non-dropping-particle":"","parse-names":false,"suffix":""},{"dropping-particle":"","family":"Li","given":"Zhenhuai","non-dropping-particle":"","parse-names":false,"suffix":""},{"dropping-particle":"","family":"Xu","given":"Shizhen","non-dropping-particle":"","parse-names":false,"suffix":""},{"dropping-particle":"","family":"Dai","given":"Jianlong","non-dropping-particle":"","parse-names":false,"suffix":""},{"dropping-particle":"","family":"Fan","given":"Shoujin","non-dropping-particle":"","parse-names":false,"suffix":""},{"dropping-particle":"","family":"Li","given":"Cundong","non-dropping-particle":"","parse-names":false,"suffix":""},{"dropping-particle":"","family":"Dong","given":"Hezhong","non-dropping-particle":"","parse-names":false,"suffix":""}],"container-title":"Field Crops Research","id":"ITEM-2","issued":{"date-parts":[["2023"]]},"page":"109067","publisher":"Elsevier B.V.","title":"Field-grown cotton shows genotypic variation in agronomic and physiological responses to waterlogging","type":"article-journal","volume":"302"},"uris":["http://www.mendeley.com/documents/?uuid=a54cddc5-4954-4b1f-8316-af697e6632cf"]},{"id":"ITEM-3","itemData":{"DOI":"10.1071/CP15417","ISSN":"18365795","abstract":"Waterlogging stress is one of the limiting factors influencing wheat (Triticum aestivum L.) production. Wheat tolerance to waterlogging is related to the duration of the waterlogging event, the crop development stage in which waterlogging occurs, and the sensitivity of genotype. In this paper we investigated the impact of eight waterlogging durations (from 0 to 60 days) imposed at 3-leaf and 4-leaf growth stages (</w:instrText>
      </w:r>
      <w:r w:rsidR="00EB2F35" w:rsidRPr="00203EB0">
        <w:rPr>
          <w:rFonts w:ascii="Cambria Math" w:hAnsi="Cambria Math" w:cs="Cambria Math"/>
          <w:iCs/>
          <w:szCs w:val="24"/>
        </w:rPr>
        <w:instrText>∼</w:instrText>
      </w:r>
      <w:r w:rsidR="00EB2F35" w:rsidRPr="00203EB0">
        <w:rPr>
          <w:iCs/>
          <w:szCs w:val="24"/>
        </w:rPr>
        <w:instrText>30 and 40 days after sowing) on grain yield, grain yield components, straw and root dry weight and nitrogen concentration of grain, straw, and roots of two cultivars of wheat. The results showed that of the two cultivars, one (cv. Blasco) was tolerant to waterlogging and the other (cv. Aquilante) was sensitive, thus confirming that there are high genotypic differences in terms of tolerance to waterlogging in wheat. The sensitive cultivar showed a significant reduction in grain yield and straw and root dry weight only when waterlogging was prolonged for more than 20 days. Waterlogging depressed the grain yield of the sensitive cultivar, slowing tiller formation and consequently preventing many culms from producing spikes. It slowed down spikelet formation, consequently reducing the number of spikelets per spike, and reduced floret formation per spikelet, thus reducing the number of kernels per spike.","author":[{"dropping-particle":"","family":"Arduini","given":"I.","non-dropping-particle":"","parse-names":false,"suffix":""},{"dropping-particle":"","family":"Orlandi","given":"C.","non-dropping-particle":"","parse-names":false,"suffix":""},{"dropping-particle":"","family":"Pampana","given":"S.","non-dropping-particle":"","parse-names":false,"suffix":""},{"dropping-particle":"","family":"Masoni","given":"A.","non-dropping-particle":"","parse-names":false,"suffix":""}],"container-title":"Crop and Pasture Science","id":"ITEM-3","issue":"7","issued":{"date-parts":[["2016"]]},"page":"703-711","title":"Waterlogging at tillering affects spike and spikelet formation in wheat","type":"article-journal","volume":"67"},"uris":["http://www.mendeley.com/documents/?uuid=df94d767-bd2d-407e-b61a-ee43d08c5dee"]}],"mendeley":{"formattedCitation":"(Malik et al., 2002; Arduini et al., 2016; Zhang et al., 2023)","plainTextFormattedCitation":"(Malik et al., 2002; Arduini et al., 2016; Zhang et al., 2023)","previouslyFormattedCitation":"(Malik et al., 2002; Arduini et al., 2016; Zhang et al., 2023)"},"properties":{"noteIndex":0},"schema":"https://github.com/citation-style-language/schema/raw/master/csl-citation.json"}</w:instrText>
      </w:r>
      <w:r w:rsidRPr="00203EB0">
        <w:rPr>
          <w:iCs/>
          <w:szCs w:val="24"/>
        </w:rPr>
        <w:fldChar w:fldCharType="separate"/>
      </w:r>
      <w:r w:rsidR="00EB2F35" w:rsidRPr="00203EB0">
        <w:rPr>
          <w:iCs/>
          <w:noProof/>
          <w:szCs w:val="24"/>
        </w:rPr>
        <w:t>(Malik et al., 2002; Arduini et al., 2016; Zhang et al., 2023)</w:t>
      </w:r>
      <w:r w:rsidRPr="00203EB0">
        <w:rPr>
          <w:iCs/>
          <w:szCs w:val="24"/>
        </w:rPr>
        <w:fldChar w:fldCharType="end"/>
      </w:r>
      <w:r w:rsidRPr="00203EB0">
        <w:rPr>
          <w:iCs/>
          <w:szCs w:val="24"/>
        </w:rPr>
        <w:t xml:space="preserve">. </w:t>
      </w:r>
      <w:r w:rsidRPr="00203EB0">
        <w:rPr>
          <w:szCs w:val="24"/>
        </w:rPr>
        <w:t xml:space="preserve">Soil oxygen level below 10% affects crop growth </w:t>
      </w:r>
      <w:r w:rsidRPr="00203EB0">
        <w:rPr>
          <w:szCs w:val="24"/>
        </w:rPr>
        <w:fldChar w:fldCharType="begin" w:fldLock="1"/>
      </w:r>
      <w:r w:rsidRPr="00203EB0">
        <w:rPr>
          <w:szCs w:val="24"/>
        </w:rPr>
        <w:instrText>ADDIN CSL_CITATION {"citationItems":[{"id":"ITEM-1","itemData":{"DOI":"10.1093/aobpla/plv080","ISSN":"20412851","abstract":"Climatic variability, typified by erratic heavy-rainfall events, causes waterlogging in intensively irrigated crops and is exacerbated under warm temperature regimes on soils with poor internal drainage. Irrigated cotton is often grown in precisely these conditions, exposing it to waterlogging-induced yield losses after substantial summer rainfall. This calls for a deeper understanding of mechanisms of waterlogging tolerance and its relevance to cotton. Hence this review suggests possible causes of waterlogging-induced yield loss in cotton and approaches to improvement of waterlogging tolerance, drawing upon the slight body of published data in cotton and principles from other species. The yield penalty depends on soil type, phenological stage and cumulative period of root exposure to air-filled porosities below 10 %. Events in the soil include O2 deficiency in the root zone that changes the redox state of nutrients, making them unavailable (e.g. nitrogen) or potentially toxic for plants. Furthermore, root-derived hormones that are transported in the xylem have long been associated with oxygen deficits. These belowground effects (impaired root growth, nutrient uptake and transport, hormonal signalling) affect the shoots, interfering with canopy development, photosynthesis and radiation-use efficiency. Compared with the more waterlogging-tolerant cereals, cotton does not have identified adaptations to waterlogging in the root zone, forming no conspicuous root aerenchyma and having low fermentative activity. We speculate that these factors contribute substantially to the sensitivity of cotton to sustained periods of waterlogging. We discuss the impact of these belowground factors on shoot performance, photosynthesis and yield components. Management practices, i.e. soil aeration, scheduling irrigation and fertilizer application, can reduce waterlogging-induced damage. Limiting ethylene biosynthesis using anti-ethylene agents and down-regulating expression of genes controlling ethylene biosynthesis are strong candidates to minimize yield losses in waterlogged cotton crops. Other key pathways of anoxia tolerance are also cited as potential tools towards waterlogging-tolerant cotton genotypes.","author":[{"dropping-particle":"","family":"Najeeb","given":"Ullah","non-dropping-particle":"","parse-names":false,"suffix":""},{"dropping-particle":"","family":"Bange","given":"Michael P.","non-dropping-particle":"","parse-names":false,"suffix":""},{"dropping-particle":"","family":"Tan","given":"Daniel K.Y.","non-dropping-particle":"","parse-names":false,"suffix":""},{"dropping-particle":"","family":"Atwell","given":"Brian J.","non-dropping-particle":"","parse-names":false,"suffix":""}],"container-title":"AoB PLANTS","id":"ITEM-1","issued":{"date-parts":[["2015"]]},"title":"Consequences of waterlogging in cotton and opportunities for mitigation of yield losses","type":"article-journal","volume":"7"},"uris":["http://www.mendeley.com/documents/?uuid=f807c4b0-ec7c-420b-a0f0-e49d9a5cc55e"]},{"id":"ITEM-2","itemData":{"DOI":"10.1016/S1369-5266(03)00038-4","ISSN":"13695266","PMID":"12753974","abstract":"Oxygen can fall to low concentrations within plant tissues, either because of environmental factors that decrease the external oxygen concentration or because the movement of oxygen through the plant tissues cannot keep pace with the rate of oxygen consumption. Recent studies document that plants can decrease their oxygen consumption in response to low oxygen concentrations to avoid internal anoxia. This adaptive response involves a restriction of respiration and a concomitant decrease in ATP consumption that results from the inhibition of a wide range of biosynthetic processes. The inhibition of respiration is rapid and occurs at oxygen concentrations well above the Km(oxygen) of cytochrome oxidase, indicating that an oxygen-sensing system triggers a coordinated inhibition of ATP formation and consumption. In addition to this, low oxygen concentrations lead to the induction of a plant-specific and energy-conserving pathway of sucrose degradation, which decreases oxygen consumption and improves plant performance. Low oxygen concentrations also lead to long-term morphological adaptations, which allow respiration per volume tissue to be decreased and oxygen entry to be increased. Recently, advances have been made in elucidating possible oxygen-sensing systems and regulatory components that are involved in these responses.","author":[{"dropping-particle":"","family":"Geigenberger","given":"Peter","non-dropping-particle":"","parse-names":false,"suffix":""}],"container-title":"Current Opinion in Plant Biology","id":"ITEM-2","issue":"3","issued":{"date-parts":[["2003"]]},"page":"247-256","title":"Response of plant metabolism to too little oxygen","type":"article-journal","volume":"6"},"uris":["http://www.mendeley.com/documents/?uuid=70687a6c-9b8c-4afa-8a7e-6dd43c4514ac"]}],"mendeley":{"formattedCitation":"(Geigenberger, 2003; Najeeb et al., 2015)","plainTextFormattedCitation":"(Geigenberger, 2003; Najeeb et al., 2015)","previouslyFormattedCitation":"(Geigenberger, 2003; Najeeb et al., 2015)"},"properties":{"noteIndex":0},"schema":"https://github.com/citation-style-language/schema/raw/master/csl-citation.json"}</w:instrText>
      </w:r>
      <w:r w:rsidRPr="00203EB0">
        <w:rPr>
          <w:szCs w:val="24"/>
        </w:rPr>
        <w:fldChar w:fldCharType="separate"/>
      </w:r>
      <w:r w:rsidRPr="00203EB0">
        <w:rPr>
          <w:noProof/>
          <w:szCs w:val="24"/>
        </w:rPr>
        <w:t>(Geigenberger, 2003; Najeeb et al., 2015)</w:t>
      </w:r>
      <w:r w:rsidRPr="00203EB0">
        <w:rPr>
          <w:szCs w:val="24"/>
        </w:rPr>
        <w:fldChar w:fldCharType="end"/>
      </w:r>
      <w:r w:rsidRPr="00203EB0">
        <w:rPr>
          <w:szCs w:val="24"/>
        </w:rPr>
        <w:t xml:space="preserve">, elemental reductions </w:t>
      </w:r>
      <w:r w:rsidRPr="00203EB0">
        <w:rPr>
          <w:szCs w:val="24"/>
        </w:rPr>
        <w:fldChar w:fldCharType="begin" w:fldLock="1"/>
      </w:r>
      <w:r w:rsidR="00EB2F35" w:rsidRPr="00203EB0">
        <w:rPr>
          <w:szCs w:val="24"/>
        </w:rPr>
        <w:instrText>ADDIN CSL_CITATION {"citationItems":[{"id":"ITEM-1","itemData":{"author":[{"dropping-particle":"","family":"Turner","given":"F.T","non-dropping-particle":"","parse-names":false,"suffix":""},{"dropping-particle":"","family":"Patrick","given":"W H","non-dropping-particle":"","parse-names":false,"suffix":""}],"container-title":"Transactions. 9th int. Congr. Soil Sci.","id":"ITEM-1","issued":{"date-parts":[["1968"]]},"page":"53-65","publisher-place":"Adelaide","title":"Chemical changes in waterlogged soils as a result of oxygen depletion","type":"paper-conference"},"uris":["http://www.mendeley.com/documents/?uuid=349c9b8e-96c4-4cce-b1cd-eaab84b3a75c"]}],"mendeley":{"formattedCitation":"(Turner and Patrick, 1968)","plainTextFormattedCitation":"(Turner and Patrick, 1968)","previouslyFormattedCitation":"(Turner and Patrick, 1968)"},"properties":{"noteIndex":0},"schema":"https://github.com/citation-style-language/schema/raw/master/csl-citation.json"}</w:instrText>
      </w:r>
      <w:r w:rsidRPr="00203EB0">
        <w:rPr>
          <w:szCs w:val="24"/>
        </w:rPr>
        <w:fldChar w:fldCharType="separate"/>
      </w:r>
      <w:r w:rsidR="00EB2F35" w:rsidRPr="00203EB0">
        <w:rPr>
          <w:noProof/>
          <w:szCs w:val="24"/>
        </w:rPr>
        <w:t>(Turner and Patrick, 1968)</w:t>
      </w:r>
      <w:r w:rsidRPr="00203EB0">
        <w:rPr>
          <w:szCs w:val="24"/>
        </w:rPr>
        <w:fldChar w:fldCharType="end"/>
      </w:r>
      <w:r w:rsidRPr="00203EB0">
        <w:rPr>
          <w:szCs w:val="24"/>
        </w:rPr>
        <w:t xml:space="preserve">, and soil biology </w:t>
      </w:r>
      <w:r w:rsidRPr="00203EB0">
        <w:rPr>
          <w:szCs w:val="24"/>
        </w:rPr>
        <w:fldChar w:fldCharType="begin" w:fldLock="1"/>
      </w:r>
      <w:r w:rsidR="00EB2F35" w:rsidRPr="00203EB0">
        <w:rPr>
          <w:szCs w:val="24"/>
        </w:rPr>
        <w:instrText>ADDIN CSL_CITATION {"citationItems":[{"id":"ITEM-1","itemData":{"DOI":"10.1128/AEM.71.11.6998-7007.2005","ISSN":"00992240","PMID":"16269735","abstract":"Frequent high-amplitude redox fluctuation may be a strong selective force on the phylogenetic and physiological composition of soil bacterial communities and may promote metabolic plasticity or redox tolerance mechanisms. To determine effects of fluctuating oxygen regimens, we incubated tropical soils under four treatments: aerobic, anaerobic, 12-h oxic/anoxic fluctuation, and 4-day oxic/anoxic fluctuation. Changes in soil bacterial community structure and diversity were monitored with terminal restriction fragment length polymorphism (T-RFLP) fingerprints. These profiles were correlated with gross N cycling rates, and a Web-based phylogenetic assignment tool was used to infer putative community composition from multiple fragment patterns. T-RFLP ordinations indicated that bacterial communities from 4-day oxic/anoxic incubations were most similar to field communities, whereas those incubated under consistently aerobic or anaerobic regimens developed distinctly different molecular profiles. Terminal fragments found in field soils persisted either in 4-day fluctuation/aerobic conditions or in anaerobic/12-h treatments but rarely in both. Only 3 of 179 total fragments were ubiquitous in all soils. Soil bacterial communities inferred from in silico phylogenetic assignment appeared to be dominated by Actinobacteria (especially Micrococcus and Streptomycetes), \"Bacilli,\" \"Clostridia,\" and Burkholderia and lost significant diversity under consistently or frequently anoxic incubations. Community patterns correlated well with redox-sensitive processes such as nitrification, dissimilatory nitrate reduction to ammonium (DNRA), and denitriflcation but did not predict patterns of more general functions such as N mineralization and consumption. The results suggest that this soil's indigenous bacteria are highly adapted to fluctuating redox regimens and generally possess physiological tolerance mechanisms which allow them to withstand unfavorable redox periods. Copyright © 2005, American Society for Microbiology. All Rights Reserved.","author":[{"dropping-particle":"","family":"Pett-Ridge","given":"J.","non-dropping-particle":"","parse-names":false,"suffix":""},{"dropping-particle":"","family":"Firestone","given":"M. K.","non-dropping-particle":"","parse-names":false,"suffix":""}],"container-title":"Applied and Environmental Microbiology","id":"ITEM-1","issue":"11","issued":{"date-parts":[["2005"]]},"page":"6998-7007","title":"Redox fluctuation structures microbial communities in a wet tropical soil","type":"article-journal","volume":"71"},"uris":["http://www.mendeley.com/documents/?uuid=9da0f219-996c-45c4-a960-5f4552ab107a"]}],"mendeley":{"formattedCitation":"(Pett-Ridge and Firestone, 2005)","plainTextFormattedCitation":"(Pett-Ridge and Firestone, 2005)","previouslyFormattedCitation":"(Pett-Ridge and Firestone, 2005)"},"properties":{"noteIndex":0},"schema":"https://github.com/citation-style-language/schema/raw/master/csl-citation.json"}</w:instrText>
      </w:r>
      <w:r w:rsidRPr="00203EB0">
        <w:rPr>
          <w:szCs w:val="24"/>
        </w:rPr>
        <w:fldChar w:fldCharType="separate"/>
      </w:r>
      <w:r w:rsidR="00EB2F35" w:rsidRPr="00203EB0">
        <w:rPr>
          <w:noProof/>
          <w:szCs w:val="24"/>
        </w:rPr>
        <w:t>(Pett-Ridge and Firestone, 2005)</w:t>
      </w:r>
      <w:r w:rsidRPr="00203EB0">
        <w:rPr>
          <w:szCs w:val="24"/>
        </w:rPr>
        <w:fldChar w:fldCharType="end"/>
      </w:r>
      <w:r w:rsidRPr="00203EB0">
        <w:rPr>
          <w:szCs w:val="24"/>
        </w:rPr>
        <w:t xml:space="preserve">. </w:t>
      </w:r>
      <w:r w:rsidRPr="00203EB0">
        <w:rPr>
          <w:iCs/>
          <w:szCs w:val="24"/>
        </w:rPr>
        <w:t xml:space="preserve">However, high-resolution soil oxygen data is often unavailable, which hinders our understanding of how soil health practices contribute to soil aeration. The resilience of soil aeration to sudden environmental changes is crucial for sustaining crop productivity and environmental quality. By leveraging a long-term cotton experiment employing NT and CC for 42 years, we continuously monitored surface soil oxygen dynamics during the growing season. We hypothesized that soil oxygen availability and resilience after extreme precipitation events will significantly improve under cover cropping and NT practices compared to conventional tillage (CT) and no cover cropping practices. </w:t>
      </w:r>
    </w:p>
    <w:p w14:paraId="59D090D0" w14:textId="2FAC58B3" w:rsidR="004F08CE" w:rsidRPr="00203EB0" w:rsidRDefault="004E7D25" w:rsidP="00A61CF4">
      <w:pPr>
        <w:pStyle w:val="Heading2"/>
      </w:pPr>
      <w:bookmarkStart w:id="38" w:name="_Toc206669114"/>
      <w:r w:rsidRPr="00203EB0">
        <w:t>Materials and Methods</w:t>
      </w:r>
      <w:bookmarkEnd w:id="38"/>
      <w:r w:rsidRPr="00203EB0">
        <w:t xml:space="preserve"> </w:t>
      </w:r>
    </w:p>
    <w:p w14:paraId="152ADD09" w14:textId="077A4E72" w:rsidR="004E7D25" w:rsidRPr="00203EB0" w:rsidRDefault="004E7D25" w:rsidP="00442F1C">
      <w:pPr>
        <w:spacing w:line="480" w:lineRule="auto"/>
        <w:rPr>
          <w:rFonts w:cs="Times New Roman"/>
        </w:rPr>
      </w:pPr>
      <w:r w:rsidRPr="00203EB0">
        <w:rPr>
          <w:rFonts w:cs="Times New Roman"/>
          <w:iCs/>
        </w:rPr>
        <w:t xml:space="preserve">This study (2023) was conducted in </w:t>
      </w:r>
      <w:r w:rsidRPr="00203EB0">
        <w:rPr>
          <w:rFonts w:cs="Times New Roman"/>
        </w:rPr>
        <w:t xml:space="preserve">a long-term continuous cotton experiment established in 1981 at the University of Tennessee in Jackson, Tennessee (35°37′22″ N, 88°50′47″ W), in a site with a Lexington silt loam soil (fine-silty, mixed, thermic, </w:t>
      </w:r>
      <w:proofErr w:type="spellStart"/>
      <w:r w:rsidRPr="00203EB0">
        <w:rPr>
          <w:rFonts w:cs="Times New Roman"/>
        </w:rPr>
        <w:t>Ultic</w:t>
      </w:r>
      <w:proofErr w:type="spellEnd"/>
      <w:r w:rsidRPr="00203EB0">
        <w:rPr>
          <w:rFonts w:cs="Times New Roman"/>
        </w:rPr>
        <w:t xml:space="preserve"> </w:t>
      </w:r>
      <w:proofErr w:type="spellStart"/>
      <w:r w:rsidRPr="00203EB0">
        <w:rPr>
          <w:rFonts w:cs="Times New Roman"/>
        </w:rPr>
        <w:t>Hapludalfs</w:t>
      </w:r>
      <w:proofErr w:type="spellEnd"/>
      <w:r w:rsidRPr="00203EB0">
        <w:rPr>
          <w:rFonts w:cs="Times New Roman"/>
        </w:rPr>
        <w:t xml:space="preserve">). Cotton </w:t>
      </w:r>
      <w:proofErr w:type="gramStart"/>
      <w:r w:rsidRPr="00203EB0">
        <w:rPr>
          <w:rFonts w:cs="Times New Roman"/>
        </w:rPr>
        <w:t>crop</w:t>
      </w:r>
      <w:r w:rsidR="00001ABC" w:rsidRPr="00203EB0">
        <w:rPr>
          <w:rFonts w:cs="Times New Roman"/>
        </w:rPr>
        <w:t xml:space="preserve"> </w:t>
      </w:r>
      <w:r w:rsidRPr="00203EB0">
        <w:rPr>
          <w:rFonts w:cs="Times New Roman"/>
        </w:rPr>
        <w:t>is</w:t>
      </w:r>
      <w:proofErr w:type="gramEnd"/>
      <w:r w:rsidRPr="00203EB0">
        <w:rPr>
          <w:rFonts w:cs="Times New Roman"/>
        </w:rPr>
        <w:t xml:space="preserve"> followed by either winter CC or fallow. The experiment is laid out in randomized complete blocks with split-split plot design with four replications and a total of 128 experimental units (12 m × 8 m). Further experimental design and management details can be found in </w:t>
      </w:r>
      <w:r w:rsidRPr="00203EB0">
        <w:rPr>
          <w:rFonts w:cs="Times New Roman"/>
        </w:rPr>
        <w:fldChar w:fldCharType="begin" w:fldLock="1"/>
      </w:r>
      <w:r w:rsidRPr="00203EB0">
        <w:rPr>
          <w:rFonts w:cs="Times New Roman"/>
        </w:rPr>
        <w:instrText>ADDIN CSL_CITATION {"citationItems":[{"id":"ITEM-1","itemData":{"DOI":"10.1016/j.agee.2020.107007","ISSN":"01678809","abstract":"Resilient agroecosystems are foundational for stable and profitable food, feed, and fiber production in the face of increasing climatic perturbations and environmental stresses. Enhanced soil and environmental benefits of cover crops applied to conservation tillage systems has been well documented. However, little is known about the timespan for interactions of no tillage and cover crops to achieve enhanced yield and yield stability while lowering N fertilization. Using a long-term continuous cotton experiment in southeastern USA, we analyzed yield data collected from 1986 to 2018 from 32 management systems to identify how management duration controls the synergistic effect of applied mineral N rates (0, 34, 67, and 101 kg ha−1), cover crops (no cover [NC], hairy vetch [HV], crimson clover [CC], and winter wheat [WW]), and tillage practices (no tillage [NT] and conventional tillage [CT]) on cotton yield and yield stability. Yield stability was analyzed using Finlay—Wilkinson regression model, Wricke's Ecovalance, and coefficient of variation, and a mixed model approach was used to compare the yield and yield stability within three time phases (1−10 years, 11–20 years, and 21−33 years) at the 95% confidence level. During the initial 10 yr period (phase 1) CT resulted in greater cotton yield (7%) and yield stability than NT. However, in phase 2 (11–20 years) and phase 3 (21−33 years) NT led to greater yield (7%) and yield stability for almost all cover crop × N interactions, except for zero N following NC and WW. Increased N during the initial phase reduced both yield and yield stability under legume cover crops. During phases 2 and 3, however, the higher N rates (67 and 101 kg N ha−1) increased cotton yield, although management systems with 0 and 101 kg N ha−1 showed the largest temporal yield variability. Legume cover crops increased yield and yield stability under low N rates. The maximum combined yield and yield stability benefit was obtained from HV cover on NT with additional application of 34 kg N ha−1. Our results suggest that after the initial phase NT delivers the most consistent yield benefits while enhancing yield stability against unfavorable environmental conditions. Long-term integration of legume cover crops (particularly HV) to NT systems was effective in maintaining high yield and increasing yield stability while lowering N rates.","author":[{"dropping-particle":"","family":"Nouri","given":"Amin","non-dropping-particle":"","parse-names":false,"suffix":""},{"dropping-particle":"","family":"Lee","given":"Jaehoon","non-dropping-particle":"","parse-names":false,"suffix":""},{"dropping-particle":"","family":"Yoder","given":"Daniel C.","non-dropping-particle":"","parse-names":false,"suffix":""},{"dropping-particle":"","family":"Jagadamma","given":"Sindhu","non-dropping-particle":"","parse-names":false,"suffix":""},{"dropping-particle":"","family":"Walker","given":"Forbes R.","non-dropping-particle":"","parse-names":false,"suffix":""},{"dropping-particle":"","family":"Yin","given":"Xinhua","non-dropping-particle":"","parse-names":false,"suffix":""},{"dropping-particle":"","family":"Arelli","given":"Prakash","non-dropping-particle":"","parse-names":false,"suffix":""}],"container-title":"Agriculture, Ecosystems and Environment","id":"ITEM-1","issued":{"date-parts":[["2020"]]},"page":"107007","publisher":"Elsevier","title":"Management duration controls the synergistic effect of tillage, cover crop, and nitrogen rate on cotton yield and yield stability","type":"article-journal","volume":"301"},"uris":["http://www.mendeley.com/documents/?uuid=256f2cd2-23e2-4c11-bb8a-0aa13549a3d8"]}],"mendeley":{"formattedCitation":"(Nouri et al., 2020)","manualFormatting":"Nouri et al. (2020)","plainTextFormattedCitation":"(Nouri et al., 2020)","previouslyFormattedCitation":"(Nouri et al., 2020)"},"properties":{"noteIndex":0},"schema":"https://github.com/citation-style-language/schema/raw/master/csl-citation.json"}</w:instrText>
      </w:r>
      <w:r w:rsidRPr="00203EB0">
        <w:rPr>
          <w:rFonts w:cs="Times New Roman"/>
        </w:rPr>
        <w:fldChar w:fldCharType="separate"/>
      </w:r>
      <w:r w:rsidRPr="00203EB0">
        <w:rPr>
          <w:rFonts w:cs="Times New Roman"/>
          <w:noProof/>
        </w:rPr>
        <w:t>Nouri et al. (2020)</w:t>
      </w:r>
      <w:r w:rsidRPr="00203EB0">
        <w:rPr>
          <w:rFonts w:cs="Times New Roman"/>
        </w:rPr>
        <w:fldChar w:fldCharType="end"/>
      </w:r>
      <w:r w:rsidRPr="00203EB0">
        <w:rPr>
          <w:rFonts w:cs="Times New Roman"/>
        </w:rPr>
        <w:t xml:space="preserve">. To test our hypothesis, 12 plots were used in </w:t>
      </w:r>
      <w:r w:rsidRPr="00203EB0">
        <w:rPr>
          <w:rFonts w:cs="Times New Roman"/>
        </w:rPr>
        <w:lastRenderedPageBreak/>
        <w:t>this study including: two levels of CC (no cover crop, NC; and hairy vetch, HV), two levels of tillage (NT and CT) randomized in three blocks. This arrangement resulted in four treatments: NT + NC, NT + HV, CT + NC, and CT + HV. All the treatments received 67 kg N ha</w:t>
      </w:r>
      <w:r w:rsidRPr="00203EB0">
        <w:rPr>
          <w:rFonts w:cs="Times New Roman"/>
          <w:vertAlign w:val="superscript"/>
        </w:rPr>
        <w:t>-1</w:t>
      </w:r>
      <w:r w:rsidRPr="00203EB0">
        <w:rPr>
          <w:rFonts w:cs="Times New Roman"/>
        </w:rPr>
        <w:t xml:space="preserve"> as urea. </w:t>
      </w:r>
    </w:p>
    <w:p w14:paraId="286E548C" w14:textId="4BB4C2BE" w:rsidR="004E7D25" w:rsidRPr="00203EB0" w:rsidRDefault="004E7D25" w:rsidP="004E7D25">
      <w:pPr>
        <w:spacing w:line="480" w:lineRule="auto"/>
        <w:rPr>
          <w:rFonts w:cs="Times New Roman"/>
        </w:rPr>
      </w:pPr>
      <w:r w:rsidRPr="00203EB0">
        <w:rPr>
          <w:rFonts w:cs="Times New Roman"/>
        </w:rPr>
        <w:t>Soil oxygen sensors (SO-110 series, Apogee Instruments, Logan UT; non-condensing) were installed at a 10-cm depth in between two crop rows at the center of each plot in spring 2023. These sensors were equipped with a thermistor temperature sensor for temperature correction and a diffusion head to maintain a clear sensor opening. CR1000X data-loggers (Campbell Scientific, INC.) were used to read the oxygen and temperature measurements every 30</w:t>
      </w:r>
      <w:r w:rsidR="0014330A" w:rsidRPr="00203EB0">
        <w:rPr>
          <w:rFonts w:cs="Times New Roman"/>
        </w:rPr>
        <w:t xml:space="preserve"> s</w:t>
      </w:r>
      <w:r w:rsidRPr="00203EB0">
        <w:rPr>
          <w:rFonts w:cs="Times New Roman"/>
        </w:rPr>
        <w:t xml:space="preserve"> and log the average every 30</w:t>
      </w:r>
      <w:r w:rsidR="0014330A" w:rsidRPr="00203EB0">
        <w:rPr>
          <w:rFonts w:cs="Times New Roman"/>
        </w:rPr>
        <w:t xml:space="preserve"> min</w:t>
      </w:r>
      <w:r w:rsidRPr="00203EB0">
        <w:rPr>
          <w:rFonts w:cs="Times New Roman"/>
        </w:rPr>
        <w:t xml:space="preserve">. The sensors were allowed to equilibrate for several weeks after installation before data collection began shortly after cotton planting. Soil oxygen data was collected from May 22 to October 20. Before installation, the oxygen sensors were individually tested in a controlled gas chamber environment and corrected to minimize inter-sensor variability. </w:t>
      </w:r>
    </w:p>
    <w:p w14:paraId="2BAE5421" w14:textId="6A5709E3" w:rsidR="004E7D25" w:rsidRPr="00203EB0" w:rsidRDefault="004E7D25" w:rsidP="00001ABC">
      <w:pPr>
        <w:spacing w:line="480" w:lineRule="auto"/>
        <w:rPr>
          <w:rFonts w:cs="Times New Roman"/>
        </w:rPr>
      </w:pPr>
      <w:r w:rsidRPr="00203EB0">
        <w:rPr>
          <w:rFonts w:cs="Times New Roman"/>
        </w:rPr>
        <w:t xml:space="preserve">The impact of CC, tillage practices, and their interaction on average soil oxygen concentration and cumulative hours of soil oxygen &lt; 10% during the cotton growing season were analyzed using a generalized linear mixed model with lme4 package in R statistical software (version 4.3.0). The </w:t>
      </w:r>
      <w:r w:rsidR="00527612" w:rsidRPr="00203EB0">
        <w:rPr>
          <w:rFonts w:cs="Times New Roman"/>
        </w:rPr>
        <w:t>analysis of variance (</w:t>
      </w:r>
      <w:r w:rsidRPr="00203EB0">
        <w:rPr>
          <w:rFonts w:cs="Times New Roman"/>
        </w:rPr>
        <w:t>ANOVA</w:t>
      </w:r>
      <w:r w:rsidR="00527612" w:rsidRPr="00203EB0">
        <w:rPr>
          <w:rFonts w:cs="Times New Roman"/>
        </w:rPr>
        <w:t>)</w:t>
      </w:r>
      <w:r w:rsidRPr="00203EB0">
        <w:rPr>
          <w:rFonts w:cs="Times New Roman"/>
        </w:rPr>
        <w:t xml:space="preserve"> model included tillage and CC factors as fixed effects and block as a random effect. The average soil oxygen dynamics in response to three large summer precipitations events was analyzed using a linear model, followed by a one-way ANOVA. Unless otherwise indicated, means were compared using Tukey´s honest significant difference (HSD) test at </w:t>
      </w:r>
      <w:r w:rsidRPr="00203EB0">
        <w:rPr>
          <w:rFonts w:cs="Times New Roman"/>
          <w:i/>
        </w:rPr>
        <w:t>p</w:t>
      </w:r>
      <w:r w:rsidRPr="00203EB0">
        <w:rPr>
          <w:rFonts w:cs="Times New Roman"/>
        </w:rPr>
        <w:t xml:space="preserve"> ≤ 0.05. Data were transformed using </w:t>
      </w:r>
      <w:r w:rsidRPr="00203EB0">
        <w:rPr>
          <w:rFonts w:cs="Times New Roman"/>
        </w:rPr>
        <w:lastRenderedPageBreak/>
        <w:t>arcsine or log transformations, as appropriate, to meet the assumptions of normality and homoscedasticity.</w:t>
      </w:r>
    </w:p>
    <w:p w14:paraId="3398D9A1" w14:textId="77777777" w:rsidR="00394E5C" w:rsidRPr="00203EB0" w:rsidRDefault="00394E5C" w:rsidP="00001ABC">
      <w:pPr>
        <w:pStyle w:val="Heading2"/>
      </w:pPr>
      <w:bookmarkStart w:id="39" w:name="_Toc206669115"/>
      <w:r w:rsidRPr="00203EB0">
        <w:t>Results and discussion</w:t>
      </w:r>
      <w:bookmarkEnd w:id="39"/>
    </w:p>
    <w:p w14:paraId="77B7D4D1" w14:textId="66634571" w:rsidR="00150930" w:rsidRPr="00622616" w:rsidRDefault="00150930" w:rsidP="00001ABC">
      <w:pPr>
        <w:spacing w:line="480" w:lineRule="auto"/>
        <w:rPr>
          <w:rFonts w:cs="Times New Roman"/>
          <w:lang w:val="es-UY"/>
        </w:rPr>
      </w:pPr>
      <w:r w:rsidRPr="00203EB0">
        <w:rPr>
          <w:rFonts w:cs="Times New Roman"/>
        </w:rPr>
        <w:t xml:space="preserve">Cover </w:t>
      </w:r>
      <w:r w:rsidR="00A616DF" w:rsidRPr="00203EB0">
        <w:rPr>
          <w:rFonts w:cs="Times New Roman"/>
        </w:rPr>
        <w:t>crops</w:t>
      </w:r>
      <w:r w:rsidRPr="00203EB0">
        <w:rPr>
          <w:rFonts w:cs="Times New Roman"/>
        </w:rPr>
        <w:t xml:space="preserve"> significantly influenced soil oxygen dynamics, with approximately 4x shorter period when soil oxygen dropped &lt;10% during the growing </w:t>
      </w:r>
      <w:proofErr w:type="gramStart"/>
      <w:r w:rsidRPr="00203EB0">
        <w:rPr>
          <w:rFonts w:cs="Times New Roman"/>
        </w:rPr>
        <w:t>season, and</w:t>
      </w:r>
      <w:proofErr w:type="gramEnd"/>
      <w:r w:rsidRPr="00203EB0">
        <w:rPr>
          <w:rFonts w:cs="Times New Roman"/>
        </w:rPr>
        <w:t xml:space="preserve"> consistently maintained higher average soil oxygen availability compared to NC treatments (</w:t>
      </w:r>
      <w:r w:rsidRPr="00203EB0">
        <w:rPr>
          <w:rFonts w:cs="Times New Roman"/>
          <w:b/>
        </w:rPr>
        <w:t xml:space="preserve">Table </w:t>
      </w:r>
      <w:r w:rsidR="00B81543" w:rsidRPr="00203EB0">
        <w:rPr>
          <w:rFonts w:cs="Times New Roman"/>
          <w:b/>
        </w:rPr>
        <w:t>3.</w:t>
      </w:r>
      <w:r w:rsidRPr="00203EB0">
        <w:rPr>
          <w:rFonts w:cs="Times New Roman"/>
          <w:b/>
        </w:rPr>
        <w:t>1</w:t>
      </w:r>
      <w:r w:rsidRPr="00203EB0">
        <w:rPr>
          <w:rFonts w:cs="Times New Roman"/>
        </w:rPr>
        <w:t>). Similarly, NT treatments showed higher soil oxygen content during July (</w:t>
      </w:r>
      <w:r w:rsidRPr="00203EB0">
        <w:rPr>
          <w:rFonts w:cs="Times New Roman"/>
          <w:i/>
        </w:rPr>
        <w:t xml:space="preserve">p </w:t>
      </w:r>
      <w:r w:rsidRPr="00203EB0">
        <w:rPr>
          <w:rFonts w:cs="Times New Roman"/>
        </w:rPr>
        <w:t>≤ 0.05</w:t>
      </w:r>
      <w:proofErr w:type="gramStart"/>
      <w:r w:rsidRPr="00203EB0">
        <w:rPr>
          <w:rFonts w:cs="Times New Roman"/>
        </w:rPr>
        <w:t>)</w:t>
      </w:r>
      <w:proofErr w:type="gramEnd"/>
      <w:r w:rsidRPr="00203EB0">
        <w:rPr>
          <w:rFonts w:cs="Times New Roman"/>
        </w:rPr>
        <w:t xml:space="preserve"> and August (</w:t>
      </w:r>
      <w:r w:rsidRPr="00203EB0">
        <w:rPr>
          <w:rFonts w:cs="Times New Roman"/>
          <w:i/>
        </w:rPr>
        <w:t xml:space="preserve">p </w:t>
      </w:r>
      <w:r w:rsidRPr="00203EB0">
        <w:rPr>
          <w:rFonts w:cs="Times New Roman"/>
        </w:rPr>
        <w:t>≤ 0.10) compared to CT treatments. Moreover, NT treatments experienced nearly three times fewer hours of oxygen stress throughout the growing season compared to the CT counterpart (</w:t>
      </w:r>
      <w:r w:rsidRPr="00203EB0">
        <w:rPr>
          <w:rFonts w:cs="Times New Roman"/>
          <w:i/>
        </w:rPr>
        <w:t xml:space="preserve">p </w:t>
      </w:r>
      <w:r w:rsidRPr="00203EB0">
        <w:rPr>
          <w:rFonts w:cs="Times New Roman"/>
        </w:rPr>
        <w:t xml:space="preserve">≤ 0.10). Better soil air-water balance to sustain oxygenated soil environment under cover cropping and NT is connected to improved soil physical properties impacting water infiltration and transmissions </w:t>
      </w:r>
      <w:r w:rsidRPr="00203EB0">
        <w:rPr>
          <w:rFonts w:cs="Times New Roman"/>
        </w:rPr>
        <w:fldChar w:fldCharType="begin" w:fldLock="1"/>
      </w:r>
      <w:r w:rsidR="00EB2F35" w:rsidRPr="00203EB0">
        <w:rPr>
          <w:rFonts w:cs="Times New Roman"/>
        </w:rPr>
        <w:instrText>ADDIN CSL_CITATION {"citationItems":[{"id":"ITEM-1","itemData":{"DOI":"10.1016/j.still.2005.01.002","ISSN":"01671987","abstract":"The aim of this paper is to clarify the effect of soil aggregation on physical and chemical properties of structured soils both on a bulk soil scale, for single aggregates, as well as for homogenized material. Aggregate formation and aggregate strength depend on swelling and shrinkage processes and on biological activity and kinds of organic exudates as well as on the intensity, number and time of swelling and drying events. Such aggregates are more dense than the bulk soil. The intra-aggregate pore distribution consists not only of finer pores, but these are also more tortuous. Therefore, water fluxes in aggregated soils are mostly multidimensional and the corresponding water fluxes in the intra-aggregate pore system are much smaller. Furthermore, ion transport both by mass flow and diffusion are delayed, whereby the length of the follow path in such tortuous finer pores further retards chemical exchange processes. The rearrangement of particles by aggregate formation also induces an increased apparent thermal diffusivity as compared with the homogenized material. The aggregate formation also affects the aeration and the gaseous composition in the intra-aggregate pore space. Depending on the kind and intensity of aggregation, the intra-aggregate pores can be completely anoxic, while the inter-aggregate pores are already completely aerated. The possibility to predict physical properties on these various scales depends on the rigidity of the pore system. In general, this rigidity depends on the above-mentioned physical and chemical processes both with respect to intensity and frequency. Thus, aggregates like subangular block or plates are the most rigid systems, while physical processes in the seedbed cannot be modelled using existing approaches due to the low strength and consequent instability of the pore system. © 2005 Elsevier B.V. All rights reserved.","author":[{"dropping-particle":"","family":"Horn","given":"R.","non-dropping-particle":"","parse-names":false,"suffix":""},{"dropping-particle":"","family":"Smucker","given":"A.","non-dropping-particle":"","parse-names":false,"suffix":""}],"container-title":"Soil and Tillage Research","id":"ITEM-1","issue":"1","issued":{"date-parts":[["2005"]]},"page":"5-14","title":"Structure formation and its consequences for gas and water transport in unsaturated arable and forest soils","type":"article-journal","volume":"82"},"uris":["http://www.mendeley.com/documents/?uuid=0c79c54a-b09b-4320-9ec1-4456e38ee53b"]},{"id":"ITEM-2","itemData":{"DOI":"10.2136/sssaj2010.0430","ISSN":"03615995","abstract":"Inclusion of cover crops (CCs) may be a potential strategy to boost no-till performance by improving soil physical properties. To assess this potential, we utilized a winter wheat (Triticum aestivum L.)-grain sorghum [Sorghum bicolor (L.) Moench] rotation, four N rates, and a hairy vetch (HV; Vicia villosa Roth) CC after wheat during the first rotation cycles, which was replaced in subsequent cycles with sunn hemp (SH; Crotalaria juncea L.) and late-maturing soybean [LMS; Glycine max (L.) Merr.] CCs in no-till on a silt loam. At the end of 15 yr, we studied the cumulative impacts of CCs on soil physical properties and assessed relationships between soil properties and soil organic C (SOC) concentration. Across N rates, SH reduced near-surface bulk density ( ρb ) by 4% and increased cumulative infiltration by three times relative to no-CC plots. Without N application, SH and LMS reduced Proctor maximum ρb , a parameter of soil compactibility, by 5%, indicating that soils under CCs may be less susceptible to compaction. Cover crops also increased mean weight diameter of aggregates (MWDA) by 80% in the 0- to 7.5-cm depth. The SOC concentration was 30% greater for SH and 20% greater for LMS than for no-CC plots in the 0- to 7.5-cm depth. The CC-induced increase in SOC concentration was negatively correlated with Proctor maximum ρb and positively with MWDA and cumulative infiltration. Overall, addition of CCs to no-till systems improved soil physical properties, and the CC-induced change in SOC concentration was correlated with soil physical properties. © Soil Science Society of America.","author":[{"dropping-particle":"","family":"Blanco-Canqui","given":"Humberto","non-dropping-particle":"","parse-names":false,"suffix":""},{"dropping-particle":"","family":"Mikha","given":"Maysoon M.","non-dropping-particle":"","parse-names":false,"suffix":""},{"dropping-particle":"","family":"Presley","given":"DeAnn R.","non-dropping-particle":"","parse-names":false,"suffix":""},{"dropping-particle":"","family":"Claassen","given":"Mark M.","non-dropping-particle":"","parse-names":false,"suffix":""}],"container-title":"Soil Science Society of America Journal","id":"ITEM-2","issue":"4","issued":{"date-parts":[["2011"]]},"page":"1471-1482","title":"Addition of cover crops enhances no-till potential for improving soil physical properties","type":"article-journal","volume":"75"},"uris":["http://www.mendeley.com/documents/?uuid=bd811282-56ce-4d24-98d6-fd580266fb1d"]},{"id":"ITEM-3","itemData":{"DOI":"10.1016/j.geoderma.2018.10.016","ISSN":"00167061","abstract":"In subhumid Southeastern USA, rapid decomposition of initially low cotton residue limits the benefits of no-tillage system in regard to the soil quality. Long-term addition of cover crops may compensate the low cotton residue and further improve the soil physical quality under no-tillage system. We examined the long-term (34 yr) effect of two cover crop species, hairy vetch (Vicia villosa), and winter wheat (Triticum aestivum L.), and no cover crop, applied on conventional tillage and no-tillage on soil hydro-physical properties and cotton yield. Research was conducted on a Lexington silt loam in Jackson, TN, during 2015 and 2016. Soil physical properties including bulk density, cone penetration resistance, in-situ soil moisture content, wet aggregate stability, water infiltration and field-saturated hydraulic conductivity, soil water retention characteristics, and dry aggregate size distribution were measured. Bulk density assessed before the annual tillage did not differ significantly between no-tillage and conventional tillage systems. Cone penetration resistance showed a greater horizontal consistency of maximally resistant zones (&gt;2 MPa) under tilled managements, indicating a possible presence of a plow pan immediately below the plowed soil layer. Differences in field soil moisture content among tillage and cover crops were more evident in drier periods of the growing seasons, resulting in 28.6% and 36.4% greater moisture content in vetch cover crop and no-tillage than no cover crop and conventional tillage, respectively. No-tillage and vetch cover crop also increased the wet aggregate stability by 13% at 0–15 cm. Results showed a significant tillage × cover crop interaction in soil hydraulic properties. Our result demonstrates that long-term incorporation of cover crops, particularly vetch with no-tillage, significantly improved the initial infiltration rate, cumulative infiltration, and field-saturated hydraulic conductivity and increased the mean weight diameter of aggregates by promoting the macroaggregation. Improvement in soil physical properties was associated with an increase in cotton lint yield under cover crop and no-tillage management.","author":[{"dropping-particle":"","family":"Nouri","given":"Amin","non-dropping-particle":"","parse-names":false,"suffix":""},{"dropping-particle":"","family":"Lee","given":"Jaehoon","non-dropping-particle":"","parse-names":false,"suffix":""},{"dropping-particle":"","family":"Yin","given":"Xinhua","non-dropping-particle":"","parse-names":false,"suffix":""},{"dropping-particle":"","family":"Tyler","given":"Donald D.","non-dropping-particle":"","parse-names":false,"suffix":""},{"dropping-particle":"","family":"Saxton","given":"Arnold M.","non-dropping-particle":"","parse-names":false,"suffix":""}],"container-title":"Geoderma","id":"ITEM-3","issued":{"date-parts":[["2019"]]},"page":"998-1008","publisher":"Elsevier","title":"Thirty-four years of no-tillage and cover crops improve soil quality and increase cotton yield in Alfisols, Southeastern USA","type":"article-journal","volume":"337"},"uris":["http://www.mendeley.com/documents/?uuid=f59bd687-1bf6-498c-9a57-cf742e9572be"]}],"mendeley":{"formattedCitation":"(Horn and Smucker, 2005; Blanco-Canqui et al., 2011; Nouri et al., 2019)","plainTextFormattedCitation":"(Horn and Smucker, 2005; Blanco-Canqui et al., 2011; Nouri et al., 2019)","previouslyFormattedCitation":"(Horn and Smucker, 2005; Blanco-Canqui et al., 2011; Nouri et al., 2019)"},"properties":{"noteIndex":0},"schema":"https://github.com/citation-style-language/schema/raw/master/csl-citation.json"}</w:instrText>
      </w:r>
      <w:r w:rsidRPr="00203EB0">
        <w:rPr>
          <w:rFonts w:cs="Times New Roman"/>
        </w:rPr>
        <w:fldChar w:fldCharType="separate"/>
      </w:r>
      <w:r w:rsidR="00EB2F35" w:rsidRPr="00203EB0">
        <w:rPr>
          <w:rFonts w:cs="Times New Roman"/>
          <w:noProof/>
        </w:rPr>
        <w:t>(Horn and Smucker, 2005; Blanco-Canqui et al., 2011; Nouri et al., 2019)</w:t>
      </w:r>
      <w:r w:rsidRPr="00203EB0">
        <w:rPr>
          <w:rFonts w:cs="Times New Roman"/>
        </w:rPr>
        <w:fldChar w:fldCharType="end"/>
      </w:r>
      <w:r w:rsidRPr="00203EB0">
        <w:rPr>
          <w:rFonts w:cs="Times New Roman"/>
        </w:rPr>
        <w:t xml:space="preserve">. Greater aggregate stability under NT and HV </w:t>
      </w:r>
      <w:r w:rsidRPr="00203EB0">
        <w:rPr>
          <w:rFonts w:cs="Times New Roman"/>
        </w:rPr>
        <w:fldChar w:fldCharType="begin" w:fldLock="1"/>
      </w:r>
      <w:r w:rsidR="004179E3" w:rsidRPr="00203EB0">
        <w:rPr>
          <w:rFonts w:cs="Times New Roman"/>
        </w:rPr>
        <w:instrText>ADDIN CSL_CITATION {"citationItems":[{"id":"ITEM-1","itemData":{"DOI":"10.1016/j.still.2008.02.001","ISSN":"01671987","abstract":"No-tillage systems affect soil properties depending on the soil, climate, and the time since its implementation. In heavy no-tilled soils a surface compacted layer is commonly found. Such layer can affect root growth and soil water infiltration. In several cases, surface organic carbon can buffer these problems. The aim of this study was to evaluate the effect of 4- and 7-year-old conventional (CT) and no-tillage (NT) treatments on soil physical properties, root growth, and wheat (Triticum turgidum L. var. durum) yield in an Entic Haploxeroll of Central Chile. In both tillage treatments we study soil water retention, bulk density (ρb), soil particle density (ρs), soil water infiltration, mean-weight diameter of soil aggregates (MWD), penetration resistance, grain yield, and root length density (Lv) up to a depth of 15 cm. The MWD and the penetration resistance were higher under NT as compared to CT. For the top 5 cm of soil, Lv was greater under NT as compared to CT. Differences of Lv between NT and CT were 2.09, 7.60, and 4.31 cm root cm-3 soil during the two leaves, flowering and grain filling phenological stages, respectively. Generally, the effect of NT on these properties was more evident near the soil surface. In contrast, fast drainage macropores, ρs, and soil water infiltration rates were higher under CT than under NT. Tillage treatments did not significantly affect ρb and yield. A longer time under no-tillage enhanced aggregate stability, however, other soil physical properties were negatively affected. © 2008 Elsevier B.V. All rights reserved.","author":[{"dropping-particle":"","family":"Martínez","given":"Eduardo","non-dropping-particle":"","parse-names":false,"suffix":""},{"dropping-particle":"","family":"Fuentes","given":"Juan Pablo","non-dropping-particle":"","parse-names":false,"suffix":""},{"dropping-particle":"","family":"Silva","given":"Paola","non-dropping-particle":"","parse-names":false,"suffix":""},{"dropping-particle":"","family":"Valle","given":"Susana","non-dropping-particle":"","parse-names":false,"suffix":""},{"dropping-particle":"","family":"Acevedo","given":"Edmundo","non-dropping-particle":"","parse-names":false,"suffix":""}],"container-title":"Soil and Tillage Research","id":"ITEM-1","issue":"2","issued":{"date-parts":[["2008"]]},"page":"232-244","title":"Soil physical properties and wheat root growth as affected by no-tillage and conventional tillage systems in a Mediterranean environment of Chile","type":"article-journal","volume":"99"},"uris":["http://www.mendeley.com/documents/?uuid=4f786c76-4f9d-4dec-b120-f5347ebf5824"]},{"id":"ITEM-2","itemData":{"DOI":"10.1002/ldr.2581","ISSN":"1099145X","abstract":"Within the Mediterranean basin, soil tillage enhances the mineralisation of soil organic matter. We assessed the short-term impact of shallow tillage [field cultivator (FC), rotary tiller (RT) and spading machine (SM)] on some soil quality indicators [bulk density, water-stable aggregates, total and labile organic C pools (microbial biomass and extractable organic C), soil respiration and related eco-physiological indexes] in a Sicilian vineyard. Also no tillage was included. We hypothesized that (i) RT and FC worsened soil quality indicators more than SM, and (ii) within the same tillage system, labile C pools, soil respiration and eco-physiological indexes will respond more efficiently than chemical and physical soil properties since the tillage starts. The experiment started at March 2009, and each tillage type was applied three times per year (March or April, May and June), with soil tilled up to 15-cm depth. Soil was sampled (0–15 and 15–30-cm depth) in March 2009, April 2010, May 2012 and June 2014. SM was very effective in preserving soil organic matter pool and in improving any monitored soil quality indicator, similarly to no tillage. By contrast, RT was the most deleterious machine as it worsened most investigated indicators. Such deleterious effects were due to drastic disruption of soil aggregates and consequent exposition of protected soil organic matter to further microbial mineralization. Labile organic C pools and microbial quotients were the most responsive soil parameters for assessing the impact of shallow tillage on soil quality, even in the short term (&lt;5 years). Copyright © 2016 John Wiley &amp; Sons, Ltd.","author":[{"dropping-particle":"","family":"Laudicina","given":"Vito Armando","non-dropping-particle":"","parse-names":false,"suffix":""},{"dropping-particle":"","family":"Palazzolo","given":"Eristanna","non-dropping-particle":"","parse-names":false,"suffix":""},{"dropping-particle":"","family":"Catania","given":"Pietro","non-dropping-particle":"","parse-names":false,"suffix":""},{"dropping-particle":"","family":"Vallone","given":"Mariangela","non-dropping-particle":"","parse-names":false,"suffix":""},{"dropping-particle":"","family":"García","given":"Antonio Delgado","non-dropping-particle":"","parse-names":false,"suffix":""},{"dropping-particle":"","family":"Badalucco","given":"Luigi","non-dropping-particle":"","parse-names":false,"suffix":""}],"container-title":"Land Degradation and Development","id":"ITEM-2","issue":"3","issued":{"date-parts":[["2017"]]},"page":"1038-1046","title":"Soil quality indicators as affected by shallow tillage in a vineyard grown in a semiarid Mediterranean environment","type":"article-journal","volume":"28"},"uris":["http://www.mendeley.com/documents/?uuid=62171783-a986-4935-b3ed-3519534251d9"]}],"mendeley":{"formattedCitation":"(Martínez et al., 2008; Laudicina et al., 2017)","plainTextFormattedCitation":"(Martínez et al., 2008; Laudicina et al., 2017)","previouslyFormattedCitation":"(Martínez et al., 2008; Laudicina et al., 2017)"},"properties":{"noteIndex":0},"schema":"https://github.com/citation-style-language/schema/raw/master/csl-citation.json"}</w:instrText>
      </w:r>
      <w:r w:rsidRPr="00203EB0">
        <w:rPr>
          <w:rFonts w:cs="Times New Roman"/>
        </w:rPr>
        <w:fldChar w:fldCharType="separate"/>
      </w:r>
      <w:r w:rsidR="00EB2F35" w:rsidRPr="00203EB0">
        <w:rPr>
          <w:rFonts w:cs="Times New Roman"/>
          <w:noProof/>
        </w:rPr>
        <w:t>(Martínez et al., 2008; Laudicina et al., 2017)</w:t>
      </w:r>
      <w:r w:rsidRPr="00203EB0">
        <w:rPr>
          <w:rFonts w:cs="Times New Roman"/>
        </w:rPr>
        <w:fldChar w:fldCharType="end"/>
      </w:r>
      <w:r w:rsidRPr="00203EB0">
        <w:rPr>
          <w:rFonts w:cs="Times New Roman"/>
        </w:rPr>
        <w:t xml:space="preserve"> was reported to increase water infiltration and transmission </w:t>
      </w:r>
      <w:r w:rsidRPr="00203EB0">
        <w:rPr>
          <w:rFonts w:cs="Times New Roman"/>
        </w:rPr>
        <w:fldChar w:fldCharType="begin" w:fldLock="1"/>
      </w:r>
      <w:r w:rsidRPr="00203EB0">
        <w:rPr>
          <w:rFonts w:cs="Times New Roman"/>
        </w:rPr>
        <w:instrText>ADDIN CSL_CITATION {"citationItems":[{"id":"ITEM-1","itemData":{"DOI":"10.1016/S0167-1987(02)00027-2","ISBN":"1706769563","ISSN":"01671987","abstract":"Soil organic matter is a key attribute of soil quality that impacts soil aggregation and water infiltration. Two soils (Typic Kanhapludults), one under long-term management of conventional tillage (CT) and one under long-term management of no tillage (NT), were sampled to a depth of 12 cm. Soil cores (15 cm diameter) were either left intact or sieved and repacked to differentiate between short-term (sieving) and long-term (tillage management) effects of soil disturbance on water infiltration, penetration resistance, soil bulk density, macroaggregate stability, and soil organic carbon (SOC). Mean weekly water infiltration was not different between sieved and intact cores from long-term CT (22 cm h-1), but was significantly greater in intact (72 cm h-1) than in sieved (28 cm h-1) soil from long-term NT. The stratification ratio of SOC (i.e., of 0-3 cm depth divided by that of 6-12 cm depth) was predictive of water infiltration rate, irrespective of short- or long-term history of disturbance. Although tillage is used to increase soil porosity, it is a short-term solution that has negative consequences on surface soil structural stability, surface residue accumulation, and surface-SOC, which are critical features that control water infiltration and subsequent water transmission and storage in soil. The stratification ratio of SOC could be used as a simple diagnostic tool to identify land management strategies that improve soil water properties (e.g., infiltration, water-holding capacity, and plant-available water). Published by Elsevier Science B.V.","author":[{"dropping-particle":"","family":"Franzluebbers","given":"A. J.","non-dropping-particle":"","parse-names":false,"suffix":""}],"container-title":"Soil and Tillage Research","id":"ITEM-1","issue":"2","issued":{"date-parts":[["2002"]]},"page":"197-205","title":"Water infiltration and soil structure related to organic matter and its stratification with depth","type":"article-journal","volume":"66"},"uris":["http://www.mendeley.com/documents/?uuid=e6c0e950-121b-4baa-bd03-2410245735e7"]},{"id":"ITEM-2","itemData":{"DOI":"10.1016/j.geoderma.2018.10.016","ISSN":"00167061","abstract":"In subhumid Southeastern USA, rapid decomposition of initially low cotton residue limits the benefits of no-tillage system in regard to the soil quality. Long-term addition of cover crops may compensate the low cotton residue and further improve the soil physical quality under no-tillage system. We examined the long-term (34 yr) effect of two cover crop species, hairy vetch (Vicia villosa), and winter wheat (Triticum aestivum L.), and no cover crop, applied on conventional tillage and no-tillage on soil hydro-physical properties and cotton yield. Research was conducted on a Lexington silt loam in Jackson, TN, during 2015 and 2016. Soil physical properties including bulk density, cone penetration resistance, in-situ soil moisture content, wet aggregate stability, water infiltration and field-saturated hydraulic conductivity, soil water retention characteristics, and dry aggregate size distribution were measured. Bulk density assessed before the annual tillage did not differ significantly between no-tillage and conventional tillage systems. Cone penetration resistance showed a greater horizontal consistency of maximally resistant zones (&gt;2 MPa) under tilled managements, indicating a possible presence of a plow pan immediately below the plowed soil layer. Differences in field soil moisture content among tillage and cover crops were more evident in drier periods of the growing seasons, resulting in 28.6% and 36.4% greater moisture content in vetch cover crop and no-tillage than no cover crop and conventional tillage, respectively. No-tillage and vetch cover crop also increased the wet aggregate stability by 13% at 0–15 cm. Results showed a significant tillage × cover crop interaction in soil hydraulic properties. Our result demonstrates that long-term incorporation of cover crops, particularly vetch with no-tillage, significantly improved the initial infiltration rate, cumulative infiltration, and field-saturated hydraulic conductivity and increased the mean weight diameter of aggregates by promoting the macroaggregation. Improvement in soil physical properties was associated with an increase in cotton lint yield under cover crop and no-tillage management.","author":[{"dropping-particle":"","family":"Nouri","given":"Amin","non-dropping-particle":"","parse-names":false,"suffix":""},{"dropping-particle":"","family":"Lee","given":"Jaehoon","non-dropping-particle":"","parse-names":false,"suffix":""},{"dropping-particle":"","family":"Yin","given":"Xinhua","non-dropping-particle":"","parse-names":false,"suffix":""},{"dropping-particle":"","family":"Tyler","given":"Donald D.","non-dropping-particle":"","parse-names":false,"suffix":""},{"dropping-particle":"","family":"Saxton","given":"Arnold M.","non-dropping-particle":"","parse-names":false,"suffix":""}],"container-title":"Geoderma","id":"ITEM-2","issued":{"date-parts":[["2019"]]},"page":"998-1008","publisher":"Elsevier","title":"Thirty-four years of no-tillage and cover crops improve soil quality and increase cotton yield in Alfisols, Southeastern USA","type":"article-journal","volume":"337"},"uris":["http://www.mendeley.com/documents/?uuid=f59bd687-1bf6-498c-9a57-cf742e9572be"]}],"mendeley":{"formattedCitation":"(Franzluebbers, 2002; Nouri et al., 2019)","plainTextFormattedCitation":"(Franzluebbers, 2002; Nouri et al., 2019)","previouslyFormattedCitation":"(Franzluebbers, 2002; Nouri et al., 2019)"},"properties":{"noteIndex":0},"schema":"https://github.com/citation-style-language/schema/raw/master/csl-citation.json"}</w:instrText>
      </w:r>
      <w:r w:rsidRPr="00203EB0">
        <w:rPr>
          <w:rFonts w:cs="Times New Roman"/>
        </w:rPr>
        <w:fldChar w:fldCharType="separate"/>
      </w:r>
      <w:r w:rsidRPr="00203EB0">
        <w:rPr>
          <w:rFonts w:cs="Times New Roman"/>
          <w:noProof/>
        </w:rPr>
        <w:t>(Franzluebbers, 2002; Nouri et al., 2019)</w:t>
      </w:r>
      <w:r w:rsidRPr="00203EB0">
        <w:rPr>
          <w:rFonts w:cs="Times New Roman"/>
        </w:rPr>
        <w:fldChar w:fldCharType="end"/>
      </w:r>
      <w:r w:rsidRPr="00203EB0">
        <w:rPr>
          <w:rFonts w:cs="Times New Roman"/>
        </w:rPr>
        <w:t xml:space="preserve">, in response to higher surface soil organic carbon accumulation under these practices </w:t>
      </w:r>
      <w:r w:rsidRPr="00203EB0">
        <w:rPr>
          <w:rFonts w:cs="Times New Roman"/>
        </w:rPr>
        <w:fldChar w:fldCharType="begin" w:fldLock="1"/>
      </w:r>
      <w:r w:rsidR="00EB2F35" w:rsidRPr="00203EB0">
        <w:rPr>
          <w:rFonts w:cs="Times New Roman"/>
        </w:rPr>
        <w:instrText>ADDIN CSL_CITATION {"citationItems":[{"id":"ITEM-1","itemData":{"DOI":"10.2136/sssaj2010.0430","ISSN":"03615995","abstract":"Inclusion of cover crops (CCs) may be a potential strategy to boost no-till performance by improving soil physical properties. To assess this potential, we utilized a winter wheat (Triticum aestivum L.)-grain sorghum [Sorghum bicolor (L.) Moench] rotation, four N rates, and a hairy vetch (HV; Vicia villosa Roth) CC after wheat during the first rotation cycles, which was replaced in subsequent cycles with sunn hemp (SH; Crotalaria juncea L.) and late-maturing soybean [LMS; Glycine max (L.) Merr.] CCs in no-till on a silt loam. At the end of 15 yr, we studied the cumulative impacts of CCs on soil physical properties and assessed relationships between soil properties and soil organic C (SOC) concentration. Across N rates, SH reduced near-surface bulk density ( ρb ) by 4% and increased cumulative infiltration by three times relative to no-CC plots. Without N application, SH and LMS reduced Proctor maximum ρb , a parameter of soil compactibility, by 5%, indicating that soils under CCs may be less susceptible to compaction. Cover crops also increased mean weight diameter of aggregates (MWDA) by 80% in the 0- to 7.5-cm depth. The SOC concentration was 30% greater for SH and 20% greater for LMS than for no-CC plots in the 0- to 7.5-cm depth. The CC-induced increase in SOC concentration was negatively correlated with Proctor maximum ρb and positively with MWDA and cumulative infiltration. Overall, addition of CCs to no-till systems improved soil physical properties, and the CC-induced change in SOC concentration was correlated with soil physical properties. © Soil Science Society of America.","author":[{"dropping-particle":"","family":"Blanco-Canqui","given":"Humberto","non-dropping-particle":"","parse-names":false,"suffix":""},{"dropping-particle":"","family":"Mikha","given":"Maysoon M.","non-dropping-particle":"","parse-names":false,"suffix":""},{"dropping-particle":"","family":"Presley","given":"DeAnn R.","non-dropping-particle":"","parse-names":false,"suffix":""},{"dropping-particle":"","family":"Claassen","given":"Mark M.","non-dropping-particle":"","parse-names":false,"suffix":""}],"container-title":"Soil Science Society of America Journal","id":"ITEM-1","issue":"4","issued":{"date-parts":[["2011"]]},"page":"1471-1482","title":"Addition of cover crops enhances no-till potential for improving soil physical properties","type":"article-journal","volume":"75"},"uris":["http://www.mendeley.com/documents/?uuid=bd811282-56ce-4d24-98d6-fd580266fb1d"]},{"id":"ITEM-2","itemData":{"DOI":"10.1016/j.still.2022.105521","ISSN":"01671987","abstract":"Long-term cover-cropping and no-tillage practices can facilitate soil organic carbon (SOC) accumulation in agroecosystems for soil health and climate mitigation benefits. However, the contribution of these conservation management practices to SOC gain from the subsoil layers is not extensively studied. To understand this knowledge gap, it is essential to determine the distribution of total SOC and SOC fractions in response to management practices across the soil profile. Therefore, this study was conducted by leveraging a 40-year replicated field experiment in a continuous cotton (Gossypium hirsutum) system. The management treatments examined included three cover crop treatments: 1) hairy vetch, HV (Vicia villosa); 2) winter wheat, WW (Triticum aestivum L.), and 3) no cover crop, NC; and two tillage treatments: 1) chisel-tillage, CT (10 cm deep) and 2) no-tillage, NT. Soil samples were collected from four depths (0–5, 5–10, 10–30, and 30–60 cm) and analyzed for total SOC and C fractions such as microbial biomass (MBC), particulate organic matter (POM-C), and mineral-associated organic matter (MAOM-C). Results showed that the profile-scale (0–60 cm) SOC stock was greater for WW (33.7 Mg ha −1) compared to HV (29.1 Mg ha −1) and NC (24.4 Mg ha −1), while the tillage effect was non-significant (28 Mg ha −1 for NT and 29.3 Mg ha −1 for CT). The NT increased SOC in the top 5-cm layer, which was reflected in the concentrations of POM-C and MBC. Below the tillage depth (10–30 cm), SOC accrual was greater under CT (10.4 Mg ha −1) than NT (8.9 Mg ha −1), despite similar profile-scale SOC stocks. Further analysis revealed that total SOC in topsoil and subsoil were driven by POM and MAOM-related parameters, respectively. We also observed a limited accumulation of C in POM fraction (0.2–6.1 g C kg−1 soil in tilled topsoil and 0.01–0.71 g C kg−1 soil in subsoil) with a weak relationship with total SOC concentration (topsoil slope = 0.29, subsoil slope = 0.13). Contrastingly, accumulation of C in MAOM fraction was greater (2.7–12.7 g C kg−1 soil in topsoil and 0.6–5.4 g C kg−1 soil in subsoil), and it was strongly related to total SOC concentration than POM-C, especially in the subsoil (topsoil slope = 0.43, subsoil slope = 0.71). Growing deep-rooted winter wheat cover crop increased SOC in the subsoil, indicating the need for climate, soil, and ecosystem-specific management practices for profile-scale net SOC accumulation and redistribution in agroecosystems.","author":[{"dropping-particle":"","family":"Patra","given":"Rounak","non-dropping-particle":"","parse-names":false,"suffix":""},{"dropping-particle":"","family":"Saha","given":"Debasish","non-dropping-particle":"","parse-names":false,"suffix":""},{"dropping-particle":"","family":"Jagadamma","given":"Sindhu","non-dropping-particle":"","parse-names":false,"suffix":""}],"container-title":"Soil and Tillage Research","id":"ITEM-2","issued":{"date-parts":[["2022"]]},"page":"105521","publisher":"Elsevier B.V.","title":"Winter wheat cover crop increased subsoil organic carbon in a long-term cotton cropping system in Tennessee","type":"article-journal","volume":"224"},"uris":["http://www.mendeley.com/documents/?uuid=839aa637-6dc6-4bc2-93cb-93243f7e60fb"]}],"mendeley":{"formattedCitation":"(Blanco-Canqui et al., 2011; Patra et al., 2022)","plainTextFormattedCitation":"(Blanco-Canqui et al., 2011; Patra et al., 2022)","previouslyFormattedCitation":"(Blanco-Canqui et al., 2011; Patra et al., 2022)"},"properties":{"noteIndex":0},"schema":"https://github.com/citation-style-language/schema/raw/master/csl-citation.json"}</w:instrText>
      </w:r>
      <w:r w:rsidRPr="00203EB0">
        <w:rPr>
          <w:rFonts w:cs="Times New Roman"/>
        </w:rPr>
        <w:fldChar w:fldCharType="separate"/>
      </w:r>
      <w:r w:rsidRPr="00203EB0">
        <w:rPr>
          <w:rFonts w:cs="Times New Roman"/>
          <w:noProof/>
        </w:rPr>
        <w:t>(Blanco-Canqui et al., 2011; Patra et al., 2022)</w:t>
      </w:r>
      <w:r w:rsidRPr="00203EB0">
        <w:rPr>
          <w:rFonts w:cs="Times New Roman"/>
        </w:rPr>
        <w:fldChar w:fldCharType="end"/>
      </w:r>
      <w:r w:rsidRPr="00203EB0">
        <w:rPr>
          <w:rFonts w:cs="Times New Roman"/>
        </w:rPr>
        <w:t>. In a previous study at this experimental site, Nouri et al. (2019) reported 96% and 157% higher cumulative infiltration and transmissivity, respectively, in plots with HV compared to NC plots. Similarly, the NT treatments showed 104% and 222% higher infiltration and transmissivity, respectively, than the CT treatments. Interestingly, CC exhibited a more pronounced effect than NT in our study in maintaining soil oxygen availability (</w:t>
      </w:r>
      <w:r w:rsidRPr="00203EB0">
        <w:rPr>
          <w:rFonts w:cs="Times New Roman"/>
          <w:b/>
        </w:rPr>
        <w:t xml:space="preserve">Table </w:t>
      </w:r>
      <w:r w:rsidR="00B81543" w:rsidRPr="00203EB0">
        <w:rPr>
          <w:rFonts w:cs="Times New Roman"/>
          <w:b/>
        </w:rPr>
        <w:t>3.</w:t>
      </w:r>
      <w:r w:rsidRPr="00203EB0">
        <w:rPr>
          <w:rFonts w:cs="Times New Roman"/>
          <w:b/>
        </w:rPr>
        <w:t>1</w:t>
      </w:r>
      <w:r w:rsidRPr="00203EB0">
        <w:rPr>
          <w:rFonts w:cs="Times New Roman"/>
        </w:rPr>
        <w:t>), possibly due to the greater influence of CC in improving profile-</w:t>
      </w:r>
      <w:r w:rsidRPr="00203EB0">
        <w:rPr>
          <w:rFonts w:cs="Times New Roman"/>
        </w:rPr>
        <w:lastRenderedPageBreak/>
        <w:t xml:space="preserve">scale soil organic carbon compared to NT that mainly enhanced soil organic carbon in the thin topsoil layer </w:t>
      </w:r>
      <w:r w:rsidRPr="00203EB0">
        <w:rPr>
          <w:rFonts w:cs="Times New Roman"/>
        </w:rPr>
        <w:fldChar w:fldCharType="begin" w:fldLock="1"/>
      </w:r>
      <w:r w:rsidRPr="00203EB0">
        <w:rPr>
          <w:rFonts w:cs="Times New Roman"/>
        </w:rPr>
        <w:instrText>ADDIN CSL_CITATION {"citationItems":[{"id":"ITEM-1","itemData":{"DOI":"10.1016/j.still.2022.105521","ISSN":"01671987","abstract":"Long-term cover-cropping and no-tillage practices can facilitate soil organic carbon (SOC) accumulation in agroecosystems for soil health and climate mitigation benefits. However, the contribution of these conservation management practices to SOC gain from the subsoil layers is not extensively studied. To understand this knowledge gap, it is essential to determine the distribution of total SOC and SOC fractions in response to management practices across the soil profile. Therefore, this study was conducted by leveraging a 40-year replicated field experiment in a continuous cotton (Gossypium hirsutum) system. The management treatments examined included three cover crop treatments: 1) hairy vetch, HV (Vicia villosa); 2) winter wheat, WW (Triticum aestivum L.), and 3) no cover crop, NC; and two tillage treatments: 1) chisel-tillage, CT (10 cm deep) and 2) no-tillage, NT. Soil samples were collected from four depths (0–5, 5–10, 10–30, and 30–60 cm) and analyzed for total SOC and C fractions such as microbial biomass (MBC), particulate organic matter (POM-C), and mineral-associated organic matter (MAOM-C). Results showed that the profile-scale (0–60 cm) SOC stock was greater for WW (33.7 Mg ha −1) compared to HV (29.1 Mg ha −1) and NC (24.4 Mg ha −1), while the tillage effect was non-significant (28 Mg ha −1 for NT and 29.3 Mg ha −1 for CT). The NT increased SOC in the top 5-cm layer, which was reflected in the concentrations of POM-C and MBC. Below the tillage depth (10–30 cm), SOC accrual was greater under CT (10.4 Mg ha −1) than NT (8.9 Mg ha −1), despite similar profile-scale SOC stocks. Further analysis revealed that total SOC in topsoil and subsoil were driven by POM and MAOM-related parameters, respectively. We also observed a limited accumulation of C in POM fraction (0.2–6.1 g C kg−1 soil in tilled topsoil and 0.01–0.71 g C kg−1 soil in subsoil) with a weak relationship with total SOC concentration (topsoil slope = 0.29, subsoil slope = 0.13). Contrastingly, accumulation of C in MAOM fraction was greater (2.7–12.7 g C kg−1 soil in topsoil and 0.6–5.4 g C kg−1 soil in subsoil), and it was strongly related to total SOC concentration than POM-C, especially in the subsoil (topsoil slope = 0.43, subsoil slope = 0.71). Growing deep-rooted winter wheat cover crop increased SOC in the subsoil, indicating the need for climate, soil, and ecosystem-specific management practices for profile-scale net SOC accumulation and redistribution in agroecosystems.","author":[{"dropping-particle":"","family":"Patra","given":"Rounak","non-dropping-particle":"","parse-names":false,"suffix":""},{"dropping-particle":"","family":"Saha","given":"Debasish","non-dropping-particle":"","parse-names":false,"suffix":""},{"dropping-particle":"","family":"Jagadamma","given":"Sindhu","non-dropping-particle":"","parse-names":false,"suffix":""}],"container-title":"Soil and Tillage Research","id":"ITEM-1","issued":{"date-parts":[["2022"]]},"page":"105521","publisher":"Elsevier B.V.","title":"Winter wheat cover crop increased subsoil organic carbon in a long-term cotton cropping system in Tennessee","type":"article-journal","volume":"224"},"uris":["http://www.mendeley.com/documents/?uuid=839aa637-6dc6-4bc2-93cb-93243f7e60fb"]}],"mendeley":{"formattedCitation":"(Patra et al., 2022)","plainTextFormattedCitation":"(Patra et al., 2022)","previouslyFormattedCitation":"(Patra et al., 2022)"},"properties":{"noteIndex":0},"schema":"https://github.com/citation-style-language/schema/raw/master/csl-citation.json"}</w:instrText>
      </w:r>
      <w:r w:rsidRPr="00203EB0">
        <w:rPr>
          <w:rFonts w:cs="Times New Roman"/>
        </w:rPr>
        <w:fldChar w:fldCharType="separate"/>
      </w:r>
      <w:r w:rsidRPr="00203EB0">
        <w:rPr>
          <w:rFonts w:cs="Times New Roman"/>
          <w:noProof/>
        </w:rPr>
        <w:t>(Patra et al., 2022)</w:t>
      </w:r>
      <w:r w:rsidRPr="00203EB0">
        <w:rPr>
          <w:rFonts w:cs="Times New Roman"/>
        </w:rPr>
        <w:fldChar w:fldCharType="end"/>
      </w:r>
      <w:r w:rsidRPr="00203EB0">
        <w:rPr>
          <w:rFonts w:cs="Times New Roman"/>
        </w:rPr>
        <w:t xml:space="preserve">. Residue input from CC is especially important for soil health in low-residue crops like cotton in the warm and humid Southern USA favoring soil organic carbon decomposition </w:t>
      </w:r>
      <w:r w:rsidRPr="00203EB0">
        <w:rPr>
          <w:rFonts w:cs="Times New Roman"/>
        </w:rPr>
        <w:fldChar w:fldCharType="begin" w:fldLock="1"/>
      </w:r>
      <w:r w:rsidR="00EB2F35" w:rsidRPr="00203EB0">
        <w:rPr>
          <w:rFonts w:cs="Times New Roman"/>
        </w:rPr>
        <w:instrText>ADDIN CSL_CITATION {"citationItems":[{"id":"ITEM-1","itemData":{"author":[{"dropping-particle":"","family":"Mullen","given":"M.D","non-dropping-particle":"","parse-names":false,"suffix":""},{"dropping-particle":"","family":"Melhorn","given":"C.G","non-dropping-particle":"","parse-names":false,"suffix":""},{"dropping-particle":"","family":"Tyler","given":"D.D.","non-dropping-particle":"","parse-names":false,"suffix":""},{"dropping-particle":"","family":"Duck","given":"B.N","non-dropping-particle":"","parse-names":false,"suffix":""}],"container-title":"Soil and Water Conservation","id":"ITEM-1","issue":"3","issued":{"date-parts":[["1998"]]},"page":"219-224","title":"Biological and biochemical soil properties in no-till corn with different cover crops","type":"article-journal","volume":"53"},"uris":["http://www.mendeley.com/documents/?uuid=d8553079-339f-4dee-9682-da61fa83f708"]},{"id":"ITEM-2","itemData":{"DOI":"10.2136/sssaj2009.0079","ISSN":"0361-5995","abstract":" Conservation management of degraded land has the potential to build soil fertility, restore soil functions, and mitigate greenhouse gas emissions as a consequence of surface soil organic matter accumulation. Literature from the southeastern United States was reviewed and synthesized to: (i) quantitatively evaluate the magnitude and rate of soil organic C (SOC) sequestration with conservation agricultural management; (ii) evaluate how conservation management affects surface SOC accumulation and its implications on ecosystem services; and (iii) recommend practical soil sampling strategies based on spatial and temporal issues to improve the detection of statistically significant SOC sequestration. Soil organic C sequestration was 0.45 ± 0.04 Mg C ha −1 yr −1 (mean ± standard error, n = 147, 20 ± 1 cm depth, 11 ± 1 yr) with conservation tillage compared with conventional tillage cropland. Establishment of perennial pastures sequestered 0.84 ± 0.11 Mg C ha −1 yr −1 ( n = 35, 25 ± 2 cm depth, 17 ± 1 yr). Stratification of SOC with depth was common under conservation agricultural management and appears to be integrally linked to abatement of soil erosion, improvement in water quality, and SOC sequestration. Sampling of conservation management systems should ideally occur repeatedly with time in controlled and replicated experiments, but there is also an urgent need for chronosequence and paired‐field surveys of SOC on working farms in the region to validate and expand the scope of inference of experimental results. Landowners in the southeastern United States have great potential to restore soil fertility and mitigate greenhouse gas emissions with the adoption of and improvement in conservation agricultural systems (e.g., continuous no‐till, high‐residue crop rotations, high organic matter inputs). ","author":[{"dropping-particle":"","family":"Franzluebbers","given":"Alan J.","non-dropping-particle":"","parse-names":false,"suffix":""}],"container-title":"Soil Science Society of America Journal","id":"ITEM-2","issue":"2","issued":{"date-parts":[["2010"]]},"page":"347-357","title":"Achieving Soil Organic Carbon Sequestration with Conservation Agricultural Systems in the Southeastern United States","type":"article-journal","volume":"74"},"uris":["http://www.mendeley.com/documents/?uuid=d2abc80d-986b-4842-9808-de04548e09ed"]}],"mendeley":{"formattedCitation":"(Mullen et al., 1998; Franzluebbers, 2010)","plainTextFormattedCitation":"(Mullen et al., 1998; Franzluebbers, 2010)","previouslyFormattedCitation":"(Mullen et al., 1998; Franzluebbers, 2010)"},"properties":{"noteIndex":0},"schema":"https://github.com/citation-style-language/schema/raw/master/csl-citation.json"}</w:instrText>
      </w:r>
      <w:r w:rsidRPr="00203EB0">
        <w:rPr>
          <w:rFonts w:cs="Times New Roman"/>
        </w:rPr>
        <w:fldChar w:fldCharType="separate"/>
      </w:r>
      <w:r w:rsidR="00EB2F35" w:rsidRPr="00203EB0">
        <w:rPr>
          <w:rFonts w:cs="Times New Roman"/>
          <w:noProof/>
        </w:rPr>
        <w:t>(Mullen et al., 1998; Franzluebbers, 2010)</w:t>
      </w:r>
      <w:r w:rsidRPr="00203EB0">
        <w:rPr>
          <w:rFonts w:cs="Times New Roman"/>
        </w:rPr>
        <w:fldChar w:fldCharType="end"/>
      </w:r>
      <w:r w:rsidRPr="00203EB0">
        <w:rPr>
          <w:rFonts w:cs="Times New Roman"/>
        </w:rPr>
        <w:t xml:space="preserve">. Furthermore, CC roots can increase biological pores that play an important role in improving soil hydraulic properties, gas diffusivity, and aeration status by influencing macro and micro-pore architecture </w:t>
      </w:r>
      <w:r w:rsidRPr="00203EB0">
        <w:rPr>
          <w:rFonts w:cs="Times New Roman"/>
        </w:rPr>
        <w:fldChar w:fldCharType="begin" w:fldLock="1"/>
      </w:r>
      <w:r w:rsidR="00EB2F35" w:rsidRPr="00203EB0">
        <w:rPr>
          <w:rFonts w:cs="Times New Roman"/>
        </w:rPr>
        <w:instrText>ADDIN CSL_CITATION {"citationItems":[{"id":"ITEM-1","itemData":{"DOI":"10.1016/j.still.2008.01.007","ISSN":"01671987","abstract":"Soil tillage practices can affect soil hydraulic properties and processes dynamically in space and time with consequent and coupled effects on chemical movement and plant growth. This literature review addresses the quantitative effects of soil tillage and associated management (e.g., crop residues) on the temporal and spatial variability of soil hydraulic properties. Our review includes incidental management effects, such as soil compaction, and natural sources of variability, such as topography. Despite limited research on space-time predictions, many studies have addressed management effects on soil hydraulic properties and processes relevant to improved understanding of the sources of variability and their interactions in space and time. Whether examined explicitly or implicitly, the literature includes studies of interactions between treatments, such as tillage and residue management. No-tillage (NT) treatments have been compared with various tillage practices under a range of conditions with mixed results. The trend, if any, is for NT to increase macropore connectivity while generating inconsistent responses in total porosity and soil bulk density compared with conventional tillage practices. This corresponds to a general increase in ponded or near-zero tension infiltration rates and saturated hydraulic conductivities. Similarly, controlled equipment traffic may have significant effects on soil compaction and related hydraulic properties on some soils, but on others, landscape and temporal variability overwhelm wheel-track effects. Spatial and temporal variability often overshadows specific management effects, and several authors have recognized this in their analyses and interpretations. Differences in temporal variability depend on spatial locations between rows, within fields at different landscape positions, and between sites with different climates and dominant soil types. Most tillage practices have pronounced effects on soil hydraulic properties immediately following tillage application, but these effects can diminish rapidly. Long-term effects on the order of a decade or more can appear less pronounced and are sometimes impossible to distinguish from natural and unaccounted management-induced variability. New standards for experimental classification are essential for isolating and subsequently generalizing space-time responses. Accordingly, enhanced methods of field measurement and data collection combined with explicit spatio-temporal mo…","author":[{"dropping-particle":"","family":"Strudley","given":"Mark W.","non-dropping-particle":"","parse-names":false,"suffix":""},{"dropping-particle":"","family":"Green","given":"Timothy R.","non-dropping-particle":"","parse-names":false,"suffix":""},{"dropping-particle":"","family":"Ascough","given":"James C.","non-dropping-particle":"","parse-names":false,"suffix":""}],"container-title":"Soil and Tillage Research","id":"ITEM-1","issue":"1","issued":{"date-parts":[["2008"]]},"page":"4-48","title":"Tillage effects on soil hydraulic properties in space and time: State of the science","type":"article-journal","volume":"99"},"uris":["http://www.mendeley.com/documents/?uuid=857a7b3f-a047-4739-9cbd-6017f7e5db72"]},{"id":"ITEM-2","itemData":{"DOI":"10.1016/j.jhydrol.2020.125203","ISSN":"00221694","abstract":"Regional-scale hydrological investigations that involve vegetation change usually neglect root-induced modification (RIM) of soil hydraulic properties (SHP). However, there is evidence that root distributions may impart major control over SHP. A critical barrier to incorporating RIM of SHP in catchment hydrology models is the high uncertainty of root-effect parameterization. In response to this, the current article reviews available literature to summarize the key processes, measurement, prediction and implications of RIM of SHP. Previous studies found contrasting root effects (on SHP) depending on which processes are dominant, including root growth (or decay) and the density and diameter of roots. Based on data from laboratory experiments and field testing, RIM of SHP can be summarized as: (1) fine roots (root diameter &lt; 1 mm) at low density tend to block soil pores, leading to reduced saturated water content (θs), saturated hydraulic conductivity (Ks), and higher air entry potential (AEP); (2) fine roots at high density tend to eliminate macro-pores while increasing pore volume, leading to increased θs and AEP, and reduced Ks; (3) coarse roots (root diameter &gt; 2 mm) tend to cause small-scale compaction, particle re-orientation and macro-pore development, leading to increased θs and Ks, and decreased AEP. Root growth also tends to enhance soil moisture retention hysteresis. Root decay is expected to have the opposite effects to root growth due to the creation of continuous macro-pores, which may lead to Ks increases of up to two orders-of-magnitude. In general, the enhancement of Ks due to plant roots can be expected in fine-textured soils, whereas plants roots are known to reduce Ks and θs and increase soil water retention capacity in coarse-textured soils. An important aspect of RIM of SHP is the temporal variability that arises from seasonality and/or agricultural cycles. While neglecting RIM of SHP in hydrologic simulation may lead to high uncertainties, there remain significant knowledge gaps that impede the development of quantitative guidance on RIM of SHP at the catchment scale, at which variability in environmental conditions and human activities precludes the application of simple root-effect equations.","author":[{"dropping-particle":"","family":"Lu","given":"Jianrong","non-dropping-particle":"","parse-names":false,"suffix":""},{"dropping-particle":"","family":"Zhang","given":"Qi","non-dropping-particle":"","parse-names":false,"suffix":""},{"dropping-particle":"","family":"Werner","given":"Adrian D.","non-dropping-particle":"","parse-names":false,"suffix":""},{"dropping-particle":"","family":"Li","given":"Yunliang","non-dropping-particle":"","parse-names":false,"suffix":""},{"dropping-particle":"","family":"Jiang","given":"Sanyuan","non-dropping-particle":"","parse-names":false,"suffix":""},{"dropping-particle":"","family":"Tan","given":"Zhiqiang","non-dropping-particle":"","parse-names":false,"suffix":""}],"container-title":"Journal of Hydrology","id":"ITEM-2","issued":{"date-parts":[["2020"]]},"page":"125203","publisher":"Elsevier","title":"Root-induced changes of soil hydraulic properties – A review","type":"article-journal","volume":"589"},"uris":["http://www.mendeley.com/documents/?uuid=3477f778-df3a-41b1-93f0-d1f1ea779d19"]},{"id":"ITEM-3","itemData":{"DOI":"10.3389/fpls.2022.928569","ISSN":"1664462X","abstract":"Pore structure is a key determinant of soil functioning, and both root growth and activity of soil fauna are modified by and interact with pore structure in multiple ways. Cover cropping is a rapidly growing popular strategy for improving agricultural sustainability, including improvements in pore structure. However, since cover crop species encompass a variety of contrasting root architectures, they can have disparate effects on formation of soil pores and their characteristics, thus on the pore structure formation. Moreover, utilization of the existing pore systems and its modification by new root growth, in conjunction with soil fauna activity, can also vary by cover crop species, affecting the dynamics of biopores (creation and demolition). The objectives of this study were (i) to quantify the influence of 5 cover crop species on formation and size distribution of soil macropores (&gt;36 μm Ø); (ii) to explore the changes in the originally developed pore architecture after an additional season of cover crop growth; and (iii) to assess the relative contributions of plant roots and soil fauna to fate and modifications of biopores. Intact soil cores were taken from 5 to 10 cm depth after one season of cover crop growth, followed by X-ray computed micro-tomography (CT) characterization, and then, the cores were reburied for a second root growing period of cover crops to explore subsequent changes in pore characteristics with the second CT scanning. Our data suggest that interactions of soil fauna and roots with pore structure changed over time. While in the first season, large biopores were created at the expense of small pores, in the second year these biopores were reused or destroyed by the creation of new ones through earthworm activities and large root growth. In addition, the creation of large biopores (&gt;0.5 mm) increased total macroporosity. During the second root growing period, these large sized macropores, however, are reduced in size again through the action of soil fauna smaller than earthworms, suggesting a highly dynamic equilibrium. Different effects of cover crops on pore str</w:instrText>
      </w:r>
      <w:r w:rsidR="00EB2F35" w:rsidRPr="00622616">
        <w:rPr>
          <w:rFonts w:cs="Times New Roman"/>
          <w:lang w:val="es-UY"/>
        </w:rPr>
        <w:instrText>ucture mainly arise from their differences in root volume, mean diameter as well as their reuse of existing macropores.","author":[{"dropping-particle":"","family":"Lucas","given":"Maik","non-dropping-particle":"","parse-names":false,"suffix":""},{"dropping-particle":"","family":"Nguyen","given":"Linh T.T.","non-dropping-particle":"","parse-names":false,"suffix":""},{"dropping-particle":"","family":"Guber","given":"Andrey","non-dropping-particle":"","parse-names":false,"suffix":""},{"dropping-particle":"","family":"Kravchenko","given":"Alexandra N.","non-dropping-particle":"","parse-names":false,"suffix":""}],"container-title":"Frontiers in Plant Science","id":"ITEM-3","issue":"August","issued":{"date-parts":[["2022"]]},"page":"1-13","title":"Cover crop influence on pore size distribution and biopore dynamics: Enumerating root and soil faunal effects","type":"article-journal","volume":"13"},"uris":["http://www.mendeley.com/documents/?uuid=a3b48d2c-447f-4a3e-861c-399a1b06928d"]}],"mendeley":{"formattedCitation":"(Strudley et al., 2008; Lu et al., 2020; Lucas et al., 2022)","manualFormatting":"(Dhaliwal et al., 2024; Lu et al., 2020; Lucas et al., 2022; Strudley et al., 2008)","plainTextFormattedCitation":"(Strudley et al., 2008; Lu et al., 2020; Lucas et al., 2022)","previouslyFormattedCitation":"(Strudley et al., 2008; Lu et al., 2020; Lucas et al., 2022)"},"properties":{"noteIndex":0},"schema":"https://github.com/citation-style-language/schema/raw/master/csl-citation.json"}</w:instrText>
      </w:r>
      <w:r w:rsidRPr="00203EB0">
        <w:rPr>
          <w:rFonts w:cs="Times New Roman"/>
        </w:rPr>
        <w:fldChar w:fldCharType="separate"/>
      </w:r>
      <w:r w:rsidRPr="00622616">
        <w:rPr>
          <w:rFonts w:cs="Times New Roman"/>
          <w:noProof/>
          <w:lang w:val="es-UY"/>
        </w:rPr>
        <w:t>(Dhaliwal et al., 2024; Lu et al., 2020; Lucas et al., 2022; Strudley et al., 2008)</w:t>
      </w:r>
      <w:r w:rsidRPr="00203EB0">
        <w:rPr>
          <w:rFonts w:cs="Times New Roman"/>
        </w:rPr>
        <w:fldChar w:fldCharType="end"/>
      </w:r>
      <w:r w:rsidRPr="00622616">
        <w:rPr>
          <w:rFonts w:cs="Times New Roman"/>
          <w:lang w:val="es-UY"/>
        </w:rPr>
        <w:t xml:space="preserve">. </w:t>
      </w:r>
    </w:p>
    <w:p w14:paraId="537A05B8" w14:textId="039CA050" w:rsidR="00B81543" w:rsidRPr="00203EB0" w:rsidRDefault="00B81543" w:rsidP="00001ABC">
      <w:pPr>
        <w:pStyle w:val="Caption"/>
      </w:pPr>
      <w:bookmarkStart w:id="40" w:name="_Toc206669219"/>
      <w:r w:rsidRPr="00203EB0">
        <w:rPr>
          <w:b/>
          <w:bCs/>
        </w:rPr>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3</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1</w:t>
      </w:r>
      <w:r w:rsidR="00775F57" w:rsidRPr="00203EB0">
        <w:rPr>
          <w:b/>
          <w:bCs/>
        </w:rPr>
        <w:fldChar w:fldCharType="end"/>
      </w:r>
      <w:r w:rsidR="00770223" w:rsidRPr="00203EB0">
        <w:rPr>
          <w:b/>
          <w:bCs/>
        </w:rPr>
        <w:t>:</w:t>
      </w:r>
      <w:r w:rsidRPr="00203EB0">
        <w:t xml:space="preserve"> Average soil oxygen concentration and cumulative hours under soil oxygen &lt;10% throughout the growing season, July, and August (1st-15th) in response to long-term tillage and cover cropping.</w:t>
      </w:r>
      <w:bookmarkEnd w:id="4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2"/>
        <w:gridCol w:w="1761"/>
        <w:gridCol w:w="1674"/>
        <w:gridCol w:w="1674"/>
        <w:gridCol w:w="1949"/>
      </w:tblGrid>
      <w:tr w:rsidR="00B81543" w:rsidRPr="00203EB0" w14:paraId="217430E0" w14:textId="77777777" w:rsidTr="00652800">
        <w:tc>
          <w:tcPr>
            <w:tcW w:w="915" w:type="pct"/>
            <w:tcBorders>
              <w:top w:val="single" w:sz="4" w:space="0" w:color="auto"/>
              <w:bottom w:val="single" w:sz="4" w:space="0" w:color="auto"/>
            </w:tcBorders>
          </w:tcPr>
          <w:p w14:paraId="10979E67" w14:textId="77777777" w:rsidR="00B81543" w:rsidRPr="00203EB0" w:rsidRDefault="00B81543" w:rsidP="00652800">
            <w:pPr>
              <w:spacing w:before="240"/>
              <w:rPr>
                <w:rFonts w:cs="Times New Roman"/>
                <w:b/>
              </w:rPr>
            </w:pPr>
            <w:r w:rsidRPr="00203EB0">
              <w:rPr>
                <w:rFonts w:cs="Times New Roman"/>
                <w:b/>
              </w:rPr>
              <w:t>Treatments</w:t>
            </w:r>
          </w:p>
        </w:tc>
        <w:tc>
          <w:tcPr>
            <w:tcW w:w="2957" w:type="pct"/>
            <w:gridSpan w:val="3"/>
            <w:tcBorders>
              <w:top w:val="single" w:sz="4" w:space="0" w:color="auto"/>
              <w:bottom w:val="single" w:sz="4" w:space="0" w:color="auto"/>
            </w:tcBorders>
          </w:tcPr>
          <w:p w14:paraId="23A49F60" w14:textId="77777777" w:rsidR="00B81543" w:rsidRPr="00203EB0" w:rsidRDefault="00B81543" w:rsidP="00652800">
            <w:pPr>
              <w:spacing w:before="240"/>
              <w:jc w:val="center"/>
              <w:rPr>
                <w:rFonts w:cs="Times New Roman"/>
              </w:rPr>
            </w:pPr>
            <w:r w:rsidRPr="00203EB0">
              <w:rPr>
                <w:rFonts w:cs="Times New Roman"/>
              </w:rPr>
              <w:t>Average soil oxygen concentration</w:t>
            </w:r>
          </w:p>
        </w:tc>
        <w:tc>
          <w:tcPr>
            <w:tcW w:w="1128" w:type="pct"/>
            <w:tcBorders>
              <w:top w:val="single" w:sz="4" w:space="0" w:color="auto"/>
              <w:bottom w:val="single" w:sz="4" w:space="0" w:color="auto"/>
            </w:tcBorders>
          </w:tcPr>
          <w:p w14:paraId="7D82E410" w14:textId="77777777" w:rsidR="00B81543" w:rsidRPr="00203EB0" w:rsidRDefault="00B81543" w:rsidP="00652800">
            <w:pPr>
              <w:jc w:val="center"/>
              <w:rPr>
                <w:rFonts w:cs="Times New Roman"/>
              </w:rPr>
            </w:pPr>
            <w:r w:rsidRPr="00203EB0">
              <w:rPr>
                <w:rFonts w:cs="Times New Roman"/>
              </w:rPr>
              <w:t>Hours under 10% soil oxygen concentration</w:t>
            </w:r>
          </w:p>
        </w:tc>
      </w:tr>
      <w:tr w:rsidR="00B81543" w:rsidRPr="00203EB0" w14:paraId="30B5009D" w14:textId="77777777" w:rsidTr="00652800">
        <w:tc>
          <w:tcPr>
            <w:tcW w:w="915" w:type="pct"/>
            <w:tcBorders>
              <w:top w:val="single" w:sz="4" w:space="0" w:color="auto"/>
            </w:tcBorders>
          </w:tcPr>
          <w:p w14:paraId="0183CCFB" w14:textId="77777777" w:rsidR="00B81543" w:rsidRPr="00203EB0" w:rsidRDefault="00B81543" w:rsidP="00652800">
            <w:pPr>
              <w:rPr>
                <w:rFonts w:cs="Times New Roman"/>
              </w:rPr>
            </w:pPr>
          </w:p>
        </w:tc>
        <w:tc>
          <w:tcPr>
            <w:tcW w:w="2957" w:type="pct"/>
            <w:gridSpan w:val="3"/>
            <w:tcBorders>
              <w:top w:val="single" w:sz="4" w:space="0" w:color="auto"/>
              <w:bottom w:val="single" w:sz="4" w:space="0" w:color="auto"/>
            </w:tcBorders>
            <w:vAlign w:val="center"/>
          </w:tcPr>
          <w:p w14:paraId="385B773A" w14:textId="77777777" w:rsidR="00B81543" w:rsidRPr="00203EB0" w:rsidRDefault="00B81543" w:rsidP="00652800">
            <w:pPr>
              <w:jc w:val="center"/>
              <w:rPr>
                <w:rFonts w:cs="Times New Roman"/>
              </w:rPr>
            </w:pPr>
            <w:r w:rsidRPr="00203EB0">
              <w:rPr>
                <w:rFonts w:cs="Times New Roman"/>
              </w:rPr>
              <w:t>(%)</w:t>
            </w:r>
          </w:p>
        </w:tc>
        <w:tc>
          <w:tcPr>
            <w:tcW w:w="1128" w:type="pct"/>
            <w:tcBorders>
              <w:top w:val="single" w:sz="4" w:space="0" w:color="auto"/>
              <w:bottom w:val="single" w:sz="4" w:space="0" w:color="auto"/>
            </w:tcBorders>
            <w:vAlign w:val="center"/>
          </w:tcPr>
          <w:p w14:paraId="27F9AED6" w14:textId="77777777" w:rsidR="00B81543" w:rsidRPr="00203EB0" w:rsidRDefault="00B81543" w:rsidP="00652800">
            <w:pPr>
              <w:jc w:val="center"/>
              <w:rPr>
                <w:rFonts w:cs="Times New Roman"/>
              </w:rPr>
            </w:pPr>
            <w:r w:rsidRPr="00203EB0">
              <w:rPr>
                <w:rFonts w:cs="Times New Roman"/>
              </w:rPr>
              <w:t>Hours</w:t>
            </w:r>
          </w:p>
        </w:tc>
      </w:tr>
      <w:tr w:rsidR="00B81543" w:rsidRPr="00203EB0" w14:paraId="62B7B376" w14:textId="77777777" w:rsidTr="00652800">
        <w:tc>
          <w:tcPr>
            <w:tcW w:w="915" w:type="pct"/>
            <w:tcBorders>
              <w:bottom w:val="single" w:sz="4" w:space="0" w:color="auto"/>
            </w:tcBorders>
          </w:tcPr>
          <w:p w14:paraId="2AE55BB5" w14:textId="77777777" w:rsidR="00B81543" w:rsidRPr="00203EB0" w:rsidRDefault="00B81543" w:rsidP="00652800">
            <w:pPr>
              <w:rPr>
                <w:rFonts w:cs="Times New Roman"/>
              </w:rPr>
            </w:pPr>
          </w:p>
        </w:tc>
        <w:tc>
          <w:tcPr>
            <w:tcW w:w="1019" w:type="pct"/>
            <w:tcBorders>
              <w:top w:val="single" w:sz="4" w:space="0" w:color="auto"/>
              <w:bottom w:val="single" w:sz="4" w:space="0" w:color="auto"/>
            </w:tcBorders>
            <w:vAlign w:val="center"/>
          </w:tcPr>
          <w:p w14:paraId="3BFBEBF9" w14:textId="77777777" w:rsidR="00B81543" w:rsidRPr="00203EB0" w:rsidRDefault="00B81543" w:rsidP="00652800">
            <w:pPr>
              <w:jc w:val="center"/>
              <w:rPr>
                <w:rFonts w:cs="Times New Roman"/>
              </w:rPr>
            </w:pPr>
            <w:r w:rsidRPr="00203EB0">
              <w:rPr>
                <w:rFonts w:cs="Times New Roman"/>
              </w:rPr>
              <w:t>Growing Season</w:t>
            </w:r>
          </w:p>
        </w:tc>
        <w:tc>
          <w:tcPr>
            <w:tcW w:w="969" w:type="pct"/>
            <w:tcBorders>
              <w:top w:val="single" w:sz="4" w:space="0" w:color="auto"/>
              <w:bottom w:val="single" w:sz="4" w:space="0" w:color="auto"/>
            </w:tcBorders>
            <w:vAlign w:val="center"/>
          </w:tcPr>
          <w:p w14:paraId="4A98724B" w14:textId="77777777" w:rsidR="00B81543" w:rsidRPr="00203EB0" w:rsidRDefault="00B81543" w:rsidP="00652800">
            <w:pPr>
              <w:jc w:val="center"/>
              <w:rPr>
                <w:rFonts w:cs="Times New Roman"/>
              </w:rPr>
            </w:pPr>
            <w:r w:rsidRPr="00203EB0">
              <w:rPr>
                <w:rFonts w:cs="Times New Roman"/>
              </w:rPr>
              <w:t>July</w:t>
            </w:r>
          </w:p>
        </w:tc>
        <w:tc>
          <w:tcPr>
            <w:tcW w:w="969" w:type="pct"/>
            <w:tcBorders>
              <w:top w:val="single" w:sz="4" w:space="0" w:color="auto"/>
              <w:bottom w:val="single" w:sz="4" w:space="0" w:color="auto"/>
            </w:tcBorders>
          </w:tcPr>
          <w:p w14:paraId="556581FC" w14:textId="77777777" w:rsidR="00B81543" w:rsidRPr="00203EB0" w:rsidRDefault="00B81543" w:rsidP="00652800">
            <w:pPr>
              <w:jc w:val="center"/>
              <w:rPr>
                <w:rFonts w:cs="Times New Roman"/>
              </w:rPr>
            </w:pPr>
            <w:r w:rsidRPr="00203EB0">
              <w:rPr>
                <w:rFonts w:cs="Times New Roman"/>
              </w:rPr>
              <w:t>August</w:t>
            </w:r>
          </w:p>
          <w:p w14:paraId="3238791D" w14:textId="77777777" w:rsidR="00B81543" w:rsidRPr="00203EB0" w:rsidRDefault="00B81543" w:rsidP="00652800">
            <w:pPr>
              <w:jc w:val="center"/>
              <w:rPr>
                <w:rFonts w:cs="Times New Roman"/>
              </w:rPr>
            </w:pPr>
            <w:r w:rsidRPr="00203EB0">
              <w:rPr>
                <w:rFonts w:cs="Times New Roman"/>
              </w:rPr>
              <w:t>(1</w:t>
            </w:r>
            <w:r w:rsidRPr="00203EB0">
              <w:rPr>
                <w:rFonts w:cs="Times New Roman"/>
                <w:vertAlign w:val="superscript"/>
              </w:rPr>
              <w:t>st</w:t>
            </w:r>
            <w:r w:rsidRPr="00203EB0">
              <w:rPr>
                <w:rFonts w:cs="Times New Roman"/>
              </w:rPr>
              <w:t>-15</w:t>
            </w:r>
            <w:r w:rsidRPr="00203EB0">
              <w:rPr>
                <w:rFonts w:cs="Times New Roman"/>
                <w:vertAlign w:val="superscript"/>
              </w:rPr>
              <w:t>th</w:t>
            </w:r>
            <w:r w:rsidRPr="00203EB0">
              <w:rPr>
                <w:rFonts w:cs="Times New Roman"/>
              </w:rPr>
              <w:t>)</w:t>
            </w:r>
          </w:p>
        </w:tc>
        <w:tc>
          <w:tcPr>
            <w:tcW w:w="1128" w:type="pct"/>
            <w:tcBorders>
              <w:top w:val="single" w:sz="4" w:space="0" w:color="auto"/>
              <w:bottom w:val="single" w:sz="4" w:space="0" w:color="auto"/>
            </w:tcBorders>
            <w:vAlign w:val="center"/>
          </w:tcPr>
          <w:p w14:paraId="3B8B1BD6" w14:textId="77777777" w:rsidR="00B81543" w:rsidRPr="00203EB0" w:rsidRDefault="00B81543" w:rsidP="00652800">
            <w:pPr>
              <w:jc w:val="center"/>
              <w:rPr>
                <w:rFonts w:cs="Times New Roman"/>
              </w:rPr>
            </w:pPr>
            <w:r w:rsidRPr="00203EB0">
              <w:rPr>
                <w:rFonts w:cs="Times New Roman"/>
              </w:rPr>
              <w:t>Growing Season</w:t>
            </w:r>
          </w:p>
        </w:tc>
      </w:tr>
      <w:tr w:rsidR="00B81543" w:rsidRPr="00203EB0" w14:paraId="16130220" w14:textId="77777777" w:rsidTr="00652800">
        <w:tc>
          <w:tcPr>
            <w:tcW w:w="915" w:type="pct"/>
            <w:tcBorders>
              <w:top w:val="single" w:sz="4" w:space="0" w:color="auto"/>
              <w:bottom w:val="single" w:sz="4" w:space="0" w:color="auto"/>
            </w:tcBorders>
          </w:tcPr>
          <w:p w14:paraId="3C6CA416" w14:textId="77777777" w:rsidR="00B81543" w:rsidRPr="00203EB0" w:rsidRDefault="00B81543" w:rsidP="00652800">
            <w:pPr>
              <w:rPr>
                <w:rFonts w:cs="Times New Roman"/>
                <w:b/>
                <w:bCs/>
              </w:rPr>
            </w:pPr>
            <w:r w:rsidRPr="00203EB0">
              <w:rPr>
                <w:rFonts w:cs="Times New Roman"/>
                <w:b/>
                <w:bCs/>
              </w:rPr>
              <w:t>Tillage</w:t>
            </w:r>
          </w:p>
        </w:tc>
        <w:tc>
          <w:tcPr>
            <w:tcW w:w="1019" w:type="pct"/>
            <w:tcBorders>
              <w:top w:val="single" w:sz="4" w:space="0" w:color="auto"/>
              <w:bottom w:val="single" w:sz="4" w:space="0" w:color="auto"/>
            </w:tcBorders>
          </w:tcPr>
          <w:p w14:paraId="2EDFC140" w14:textId="77777777" w:rsidR="00B81543" w:rsidRPr="00203EB0" w:rsidRDefault="00B81543" w:rsidP="00652800">
            <w:pPr>
              <w:rPr>
                <w:rFonts w:cs="Times New Roman"/>
              </w:rPr>
            </w:pPr>
          </w:p>
        </w:tc>
        <w:tc>
          <w:tcPr>
            <w:tcW w:w="969" w:type="pct"/>
            <w:tcBorders>
              <w:top w:val="single" w:sz="4" w:space="0" w:color="auto"/>
              <w:bottom w:val="single" w:sz="4" w:space="0" w:color="auto"/>
            </w:tcBorders>
          </w:tcPr>
          <w:p w14:paraId="5905853F" w14:textId="77777777" w:rsidR="00B81543" w:rsidRPr="00203EB0" w:rsidRDefault="00B81543" w:rsidP="00652800">
            <w:pPr>
              <w:rPr>
                <w:rFonts w:cs="Times New Roman"/>
              </w:rPr>
            </w:pPr>
          </w:p>
        </w:tc>
        <w:tc>
          <w:tcPr>
            <w:tcW w:w="969" w:type="pct"/>
            <w:tcBorders>
              <w:top w:val="single" w:sz="4" w:space="0" w:color="auto"/>
              <w:bottom w:val="single" w:sz="4" w:space="0" w:color="auto"/>
            </w:tcBorders>
          </w:tcPr>
          <w:p w14:paraId="43D5A94A" w14:textId="77777777" w:rsidR="00B81543" w:rsidRPr="00203EB0" w:rsidRDefault="00B81543" w:rsidP="00652800">
            <w:pPr>
              <w:rPr>
                <w:rFonts w:cs="Times New Roman"/>
              </w:rPr>
            </w:pPr>
          </w:p>
        </w:tc>
        <w:tc>
          <w:tcPr>
            <w:tcW w:w="1128" w:type="pct"/>
            <w:tcBorders>
              <w:top w:val="single" w:sz="4" w:space="0" w:color="auto"/>
              <w:bottom w:val="single" w:sz="4" w:space="0" w:color="auto"/>
            </w:tcBorders>
          </w:tcPr>
          <w:p w14:paraId="76CC48D5" w14:textId="77777777" w:rsidR="00B81543" w:rsidRPr="00203EB0" w:rsidRDefault="00B81543" w:rsidP="00652800">
            <w:pPr>
              <w:rPr>
                <w:rFonts w:cs="Times New Roman"/>
              </w:rPr>
            </w:pPr>
          </w:p>
        </w:tc>
      </w:tr>
      <w:tr w:rsidR="00B81543" w:rsidRPr="00203EB0" w14:paraId="4D844407" w14:textId="77777777" w:rsidTr="00652800">
        <w:tc>
          <w:tcPr>
            <w:tcW w:w="915" w:type="pct"/>
            <w:tcBorders>
              <w:top w:val="single" w:sz="4" w:space="0" w:color="auto"/>
            </w:tcBorders>
          </w:tcPr>
          <w:p w14:paraId="72454B15" w14:textId="77777777" w:rsidR="00B81543" w:rsidRPr="00203EB0" w:rsidRDefault="00B81543" w:rsidP="00652800">
            <w:pPr>
              <w:rPr>
                <w:rFonts w:cs="Times New Roman"/>
              </w:rPr>
            </w:pPr>
            <w:r w:rsidRPr="00203EB0">
              <w:rPr>
                <w:rFonts w:cs="Times New Roman"/>
              </w:rPr>
              <w:t>NT</w:t>
            </w:r>
          </w:p>
        </w:tc>
        <w:tc>
          <w:tcPr>
            <w:tcW w:w="1019" w:type="pct"/>
            <w:tcBorders>
              <w:top w:val="single" w:sz="4" w:space="0" w:color="auto"/>
            </w:tcBorders>
            <w:vAlign w:val="center"/>
          </w:tcPr>
          <w:p w14:paraId="675E4D14" w14:textId="77777777" w:rsidR="00B81543" w:rsidRPr="00203EB0" w:rsidRDefault="00B81543" w:rsidP="00652800">
            <w:pPr>
              <w:jc w:val="center"/>
              <w:rPr>
                <w:rFonts w:cs="Times New Roman"/>
              </w:rPr>
            </w:pPr>
            <w:r w:rsidRPr="00203EB0">
              <w:rPr>
                <w:rFonts w:cs="Times New Roman"/>
              </w:rPr>
              <w:t>17.8 (± 1.01)</w:t>
            </w:r>
          </w:p>
        </w:tc>
        <w:tc>
          <w:tcPr>
            <w:tcW w:w="969" w:type="pct"/>
            <w:tcBorders>
              <w:top w:val="single" w:sz="4" w:space="0" w:color="auto"/>
            </w:tcBorders>
            <w:vAlign w:val="center"/>
          </w:tcPr>
          <w:p w14:paraId="27BFDA33" w14:textId="77777777" w:rsidR="00B81543" w:rsidRPr="00203EB0" w:rsidRDefault="00B81543" w:rsidP="00652800">
            <w:pPr>
              <w:jc w:val="center"/>
              <w:rPr>
                <w:rFonts w:cs="Times New Roman"/>
              </w:rPr>
            </w:pPr>
            <w:r w:rsidRPr="00203EB0">
              <w:rPr>
                <w:rFonts w:cs="Times New Roman"/>
              </w:rPr>
              <w:t>16.6 (± 1.39)</w:t>
            </w:r>
          </w:p>
        </w:tc>
        <w:tc>
          <w:tcPr>
            <w:tcW w:w="969" w:type="pct"/>
            <w:tcBorders>
              <w:top w:val="single" w:sz="4" w:space="0" w:color="auto"/>
            </w:tcBorders>
            <w:vAlign w:val="center"/>
          </w:tcPr>
          <w:p w14:paraId="06229984" w14:textId="77777777" w:rsidR="00B81543" w:rsidRPr="00203EB0" w:rsidRDefault="00B81543" w:rsidP="00652800">
            <w:pPr>
              <w:jc w:val="center"/>
              <w:rPr>
                <w:rFonts w:cs="Times New Roman"/>
              </w:rPr>
            </w:pPr>
            <w:r w:rsidRPr="00203EB0">
              <w:rPr>
                <w:rFonts w:cs="Times New Roman"/>
              </w:rPr>
              <w:t>15.8 (± 2.17)</w:t>
            </w:r>
          </w:p>
        </w:tc>
        <w:tc>
          <w:tcPr>
            <w:tcW w:w="1128" w:type="pct"/>
            <w:tcBorders>
              <w:top w:val="single" w:sz="4" w:space="0" w:color="auto"/>
            </w:tcBorders>
            <w:vAlign w:val="center"/>
          </w:tcPr>
          <w:p w14:paraId="78681F43" w14:textId="77777777" w:rsidR="00B81543" w:rsidRPr="00203EB0" w:rsidRDefault="00B81543" w:rsidP="00652800">
            <w:pPr>
              <w:jc w:val="center"/>
              <w:rPr>
                <w:rFonts w:cs="Times New Roman"/>
              </w:rPr>
            </w:pPr>
            <w:r w:rsidRPr="00203EB0">
              <w:rPr>
                <w:rFonts w:cs="Times New Roman"/>
              </w:rPr>
              <w:t>57.3 (± 107.5)</w:t>
            </w:r>
          </w:p>
        </w:tc>
      </w:tr>
      <w:tr w:rsidR="00B81543" w:rsidRPr="00203EB0" w14:paraId="3AAB42AB" w14:textId="77777777" w:rsidTr="00652800">
        <w:tc>
          <w:tcPr>
            <w:tcW w:w="915" w:type="pct"/>
            <w:tcBorders>
              <w:bottom w:val="single" w:sz="4" w:space="0" w:color="auto"/>
            </w:tcBorders>
          </w:tcPr>
          <w:p w14:paraId="66328F97" w14:textId="77777777" w:rsidR="00B81543" w:rsidRPr="00203EB0" w:rsidRDefault="00B81543" w:rsidP="00652800">
            <w:pPr>
              <w:rPr>
                <w:rFonts w:cs="Times New Roman"/>
              </w:rPr>
            </w:pPr>
            <w:r w:rsidRPr="00203EB0">
              <w:rPr>
                <w:rFonts w:cs="Times New Roman"/>
              </w:rPr>
              <w:t>CT</w:t>
            </w:r>
          </w:p>
        </w:tc>
        <w:tc>
          <w:tcPr>
            <w:tcW w:w="1019" w:type="pct"/>
            <w:tcBorders>
              <w:bottom w:val="single" w:sz="4" w:space="0" w:color="auto"/>
            </w:tcBorders>
            <w:vAlign w:val="center"/>
          </w:tcPr>
          <w:p w14:paraId="3CBB85E6" w14:textId="77777777" w:rsidR="00B81543" w:rsidRPr="00203EB0" w:rsidRDefault="00B81543" w:rsidP="00652800">
            <w:pPr>
              <w:jc w:val="center"/>
              <w:rPr>
                <w:rFonts w:cs="Times New Roman"/>
              </w:rPr>
            </w:pPr>
            <w:r w:rsidRPr="00203EB0">
              <w:rPr>
                <w:rFonts w:cs="Times New Roman"/>
              </w:rPr>
              <w:t>17.3 (± 1.64)</w:t>
            </w:r>
          </w:p>
        </w:tc>
        <w:tc>
          <w:tcPr>
            <w:tcW w:w="969" w:type="pct"/>
            <w:tcBorders>
              <w:bottom w:val="single" w:sz="4" w:space="0" w:color="auto"/>
            </w:tcBorders>
            <w:vAlign w:val="center"/>
          </w:tcPr>
          <w:p w14:paraId="010C8D91" w14:textId="77777777" w:rsidR="00B81543" w:rsidRPr="00203EB0" w:rsidRDefault="00B81543" w:rsidP="00652800">
            <w:pPr>
              <w:jc w:val="center"/>
              <w:rPr>
                <w:rFonts w:cs="Times New Roman"/>
              </w:rPr>
            </w:pPr>
            <w:r w:rsidRPr="00203EB0">
              <w:rPr>
                <w:rFonts w:cs="Times New Roman"/>
              </w:rPr>
              <w:t>15.2 (± 2.48)</w:t>
            </w:r>
          </w:p>
        </w:tc>
        <w:tc>
          <w:tcPr>
            <w:tcW w:w="969" w:type="pct"/>
            <w:tcBorders>
              <w:bottom w:val="single" w:sz="4" w:space="0" w:color="auto"/>
            </w:tcBorders>
            <w:vAlign w:val="center"/>
          </w:tcPr>
          <w:p w14:paraId="599FB251" w14:textId="77777777" w:rsidR="00B81543" w:rsidRPr="00203EB0" w:rsidRDefault="00B81543" w:rsidP="00652800">
            <w:pPr>
              <w:jc w:val="center"/>
              <w:rPr>
                <w:rFonts w:cs="Times New Roman"/>
              </w:rPr>
            </w:pPr>
            <w:r w:rsidRPr="00203EB0">
              <w:rPr>
                <w:rFonts w:cs="Times New Roman"/>
              </w:rPr>
              <w:t>13.4 (± 4.47)</w:t>
            </w:r>
          </w:p>
        </w:tc>
        <w:tc>
          <w:tcPr>
            <w:tcW w:w="1128" w:type="pct"/>
            <w:tcBorders>
              <w:bottom w:val="single" w:sz="4" w:space="0" w:color="auto"/>
            </w:tcBorders>
            <w:vAlign w:val="center"/>
          </w:tcPr>
          <w:p w14:paraId="5E88A192" w14:textId="77777777" w:rsidR="00B81543" w:rsidRPr="00203EB0" w:rsidRDefault="00B81543" w:rsidP="00652800">
            <w:pPr>
              <w:jc w:val="center"/>
              <w:rPr>
                <w:rFonts w:cs="Times New Roman"/>
              </w:rPr>
            </w:pPr>
            <w:r w:rsidRPr="00203EB0">
              <w:rPr>
                <w:rFonts w:cs="Times New Roman"/>
              </w:rPr>
              <w:t>166.4 (± 235.9)</w:t>
            </w:r>
          </w:p>
        </w:tc>
      </w:tr>
      <w:tr w:rsidR="00B81543" w:rsidRPr="00203EB0" w14:paraId="13836377" w14:textId="77777777" w:rsidTr="00652800">
        <w:tc>
          <w:tcPr>
            <w:tcW w:w="915" w:type="pct"/>
            <w:tcBorders>
              <w:top w:val="single" w:sz="4" w:space="0" w:color="auto"/>
              <w:bottom w:val="single" w:sz="4" w:space="0" w:color="auto"/>
            </w:tcBorders>
          </w:tcPr>
          <w:p w14:paraId="572971C9" w14:textId="77777777" w:rsidR="00B81543" w:rsidRPr="00203EB0" w:rsidRDefault="00B81543" w:rsidP="00652800">
            <w:pPr>
              <w:rPr>
                <w:rFonts w:cs="Times New Roman"/>
                <w:b/>
                <w:bCs/>
              </w:rPr>
            </w:pPr>
            <w:r w:rsidRPr="00203EB0">
              <w:rPr>
                <w:rFonts w:cs="Times New Roman"/>
                <w:b/>
                <w:bCs/>
              </w:rPr>
              <w:t>Cover crop</w:t>
            </w:r>
          </w:p>
        </w:tc>
        <w:tc>
          <w:tcPr>
            <w:tcW w:w="1019" w:type="pct"/>
            <w:tcBorders>
              <w:top w:val="single" w:sz="4" w:space="0" w:color="auto"/>
              <w:bottom w:val="single" w:sz="4" w:space="0" w:color="auto"/>
            </w:tcBorders>
            <w:vAlign w:val="center"/>
          </w:tcPr>
          <w:p w14:paraId="6BFF19CA" w14:textId="77777777" w:rsidR="00B81543" w:rsidRPr="00203EB0" w:rsidRDefault="00B81543" w:rsidP="00652800">
            <w:pPr>
              <w:jc w:val="center"/>
              <w:rPr>
                <w:rFonts w:cs="Times New Roman"/>
              </w:rPr>
            </w:pPr>
          </w:p>
        </w:tc>
        <w:tc>
          <w:tcPr>
            <w:tcW w:w="969" w:type="pct"/>
            <w:tcBorders>
              <w:top w:val="single" w:sz="4" w:space="0" w:color="auto"/>
              <w:bottom w:val="single" w:sz="4" w:space="0" w:color="auto"/>
            </w:tcBorders>
            <w:vAlign w:val="center"/>
          </w:tcPr>
          <w:p w14:paraId="348D3832" w14:textId="77777777" w:rsidR="00B81543" w:rsidRPr="00203EB0" w:rsidRDefault="00B81543" w:rsidP="00652800">
            <w:pPr>
              <w:jc w:val="center"/>
              <w:rPr>
                <w:rFonts w:cs="Times New Roman"/>
              </w:rPr>
            </w:pPr>
          </w:p>
        </w:tc>
        <w:tc>
          <w:tcPr>
            <w:tcW w:w="969" w:type="pct"/>
            <w:tcBorders>
              <w:top w:val="single" w:sz="4" w:space="0" w:color="auto"/>
              <w:bottom w:val="single" w:sz="4" w:space="0" w:color="auto"/>
            </w:tcBorders>
            <w:vAlign w:val="center"/>
          </w:tcPr>
          <w:p w14:paraId="28B19987" w14:textId="77777777" w:rsidR="00B81543" w:rsidRPr="00203EB0" w:rsidRDefault="00B81543" w:rsidP="00652800">
            <w:pPr>
              <w:jc w:val="center"/>
              <w:rPr>
                <w:rFonts w:cs="Times New Roman"/>
              </w:rPr>
            </w:pPr>
          </w:p>
        </w:tc>
        <w:tc>
          <w:tcPr>
            <w:tcW w:w="1128" w:type="pct"/>
            <w:tcBorders>
              <w:top w:val="single" w:sz="4" w:space="0" w:color="auto"/>
              <w:bottom w:val="single" w:sz="4" w:space="0" w:color="auto"/>
            </w:tcBorders>
            <w:vAlign w:val="center"/>
          </w:tcPr>
          <w:p w14:paraId="405B8ED5" w14:textId="77777777" w:rsidR="00B81543" w:rsidRPr="00203EB0" w:rsidRDefault="00B81543" w:rsidP="00652800">
            <w:pPr>
              <w:jc w:val="center"/>
              <w:rPr>
                <w:rFonts w:cs="Times New Roman"/>
              </w:rPr>
            </w:pPr>
          </w:p>
        </w:tc>
      </w:tr>
      <w:tr w:rsidR="00B81543" w:rsidRPr="00203EB0" w14:paraId="34C701B5" w14:textId="77777777" w:rsidTr="00652800">
        <w:tc>
          <w:tcPr>
            <w:tcW w:w="915" w:type="pct"/>
            <w:tcBorders>
              <w:top w:val="single" w:sz="4" w:space="0" w:color="auto"/>
            </w:tcBorders>
          </w:tcPr>
          <w:p w14:paraId="328B76CA" w14:textId="77777777" w:rsidR="00B81543" w:rsidRPr="00203EB0" w:rsidRDefault="00B81543" w:rsidP="00652800">
            <w:pPr>
              <w:rPr>
                <w:rFonts w:cs="Times New Roman"/>
              </w:rPr>
            </w:pPr>
            <w:r w:rsidRPr="00203EB0">
              <w:rPr>
                <w:rFonts w:cs="Times New Roman"/>
              </w:rPr>
              <w:t>NC</w:t>
            </w:r>
          </w:p>
        </w:tc>
        <w:tc>
          <w:tcPr>
            <w:tcW w:w="1019" w:type="pct"/>
            <w:tcBorders>
              <w:top w:val="single" w:sz="4" w:space="0" w:color="auto"/>
            </w:tcBorders>
            <w:vAlign w:val="center"/>
          </w:tcPr>
          <w:p w14:paraId="2B5903D1" w14:textId="77777777" w:rsidR="00B81543" w:rsidRPr="00203EB0" w:rsidRDefault="00B81543" w:rsidP="00652800">
            <w:pPr>
              <w:jc w:val="center"/>
              <w:rPr>
                <w:rFonts w:cs="Times New Roman"/>
              </w:rPr>
            </w:pPr>
            <w:r w:rsidRPr="00203EB0">
              <w:rPr>
                <w:rFonts w:cs="Times New Roman"/>
              </w:rPr>
              <w:t>16.8 (± 1.58)</w:t>
            </w:r>
          </w:p>
        </w:tc>
        <w:tc>
          <w:tcPr>
            <w:tcW w:w="969" w:type="pct"/>
            <w:tcBorders>
              <w:top w:val="single" w:sz="4" w:space="0" w:color="auto"/>
            </w:tcBorders>
            <w:vAlign w:val="center"/>
          </w:tcPr>
          <w:p w14:paraId="10F43A00" w14:textId="77777777" w:rsidR="00B81543" w:rsidRPr="00203EB0" w:rsidRDefault="00B81543" w:rsidP="00652800">
            <w:pPr>
              <w:jc w:val="center"/>
              <w:rPr>
                <w:rFonts w:cs="Times New Roman"/>
              </w:rPr>
            </w:pPr>
            <w:r w:rsidRPr="00203EB0">
              <w:rPr>
                <w:rFonts w:cs="Times New Roman"/>
              </w:rPr>
              <w:t>15.0 (± 2.65)</w:t>
            </w:r>
          </w:p>
        </w:tc>
        <w:tc>
          <w:tcPr>
            <w:tcW w:w="969" w:type="pct"/>
            <w:tcBorders>
              <w:top w:val="single" w:sz="4" w:space="0" w:color="auto"/>
            </w:tcBorders>
            <w:vAlign w:val="center"/>
          </w:tcPr>
          <w:p w14:paraId="0461DA03" w14:textId="77777777" w:rsidR="00B81543" w:rsidRPr="00203EB0" w:rsidRDefault="00B81543" w:rsidP="00652800">
            <w:pPr>
              <w:jc w:val="center"/>
              <w:rPr>
                <w:rFonts w:cs="Times New Roman"/>
              </w:rPr>
            </w:pPr>
            <w:r w:rsidRPr="00203EB0">
              <w:rPr>
                <w:rFonts w:cs="Times New Roman"/>
              </w:rPr>
              <w:t>12.9 (± 4.43)</w:t>
            </w:r>
          </w:p>
        </w:tc>
        <w:tc>
          <w:tcPr>
            <w:tcW w:w="1128" w:type="pct"/>
            <w:tcBorders>
              <w:top w:val="single" w:sz="4" w:space="0" w:color="auto"/>
            </w:tcBorders>
            <w:vAlign w:val="center"/>
          </w:tcPr>
          <w:p w14:paraId="38F5478F" w14:textId="77777777" w:rsidR="00B81543" w:rsidRPr="00203EB0" w:rsidRDefault="00B81543" w:rsidP="00652800">
            <w:pPr>
              <w:jc w:val="center"/>
              <w:rPr>
                <w:rFonts w:cs="Times New Roman"/>
              </w:rPr>
            </w:pPr>
            <w:r w:rsidRPr="00203EB0">
              <w:rPr>
                <w:rFonts w:cs="Times New Roman"/>
              </w:rPr>
              <w:t>183.3 (± 243)</w:t>
            </w:r>
          </w:p>
        </w:tc>
      </w:tr>
      <w:tr w:rsidR="00B81543" w:rsidRPr="00203EB0" w14:paraId="2EFEDAC2" w14:textId="77777777" w:rsidTr="00652800">
        <w:tc>
          <w:tcPr>
            <w:tcW w:w="915" w:type="pct"/>
            <w:tcBorders>
              <w:bottom w:val="single" w:sz="4" w:space="0" w:color="auto"/>
            </w:tcBorders>
          </w:tcPr>
          <w:p w14:paraId="51993E8A" w14:textId="77777777" w:rsidR="00B81543" w:rsidRPr="00203EB0" w:rsidRDefault="00B81543" w:rsidP="00652800">
            <w:pPr>
              <w:rPr>
                <w:rFonts w:cs="Times New Roman"/>
              </w:rPr>
            </w:pPr>
            <w:r w:rsidRPr="00203EB0">
              <w:rPr>
                <w:rFonts w:cs="Times New Roman"/>
              </w:rPr>
              <w:t>HV</w:t>
            </w:r>
          </w:p>
        </w:tc>
        <w:tc>
          <w:tcPr>
            <w:tcW w:w="1019" w:type="pct"/>
            <w:tcBorders>
              <w:bottom w:val="single" w:sz="4" w:space="0" w:color="auto"/>
            </w:tcBorders>
            <w:vAlign w:val="center"/>
          </w:tcPr>
          <w:p w14:paraId="7F012067" w14:textId="77777777" w:rsidR="00B81543" w:rsidRPr="00203EB0" w:rsidRDefault="00B81543" w:rsidP="00652800">
            <w:pPr>
              <w:jc w:val="center"/>
              <w:rPr>
                <w:rFonts w:cs="Times New Roman"/>
              </w:rPr>
            </w:pPr>
            <w:r w:rsidRPr="00203EB0">
              <w:rPr>
                <w:rFonts w:cs="Times New Roman"/>
              </w:rPr>
              <w:t>18.2 (± 0.47)</w:t>
            </w:r>
          </w:p>
        </w:tc>
        <w:tc>
          <w:tcPr>
            <w:tcW w:w="969" w:type="pct"/>
            <w:tcBorders>
              <w:bottom w:val="single" w:sz="4" w:space="0" w:color="auto"/>
            </w:tcBorders>
            <w:vAlign w:val="center"/>
          </w:tcPr>
          <w:p w14:paraId="6944FB50" w14:textId="77777777" w:rsidR="00B81543" w:rsidRPr="00203EB0" w:rsidRDefault="00B81543" w:rsidP="00652800">
            <w:pPr>
              <w:jc w:val="center"/>
              <w:rPr>
                <w:rFonts w:cs="Times New Roman"/>
              </w:rPr>
            </w:pPr>
            <w:r w:rsidRPr="00203EB0">
              <w:rPr>
                <w:rFonts w:cs="Times New Roman"/>
              </w:rPr>
              <w:t>16.8 (± 0.48)</w:t>
            </w:r>
          </w:p>
        </w:tc>
        <w:tc>
          <w:tcPr>
            <w:tcW w:w="969" w:type="pct"/>
            <w:tcBorders>
              <w:bottom w:val="single" w:sz="4" w:space="0" w:color="auto"/>
            </w:tcBorders>
            <w:vAlign w:val="center"/>
          </w:tcPr>
          <w:p w14:paraId="166A1B7C" w14:textId="77777777" w:rsidR="00B81543" w:rsidRPr="00203EB0" w:rsidRDefault="00B81543" w:rsidP="00652800">
            <w:pPr>
              <w:jc w:val="center"/>
              <w:rPr>
                <w:rFonts w:cs="Times New Roman"/>
              </w:rPr>
            </w:pPr>
            <w:r w:rsidRPr="00203EB0">
              <w:rPr>
                <w:rFonts w:cs="Times New Roman"/>
              </w:rPr>
              <w:t>16.3 (± 1.15)</w:t>
            </w:r>
          </w:p>
        </w:tc>
        <w:tc>
          <w:tcPr>
            <w:tcW w:w="1128" w:type="pct"/>
            <w:tcBorders>
              <w:bottom w:val="single" w:sz="4" w:space="0" w:color="auto"/>
            </w:tcBorders>
            <w:vAlign w:val="center"/>
          </w:tcPr>
          <w:p w14:paraId="7FAD1B57" w14:textId="77777777" w:rsidR="00B81543" w:rsidRPr="00203EB0" w:rsidRDefault="00B81543" w:rsidP="00652800">
            <w:pPr>
              <w:jc w:val="center"/>
              <w:rPr>
                <w:rFonts w:cs="Times New Roman"/>
              </w:rPr>
            </w:pPr>
            <w:r w:rsidRPr="00203EB0">
              <w:rPr>
                <w:rFonts w:cs="Times New Roman"/>
              </w:rPr>
              <w:t>40.4 (± 55.4)</w:t>
            </w:r>
          </w:p>
        </w:tc>
      </w:tr>
      <w:tr w:rsidR="00B81543" w:rsidRPr="00203EB0" w14:paraId="62983B6D" w14:textId="77777777" w:rsidTr="00652800">
        <w:tc>
          <w:tcPr>
            <w:tcW w:w="5000" w:type="pct"/>
            <w:gridSpan w:val="5"/>
            <w:tcBorders>
              <w:top w:val="single" w:sz="4" w:space="0" w:color="auto"/>
              <w:bottom w:val="single" w:sz="4" w:space="0" w:color="auto"/>
            </w:tcBorders>
          </w:tcPr>
          <w:p w14:paraId="021B0B96" w14:textId="77777777" w:rsidR="00B81543" w:rsidRPr="00203EB0" w:rsidRDefault="00B81543" w:rsidP="00652800">
            <w:pPr>
              <w:rPr>
                <w:rFonts w:cs="Times New Roman"/>
              </w:rPr>
            </w:pPr>
            <w:r w:rsidRPr="00203EB0">
              <w:rPr>
                <w:rFonts w:cs="Times New Roman"/>
              </w:rPr>
              <w:t>ANOVA for significance</w:t>
            </w:r>
          </w:p>
        </w:tc>
      </w:tr>
      <w:tr w:rsidR="00B81543" w:rsidRPr="00203EB0" w14:paraId="2B9810B5" w14:textId="77777777" w:rsidTr="00652800">
        <w:tc>
          <w:tcPr>
            <w:tcW w:w="915" w:type="pct"/>
            <w:tcBorders>
              <w:top w:val="single" w:sz="4" w:space="0" w:color="auto"/>
              <w:bottom w:val="single" w:sz="4" w:space="0" w:color="auto"/>
            </w:tcBorders>
          </w:tcPr>
          <w:p w14:paraId="052CBED0" w14:textId="77777777" w:rsidR="00B81543" w:rsidRPr="00203EB0" w:rsidRDefault="00B81543" w:rsidP="00652800">
            <w:pPr>
              <w:rPr>
                <w:rFonts w:cs="Times New Roman"/>
                <w:b/>
              </w:rPr>
            </w:pPr>
            <w:r w:rsidRPr="00203EB0">
              <w:rPr>
                <w:rFonts w:cs="Times New Roman"/>
                <w:b/>
              </w:rPr>
              <w:t>Sources of variation</w:t>
            </w:r>
          </w:p>
        </w:tc>
        <w:tc>
          <w:tcPr>
            <w:tcW w:w="1019" w:type="pct"/>
            <w:tcBorders>
              <w:top w:val="single" w:sz="4" w:space="0" w:color="auto"/>
              <w:bottom w:val="single" w:sz="4" w:space="0" w:color="auto"/>
            </w:tcBorders>
            <w:vAlign w:val="center"/>
          </w:tcPr>
          <w:p w14:paraId="20A0DF7F" w14:textId="77777777" w:rsidR="00B81543" w:rsidRPr="00203EB0" w:rsidRDefault="00B81543" w:rsidP="00652800">
            <w:pPr>
              <w:jc w:val="center"/>
              <w:rPr>
                <w:rFonts w:cs="Times New Roman"/>
              </w:rPr>
            </w:pPr>
            <w:r w:rsidRPr="00203EB0">
              <w:rPr>
                <w:rFonts w:cs="Times New Roman"/>
                <w:i/>
              </w:rPr>
              <w:t>p</w:t>
            </w:r>
          </w:p>
        </w:tc>
        <w:tc>
          <w:tcPr>
            <w:tcW w:w="969" w:type="pct"/>
            <w:tcBorders>
              <w:top w:val="single" w:sz="4" w:space="0" w:color="auto"/>
              <w:bottom w:val="single" w:sz="4" w:space="0" w:color="auto"/>
            </w:tcBorders>
            <w:vAlign w:val="center"/>
          </w:tcPr>
          <w:p w14:paraId="56AACBE0" w14:textId="77777777" w:rsidR="00B81543" w:rsidRPr="00203EB0" w:rsidRDefault="00B81543" w:rsidP="00652800">
            <w:pPr>
              <w:jc w:val="center"/>
              <w:rPr>
                <w:rFonts w:cs="Times New Roman"/>
              </w:rPr>
            </w:pPr>
            <w:r w:rsidRPr="00203EB0">
              <w:rPr>
                <w:rFonts w:cs="Times New Roman"/>
                <w:i/>
              </w:rPr>
              <w:t>p</w:t>
            </w:r>
          </w:p>
        </w:tc>
        <w:tc>
          <w:tcPr>
            <w:tcW w:w="969" w:type="pct"/>
            <w:tcBorders>
              <w:top w:val="single" w:sz="4" w:space="0" w:color="auto"/>
              <w:bottom w:val="single" w:sz="4" w:space="0" w:color="auto"/>
            </w:tcBorders>
            <w:vAlign w:val="center"/>
          </w:tcPr>
          <w:p w14:paraId="715C27D0" w14:textId="77777777" w:rsidR="00B81543" w:rsidRPr="00203EB0" w:rsidRDefault="00B81543" w:rsidP="00652800">
            <w:pPr>
              <w:jc w:val="center"/>
              <w:rPr>
                <w:rFonts w:cs="Times New Roman"/>
              </w:rPr>
            </w:pPr>
            <w:r w:rsidRPr="00203EB0">
              <w:rPr>
                <w:rFonts w:cs="Times New Roman"/>
                <w:i/>
              </w:rPr>
              <w:t>p</w:t>
            </w:r>
          </w:p>
        </w:tc>
        <w:tc>
          <w:tcPr>
            <w:tcW w:w="1128" w:type="pct"/>
            <w:tcBorders>
              <w:top w:val="single" w:sz="4" w:space="0" w:color="auto"/>
              <w:bottom w:val="single" w:sz="4" w:space="0" w:color="auto"/>
            </w:tcBorders>
            <w:vAlign w:val="center"/>
          </w:tcPr>
          <w:p w14:paraId="777055CA" w14:textId="77777777" w:rsidR="00B81543" w:rsidRPr="00203EB0" w:rsidRDefault="00B81543" w:rsidP="00652800">
            <w:pPr>
              <w:jc w:val="center"/>
              <w:rPr>
                <w:rFonts w:cs="Times New Roman"/>
              </w:rPr>
            </w:pPr>
            <w:r w:rsidRPr="00203EB0">
              <w:rPr>
                <w:rFonts w:cs="Times New Roman"/>
                <w:i/>
              </w:rPr>
              <w:t>p</w:t>
            </w:r>
          </w:p>
        </w:tc>
      </w:tr>
      <w:tr w:rsidR="00B81543" w:rsidRPr="00203EB0" w14:paraId="05B1C2B4" w14:textId="77777777" w:rsidTr="00652800">
        <w:tc>
          <w:tcPr>
            <w:tcW w:w="915" w:type="pct"/>
            <w:tcBorders>
              <w:top w:val="single" w:sz="4" w:space="0" w:color="auto"/>
            </w:tcBorders>
          </w:tcPr>
          <w:p w14:paraId="03C5C002" w14:textId="77777777" w:rsidR="00B81543" w:rsidRPr="00203EB0" w:rsidRDefault="00B81543" w:rsidP="00652800">
            <w:pPr>
              <w:rPr>
                <w:rFonts w:cs="Times New Roman"/>
              </w:rPr>
            </w:pPr>
            <w:r w:rsidRPr="00203EB0">
              <w:rPr>
                <w:rFonts w:cs="Times New Roman"/>
              </w:rPr>
              <w:t>Tillage</w:t>
            </w:r>
          </w:p>
        </w:tc>
        <w:tc>
          <w:tcPr>
            <w:tcW w:w="1019" w:type="pct"/>
            <w:tcBorders>
              <w:top w:val="single" w:sz="4" w:space="0" w:color="auto"/>
            </w:tcBorders>
            <w:vAlign w:val="center"/>
          </w:tcPr>
          <w:p w14:paraId="5463AE72" w14:textId="77777777" w:rsidR="00B81543" w:rsidRPr="00203EB0" w:rsidRDefault="00B81543" w:rsidP="00652800">
            <w:pPr>
              <w:jc w:val="center"/>
              <w:rPr>
                <w:rFonts w:cs="Times New Roman"/>
              </w:rPr>
            </w:pPr>
            <w:r w:rsidRPr="00203EB0">
              <w:rPr>
                <w:rFonts w:cs="Times New Roman"/>
              </w:rPr>
              <w:t>0.35</w:t>
            </w:r>
          </w:p>
        </w:tc>
        <w:tc>
          <w:tcPr>
            <w:tcW w:w="969" w:type="pct"/>
            <w:tcBorders>
              <w:top w:val="single" w:sz="4" w:space="0" w:color="auto"/>
            </w:tcBorders>
            <w:vAlign w:val="center"/>
          </w:tcPr>
          <w:p w14:paraId="0F281B37" w14:textId="77777777" w:rsidR="00B81543" w:rsidRPr="00203EB0" w:rsidRDefault="00B81543" w:rsidP="00652800">
            <w:pPr>
              <w:jc w:val="center"/>
              <w:rPr>
                <w:rFonts w:cs="Times New Roman"/>
                <w:b/>
              </w:rPr>
            </w:pPr>
            <w:r w:rsidRPr="00203EB0">
              <w:rPr>
                <w:rFonts w:cs="Times New Roman"/>
                <w:b/>
              </w:rPr>
              <w:t>0.04</w:t>
            </w:r>
          </w:p>
        </w:tc>
        <w:tc>
          <w:tcPr>
            <w:tcW w:w="969" w:type="pct"/>
            <w:tcBorders>
              <w:top w:val="single" w:sz="4" w:space="0" w:color="auto"/>
            </w:tcBorders>
            <w:vAlign w:val="center"/>
          </w:tcPr>
          <w:p w14:paraId="10A8D19E" w14:textId="77777777" w:rsidR="00B81543" w:rsidRPr="00203EB0" w:rsidRDefault="00B81543" w:rsidP="00652800">
            <w:pPr>
              <w:jc w:val="center"/>
              <w:rPr>
                <w:rFonts w:cs="Times New Roman"/>
              </w:rPr>
            </w:pPr>
            <w:r w:rsidRPr="00203EB0">
              <w:rPr>
                <w:rFonts w:cs="Times New Roman"/>
              </w:rPr>
              <w:t>0.10</w:t>
            </w:r>
          </w:p>
        </w:tc>
        <w:tc>
          <w:tcPr>
            <w:tcW w:w="1128" w:type="pct"/>
            <w:tcBorders>
              <w:top w:val="single" w:sz="4" w:space="0" w:color="auto"/>
            </w:tcBorders>
            <w:vAlign w:val="center"/>
          </w:tcPr>
          <w:p w14:paraId="377E5C90" w14:textId="77777777" w:rsidR="00B81543" w:rsidRPr="00203EB0" w:rsidRDefault="00B81543" w:rsidP="00652800">
            <w:pPr>
              <w:jc w:val="center"/>
              <w:rPr>
                <w:rFonts w:cs="Times New Roman"/>
              </w:rPr>
            </w:pPr>
            <w:r w:rsidRPr="00203EB0">
              <w:rPr>
                <w:rFonts w:cs="Times New Roman"/>
              </w:rPr>
              <w:t>0.07</w:t>
            </w:r>
          </w:p>
        </w:tc>
      </w:tr>
      <w:tr w:rsidR="00B81543" w:rsidRPr="00203EB0" w14:paraId="295AD574" w14:textId="77777777" w:rsidTr="00652800">
        <w:tc>
          <w:tcPr>
            <w:tcW w:w="915" w:type="pct"/>
          </w:tcPr>
          <w:p w14:paraId="0F872452" w14:textId="77777777" w:rsidR="00B81543" w:rsidRPr="00203EB0" w:rsidRDefault="00B81543" w:rsidP="00652800">
            <w:pPr>
              <w:rPr>
                <w:rFonts w:cs="Times New Roman"/>
              </w:rPr>
            </w:pPr>
            <w:r w:rsidRPr="00203EB0">
              <w:rPr>
                <w:rFonts w:cs="Times New Roman"/>
              </w:rPr>
              <w:t>Cover crop</w:t>
            </w:r>
          </w:p>
        </w:tc>
        <w:tc>
          <w:tcPr>
            <w:tcW w:w="1019" w:type="pct"/>
            <w:vAlign w:val="center"/>
          </w:tcPr>
          <w:p w14:paraId="4E8928B7" w14:textId="77777777" w:rsidR="00B81543" w:rsidRPr="00203EB0" w:rsidRDefault="00B81543" w:rsidP="00652800">
            <w:pPr>
              <w:jc w:val="center"/>
              <w:rPr>
                <w:rFonts w:cs="Times New Roman"/>
                <w:b/>
              </w:rPr>
            </w:pPr>
            <w:r w:rsidRPr="00203EB0">
              <w:rPr>
                <w:rFonts w:cs="Times New Roman"/>
                <w:b/>
              </w:rPr>
              <w:t>0.01</w:t>
            </w:r>
          </w:p>
        </w:tc>
        <w:tc>
          <w:tcPr>
            <w:tcW w:w="969" w:type="pct"/>
            <w:vAlign w:val="center"/>
          </w:tcPr>
          <w:p w14:paraId="7EEBE6E4" w14:textId="77777777" w:rsidR="00B81543" w:rsidRPr="00203EB0" w:rsidRDefault="00B81543" w:rsidP="00652800">
            <w:pPr>
              <w:jc w:val="center"/>
              <w:rPr>
                <w:rFonts w:cs="Times New Roman"/>
                <w:b/>
              </w:rPr>
            </w:pPr>
            <w:r w:rsidRPr="00203EB0">
              <w:rPr>
                <w:rFonts w:cs="Times New Roman"/>
                <w:b/>
              </w:rPr>
              <w:t>0.02</w:t>
            </w:r>
          </w:p>
        </w:tc>
        <w:tc>
          <w:tcPr>
            <w:tcW w:w="969" w:type="pct"/>
            <w:vAlign w:val="center"/>
          </w:tcPr>
          <w:p w14:paraId="3B05C70B" w14:textId="77777777" w:rsidR="00B81543" w:rsidRPr="00203EB0" w:rsidRDefault="00B81543" w:rsidP="00652800">
            <w:pPr>
              <w:jc w:val="center"/>
              <w:rPr>
                <w:rFonts w:cs="Times New Roman"/>
                <w:b/>
              </w:rPr>
            </w:pPr>
            <w:r w:rsidRPr="00203EB0">
              <w:rPr>
                <w:rFonts w:cs="Times New Roman"/>
                <w:b/>
              </w:rPr>
              <w:t>0.02</w:t>
            </w:r>
          </w:p>
        </w:tc>
        <w:tc>
          <w:tcPr>
            <w:tcW w:w="1128" w:type="pct"/>
            <w:vAlign w:val="center"/>
          </w:tcPr>
          <w:p w14:paraId="67B1C18B" w14:textId="77777777" w:rsidR="00B81543" w:rsidRPr="00203EB0" w:rsidRDefault="00B81543" w:rsidP="00652800">
            <w:pPr>
              <w:jc w:val="center"/>
              <w:rPr>
                <w:rFonts w:cs="Times New Roman"/>
                <w:b/>
              </w:rPr>
            </w:pPr>
            <w:r w:rsidRPr="00203EB0">
              <w:rPr>
                <w:rFonts w:cs="Times New Roman"/>
                <w:b/>
              </w:rPr>
              <w:t>0.04</w:t>
            </w:r>
          </w:p>
        </w:tc>
      </w:tr>
      <w:tr w:rsidR="00B81543" w:rsidRPr="00203EB0" w14:paraId="0E8BD83E" w14:textId="77777777" w:rsidTr="00652800">
        <w:tc>
          <w:tcPr>
            <w:tcW w:w="915" w:type="pct"/>
            <w:tcBorders>
              <w:bottom w:val="single" w:sz="4" w:space="0" w:color="auto"/>
            </w:tcBorders>
          </w:tcPr>
          <w:p w14:paraId="1CBB8275" w14:textId="77777777" w:rsidR="00B81543" w:rsidRPr="00203EB0" w:rsidRDefault="00B81543" w:rsidP="00652800">
            <w:pPr>
              <w:rPr>
                <w:rFonts w:cs="Times New Roman"/>
              </w:rPr>
            </w:pPr>
            <w:r w:rsidRPr="00203EB0">
              <w:rPr>
                <w:rFonts w:cs="Times New Roman"/>
              </w:rPr>
              <w:t>Till x CC</w:t>
            </w:r>
          </w:p>
        </w:tc>
        <w:tc>
          <w:tcPr>
            <w:tcW w:w="1019" w:type="pct"/>
            <w:tcBorders>
              <w:bottom w:val="single" w:sz="4" w:space="0" w:color="auto"/>
            </w:tcBorders>
            <w:vAlign w:val="center"/>
          </w:tcPr>
          <w:p w14:paraId="608888A3" w14:textId="77777777" w:rsidR="00B81543" w:rsidRPr="00203EB0" w:rsidRDefault="00B81543" w:rsidP="00652800">
            <w:pPr>
              <w:jc w:val="center"/>
              <w:rPr>
                <w:rFonts w:cs="Times New Roman"/>
              </w:rPr>
            </w:pPr>
            <w:r w:rsidRPr="00203EB0">
              <w:rPr>
                <w:rFonts w:cs="Times New Roman"/>
              </w:rPr>
              <w:t>0.17</w:t>
            </w:r>
          </w:p>
        </w:tc>
        <w:tc>
          <w:tcPr>
            <w:tcW w:w="969" w:type="pct"/>
            <w:tcBorders>
              <w:bottom w:val="single" w:sz="4" w:space="0" w:color="auto"/>
            </w:tcBorders>
            <w:vAlign w:val="center"/>
          </w:tcPr>
          <w:p w14:paraId="70EEAFA7" w14:textId="77777777" w:rsidR="00B81543" w:rsidRPr="00203EB0" w:rsidRDefault="00B81543" w:rsidP="00652800">
            <w:pPr>
              <w:jc w:val="center"/>
              <w:rPr>
                <w:rFonts w:cs="Times New Roman"/>
              </w:rPr>
            </w:pPr>
            <w:r w:rsidRPr="00203EB0">
              <w:rPr>
                <w:rFonts w:cs="Times New Roman"/>
              </w:rPr>
              <w:t>0.18</w:t>
            </w:r>
          </w:p>
        </w:tc>
        <w:tc>
          <w:tcPr>
            <w:tcW w:w="969" w:type="pct"/>
            <w:tcBorders>
              <w:bottom w:val="single" w:sz="4" w:space="0" w:color="auto"/>
            </w:tcBorders>
            <w:vAlign w:val="center"/>
          </w:tcPr>
          <w:p w14:paraId="0FD57CBA" w14:textId="77777777" w:rsidR="00B81543" w:rsidRPr="00203EB0" w:rsidRDefault="00B81543" w:rsidP="00652800">
            <w:pPr>
              <w:jc w:val="center"/>
              <w:rPr>
                <w:rFonts w:cs="Times New Roman"/>
              </w:rPr>
            </w:pPr>
            <w:r w:rsidRPr="00203EB0">
              <w:rPr>
                <w:rFonts w:cs="Times New Roman"/>
              </w:rPr>
              <w:t>0.50</w:t>
            </w:r>
          </w:p>
        </w:tc>
        <w:tc>
          <w:tcPr>
            <w:tcW w:w="1128" w:type="pct"/>
            <w:tcBorders>
              <w:bottom w:val="single" w:sz="4" w:space="0" w:color="auto"/>
            </w:tcBorders>
            <w:vAlign w:val="center"/>
          </w:tcPr>
          <w:p w14:paraId="0C1EA425" w14:textId="77777777" w:rsidR="00B81543" w:rsidRPr="00203EB0" w:rsidRDefault="00B81543" w:rsidP="00652800">
            <w:pPr>
              <w:jc w:val="center"/>
              <w:rPr>
                <w:rFonts w:cs="Times New Roman"/>
              </w:rPr>
            </w:pPr>
            <w:r w:rsidRPr="00203EB0">
              <w:rPr>
                <w:rFonts w:cs="Times New Roman"/>
              </w:rPr>
              <w:t>0.99</w:t>
            </w:r>
          </w:p>
        </w:tc>
      </w:tr>
    </w:tbl>
    <w:p w14:paraId="063104A0" w14:textId="2D72AE24" w:rsidR="00B81543" w:rsidRDefault="00B81543" w:rsidP="00B81543">
      <w:pPr>
        <w:rPr>
          <w:rFonts w:cs="Times New Roman"/>
        </w:rPr>
      </w:pPr>
      <w:r w:rsidRPr="00203EB0">
        <w:rPr>
          <w:rFonts w:cs="Times New Roman"/>
          <w:i/>
        </w:rPr>
        <w:t xml:space="preserve">Notes: </w:t>
      </w:r>
      <w:r w:rsidRPr="00203EB0">
        <w:rPr>
          <w:rFonts w:cs="Times New Roman"/>
        </w:rPr>
        <w:t>Abbreviations: NT, no tillage; CT, conventional tillage; HV, Hairy vetch; NC, no cover crop; CC, cover crop</w:t>
      </w:r>
    </w:p>
    <w:p w14:paraId="7E13942E" w14:textId="77777777" w:rsidR="00F83C07" w:rsidRDefault="00F83C07" w:rsidP="00B81543">
      <w:pPr>
        <w:rPr>
          <w:rFonts w:cs="Times New Roman"/>
        </w:rPr>
      </w:pPr>
    </w:p>
    <w:p w14:paraId="01116D9D" w14:textId="77777777" w:rsidR="00977E39" w:rsidRPr="00203EB0" w:rsidRDefault="00977E39" w:rsidP="00B81543">
      <w:pPr>
        <w:rPr>
          <w:rFonts w:cs="Times New Roman"/>
        </w:rPr>
      </w:pPr>
    </w:p>
    <w:p w14:paraId="3C4C5A44" w14:textId="1096939B" w:rsidR="00E80354" w:rsidRDefault="00E80354" w:rsidP="00E80354">
      <w:pPr>
        <w:spacing w:line="480" w:lineRule="auto"/>
        <w:rPr>
          <w:rFonts w:cs="Times New Roman"/>
        </w:rPr>
      </w:pPr>
      <w:r w:rsidRPr="00203EB0">
        <w:rPr>
          <w:rFonts w:cs="Times New Roman"/>
        </w:rPr>
        <w:lastRenderedPageBreak/>
        <w:t>Temporal soil oxygen dynamics showed different trends across CC and tillage treatments following precipitations events throughout the cotton growing season (</w:t>
      </w:r>
      <w:r w:rsidRPr="00203EB0">
        <w:rPr>
          <w:rFonts w:cs="Times New Roman"/>
          <w:b/>
        </w:rPr>
        <w:t>Figure 3.1A</w:t>
      </w:r>
      <w:r w:rsidRPr="00203EB0">
        <w:rPr>
          <w:rFonts w:cs="Times New Roman"/>
        </w:rPr>
        <w:t>), which experienced a total precipitation of 1244 mm in 2023. Cover crops under NT showed the least decline and quickest recovery in soil oxygen, which ranged from 12 to 19.8% (mean 18.1%) following precipitation events during the growing season. In contrast, soil oxygen levels</w:t>
      </w:r>
      <w:r w:rsidRPr="00203EB0">
        <w:rPr>
          <w:rFonts w:cs="Times New Roman"/>
          <w:vertAlign w:val="subscript"/>
        </w:rPr>
        <w:t xml:space="preserve"> </w:t>
      </w:r>
      <w:r w:rsidRPr="00203EB0">
        <w:rPr>
          <w:rFonts w:cs="Times New Roman"/>
        </w:rPr>
        <w:t xml:space="preserve">for the NC treatment under CT, ranged from 7.5 to 19.8% (mean 16.4%), sharply decreased and took the longest time to recover. Formation of plow pan horizontally concentrated below the tilled layer under long-term CT was previously reported at the study site (Nouri et al., 2019), which perhaps limited deep-water percolation to reduce soil oxygen availability. Intermediate effects were observed in CC treatments under CT and NC treatments under NT practices, more pronounced following extreme precipitation events, particularly in July (received 215 mm, </w:t>
      </w:r>
      <w:r w:rsidRPr="00203EB0">
        <w:rPr>
          <w:rFonts w:cs="Times New Roman"/>
          <w:b/>
        </w:rPr>
        <w:t>Figure 3.1B</w:t>
      </w:r>
      <w:r w:rsidRPr="00203EB0">
        <w:rPr>
          <w:rFonts w:cs="Times New Roman"/>
        </w:rPr>
        <w:t xml:space="preserve">) and August (received 172 mm, </w:t>
      </w:r>
      <w:r w:rsidRPr="00203EB0">
        <w:rPr>
          <w:rFonts w:cs="Times New Roman"/>
          <w:b/>
        </w:rPr>
        <w:t>Figure 3.1C</w:t>
      </w:r>
      <w:r w:rsidRPr="00203EB0">
        <w:rPr>
          <w:rFonts w:cs="Times New Roman"/>
        </w:rPr>
        <w:t xml:space="preserve">). </w:t>
      </w:r>
    </w:p>
    <w:p w14:paraId="1F89B72F" w14:textId="77777777" w:rsidR="00977E39" w:rsidRDefault="00977E39" w:rsidP="00977E39">
      <w:pPr>
        <w:spacing w:line="480" w:lineRule="auto"/>
        <w:rPr>
          <w:rFonts w:cs="Times New Roman"/>
        </w:rPr>
      </w:pPr>
      <w:r w:rsidRPr="00203EB0">
        <w:rPr>
          <w:rFonts w:cs="Times New Roman"/>
        </w:rPr>
        <w:t xml:space="preserve">To better quantify the CC and tillage effects on soil’s resilience in sustaining soil oxygen availability, </w:t>
      </w:r>
      <w:r w:rsidRPr="00203EB0">
        <w:rPr>
          <w:rFonts w:cs="Times New Roman"/>
          <w:b/>
        </w:rPr>
        <w:t>Figure 3.2</w:t>
      </w:r>
      <w:r w:rsidRPr="00203EB0">
        <w:rPr>
          <w:rFonts w:cs="Times New Roman"/>
        </w:rPr>
        <w:t xml:space="preserve"> summarizes the average speed at which soil oxygen concentration was regained after three large rainfall events each receiving ≥ 67 mm of rain within a 48-hour period. In general, soil oxygen steadily improved with time since the last precipitation, but at different rates among the treatments. While the CT-NC treatment showed a slower response in regaining soil aeration status, other treatments with CC (i.e., CT-HV) and/or NT (i.e., NT-HV and NT-NC) exhibited a non-linear response in resuming oxygenated soil environment. Immediately after rainfall, NT-HV treatment exhibited the highest soil oxygen content, followed by NT-NC, CT-HV, and least in CT-NC. Twenty-four hours after </w:t>
      </w:r>
      <w:r w:rsidRPr="00203EB0">
        <w:rPr>
          <w:rFonts w:cs="Times New Roman"/>
        </w:rPr>
        <w:lastRenderedPageBreak/>
        <w:t xml:space="preserve">precipitation, soil oxygen content showed no difference across treatments with CC and/or NT, except for the CT-NC, which remained under oxygen stress until the third day after rainfall cessation. Higher saturated hydraulic conductivity and transmissivity in NT than CT, especially under the protective cover of HV residue </w:t>
      </w:r>
      <w:r w:rsidRPr="00203EB0">
        <w:rPr>
          <w:rFonts w:cs="Times New Roman"/>
        </w:rPr>
        <w:fldChar w:fldCharType="begin" w:fldLock="1"/>
      </w:r>
      <w:r w:rsidRPr="00203EB0">
        <w:rPr>
          <w:rFonts w:cs="Times New Roman"/>
        </w:rPr>
        <w:instrText>ADDIN CSL_CITATION {"citationItems":[{"id":"ITEM-1","itemData":{"DOI":"10.1016/j.geoderma.2018.10.016","ISSN":"00167061","abstract":"In subhumid Southeastern USA, rapid decomposition of initially low cotton residue limits the benefits of no-tillage system in regard to the soil quality. Long-term addition of cover crops may compensate the low cotton residue and further improve the soil physical quality under no-tillage system. We examined the long-term (34 yr) effect of two cover crop species, hairy vetch (Vicia villosa), and winter wheat (Triticum aestivum L.), and no cover crop, applied on conventional tillage and no-tillage on soil hydro-physical properties and cotton yield. Research was conducted on a Lexington silt loam in Jackson, TN, during 2015 and 2016. Soil physical properties including bulk density, cone penetration resistance, in-situ soil moisture content, wet aggregate stability, water infiltration and field-saturated hydraulic conductivity, soil water retention characteristics, and dry aggregate size distribution were measured. Bulk density assessed before the annual tillage did not differ significantly between no-tillage and conventional tillage systems. Cone penetration resistance showed a greater horizontal consistency of maximally resistant zones (&gt;2 MPa) under tilled managements, indicating a possible presence of a plow pan immediately below the plowed soil layer. Differences in field soil moisture content among tillage and cover crops were more evident in drier periods of the growing seasons, resulting in 28.6% and 36.4% greater moisture content in vetch cover crop and no-tillage than no cover crop and conventional tillage, respectively. No-tillage and vetch cover crop also increased the wet aggregate stability by 13% at 0–15 cm. Results showed a significant tillage × cover crop interaction in soil hydraulic properties. Our result demonstrates that long-term incorporation of cover crops, particularly vetch with no-tillage, significantly improved the initial infiltration rate, cumulative infiltration, and field-saturated hydraulic conductivity and increased the mean weight diameter of aggregates by promoting the macroaggregation. Improvement in soil physical properties was associated with an increase in cotton lint yield under cover crop and no-tillage management.","author":[{"dropping-particle":"","family":"Nouri","given":"Amin","non-dropping-particle":"","parse-names":false,"suffix":""},{"dropping-particle":"","family":"Lee","given":"Jaehoon","non-dropping-particle":"","parse-names":false,"suffix":""},{"dropping-particle":"","family":"Yin","given":"Xinhua","non-dropping-particle":"","parse-names":false,"suffix":""},{"dropping-particle":"","family":"Tyler","given":"Donald D.","non-dropping-particle":"","parse-names":false,"suffix":""},{"dropping-particle":"","family":"Saxton","given":"Arnold M.","non-dropping-particle":"","parse-names":false,"suffix":""}],"container-title":"Geoderma","id":"ITEM-1","issued":{"date-parts":[["2019"]]},"page":"998-1008","publisher":"Elsevier","title":"Thirty-four years of no-tillage and cover crops improve soil quality and increase cotton yield in Alfisols, Southeastern USA","type":"article-journal","volume":"337"},"uris":["http://www.mendeley.com/documents/?uuid=f59bd687-1bf6-498c-9a57-cf742e9572be"]}],"mendeley":{"formattedCitation":"(Nouri et al., 2019)","plainTextFormattedCitation":"(Nouri et al., 2019)","previouslyFormattedCitation":"(Nouri et al., 2019)"},"properties":{"noteIndex":0},"schema":"https://github.com/citation-style-language/schema/raw/master/csl-citation.json"}</w:instrText>
      </w:r>
      <w:r w:rsidRPr="00203EB0">
        <w:rPr>
          <w:rFonts w:cs="Times New Roman"/>
        </w:rPr>
        <w:fldChar w:fldCharType="separate"/>
      </w:r>
      <w:r w:rsidRPr="00203EB0">
        <w:rPr>
          <w:rFonts w:cs="Times New Roman"/>
          <w:noProof/>
        </w:rPr>
        <w:t>(Nouri et al., 2019)</w:t>
      </w:r>
      <w:r w:rsidRPr="00203EB0">
        <w:rPr>
          <w:rFonts w:cs="Times New Roman"/>
        </w:rPr>
        <w:fldChar w:fldCharType="end"/>
      </w:r>
      <w:r w:rsidRPr="00203EB0">
        <w:rPr>
          <w:rFonts w:cs="Times New Roman"/>
        </w:rPr>
        <w:t xml:space="preserve">, may have created better pore connectivity for rapid oxygen diffusion into soil shortly after rainfall cessation </w:t>
      </w:r>
      <w:r w:rsidRPr="00203EB0">
        <w:rPr>
          <w:rFonts w:cs="Times New Roman"/>
        </w:rPr>
        <w:fldChar w:fldCharType="begin" w:fldLock="1"/>
      </w:r>
      <w:r w:rsidRPr="00203EB0">
        <w:rPr>
          <w:rFonts w:cs="Times New Roman"/>
        </w:rPr>
        <w:instrText>ADDIN CSL_CITATION {"citationItems":[{"id":"ITEM-1","itemData":{"DOI":"10.1016/j.still.2005.06.015","ISSN":"01671987","abstract":"A 3-year field study was conducted to evaluate the effect of three tillage practices (conventional, zero and reduced/strip) with two nitrogen levels (120 and 150 kg N ha-1) applied in primary strips and three crop residue management practices (removal, burning and incorporation) in secondary strips in wheat after rice. Reduced tillage resulted in significantly higher overall mean wheat yield (5.10 Mg ha-1) compared to conventional (4.60 Mg ha-1) and zero tillage (4.75 Mg ha-1). Residue incorporation resulted in highest mean yield (5.86 Mg ha-1) during third year. Maximum mean yield (6.1 Mg ha-1) was obtained in reduced tillage followed by conventional tillage (5.8 Mg ha-1) under residue incorporation in third year. The weed dry weight recorded at 30 days after sowing was highest (0.3 Mg ha-1) under zero tillage and lowest under conventional tillage (0.16 Mg ha-1). Among crop residue management practices, the highest dry weight of weeds (0.22 Mg ha-1) was recorded under residue incorporation. The highest infiltration rate (1.50 cm h-1) was recorded in residue incorporation followed by residue burning (1.44 cm h-1) whereas; the lowest (0.75 cm h-1) in zero tillage. Soil bulk density was the highest (1.69 Mg m-3) under zero tillage and the lowest in residue incorporation (1.59 Mg m-3). There were no changes in soil available P and K after each crop sequence in relation to tillage practices during first 2 years. Higher organic carbon (5.1-5.4 g kg-1) was measured under zero tillage compared to other treatments. Residue incorporation increased soil organic carbon and available P while higher available K was monitored in burning treatment during the third year. These results suggest that reduced tillage and in situ incorporation of crop residues at 5 Mg ha-1 along with 150 kg N ha-1 were optimum to achieve higher yield of wheat after rice in sandy loam soils of Indo-Gangetic plains of India. © 2005 Elsevier B.V. All rights reserved.","author":[{"dropping-particle":"","family":"Gangwar","given":"K. S.","non-dropping-particle":"","parse-names":false,"suffix":""},{"dropping-particle":"","family":"Singh","given":"K. K.","non-dropping-particle":"","parse-names":false,"suffix":""},{"dropping-particle":"","family":"Sharma","given":"S. K.","non-dropping-particle":"","parse-names":false,"suffix":""},{"dropping-particle":"","family":"Tomar","given":"O. K.","non-dropping-particle":"","parse-names":false,"suffix":""}],"container-title":"Soil and Tillage Research","id":"ITEM-1","issue":"1-2","issued":{"date-parts":[["2006"]]},"page":"242-252","title":"Alternative tillage and crop residue management in wheat after rice in sandy loam soils of Indo-Gangetic plains","type":"article-journal","volume":"88"},"uris":["http://www.mendeley.com/documents/?uuid=6826bd55-01ef-4b0e-a970-c3a2829b7270"]}],"mendeley":{"formattedCitation":"(Gangwar et al., 2006)","plainTextFormattedCitation":"(Gangwar et al., 2006)","previouslyFormattedCitation":"(Gangwar et al., 2006)"},"properties":{"noteIndex":0},"schema":"https://github.com/citation-style-language/schema/raw/master/csl-citation.json"}</w:instrText>
      </w:r>
      <w:r w:rsidRPr="00203EB0">
        <w:rPr>
          <w:rFonts w:cs="Times New Roman"/>
        </w:rPr>
        <w:fldChar w:fldCharType="separate"/>
      </w:r>
      <w:r w:rsidRPr="00203EB0">
        <w:rPr>
          <w:rFonts w:cs="Times New Roman"/>
          <w:noProof/>
        </w:rPr>
        <w:t>(Gangwar et al., 2006)</w:t>
      </w:r>
      <w:r w:rsidRPr="00203EB0">
        <w:rPr>
          <w:rFonts w:cs="Times New Roman"/>
        </w:rPr>
        <w:fldChar w:fldCharType="end"/>
      </w:r>
      <w:r w:rsidRPr="00203EB0">
        <w:rPr>
          <w:rFonts w:cs="Times New Roman"/>
        </w:rPr>
        <w:t xml:space="preserve">.  </w:t>
      </w:r>
    </w:p>
    <w:p w14:paraId="32C736AF" w14:textId="1407CDDE" w:rsidR="00977E39" w:rsidRPr="00203EB0" w:rsidRDefault="00977E39" w:rsidP="00E80354">
      <w:pPr>
        <w:spacing w:line="480" w:lineRule="auto"/>
        <w:rPr>
          <w:rFonts w:cs="Times New Roman"/>
        </w:rPr>
      </w:pPr>
      <w:r w:rsidRPr="00203EB0">
        <w:rPr>
          <w:rFonts w:cs="Times New Roman"/>
        </w:rPr>
        <w:t xml:space="preserve">These findings hold significant implications for managing cropping systems in the face of increasing weather variability coupled with extreme precipitation events under climate change </w:t>
      </w:r>
      <w:r w:rsidRPr="00203EB0">
        <w:rPr>
          <w:rFonts w:cs="Times New Roman"/>
        </w:rPr>
        <w:fldChar w:fldCharType="begin" w:fldLock="1"/>
      </w:r>
      <w:r w:rsidRPr="00203EB0">
        <w:rPr>
          <w:rFonts w:cs="Times New Roman"/>
        </w:rPr>
        <w:instrText>ADDIN CSL_CITATION {"citationItems":[{"id":"ITEM-1","itemData":{"ISBN":"9780521144070","author":[{"dropping-particle":"","family":"Karl","given":"T. R","non-dropping-particle":"","parse-names":false,"suffix":""},{"dropping-particle":"","family":"Melillo","given":"J. M","non-dropping-particle":"","parse-names":false,"suffix":""},{"dropping-particle":"","family":"Peterson","given":"T. C","non-dropping-particle":"","parse-names":false,"suffix":""}],"editor":[{"dropping-particle":"","family":"Press","given":"Cambridge University","non-dropping-particle":"","parse-names":false,"suffix":""}],"id":"ITEM-1","issued":{"date-parts":[["2009"]]},"title":"Global climate change impacts in the United States","type":"book"},"uris":["http://www.mendeley.com/documents/?uuid=4a4573df-54a5-4dbb-a7d6-b39a93689d11"]}],"mendeley":{"formattedCitation":"(Karl et al., 2009)","manualFormatting":"(Ukkola et al., 2020; Karl et al., 2009)","plainTextFormattedCitation":"(Karl et al., 2009)","previouslyFormattedCitation":"(Karl et al., 2009)"},"properties":{"noteIndex":0},"schema":"https://github.com/citation-style-language/schema/raw/master/csl-citation.json"}</w:instrText>
      </w:r>
      <w:r w:rsidRPr="00203EB0">
        <w:rPr>
          <w:rFonts w:cs="Times New Roman"/>
        </w:rPr>
        <w:fldChar w:fldCharType="separate"/>
      </w:r>
      <w:r w:rsidRPr="00203EB0">
        <w:rPr>
          <w:rFonts w:cs="Times New Roman"/>
          <w:noProof/>
        </w:rPr>
        <w:t>(Ukkola et al., 2020; Karl et al., 2009)</w:t>
      </w:r>
      <w:r w:rsidRPr="00203EB0">
        <w:rPr>
          <w:rFonts w:cs="Times New Roman"/>
        </w:rPr>
        <w:fldChar w:fldCharType="end"/>
      </w:r>
      <w:r w:rsidRPr="00203EB0">
        <w:rPr>
          <w:rFonts w:cs="Times New Roman"/>
        </w:rPr>
        <w:t xml:space="preserve">. Combined NT and HV cover cropping improved soil aeration and reduced oxygen stress which perhaps contributed to sustain high and stable yields as shown in previous analysis using the same long-term experiment </w:t>
      </w:r>
      <w:r w:rsidRPr="00203EB0">
        <w:rPr>
          <w:rFonts w:cs="Times New Roman"/>
        </w:rPr>
        <w:fldChar w:fldCharType="begin" w:fldLock="1"/>
      </w:r>
      <w:r w:rsidRPr="00203EB0">
        <w:rPr>
          <w:rFonts w:cs="Times New Roman"/>
        </w:rPr>
        <w:instrText>ADDIN CSL_CITATION {"citationItems":[{"id":"ITEM-1","itemData":{"DOI":"10.1016/j.agee.2020.107007","ISSN":"01678809","abstract":"Resilient agroecosystems are foundational for stable and profitable food, feed, and fiber production in the face of increasing climatic perturbations and environmental stresses. Enhanced soil and environmental benefits of cover crops applied to conservation tillage systems has been well documented. However, little is known about the timespan for interactions of no tillage and cover crops to achieve enhanced yield and yield stability while lowering N fertilization. Using a long-term continuous cotton experiment in southeastern USA, we analyzed yield data collected from 1986 to 2018 from 32 management systems to identify how management duration controls the synergistic effect of applied mineral N rates (0, 34, 67, and 101 kg ha−1), cover crops (no cover [NC], hairy vetch [HV], crimson clover [CC], and winter wheat [WW]), and tillage practices (no tillage [NT] and conventional tillage [CT]) on cotton yield and yield stability. Yield stability was analyzed using Finlay—Wilkinson regression model, Wricke's Ecovalance, and coefficient of variation, and a mixed model approach was used to compare the yield and yield stability within three time phases (1−10 years, 11–20 years, and 21−33 years) at the 95% confidence level. During the initial 10 yr period (phase 1) CT resulted in greater cotton yield (7%) and yield stability than NT. However, in phase 2 (11–20 years) and phase 3 (21−33 years) NT led to greater yield (7%) and yield stability for almost all cover crop × N interactions, except for zero N following NC and WW. Increased N during the initial phase reduced both yield and yield stability under legume cover crops. During phases 2 and 3, however, the higher N rates (67 and 101 kg N ha−1) increased cotton yield, although management systems with 0 and 101 kg N ha−1 showed the largest temporal yield variability. Legume cover crops increased yield and yield stability under low N rates. The maximum combined yield and yield stability benefit was obtained from HV cover on NT with additional application of 34 kg N ha−1. Our results suggest that after the initial phase NT delivers the most consistent yield benefits while enhancing yield stability against unfavorable environmental conditions. Long-term integration of legume cover crops (particularly HV) to NT systems was effective in maintaining high yield and increasing yield stability while lowering N rates.","author":[{"dropping-particle":"","family":"Nouri","given":"Amin","non-dropping-particle":"","parse-names":false,"suffix":""},{"dropping-particle":"","family":"Lee","given":"Jaehoon","non-dropping-particle":"","parse-names":false,"suffix":""},{"dropping-particle":"","family":"Yoder","given":"Daniel C.","non-dropping-particle":"","parse-names":false,"suffix":""},{"dropping-particle":"","family":"Jagadamma","given":"Sindhu","non-dropping-particle":"","parse-names":false,"suffix":""},{"dropping-particle":"","family":"Walker","given":"Forbes R.","non-dropping-particle":"","parse-names":false,"suffix":""},{"dropping-particle":"","family":"Yin","given":"Xinhua","non-dropping-particle":"","parse-names":false,"suffix":""},{"dropping-particle":"","family":"Arelli","given":"Prakash","non-dropping-particle":"","parse-names":false,"suffix":""}],"container-title":"Agriculture, Ecosystems and Environment","id":"ITEM-1","issued":{"date-parts":[["2020"]]},"page":"107007","publisher":"Elsevier","title":"Management duration controls the synergistic effect of tillage, cover crop, and nitrogen rate on cotton yield and yield stability","type":"article-journal","volume":"301"},"uris":["http://www.mendeley.com/documents/?uuid=256f2cd2-23e2-4c11-bb8a-0aa13549a3d8"]},{"id":"ITEM-2","itemData":{"DOI":"10.1038/s43247-021-00223-6","ISBN":"4324702100223","ISSN":"26624435","abstract":"Climate extremes pose a global threat to crop security. Conservation agriculture is expected to offer substantial climate adaptation benefits. However, synergistic effects of conservation practices on yield during normal versus extreme climates and underlying regulatory mechanisms remain elusive. Here, we analyze 29-years of climate data, cotton (Gossypium hirsutum L.) yield, and soil data under 32 management practices in Tennessee, USA. We find that long-term no-tillage enhanced agroecosystem resilience and yield stability under climate extremes and maximized yield under favorable climate. We demonstrate that no-tillage benefits are tied with enhanced soil structural stability and organic carbon. No-tillage enhanced the effectiveness of legume cover crop in stabilizing cotton yield during relatively dry or wet, and dry years, while nitrogen fertilizer rate and precipitation timing, controlled yield stability in wetter years. Our findings provide evidence-based insights into how management strategies can enhance agroecosystem resilience and production stability in climate extremes.","author":[{"dropping-particle":"","family":"Nouri","given":"Amin","non-dropping-particle":"","parse-names":false,"suffix":""},{"dropping-particle":"","family":"Yoder","given":"Daniel C.","non-dropping-particle":"","parse-names":false,"suffix":""},{"dropping-particle":"","family":"Raji","given":"Mohammad","non-dropping-particle":"","parse-names":false,"suffix":""},{"dropping-particle":"","family":"Ceylan","given":"Safak","non-dropping-particle":"","parse-names":false,"suffix":""},{"dropping-particle":"","family":"Jagadamma","given":"Sindhu","non-dropping-particle":"","parse-names":false,"suffix":""},{"dropping-particle":"","family":"Lee","given":"Jaehoon","non-dropping-particle":"","parse-names":false,"suffix":""},{"dropping-particle":"","family":"Walker","given":"Forbes R.","non-dropping-particle":"","parse-names":false,"suffix":""},{"dropping-particle":"","family":"Yin","given":"Xinhua","non-dropping-particle":"","parse-names":false,"suffix":""},{"dropping-particle":"","family":"Fitzpatrick","given":"Judith","non-dropping-particle":"","parse-names":false,"suffix":""},{"dropping-particle":"","family":"Trexler","given":"Brady","non-dropping-particle":"","parse-names":false,"suffix":""},{"dropping-particle":"","family":"Arelli","given":"Prakash","non-dropping-particle":"","parse-names":false,"suffix":""},{"dropping-particle":"","family":"Saxton","given":"Arnold M.","non-dropping-particle":"","parse-names":false,"suffix":""}],"container-title":"Communications Earth and Environment","id":"ITEM-2","issue":"1","issued":{"date-parts":[["2021"]]},"publisher":"Springer US","title":"Conservation agriculture increases the soil resilience and cotton yield stability in climate extremes of the southeast US","type":"article-journal","volume":"2"},"uris":["http://www.mendeley.com/documents/?uuid=9d147976-95bc-47ce-b33c-1f9dc663801b"]}],"mendeley":{"formattedCitation":"(Nouri et al., 2020, 2021)","plainTextFormattedCitation":"(Nouri et al., 2020, 2021)","previouslyFormattedCitation":"(Nouri et al., 2020, 2021)"},"properties":{"noteIndex":0},"schema":"https://github.com/citation-style-language/schema/raw/master/csl-citation.json"}</w:instrText>
      </w:r>
      <w:r w:rsidRPr="00203EB0">
        <w:rPr>
          <w:rFonts w:cs="Times New Roman"/>
        </w:rPr>
        <w:fldChar w:fldCharType="separate"/>
      </w:r>
      <w:r w:rsidRPr="00203EB0">
        <w:rPr>
          <w:rFonts w:cs="Times New Roman"/>
          <w:noProof/>
        </w:rPr>
        <w:t>(Nouri et al., 2020, 2021)</w:t>
      </w:r>
      <w:r w:rsidRPr="00203EB0">
        <w:rPr>
          <w:rFonts w:cs="Times New Roman"/>
        </w:rPr>
        <w:fldChar w:fldCharType="end"/>
      </w:r>
      <w:r w:rsidRPr="00203EB0">
        <w:rPr>
          <w:rFonts w:cs="Times New Roman"/>
        </w:rPr>
        <w:t xml:space="preserve">. </w:t>
      </w:r>
      <w:r w:rsidR="00D71247">
        <w:rPr>
          <w:rFonts w:cs="Times New Roman"/>
        </w:rPr>
        <w:t xml:space="preserve">In that study, the greatest and most stable yields were achieved under NT combined with HV, emphasizing the synergistic effect of these practices on productivity and resilience. </w:t>
      </w:r>
      <w:r w:rsidRPr="00203EB0">
        <w:rPr>
          <w:rFonts w:cs="Times New Roman"/>
        </w:rPr>
        <w:t xml:space="preserve">Furthermore, improving soil oxygen availability could reduce nutrient losses, including nitrous oxide and methane emissions </w:t>
      </w:r>
      <w:r w:rsidRPr="00203EB0">
        <w:rPr>
          <w:rFonts w:cs="Times New Roman"/>
        </w:rPr>
        <w:fldChar w:fldCharType="begin" w:fldLock="1"/>
      </w:r>
      <w:r w:rsidRPr="00203EB0">
        <w:rPr>
          <w:rFonts w:cs="Times New Roman"/>
        </w:rPr>
        <w:instrText>ADDIN CSL_CITATION {"citationItems":[{"id":"ITEM-1","itemData":{"DOI":"10.1023/A:1006034126698","ISSN":"01682563","abstract":"We measured soil oxygen concentrations at 10 and 35 cm depths and indices of biogeochemical cycling in upland forest soils along a rainfall and elevation gradient (35005000 mm y-1; 350-1050 masl) and along topographic gradients (ridge to valley, ~ 150 m) in the Luquillo Experimental Forest, Puerto Rico. Along the rainfall gradient, soil O2 availability decreased significantly with increasing annual rainfall, and reached very low levels (&lt;3%) in individual chambers for up to 25 consecutive weeks over 82 weeks of study. Along localized topographic gradients, soil O2 concentrations were variable and decreased significantly from ridges to valleys. In the valleys, up to 35% of the observations at 10-35 cm depth were &lt;3% soil O2. Cross correlation analyses showed that soil O2 concentrations were significantly positively correlated along the topographic gradient, and were sensitive to rainfall and hydrologic output. Soil O2 concentrations in valley soils were correlated with rainfall from the previous day, while ridge sites were correlated with cumulative rainfall inputs over 4 weeks. Soils at the wettest point along the rainfall gradient had very high soil methane concentrations (3-24%) indicating a strong influence of anaerobic processes. We measured net methane emission to the atmosphere at the wettest sites of the rainfall gradient, and in the valleys along topographic gradients. Other measures of biogeochemical function such as soil organic matter content and P availability were sensitive to chronic O2 depletion along the rainfall gradient, but less sensitive to the variable soil O2 environment exhibited at lower elevations along topographic gradients.","author":[{"dropping-particle":"","family":"Silver","given":"Whendee L.","non-dropping-particle":"","parse-names":false,"suffix":""},{"dropping-particle":"","family":"Lugo","given":"A. E.","non-dropping-particle":"","parse-names":false,"suffix":""},{"dropping-particle":"","family":"Keller","given":"M.","non-dropping-particle":"","parse-names":false,"suffix":""}],"container-title":"Biogeochemistry","id":"ITEM-1","issue":"3","issued":{"date-parts":[["1999"]]},"page":"301-328","title":"Soil oxygen availability and biogeochemistry along rainfall and topographic gradients in upland wet tropical forest soils","type":"article-journal","volume":"44"},"uris":["http://www.mendeley.com/documents/?uuid=53cde620-2126-4b95-a49a-151c82985481"]},{"id":"ITEM-2","itemData":{"DOI":"10.1002/ael2.20103","ISSN":"24719625","abstract":"Few studies have addressed whether in-field practices to reduce nitrate-nitrogen (NO3-N) leaching might increase nitrous oxide (N2O) emissions, which could undermine attempts to mitigate agricultural N pollution. Over a 3-year period, we assessed the impacts of N application timing and cereal rye (Secale cereale L.) cover crop on subsurface drainage NO3-N leaching and N2O emissions to quantify changes in total N loss and corresponding social and environmental damage costs under continuous corn (Zea mays L.). While NO3-N losses were reduced by 37% with the combination of in-season split N application and cereal rye cover crop relative to pre-season N application, soil N2O emissions increased by 26%, highlighting a tradeoff between N loss pathways. As a result, total N losses and social and environmental damage costs from each system were not different. These results demonstrate the importance of addressing agricultural N pollution using a holistic framework accounting for the environmental and social risks of both NO3-N losses and N2O emissions.","author":[{"dropping-particle":"","family":"Preza-Fontes","given":"Giovani","non-dropping-particle":"","parse-names":false,"suffix":""},{"dropping-particle":"","family":"Christianson","given":"Laura E.","non-dropping-particle":"","parse-names":false,"suffix":""},{"dropping-particle":"","family":"Pittelkow","given":"Cameron M.","non-dropping-particle":"","parse-names":false,"suffix":""}],"container-title":"Agricultural and Environmental Letters","id":"ITEM-2","issue":"1","issued":{"date-parts":[["2023"]]},"page":"2-7","title":"Investigating tradeoffs in nitrogen loss pathways using an environmental damage cost framework","type":"article-journal","volume":"8"},"uris":["http://www.mendeley.com/documents/?uuid=90f293a2-f271-4660-ab2e-585d9b6d7979"]},{"id":"ITEM-3","itemData":{"DOI":"10.2136/sssaj2016.09.0277","ISSN":"0361-5995","abstract":"© Soil Science Society of America. This is an open access article distributed under the CC BY-NC-ND. Ruminant urine deposition onto pasture creates hot-spots where emissions of nitrous oxide (N2O) are produced by aerobic and anaerobic microbial pathways. However, limited measurements of in situ soil oxygen (O2)-N2O relationships hinder the prediction of N2O emissions from urine-affected soil. This study tested whether soil O2 concentration or relative diffusivity of O2 (Dp/DO) could explain N2O emissions from urine patches. Using a randomized plot design, N2O emissions were measured daily from a perennial ryegrass (Lolium perenne L.) pasture for 56 d following bovine (Bos taurus) urine deposition to an imperfectly drained silty loam soil. Soil O2, volumetric water content, pH, conductivity, and extractable N and C were measured in urine-amended and non-amended soil. Values of water-filled pore space (WFPS) and DP/DO were modeled. When data from treatments were pooled together, daily mean DP/DO explained 73% of the total variance in mean daily N2O flux, compared with 65, &lt;60, and &lt;20% for WFPS, O2 and other measured variables, respectively. Soil pH, O2, volumetric water content, WFPS and DP/DO all explained more of the variance in the urineamended compared with the non-amended soil. Daily N2O fluxes increased substantially at DP/DO values around 0.006, which was consistent with past laboratory studies. These results demonstrate for the first time an O2 diffusion threshold for elevated N2O fluxes in the field, expressed as DP/DO ≈ 0.006. Further studies should examine the consistency of this threshold under varying N and C substrates and a range of soil pH.","author":[{"dropping-particle":"","family":"Owens","given":"Jen","non-dropping-particle":"","parse-names":false,"suffix":""},{"dropping-particle":"","family":"Clough","given":"Tim J.","non-dropping-particle":"","parse-names":false,"suffix":""},{"dropping-particle":"","family":"Laubach","given":"Johannes","non-dropping-particle":"","parse-names":false,"suffix":""},{"dropping-particle":"","family":"Hunt","given":"John E.","non-dropping-particle":"","parse-names":false,"suffix":""},{"dropping-particle":"","family":"Venterea","given":"Rodney T.","non-dropping-particle":"","parse-names":false,"suffix":""}],"container-title":"Soil Science Society of America Journal","id":"ITEM-3","issue":"2","issued":{"date-parts":[["2017"]]},"page":"289-298","title":"Nitrous oxide fluxes and soil oxygen dynamics of soil treated with cow urine","type":"article-journal","volume":"81"},"uris":["http://www.mendeley.com/documents/?uuid=fac1f085-ac51-4724-b3ba-2f7afc6bbd5d"]},{"id":"ITEM-4","itemData":{"DOI":"10.5194/bg-18-1185-2021","ISSN":"17264189","abstract":"The prediction of nitrous oxide (N2O) and of dinitrogen (N2) emissions formed by biotic denitrification in soil is notoriously difficult due to challenges in capturing cooccurring processes at microscopic scales. N2O production and reduction depend on the spatial extent of anoxic conditions in soil, which in turn are a function of oxygen (O2) supply through diffusion and O2 demand by respiration in the presence of an alternative electron acceptor (e.g. nitrate). This study aimed to explore controlling factors of complete denitrification in terms of N2O and (N2OCN2) fluxes in repacked soils by taking micro-environmental conditions directly into account. This was achieved by measuring microscale oxygen saturation and estimating the anaerobic soil volume fraction (ansvf) based on internal air distribution measured with X-ray computed tomography (X-ray CT). O2 supply and demand were explored systemically in a full factorial design with soil organic matter (SOM; 1.2% and 4.5 %), aggregate size (2-4 and 4-8 mm), and water saturation (70 %, 83 %, and 95% water-holding capacity, WHC) as factors. CO2 and N2O emissions were monitored with gas chromatography. The 15N gas flux method was used to estimate the N2O reduction to N2. N gas emissions could only be predicted well when explanatory variables for O2 demand and O2 supply were considered jointly. Combining CO2 emission and ansvf as proxies for O2 demand and supply resulted in 83% explained variability in (N2OCN2) emissions and together with the denitrification product ratio [N2O= (N2OCN2)] (pr) 81%in N2O emissions. O2 concentration measured by microsensors was a poor predictor due to the variability in O2 over small distances combined with the small measurement volume of the microsensors. The substitution of predictors by independent, readily available proxies for O2 demand (SOM) and O2 supply (diffusivity) reduced the predictive power considerably (60% and 66% for N2O and (N2OCN2/ fluxes, respectively). The new approach of using X-ray CT imaging analysis to directly quantify soil structure in terms of ansvf in combination with N2O and (N2OCN2) flux measurements opens up new perspectives to estimate complete denitrification in soil. This will also contribute to improving N2O flux models and can help to develop mitigation strategies for N2O fluxes and improve N use efficiency.","author":[{"dropping-particle":"","family":"Rohe","given":"Lena","non-dropping-particle":"","parse-names":false,"suffix":""},{"dropping-particle":"","family":"Apelt","given":"Bernd","non-dropping-particle":"","parse-names":false,"suffix":""},{"dropping-particle":"","family":"Vogel","given":"Hans Jörg","non-dropping-particle":"","parse-names":false,"suffix":""},{"dropping-particle":"","family":"Well","given":"Reinhard","non-dropping-particle":"","parse-names":false,"suffix":""},{"dropping-particle":"","family":"Wu","given":"Gi Mick","non-dropping-particle":"","parse-names":false,"suffix":""},{"dropping-particle":"","family":"Schlüter","given":"Steffen","non-dropping-particle":"","parse-names":false,"suffix":""}],"container-title":"Biogeosciences","id":"ITEM-4","issue":"3","issued":{"date-parts":[["2021"]]},"page":"1185-1201","title":"Denitrification in soil as a function of oxygen availability at the microscale","type":"article-journal","volume":"18"},"uris":["http://www.mendeley.com/documents/?uuid=cdc4ed38-878e-4b10-b586-c9c4c1f63168"]},{"id":"ITEM-5","itemData":{"DOI":"10.1016/j.envpol.2021.118345","ISSN":"18736424","PMID":"34648834","abstract":"Hot moments of nitrous oxide (N2O) emissions induced by interactions between weather and management make a major contribution to annual N2O budgets in agricultural soils. The causes of N2O production during hot moments are not well understood under field conditions, but emerging evidence suggests that short-term fluctuations in soil oxygen (O2) concentration can be critically important. We conducted high time-resolution field observations of O2 and N2O concentrations during hot moments in a dryland agricultural soil in Northern China. Three typical management and weather events, including irrigation (Irr.), fertilization coupled with irrigation (Fer.+Irr.) or with extreme precipitation (Fer.+Pre.), were observed. Soil O2 and N2O concentrations were measured hourly for 24 h immediately following events and measured daily for at least one week before and after the events. Soil moisture, temperature, and mineral N were simultaneously measured. Soil O2 concentrations decreased rapidly within 4 h following irrigation in both the Irr. and Fer.+Irr. events. In the Fer.+Pre. event, soil O2 depletion did not occur immediately following fertilization but began following subsequent continuous rainfall. The soil O2 concentration dropped to as low as 0.2% (with the highest soil N2O concentration of up to 180 ppmv) following the Fer.+Pre. event, but only fell to 11.7% and 13.6% after the Fer.+Irr. and Irr. events, which were associated with soil N2O concentrations of 27 ppmv and 3 ppmv, respectively. During the hot moments of all three events, soil N2O concentrations were negatively correlated with soil O2 concentrations (r = −0.5, P &lt; 0.01), showing a quadratic increase as soil O2 concentrations declined. Our results provide new understanding of the rapid short response of N2O production to O2 dynamics driven by changes in soil environmental factors during hot moments. Such understanding helps improve soil management to avoid transitory O2 depletion and reduce the risk of N2O production.","author":[{"dropping-particle":"","family":"Song","given":"Xiaotong","non-dropping-particle":"","parse-names":false,"suffix":""},{"dropping-particle":"","family":"Wei","given":"Huanhuan","non-dropping-particle":"","parse-names":false,"suffix":""},{"dropping-particle":"","family":"Rees","given":"Robert M.","non-dropping-particle":"","parse-names":false,"suffix":""},{"dropping-particle":"","family":"Ju","given":"Xiaotang","non-dropping-particle":"","parse-names":false,"suffix":""}],"container-title":"Environmental Pollution","id":"ITEM-5","issue":"PA","issued":{"date-parts":[["2022"]]},"page":"118345","publisher":"Elsevier Ltd","title":"Soil oxygen depletion and corresponding nitrous oxide production at hot moments in an agricultural soil","type":"article-journal","volume":"292"},"uris":["http://www.mendeley.com/documents/?uuid=73de8b3a-3363-4e24-a82f-42ce5ac396d5"]}],"mendeley":{"formattedCitation":"(Silver et al., 1999; Owens et al., 2017; Rohe et al., 2021; Song et al., 2022b; Preza-Fontes et al., 2023)","plainTextFormattedCitation":"(Silver et al., 1999; Owens et al., 2017; Rohe et al., 2021; Song et al., 2022b; Preza-Fontes et al., 2023)","previouslyFormattedCitation":"(Silver et al., 1999; Owens et al., 2017; Rohe et al., 2021; Song et al., 2022b; Preza-Fontes et al., 2023)"},"properties":{"noteIndex":0},"schema":"https://github.com/citation-style-language/schema/raw/master/csl-citation.json"}</w:instrText>
      </w:r>
      <w:r w:rsidRPr="00203EB0">
        <w:rPr>
          <w:rFonts w:cs="Times New Roman"/>
        </w:rPr>
        <w:fldChar w:fldCharType="separate"/>
      </w:r>
      <w:r w:rsidRPr="00203EB0">
        <w:rPr>
          <w:rFonts w:cs="Times New Roman"/>
          <w:noProof/>
        </w:rPr>
        <w:t>(Silver et al., 1999; Owens et al., 2017; Rohe et al., 2021; Song et al., 2022b; Preza-Fontes et al., 2023)</w:t>
      </w:r>
      <w:r w:rsidRPr="00203EB0">
        <w:rPr>
          <w:rFonts w:cs="Times New Roman"/>
        </w:rPr>
        <w:fldChar w:fldCharType="end"/>
      </w:r>
      <w:r w:rsidRPr="00203EB0">
        <w:rPr>
          <w:rStyle w:val="CommentReference"/>
          <w:rFonts w:cs="Times New Roman"/>
          <w:sz w:val="24"/>
          <w:szCs w:val="24"/>
        </w:rPr>
        <w:t>,</w:t>
      </w:r>
      <w:r w:rsidRPr="00203EB0">
        <w:rPr>
          <w:rStyle w:val="CommentReference"/>
          <w:sz w:val="24"/>
          <w:szCs w:val="24"/>
        </w:rPr>
        <w:t xml:space="preserve"> </w:t>
      </w:r>
      <w:r w:rsidRPr="00203EB0">
        <w:rPr>
          <w:rStyle w:val="CommentReference"/>
          <w:rFonts w:cs="Times New Roman"/>
          <w:sz w:val="24"/>
          <w:szCs w:val="24"/>
        </w:rPr>
        <w:t>hence improve sustainability of production practices</w:t>
      </w:r>
      <w:r w:rsidRPr="00203EB0">
        <w:rPr>
          <w:rFonts w:cs="Times New Roman"/>
        </w:rPr>
        <w:t xml:space="preserve">. While acreages under NT is steadily growing in the US </w:t>
      </w:r>
      <w:r w:rsidRPr="00203EB0">
        <w:rPr>
          <w:rFonts w:cs="Times New Roman"/>
        </w:rPr>
        <w:fldChar w:fldCharType="begin" w:fldLock="1"/>
      </w:r>
      <w:r w:rsidRPr="00203EB0">
        <w:rPr>
          <w:rFonts w:cs="Times New Roman"/>
        </w:rPr>
        <w:instrText>ADDIN CSL_CITATION {"citationItems":[{"id":"ITEM-1","itemData":{"ISBN":"AC-12-A-51","abstract":"The 2012 Census of Agriculture is the 28th Federal census of agriculture and the fourth conducted by the U.S. Department of Agriculture (USDA), National Agricultural Statistics Service (NASS). The U.S. Department of Commerce, Bureau of the Census conducted the census of agriculture for 156 years (1840-1996). The 1997 Appropriations Act contained a provision that transferred the responsibility for the census of agriculture to NASS. The history of collecting data on U.S. agriculture dates back as far as President George Washington, who kept meticulous statistical records describing his own and other farms. In 1791, President Washington wrote to farmers requesting information on land values, crop acreages, crop yields, livestock prices, and taxes. Washington compiled the results on an area extending roughly 250 miles from north to south and 100 miles from east to west which today lies in Maryland, Pennsylvania, Virginia, West Virginia, and the District of Columbia, where most of the young country’s population lived. In effect, Washington’s inquiry was an attempt to fulfill the need for sound agricultural data for a nation that was heavily reliant on the success of agriculture. Such informal inquiries worked while the Nation was young, but were insufficient as the country expanded. In 1839, Congress appropriated $1,000 for “carrying out agricultural investigations, and procuring agricultural statistics.” The first agriculture census was taken in 1840 as part of the sixth decennial census of population. As the country expanded and agriculture evolved, the decade between censuses became too long an interval to capture the changes in agricultural production. After the 1920 census, the census interval was changed to every five years resulting in a separate mid-decade census of agriculture being conducted in 1925, 1935, and 1945. The agriculture census continued to be taken as part of the decennial census through 1950. From 1954 to 1974, the census was taken for the years ending in 4 and 9. In 1976, Congress changed the 5- year data collection cycle to years ending in 2 and 7 to coincide with other economic censuses. That 5- year cycle continues to this day.","author":[{"dropping-particle":"","family":"NASS","given":"USDA","non-dropping-particle":"","parse-names":false,"suffix":""}],"container-title":"2022 Census of Agriculture","id":"ITEM-1","issue":"51","issued":{"date-parts":[["2022"]]},"page":"820","title":"2022 census of Agriculture","type":"article-journal","volume":"1"},"uris":["http://www.mendeley.com/documents/?uuid=4aa94d86-8698-4511-896d-b4ca7ee6310e"]}],"mendeley":{"formattedCitation":"(NASS, 2022)","plainTextFormattedCitation":"(NASS, 2022)","previouslyFormattedCitation":"(NASS, 2022)"},"properties":{"noteIndex":0},"schema":"https://github.com/citation-style-language/schema/raw/master/csl-citation.json"}</w:instrText>
      </w:r>
      <w:r w:rsidRPr="00203EB0">
        <w:rPr>
          <w:rFonts w:cs="Times New Roman"/>
        </w:rPr>
        <w:fldChar w:fldCharType="separate"/>
      </w:r>
      <w:r w:rsidRPr="00203EB0">
        <w:rPr>
          <w:rFonts w:cs="Times New Roman"/>
          <w:noProof/>
        </w:rPr>
        <w:t>(NASS, 2022)</w:t>
      </w:r>
      <w:r w:rsidRPr="00203EB0">
        <w:rPr>
          <w:rFonts w:cs="Times New Roman"/>
        </w:rPr>
        <w:fldChar w:fldCharType="end"/>
      </w:r>
      <w:r w:rsidRPr="00203EB0">
        <w:rPr>
          <w:rFonts w:cs="Times New Roman"/>
        </w:rPr>
        <w:t xml:space="preserve">, CC adoption is much slower. In cotton production, a low-residue crop, NT adoption falls behind corn, soybean, and wheat </w:t>
      </w:r>
      <w:r w:rsidRPr="00203EB0">
        <w:rPr>
          <w:rFonts w:cs="Times New Roman"/>
        </w:rPr>
        <w:fldChar w:fldCharType="begin" w:fldLock="1"/>
      </w:r>
      <w:r w:rsidRPr="00203EB0">
        <w:rPr>
          <w:rFonts w:cs="Times New Roman"/>
        </w:rPr>
        <w:instrText>ADDIN CSL_CITATION {"citationItems":[{"id":"ITEM-1","itemData":{"author":[{"dropping-particle":"","family":"Claassen","given":"Roger","non-dropping-particle":"","parse-names":false,"suffix":""},{"dropping-particle":"","family":"Bowman","given":"Maria","non-dropping-particle":"","parse-names":false,"suffix":""},{"dropping-particle":"","family":"McFadden","given":"Jonathan","non-dropping-particle":"","parse-names":false,"suffix":""},{"dropping-particle":"","family":"Smith","given":"David","non-dropping-particle":"","parse-names":false,"suffix":""},{"dropping-particle":"","family":"Wallander","given":"Steven","non-dropping-particle":"","parse-names":false,"suffix":""}],"container-title":"U.S. Department of agriculture","id":"ITEM-1","issued":{"date-parts":[["2018"]]},"page":"4-21","title":"Tillage intensity and conservation cropping in the United States","type":"article-journal","volume":"197"},"uris":["http://www.mendeley.com/documents/?uuid=a967878d-86c4-4537-ad92-2e0bef632555"]}],"mendeley":{"formattedCitation":"(Claassen et al., 2018)","plainTextFormattedCitation":"(Claassen et al., 2018)","previouslyFormattedCitation":"(Claassen et al., 2018)"},"properties":{"noteIndex":0},"schema":"https://github.com/citation-style-language/schema/raw/master/csl-citation.json"}</w:instrText>
      </w:r>
      <w:r w:rsidRPr="00203EB0">
        <w:rPr>
          <w:rFonts w:cs="Times New Roman"/>
        </w:rPr>
        <w:fldChar w:fldCharType="separate"/>
      </w:r>
      <w:r w:rsidRPr="00203EB0">
        <w:rPr>
          <w:rFonts w:cs="Times New Roman"/>
          <w:noProof/>
        </w:rPr>
        <w:t>(Claassen et al., 2018)</w:t>
      </w:r>
      <w:r w:rsidRPr="00203EB0">
        <w:rPr>
          <w:rFonts w:cs="Times New Roman"/>
        </w:rPr>
        <w:fldChar w:fldCharType="end"/>
      </w:r>
      <w:r w:rsidRPr="00203EB0">
        <w:rPr>
          <w:rFonts w:cs="Times New Roman"/>
        </w:rPr>
        <w:t>. Our study showed the positive impact of adopting at least one conservation practice, NT or cover cropping, on soil functionality by facilitating plant growth promoting conditions (i.e., reduced root oxygen stress) buffered against extreme weather conditions.</w:t>
      </w:r>
    </w:p>
    <w:p w14:paraId="15BAAF0D" w14:textId="77777777" w:rsidR="00770223" w:rsidRPr="00203EB0" w:rsidRDefault="00770223" w:rsidP="00D95FA5">
      <w:pPr>
        <w:pStyle w:val="Caption"/>
        <w:jc w:val="center"/>
      </w:pPr>
      <w:r w:rsidRPr="00203EB0">
        <w:rPr>
          <w:noProof/>
        </w:rPr>
        <w:lastRenderedPageBreak/>
        <w:drawing>
          <wp:inline distT="0" distB="0" distL="0" distR="0" wp14:anchorId="676111FB" wp14:editId="6AA71B6D">
            <wp:extent cx="4396740" cy="7067535"/>
            <wp:effectExtent l="0" t="0" r="381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hqprint">
                      <a:extLst>
                        <a:ext uri="{28A0092B-C50C-407E-A947-70E740481C1C}">
                          <a14:useLocalDpi xmlns:a14="http://schemas.microsoft.com/office/drawing/2010/main" val="0"/>
                        </a:ext>
                      </a:extLst>
                    </a:blip>
                    <a:srcRect/>
                    <a:stretch>
                      <a:fillRect/>
                    </a:stretch>
                  </pic:blipFill>
                  <pic:spPr bwMode="auto">
                    <a:xfrm>
                      <a:off x="0" y="0"/>
                      <a:ext cx="4406554" cy="7083310"/>
                    </a:xfrm>
                    <a:prstGeom prst="rect">
                      <a:avLst/>
                    </a:prstGeom>
                    <a:noFill/>
                  </pic:spPr>
                </pic:pic>
              </a:graphicData>
            </a:graphic>
          </wp:inline>
        </w:drawing>
      </w:r>
    </w:p>
    <w:p w14:paraId="0492E5BF" w14:textId="3A7269A6" w:rsidR="00770223" w:rsidRPr="00203EB0" w:rsidRDefault="00770223" w:rsidP="00770223">
      <w:pPr>
        <w:rPr>
          <w:rFonts w:cs="Times New Roman"/>
          <w:bCs/>
          <w:iCs/>
        </w:rPr>
      </w:pPr>
      <w:bookmarkStart w:id="41" w:name="_Toc206669264"/>
      <w:r w:rsidRPr="00203EB0">
        <w:rPr>
          <w:rFonts w:cs="Times New Roman"/>
          <w:b/>
        </w:rPr>
        <w:t xml:space="preserve">Figure </w:t>
      </w:r>
      <w:r w:rsidR="00BD46F8" w:rsidRPr="00203EB0">
        <w:rPr>
          <w:rFonts w:cs="Times New Roman"/>
          <w:b/>
        </w:rPr>
        <w:fldChar w:fldCharType="begin"/>
      </w:r>
      <w:r w:rsidR="00BD46F8" w:rsidRPr="00203EB0">
        <w:rPr>
          <w:rFonts w:cs="Times New Roman"/>
          <w:b/>
        </w:rPr>
        <w:instrText xml:space="preserve"> STYLEREF 1 \s </w:instrText>
      </w:r>
      <w:r w:rsidR="00BD46F8" w:rsidRPr="00203EB0">
        <w:rPr>
          <w:rFonts w:cs="Times New Roman"/>
          <w:b/>
        </w:rPr>
        <w:fldChar w:fldCharType="separate"/>
      </w:r>
      <w:r w:rsidR="00D56363" w:rsidRPr="00203EB0">
        <w:rPr>
          <w:rFonts w:cs="Times New Roman"/>
          <w:b/>
        </w:rPr>
        <w:t>3</w:t>
      </w:r>
      <w:r w:rsidR="00BD46F8" w:rsidRPr="00203EB0">
        <w:rPr>
          <w:rFonts w:cs="Times New Roman"/>
          <w:b/>
        </w:rPr>
        <w:fldChar w:fldCharType="end"/>
      </w:r>
      <w:r w:rsidR="00BD46F8" w:rsidRPr="00203EB0">
        <w:rPr>
          <w:rFonts w:cs="Times New Roman"/>
          <w:b/>
        </w:rPr>
        <w:t>.</w:t>
      </w:r>
      <w:r w:rsidR="00BD46F8" w:rsidRPr="00203EB0">
        <w:rPr>
          <w:rFonts w:cs="Times New Roman"/>
          <w:b/>
        </w:rPr>
        <w:fldChar w:fldCharType="begin"/>
      </w:r>
      <w:r w:rsidR="00BD46F8" w:rsidRPr="00203EB0">
        <w:rPr>
          <w:rFonts w:cs="Times New Roman"/>
          <w:b/>
        </w:rPr>
        <w:instrText xml:space="preserve"> SEQ Figure \* ARABIC \s 1 </w:instrText>
      </w:r>
      <w:r w:rsidR="00BD46F8" w:rsidRPr="00203EB0">
        <w:rPr>
          <w:rFonts w:cs="Times New Roman"/>
          <w:b/>
        </w:rPr>
        <w:fldChar w:fldCharType="separate"/>
      </w:r>
      <w:r w:rsidR="00D56363" w:rsidRPr="00203EB0">
        <w:rPr>
          <w:rFonts w:cs="Times New Roman"/>
          <w:b/>
        </w:rPr>
        <w:t>1</w:t>
      </w:r>
      <w:r w:rsidR="00BD46F8" w:rsidRPr="00203EB0">
        <w:rPr>
          <w:rFonts w:cs="Times New Roman"/>
          <w:b/>
        </w:rPr>
        <w:fldChar w:fldCharType="end"/>
      </w:r>
      <w:r w:rsidRPr="00203EB0">
        <w:rPr>
          <w:rFonts w:cs="Times New Roman"/>
          <w:b/>
        </w:rPr>
        <w:t>:</w:t>
      </w:r>
      <w:r w:rsidRPr="00203EB0">
        <w:rPr>
          <w:rFonts w:cs="Times New Roman"/>
        </w:rPr>
        <w:t xml:space="preserve"> Soil oxygen availability and its resilience following rainfall events during the 2023 cotton growing season (A), during July (B), and during August (C) in response to long-term tillage and cover cropping practices. </w:t>
      </w:r>
      <w:r w:rsidRPr="00203EB0">
        <w:rPr>
          <w:rFonts w:cs="Times New Roman"/>
          <w:bCs/>
          <w:iCs/>
        </w:rPr>
        <w:t>NT, no tillage; CT, conventional tillage; HV, Hairy vetch; NC, no cover crop</w:t>
      </w:r>
      <w:bookmarkEnd w:id="41"/>
    </w:p>
    <w:p w14:paraId="5AD7222E" w14:textId="77777777" w:rsidR="008B63D1" w:rsidRPr="00203EB0" w:rsidRDefault="008B63D1" w:rsidP="00001ABC">
      <w:pPr>
        <w:pStyle w:val="Caption"/>
      </w:pPr>
      <w:r w:rsidRPr="00203EB0">
        <w:rPr>
          <w:noProof/>
        </w:rPr>
        <w:lastRenderedPageBreak/>
        <w:drawing>
          <wp:inline distT="0" distB="0" distL="0" distR="0" wp14:anchorId="2091768E" wp14:editId="04A8CB34">
            <wp:extent cx="5486400" cy="3579366"/>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579366"/>
                    </a:xfrm>
                    <a:prstGeom prst="rect">
                      <a:avLst/>
                    </a:prstGeom>
                    <a:noFill/>
                  </pic:spPr>
                </pic:pic>
              </a:graphicData>
            </a:graphic>
          </wp:inline>
        </w:drawing>
      </w:r>
    </w:p>
    <w:p w14:paraId="4938DED2" w14:textId="621F5117" w:rsidR="0094406E" w:rsidRDefault="0094406E" w:rsidP="0094406E">
      <w:pPr>
        <w:rPr>
          <w:rFonts w:cs="Times New Roman"/>
          <w:bCs/>
          <w:iCs/>
        </w:rPr>
      </w:pPr>
      <w:bookmarkStart w:id="42" w:name="_Toc206669265"/>
      <w:r w:rsidRPr="00203EB0">
        <w:rPr>
          <w:rFonts w:cs="Times New Roman"/>
          <w:b/>
        </w:rPr>
        <w:t xml:space="preserve">Figure </w:t>
      </w:r>
      <w:r w:rsidR="00BD46F8" w:rsidRPr="00203EB0">
        <w:rPr>
          <w:rFonts w:cs="Times New Roman"/>
          <w:b/>
        </w:rPr>
        <w:fldChar w:fldCharType="begin"/>
      </w:r>
      <w:r w:rsidR="00BD46F8" w:rsidRPr="00203EB0">
        <w:rPr>
          <w:rFonts w:cs="Times New Roman"/>
          <w:b/>
        </w:rPr>
        <w:instrText xml:space="preserve"> STYLEREF 1 \s </w:instrText>
      </w:r>
      <w:r w:rsidR="00BD46F8" w:rsidRPr="00203EB0">
        <w:rPr>
          <w:rFonts w:cs="Times New Roman"/>
          <w:b/>
        </w:rPr>
        <w:fldChar w:fldCharType="separate"/>
      </w:r>
      <w:r w:rsidR="00D56363" w:rsidRPr="00203EB0">
        <w:rPr>
          <w:rFonts w:cs="Times New Roman"/>
          <w:b/>
        </w:rPr>
        <w:t>3</w:t>
      </w:r>
      <w:r w:rsidR="00BD46F8" w:rsidRPr="00203EB0">
        <w:rPr>
          <w:rFonts w:cs="Times New Roman"/>
          <w:b/>
        </w:rPr>
        <w:fldChar w:fldCharType="end"/>
      </w:r>
      <w:r w:rsidR="00BD46F8" w:rsidRPr="00203EB0">
        <w:rPr>
          <w:rFonts w:cs="Times New Roman"/>
          <w:b/>
        </w:rPr>
        <w:t>.</w:t>
      </w:r>
      <w:r w:rsidR="00BD46F8" w:rsidRPr="00203EB0">
        <w:rPr>
          <w:rFonts w:cs="Times New Roman"/>
          <w:b/>
        </w:rPr>
        <w:fldChar w:fldCharType="begin"/>
      </w:r>
      <w:r w:rsidR="00BD46F8" w:rsidRPr="00203EB0">
        <w:rPr>
          <w:rFonts w:cs="Times New Roman"/>
          <w:b/>
        </w:rPr>
        <w:instrText xml:space="preserve"> SEQ Figure \* ARABIC \s 1 </w:instrText>
      </w:r>
      <w:r w:rsidR="00BD46F8" w:rsidRPr="00203EB0">
        <w:rPr>
          <w:rFonts w:cs="Times New Roman"/>
          <w:b/>
        </w:rPr>
        <w:fldChar w:fldCharType="separate"/>
      </w:r>
      <w:r w:rsidR="00D56363" w:rsidRPr="00203EB0">
        <w:rPr>
          <w:rFonts w:cs="Times New Roman"/>
          <w:b/>
        </w:rPr>
        <w:t>2</w:t>
      </w:r>
      <w:r w:rsidR="00BD46F8" w:rsidRPr="00203EB0">
        <w:rPr>
          <w:rFonts w:cs="Times New Roman"/>
          <w:b/>
        </w:rPr>
        <w:fldChar w:fldCharType="end"/>
      </w:r>
      <w:r w:rsidRPr="00203EB0">
        <w:rPr>
          <w:rFonts w:cs="Times New Roman"/>
          <w:b/>
        </w:rPr>
        <w:t>:</w:t>
      </w:r>
      <w:r w:rsidRPr="00203EB0">
        <w:rPr>
          <w:rFonts w:cs="Times New Roman"/>
        </w:rPr>
        <w:t xml:space="preserve"> Average soil oxygen content for the days since an extreme precipitation event for tillage and cover crop treatments. The soil oxygen average includes three large precipitation </w:t>
      </w:r>
      <w:proofErr w:type="gramStart"/>
      <w:r w:rsidRPr="00203EB0">
        <w:rPr>
          <w:rFonts w:cs="Times New Roman"/>
        </w:rPr>
        <w:t>events</w:t>
      </w:r>
      <w:proofErr w:type="gramEnd"/>
      <w:r w:rsidRPr="00203EB0">
        <w:rPr>
          <w:rFonts w:cs="Times New Roman"/>
        </w:rPr>
        <w:t xml:space="preserve"> each receiving more than 67 mm of rain within a 48-hour period. Bars indicate standard deviation. Different letter</w:t>
      </w:r>
      <w:r w:rsidR="00001ABC" w:rsidRPr="00203EB0">
        <w:rPr>
          <w:rFonts w:cs="Times New Roman"/>
        </w:rPr>
        <w:t>s</w:t>
      </w:r>
      <w:r w:rsidRPr="00203EB0">
        <w:rPr>
          <w:rFonts w:cs="Times New Roman"/>
        </w:rPr>
        <w:t xml:space="preserve"> associated with the treatments under each level of day since extreme precipitation event indicate significance at </w:t>
      </w:r>
      <w:r w:rsidRPr="00203EB0">
        <w:rPr>
          <w:rFonts w:cs="Times New Roman"/>
          <w:i/>
          <w:iCs/>
        </w:rPr>
        <w:t>P &lt; 0.05</w:t>
      </w:r>
      <w:r w:rsidRPr="00203EB0">
        <w:rPr>
          <w:rFonts w:cs="Times New Roman"/>
        </w:rPr>
        <w:t xml:space="preserve">. </w:t>
      </w:r>
      <w:r w:rsidRPr="00203EB0">
        <w:rPr>
          <w:rFonts w:cs="Times New Roman"/>
          <w:bCs/>
          <w:iCs/>
        </w:rPr>
        <w:t xml:space="preserve"> NT, no tillage; CT, conventional tillage; HV, Hairy vetch; NC, no cover crop.</w:t>
      </w:r>
      <w:bookmarkEnd w:id="42"/>
    </w:p>
    <w:p w14:paraId="31D090C3" w14:textId="77777777" w:rsidR="00977E39" w:rsidRDefault="00977E39" w:rsidP="0094406E">
      <w:pPr>
        <w:rPr>
          <w:rFonts w:cs="Times New Roman"/>
          <w:bCs/>
          <w:iCs/>
        </w:rPr>
      </w:pPr>
    </w:p>
    <w:p w14:paraId="3F437DD9" w14:textId="77777777" w:rsidR="00977E39" w:rsidRDefault="00977E39" w:rsidP="0094406E">
      <w:pPr>
        <w:rPr>
          <w:rFonts w:cs="Times New Roman"/>
          <w:bCs/>
          <w:iCs/>
        </w:rPr>
      </w:pPr>
    </w:p>
    <w:p w14:paraId="07750ED0" w14:textId="77777777" w:rsidR="00977E39" w:rsidRDefault="00977E39" w:rsidP="0094406E">
      <w:pPr>
        <w:rPr>
          <w:rFonts w:cs="Times New Roman"/>
          <w:bCs/>
          <w:iCs/>
        </w:rPr>
      </w:pPr>
    </w:p>
    <w:p w14:paraId="3375D433" w14:textId="77777777" w:rsidR="00977E39" w:rsidRDefault="00977E39" w:rsidP="0094406E">
      <w:pPr>
        <w:rPr>
          <w:rFonts w:cs="Times New Roman"/>
          <w:bCs/>
          <w:iCs/>
        </w:rPr>
      </w:pPr>
    </w:p>
    <w:p w14:paraId="1FCEB752" w14:textId="77777777" w:rsidR="00977E39" w:rsidRDefault="00977E39" w:rsidP="0094406E">
      <w:pPr>
        <w:rPr>
          <w:rFonts w:cs="Times New Roman"/>
          <w:bCs/>
          <w:iCs/>
        </w:rPr>
      </w:pPr>
    </w:p>
    <w:p w14:paraId="6074498F" w14:textId="77777777" w:rsidR="00977E39" w:rsidRDefault="00977E39" w:rsidP="0094406E">
      <w:pPr>
        <w:rPr>
          <w:rFonts w:cs="Times New Roman"/>
          <w:bCs/>
          <w:iCs/>
        </w:rPr>
      </w:pPr>
    </w:p>
    <w:p w14:paraId="172CAA52" w14:textId="77777777" w:rsidR="00977E39" w:rsidRDefault="00977E39" w:rsidP="0094406E">
      <w:pPr>
        <w:rPr>
          <w:rFonts w:cs="Times New Roman"/>
          <w:bCs/>
          <w:iCs/>
        </w:rPr>
      </w:pPr>
    </w:p>
    <w:p w14:paraId="3E9C464B" w14:textId="77777777" w:rsidR="00977E39" w:rsidRDefault="00977E39" w:rsidP="0094406E">
      <w:pPr>
        <w:rPr>
          <w:rFonts w:cs="Times New Roman"/>
          <w:bCs/>
          <w:iCs/>
        </w:rPr>
      </w:pPr>
    </w:p>
    <w:p w14:paraId="4BE47AD3" w14:textId="77777777" w:rsidR="00977E39" w:rsidRDefault="00977E39" w:rsidP="0094406E">
      <w:pPr>
        <w:rPr>
          <w:rFonts w:cs="Times New Roman"/>
          <w:bCs/>
          <w:iCs/>
        </w:rPr>
      </w:pPr>
    </w:p>
    <w:p w14:paraId="606DC6DE" w14:textId="77777777" w:rsidR="00977E39" w:rsidRDefault="00977E39" w:rsidP="0094406E">
      <w:pPr>
        <w:rPr>
          <w:rFonts w:cs="Times New Roman"/>
          <w:bCs/>
          <w:iCs/>
        </w:rPr>
      </w:pPr>
    </w:p>
    <w:p w14:paraId="1B5C7CDB" w14:textId="77777777" w:rsidR="00977E39" w:rsidRDefault="00977E39" w:rsidP="0094406E">
      <w:pPr>
        <w:rPr>
          <w:rFonts w:cs="Times New Roman"/>
          <w:bCs/>
          <w:iCs/>
        </w:rPr>
      </w:pPr>
    </w:p>
    <w:p w14:paraId="0401F7BE" w14:textId="77777777" w:rsidR="00977E39" w:rsidRDefault="00977E39" w:rsidP="0094406E">
      <w:pPr>
        <w:rPr>
          <w:rFonts w:cs="Times New Roman"/>
          <w:bCs/>
          <w:iCs/>
        </w:rPr>
      </w:pPr>
    </w:p>
    <w:p w14:paraId="2E99F20B" w14:textId="77777777" w:rsidR="00977E39" w:rsidRPr="00203EB0" w:rsidRDefault="00977E39" w:rsidP="0094406E">
      <w:pPr>
        <w:rPr>
          <w:rFonts w:cs="Times New Roman"/>
          <w:bCs/>
          <w:iCs/>
        </w:rPr>
      </w:pPr>
    </w:p>
    <w:p w14:paraId="0633B486" w14:textId="77777777" w:rsidR="0094406E" w:rsidRPr="00203EB0" w:rsidRDefault="0094406E" w:rsidP="00A61CF4">
      <w:pPr>
        <w:pStyle w:val="Heading2"/>
      </w:pPr>
      <w:bookmarkStart w:id="43" w:name="_Toc206669116"/>
      <w:r w:rsidRPr="00203EB0">
        <w:lastRenderedPageBreak/>
        <w:t>Conclusions</w:t>
      </w:r>
      <w:bookmarkEnd w:id="43"/>
    </w:p>
    <w:p w14:paraId="7EFED9B6" w14:textId="77777777" w:rsidR="0094406E" w:rsidRPr="00203EB0" w:rsidRDefault="0094406E" w:rsidP="000277E0">
      <w:pPr>
        <w:spacing w:line="480" w:lineRule="auto"/>
        <w:rPr>
          <w:rFonts w:cs="Times New Roman"/>
          <w:strike/>
        </w:rPr>
      </w:pPr>
      <w:r w:rsidRPr="00203EB0">
        <w:rPr>
          <w:rFonts w:cs="Times New Roman"/>
        </w:rPr>
        <w:t>While further studies including diverse soil types, climate, and cropping system management are warranted to establish a robust linkage between soil health and its role in promoting crop growth, our study demonstrates a soil health-soil functionality context in terms of maintaining a healthy and resilient soil oxygen level, critical for unimpeded root growth. Long-term combined adoption of NT and HV cover cropping significantly improved soil oxygen availability and resilience to minimize the duration of soil oxygen stress after heavy rainfall</w:t>
      </w:r>
      <w:r w:rsidRPr="00203EB0" w:rsidDel="009435F2">
        <w:rPr>
          <w:rFonts w:cs="Times New Roman"/>
        </w:rPr>
        <w:t xml:space="preserve"> </w:t>
      </w:r>
      <w:r w:rsidRPr="00203EB0">
        <w:rPr>
          <w:rFonts w:cs="Times New Roman"/>
        </w:rPr>
        <w:t xml:space="preserve">as compared to the CT and NC management. Moreover, adopting at least one of these soil health practices (NT and cover cropping) could lead to a more rapid recovery of soil oxygen levels following extreme precipitations events than adopting none as in case CT-NC management. </w:t>
      </w:r>
    </w:p>
    <w:p w14:paraId="227DD55C" w14:textId="77777777" w:rsidR="00977E39" w:rsidRDefault="00977E39" w:rsidP="00BD46F8">
      <w:pPr>
        <w:pStyle w:val="Heading1"/>
      </w:pPr>
    </w:p>
    <w:p w14:paraId="48BF2CAA" w14:textId="77777777" w:rsidR="00977E39" w:rsidRPr="00977E39" w:rsidRDefault="00977E39" w:rsidP="00977E39"/>
    <w:p w14:paraId="4016B9D0" w14:textId="77777777" w:rsidR="00977E39" w:rsidRPr="00977E39" w:rsidRDefault="00977E39" w:rsidP="00977E39"/>
    <w:p w14:paraId="207587EA" w14:textId="77777777" w:rsidR="00977E39" w:rsidRPr="00977E39" w:rsidRDefault="00977E39" w:rsidP="00977E39"/>
    <w:p w14:paraId="0E2466F8" w14:textId="77777777" w:rsidR="00977E39" w:rsidRPr="00977E39" w:rsidRDefault="00977E39" w:rsidP="00977E39"/>
    <w:p w14:paraId="794E966C" w14:textId="77777777" w:rsidR="00977E39" w:rsidRPr="00977E39" w:rsidRDefault="00977E39" w:rsidP="00977E39"/>
    <w:p w14:paraId="733E003C" w14:textId="77777777" w:rsidR="00977E39" w:rsidRPr="00977E39" w:rsidRDefault="00977E39" w:rsidP="00977E39"/>
    <w:p w14:paraId="73306893" w14:textId="77777777" w:rsidR="00977E39" w:rsidRPr="00977E39" w:rsidRDefault="00977E39" w:rsidP="00977E39"/>
    <w:p w14:paraId="6ED3E916" w14:textId="77777777" w:rsidR="00977E39" w:rsidRPr="00977E39" w:rsidRDefault="00977E39" w:rsidP="00977E39"/>
    <w:p w14:paraId="14FF86A9" w14:textId="77777777" w:rsidR="00977E39" w:rsidRDefault="00977E39" w:rsidP="00977E39">
      <w:pPr>
        <w:pStyle w:val="Heading1"/>
        <w:numPr>
          <w:ilvl w:val="0"/>
          <w:numId w:val="0"/>
        </w:numPr>
        <w:ind w:left="720"/>
        <w:jc w:val="both"/>
      </w:pPr>
    </w:p>
    <w:p w14:paraId="56605C4F" w14:textId="77777777" w:rsidR="00977E39" w:rsidRDefault="00977E39" w:rsidP="00977E39">
      <w:pPr>
        <w:pStyle w:val="Heading1"/>
      </w:pPr>
    </w:p>
    <w:p w14:paraId="62588636" w14:textId="4E66BCA8" w:rsidR="00236E6D" w:rsidRPr="00203EB0" w:rsidRDefault="00F710F9" w:rsidP="00BD46F8">
      <w:pPr>
        <w:pStyle w:val="Heading1"/>
      </w:pPr>
      <w:r w:rsidRPr="00977E39">
        <w:br w:type="page"/>
      </w:r>
      <w:bookmarkStart w:id="44" w:name="_Toc420995908"/>
      <w:bookmarkStart w:id="45" w:name="_Toc422997495"/>
      <w:r w:rsidR="007D538B" w:rsidRPr="00203EB0">
        <w:lastRenderedPageBreak/>
        <w:br/>
      </w:r>
      <w:bookmarkStart w:id="46" w:name="_Toc206669117"/>
      <w:bookmarkEnd w:id="44"/>
      <w:bookmarkEnd w:id="45"/>
      <w:r w:rsidR="00A72F1C" w:rsidRPr="00203EB0">
        <w:t>Cover crop residue decomposition exacerbated soil oxygen depletion and promoted nitrous oxide emissions</w:t>
      </w:r>
      <w:bookmarkEnd w:id="46"/>
    </w:p>
    <w:p w14:paraId="36753F6D" w14:textId="0FA864CD" w:rsidR="00A72F1C" w:rsidRPr="00203EB0" w:rsidRDefault="00A72F1C" w:rsidP="00A72F1C"/>
    <w:p w14:paraId="4A2FB6BB" w14:textId="41EBE988" w:rsidR="00A72F1C" w:rsidRPr="00203EB0" w:rsidRDefault="00A72F1C" w:rsidP="00A72F1C"/>
    <w:p w14:paraId="126AE558" w14:textId="194982BD" w:rsidR="00A72F1C" w:rsidRPr="00203EB0" w:rsidRDefault="00A72F1C" w:rsidP="00A72F1C"/>
    <w:p w14:paraId="34293BDE" w14:textId="2C250178" w:rsidR="00A72F1C" w:rsidRPr="00203EB0" w:rsidRDefault="00A72F1C" w:rsidP="00A72F1C"/>
    <w:p w14:paraId="22B62D44" w14:textId="69DD3F80" w:rsidR="00A72F1C" w:rsidRPr="00203EB0" w:rsidRDefault="00A72F1C" w:rsidP="00A72F1C"/>
    <w:p w14:paraId="67DA003E" w14:textId="5A6BA46A" w:rsidR="00A72F1C" w:rsidRPr="00203EB0" w:rsidRDefault="00A72F1C" w:rsidP="00A72F1C"/>
    <w:p w14:paraId="6E8F694C" w14:textId="5A5CB83B" w:rsidR="00A72F1C" w:rsidRPr="00203EB0" w:rsidRDefault="00A72F1C" w:rsidP="00A72F1C"/>
    <w:p w14:paraId="32148899" w14:textId="25258F24" w:rsidR="00A72F1C" w:rsidRPr="00203EB0" w:rsidRDefault="00A72F1C" w:rsidP="00A72F1C"/>
    <w:p w14:paraId="2CF10D5B" w14:textId="220B9811" w:rsidR="00A72F1C" w:rsidRPr="00203EB0" w:rsidRDefault="00A72F1C" w:rsidP="00A72F1C"/>
    <w:p w14:paraId="31D57A5A" w14:textId="31714FD5" w:rsidR="00A72F1C" w:rsidRPr="00203EB0" w:rsidRDefault="00A72F1C" w:rsidP="00A72F1C"/>
    <w:p w14:paraId="6310621D" w14:textId="5E426C1D" w:rsidR="00A72F1C" w:rsidRPr="00203EB0" w:rsidRDefault="00A72F1C" w:rsidP="00A72F1C"/>
    <w:p w14:paraId="353A6C94" w14:textId="77B4F0DB" w:rsidR="00A72F1C" w:rsidRPr="00203EB0" w:rsidRDefault="00A72F1C" w:rsidP="00A72F1C"/>
    <w:p w14:paraId="7388FFA9" w14:textId="624F3E89" w:rsidR="00A72F1C" w:rsidRPr="00203EB0" w:rsidRDefault="00A72F1C" w:rsidP="00A72F1C"/>
    <w:p w14:paraId="151F01FC" w14:textId="3EE3F1AA" w:rsidR="00A72F1C" w:rsidRPr="00203EB0" w:rsidRDefault="00A72F1C" w:rsidP="00A72F1C"/>
    <w:p w14:paraId="49BADF66" w14:textId="2AA7FF64" w:rsidR="00A72F1C" w:rsidRPr="00203EB0" w:rsidRDefault="00A72F1C" w:rsidP="00A72F1C"/>
    <w:p w14:paraId="09FD5C19" w14:textId="7E8A8307" w:rsidR="00A72F1C" w:rsidRPr="00203EB0" w:rsidRDefault="00A72F1C" w:rsidP="00A72F1C"/>
    <w:p w14:paraId="22D1AF49" w14:textId="4C5931FC" w:rsidR="00A72F1C" w:rsidRPr="00203EB0" w:rsidRDefault="00A72F1C" w:rsidP="00A72F1C"/>
    <w:p w14:paraId="14DF642B" w14:textId="176FA29F" w:rsidR="00A72F1C" w:rsidRPr="00203EB0" w:rsidRDefault="00A72F1C" w:rsidP="00A72F1C"/>
    <w:p w14:paraId="30BE770B" w14:textId="4068C77E" w:rsidR="00A72F1C" w:rsidRPr="00203EB0" w:rsidRDefault="00A72F1C" w:rsidP="00A72F1C"/>
    <w:p w14:paraId="0EBA069E" w14:textId="17F26382" w:rsidR="00A72F1C" w:rsidRPr="00203EB0" w:rsidRDefault="00A72F1C" w:rsidP="00A72F1C"/>
    <w:p w14:paraId="48E03284" w14:textId="316B0C63" w:rsidR="00A72F1C" w:rsidRPr="00203EB0" w:rsidRDefault="00A72F1C" w:rsidP="00A72F1C"/>
    <w:p w14:paraId="72C70C67" w14:textId="6EBDDFDB" w:rsidR="00A72F1C" w:rsidRPr="00203EB0" w:rsidRDefault="00A72F1C" w:rsidP="00A72F1C"/>
    <w:p w14:paraId="0541C3E8" w14:textId="5C09265D" w:rsidR="00A72F1C" w:rsidRPr="00203EB0" w:rsidRDefault="00A72F1C" w:rsidP="00A72F1C"/>
    <w:p w14:paraId="66119E37" w14:textId="3FAA32D3" w:rsidR="00A72F1C" w:rsidRPr="00203EB0" w:rsidRDefault="00A72F1C" w:rsidP="00A72F1C"/>
    <w:p w14:paraId="7F6C98BF" w14:textId="372DFE51" w:rsidR="00A72F1C" w:rsidRPr="00203EB0" w:rsidRDefault="00A72F1C" w:rsidP="00A72F1C"/>
    <w:p w14:paraId="7A824669" w14:textId="68136B6C" w:rsidR="00A72F1C" w:rsidRPr="00203EB0" w:rsidRDefault="00A72F1C" w:rsidP="00A72F1C"/>
    <w:p w14:paraId="4C0CF616" w14:textId="5F4C1DAE" w:rsidR="00A72F1C" w:rsidRPr="00203EB0" w:rsidRDefault="00A72F1C" w:rsidP="00A72F1C"/>
    <w:p w14:paraId="061B7DC5" w14:textId="36F9FFB9" w:rsidR="00A72F1C" w:rsidRPr="00203EB0" w:rsidRDefault="00A72F1C" w:rsidP="00A72F1C"/>
    <w:p w14:paraId="2FD430A7" w14:textId="3C2CCE31" w:rsidR="00A72F1C" w:rsidRPr="00203EB0" w:rsidRDefault="00A72F1C" w:rsidP="00A72F1C"/>
    <w:p w14:paraId="1DEEF416" w14:textId="74EABC08" w:rsidR="00A72F1C" w:rsidRPr="00203EB0" w:rsidRDefault="00A72F1C" w:rsidP="00A72F1C"/>
    <w:p w14:paraId="6C3C627C" w14:textId="25074985" w:rsidR="00A72F1C" w:rsidRPr="00203EB0" w:rsidRDefault="00A72F1C" w:rsidP="00A72F1C"/>
    <w:p w14:paraId="239C454A" w14:textId="3870BF76" w:rsidR="00A72F1C" w:rsidRPr="00203EB0" w:rsidRDefault="00A72F1C" w:rsidP="00A72F1C"/>
    <w:p w14:paraId="586DD779" w14:textId="42639DD6" w:rsidR="00A72F1C" w:rsidRPr="00203EB0" w:rsidRDefault="00A72F1C" w:rsidP="00A72F1C"/>
    <w:p w14:paraId="02AAEB85" w14:textId="38D1E15C" w:rsidR="00A72F1C" w:rsidRPr="00203EB0" w:rsidRDefault="00A72F1C" w:rsidP="00A72F1C"/>
    <w:p w14:paraId="66BF6128" w14:textId="5C8E69FC" w:rsidR="00A72F1C" w:rsidRPr="00203EB0" w:rsidRDefault="00A72F1C" w:rsidP="00A72F1C"/>
    <w:p w14:paraId="5E84C083" w14:textId="2C1D5879" w:rsidR="00A72F1C" w:rsidRPr="00203EB0" w:rsidRDefault="00A72F1C" w:rsidP="00A72F1C"/>
    <w:p w14:paraId="7CD7DD04" w14:textId="06D79E74" w:rsidR="00A72F1C" w:rsidRPr="00203EB0" w:rsidRDefault="00A72F1C" w:rsidP="00A72F1C"/>
    <w:p w14:paraId="18E68AFB" w14:textId="77777777" w:rsidR="00A72F1C" w:rsidRPr="00203EB0" w:rsidRDefault="00A72F1C" w:rsidP="00A72F1C"/>
    <w:p w14:paraId="7D6788A7" w14:textId="2BA2D36A" w:rsidR="006B3769" w:rsidRPr="00203EB0" w:rsidRDefault="006B3769" w:rsidP="006B3769">
      <w:pPr>
        <w:spacing w:line="480" w:lineRule="auto"/>
        <w:rPr>
          <w:rFonts w:cs="Times New Roman"/>
        </w:rPr>
      </w:pPr>
      <w:r w:rsidRPr="00203EB0">
        <w:rPr>
          <w:rFonts w:cs="Times New Roman"/>
        </w:rPr>
        <w:t>A version of this chapter was published in</w:t>
      </w:r>
      <w:r w:rsidR="00CE60E8" w:rsidRPr="00203EB0">
        <w:rPr>
          <w:rFonts w:cs="Times New Roman"/>
        </w:rPr>
        <w:t xml:space="preserve"> Scientific Reports</w:t>
      </w:r>
      <w:r w:rsidRPr="00203EB0">
        <w:rPr>
          <w:rFonts w:cs="Times New Roman"/>
        </w:rPr>
        <w:t xml:space="preserve">. </w:t>
      </w:r>
      <w:r w:rsidRPr="00203EB0">
        <w:rPr>
          <w:rFonts w:eastAsia="Calibri" w:cs="Times New Roman"/>
        </w:rPr>
        <w:t>Facundo Lussich was responsible for conceptualization, formal analysis, investigation, methodology, and writing. Debasish Saha</w:t>
      </w:r>
      <w:r w:rsidR="00CE60E8" w:rsidRPr="00203EB0">
        <w:rPr>
          <w:rFonts w:eastAsia="Calibri" w:cs="Times New Roman"/>
        </w:rPr>
        <w:t xml:space="preserve">, </w:t>
      </w:r>
      <w:proofErr w:type="spellStart"/>
      <w:r w:rsidRPr="00203EB0">
        <w:rPr>
          <w:rFonts w:cs="Times New Roman"/>
        </w:rPr>
        <w:t>Jashanjeet</w:t>
      </w:r>
      <w:proofErr w:type="spellEnd"/>
      <w:r w:rsidRPr="00203EB0">
        <w:rPr>
          <w:rFonts w:cs="Times New Roman"/>
        </w:rPr>
        <w:t xml:space="preserve"> Kaur Dhaliwal</w:t>
      </w:r>
      <w:r w:rsidR="00CE60E8" w:rsidRPr="00203EB0">
        <w:rPr>
          <w:rFonts w:cs="Times New Roman"/>
        </w:rPr>
        <w:t xml:space="preserve">, Anthony M. </w:t>
      </w:r>
      <w:proofErr w:type="spellStart"/>
      <w:r w:rsidR="00CE60E8" w:rsidRPr="00203EB0">
        <w:rPr>
          <w:rFonts w:cs="Times New Roman"/>
        </w:rPr>
        <w:t>Faiia</w:t>
      </w:r>
      <w:proofErr w:type="spellEnd"/>
      <w:r w:rsidR="00CE60E8" w:rsidRPr="00203EB0">
        <w:rPr>
          <w:rFonts w:cs="Times New Roman"/>
        </w:rPr>
        <w:t>, Sindhu Jagadamma, and Sean M. Schaeffer</w:t>
      </w:r>
      <w:r w:rsidRPr="00203EB0">
        <w:rPr>
          <w:rFonts w:cs="Times New Roman"/>
        </w:rPr>
        <w:t xml:space="preserve"> provided</w:t>
      </w:r>
      <w:r w:rsidRPr="00203EB0">
        <w:rPr>
          <w:rFonts w:eastAsia="Calibri" w:cs="Times New Roman"/>
        </w:rPr>
        <w:t xml:space="preserve"> </w:t>
      </w:r>
      <w:r w:rsidRPr="00203EB0">
        <w:rPr>
          <w:rFonts w:cs="Times New Roman"/>
        </w:rPr>
        <w:t xml:space="preserve">input on </w:t>
      </w:r>
      <w:r w:rsidRPr="00203EB0">
        <w:rPr>
          <w:rFonts w:eastAsia="Calibri" w:cs="Times New Roman"/>
        </w:rPr>
        <w:t>methodology, review &amp; editing.</w:t>
      </w:r>
    </w:p>
    <w:p w14:paraId="4DD4B787" w14:textId="7A73AD96" w:rsidR="00C81AF8" w:rsidRPr="00203EB0" w:rsidRDefault="00C81AF8" w:rsidP="00A61CF4">
      <w:pPr>
        <w:pStyle w:val="Heading2"/>
      </w:pPr>
      <w:bookmarkStart w:id="47" w:name="_Toc206669118"/>
      <w:r w:rsidRPr="00203EB0">
        <w:t>Abstract</w:t>
      </w:r>
      <w:bookmarkEnd w:id="47"/>
    </w:p>
    <w:p w14:paraId="6A5CC78D" w14:textId="1C47E733" w:rsidR="00DB79B6" w:rsidRPr="00203EB0" w:rsidRDefault="00C81AF8" w:rsidP="00C81A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r w:rsidRPr="00203EB0">
        <w:rPr>
          <w:rFonts w:cs="Times New Roman"/>
        </w:rPr>
        <w:t>Cover cropping is a promising strategy to improve soil health, but it may also trigger greenhouse gas emissions, especially nitrous oxide (N</w:t>
      </w:r>
      <w:r w:rsidRPr="00203EB0">
        <w:rPr>
          <w:rFonts w:cs="Times New Roman"/>
          <w:vertAlign w:val="subscript"/>
        </w:rPr>
        <w:t>2</w:t>
      </w:r>
      <w:r w:rsidRPr="00203EB0">
        <w:rPr>
          <w:rFonts w:cs="Times New Roman"/>
        </w:rPr>
        <w:t>O). Beyond nitrogen (N) availability, cover crop residue decomposition may accelerate heterotrophic respiration to limit soil O</w:t>
      </w:r>
      <w:r w:rsidRPr="00203EB0">
        <w:rPr>
          <w:rFonts w:cs="Times New Roman"/>
          <w:vertAlign w:val="subscript"/>
        </w:rPr>
        <w:t>2</w:t>
      </w:r>
      <w:r w:rsidRPr="00203EB0">
        <w:rPr>
          <w:rFonts w:cs="Times New Roman"/>
        </w:rPr>
        <w:t xml:space="preserve"> availability, hence promote N</w:t>
      </w:r>
      <w:r w:rsidRPr="00203EB0">
        <w:rPr>
          <w:rFonts w:cs="Times New Roman"/>
          <w:vertAlign w:val="subscript"/>
        </w:rPr>
        <w:t>2</w:t>
      </w:r>
      <w:r w:rsidRPr="00203EB0">
        <w:rPr>
          <w:rFonts w:cs="Times New Roman"/>
        </w:rPr>
        <w:t>O emissions from denitrification under sub-optimal water-filled pore space (WFPS) conditions that are typically not conducive to large N</w:t>
      </w:r>
      <w:r w:rsidRPr="00203EB0">
        <w:rPr>
          <w:rFonts w:cs="Times New Roman"/>
          <w:vertAlign w:val="subscript"/>
        </w:rPr>
        <w:t>2</w:t>
      </w:r>
      <w:r w:rsidRPr="00203EB0">
        <w:rPr>
          <w:rFonts w:cs="Times New Roman"/>
        </w:rPr>
        <w:t>O production. We conducted a 21-day incubation experiment to examine the effects of contrasting cover crop residue (grass vs legume) decomposition on soil O</w:t>
      </w:r>
      <w:r w:rsidRPr="00203EB0">
        <w:rPr>
          <w:rFonts w:cs="Times New Roman"/>
          <w:vertAlign w:val="subscript"/>
        </w:rPr>
        <w:t>2</w:t>
      </w:r>
      <w:r w:rsidRPr="00203EB0">
        <w:rPr>
          <w:rFonts w:cs="Times New Roman"/>
        </w:rPr>
        <w:t xml:space="preserve"> and biogeochemical changes to influence N</w:t>
      </w:r>
      <w:r w:rsidRPr="00203EB0">
        <w:rPr>
          <w:rFonts w:cs="Times New Roman"/>
          <w:vertAlign w:val="subscript"/>
        </w:rPr>
        <w:t>2</w:t>
      </w:r>
      <w:r w:rsidRPr="00203EB0">
        <w:rPr>
          <w:rFonts w:cs="Times New Roman"/>
        </w:rPr>
        <w:t>O and CO</w:t>
      </w:r>
      <w:r w:rsidRPr="00203EB0">
        <w:rPr>
          <w:rFonts w:cs="Times New Roman"/>
          <w:vertAlign w:val="subscript"/>
        </w:rPr>
        <w:t>2</w:t>
      </w:r>
      <w:r w:rsidRPr="00203EB0">
        <w:rPr>
          <w:rFonts w:cs="Times New Roman"/>
        </w:rPr>
        <w:t xml:space="preserve"> emissions from </w:t>
      </w:r>
      <w:r w:rsidRPr="00203EB0">
        <w:rPr>
          <w:rFonts w:cs="Times New Roman"/>
          <w:vertAlign w:val="superscript"/>
        </w:rPr>
        <w:t>15</w:t>
      </w:r>
      <w:r w:rsidRPr="00203EB0">
        <w:rPr>
          <w:rFonts w:cs="Times New Roman"/>
        </w:rPr>
        <w:t>N labeled fertilized soils under 50% and 80% WFPS levels. Irrespective of cover crop type, mixing cover crop residue with N fertilizer resulted in high cumulative N</w:t>
      </w:r>
      <w:r w:rsidRPr="00203EB0">
        <w:rPr>
          <w:rFonts w:cs="Times New Roman"/>
          <w:vertAlign w:val="subscript"/>
        </w:rPr>
        <w:t>2</w:t>
      </w:r>
      <w:r w:rsidRPr="00203EB0">
        <w:rPr>
          <w:rFonts w:cs="Times New Roman"/>
        </w:rPr>
        <w:t>O emissions under both WFPS conditions. In the absence of cover crop residues, the N fertilizer effect of N</w:t>
      </w:r>
      <w:r w:rsidRPr="00203EB0">
        <w:rPr>
          <w:rFonts w:cs="Times New Roman"/>
          <w:vertAlign w:val="subscript"/>
        </w:rPr>
        <w:t>2</w:t>
      </w:r>
      <w:r w:rsidRPr="00203EB0">
        <w:rPr>
          <w:rFonts w:cs="Times New Roman"/>
        </w:rPr>
        <w:t>O was only realized under 80% WFPS, whereas it was comparable to the control under 50% WFPS. The N</w:t>
      </w:r>
      <w:r w:rsidRPr="00203EB0">
        <w:rPr>
          <w:rFonts w:cs="Times New Roman"/>
          <w:vertAlign w:val="subscript"/>
        </w:rPr>
        <w:t>2</w:t>
      </w:r>
      <w:r w:rsidRPr="00203EB0">
        <w:rPr>
          <w:rFonts w:cs="Times New Roman"/>
        </w:rPr>
        <w:t>O peaks under 50% WFPS coincided with soil O</w:t>
      </w:r>
      <w:r w:rsidRPr="00203EB0">
        <w:rPr>
          <w:rFonts w:cs="Times New Roman"/>
          <w:vertAlign w:val="subscript"/>
        </w:rPr>
        <w:t>2</w:t>
      </w:r>
      <w:r w:rsidRPr="00203EB0">
        <w:rPr>
          <w:rFonts w:cs="Times New Roman"/>
        </w:rPr>
        <w:t xml:space="preserve"> depletion and concomitant high CO</w:t>
      </w:r>
      <w:r w:rsidRPr="00203EB0">
        <w:rPr>
          <w:rFonts w:cs="Times New Roman"/>
          <w:vertAlign w:val="subscript"/>
        </w:rPr>
        <w:t>2</w:t>
      </w:r>
      <w:r w:rsidRPr="00203EB0">
        <w:rPr>
          <w:rFonts w:cs="Times New Roman"/>
        </w:rPr>
        <w:t xml:space="preserve"> emissions when cover crop residues were mixed with N fertilizer. While N fertilizer largely contributed to the total N</w:t>
      </w:r>
      <w:r w:rsidRPr="00203EB0">
        <w:rPr>
          <w:rFonts w:cs="Times New Roman"/>
          <w:vertAlign w:val="subscript"/>
        </w:rPr>
        <w:t>2</w:t>
      </w:r>
      <w:r w:rsidRPr="00203EB0">
        <w:rPr>
          <w:rFonts w:cs="Times New Roman"/>
        </w:rPr>
        <w:t>O emissions from the cover crop treatments, soil organic matter and/or cover crop residue derived N</w:t>
      </w:r>
      <w:r w:rsidRPr="00203EB0">
        <w:rPr>
          <w:rFonts w:cs="Times New Roman"/>
          <w:vertAlign w:val="subscript"/>
        </w:rPr>
        <w:t>2</w:t>
      </w:r>
      <w:r w:rsidRPr="00203EB0">
        <w:rPr>
          <w:rFonts w:cs="Times New Roman"/>
        </w:rPr>
        <w:t xml:space="preserve">O had a greater contribution under 50% than </w:t>
      </w:r>
      <w:r w:rsidRPr="00203EB0">
        <w:rPr>
          <w:rFonts w:cs="Times New Roman"/>
        </w:rPr>
        <w:lastRenderedPageBreak/>
        <w:t>80% WFPS. Our results underscore the importance of N</w:t>
      </w:r>
      <w:r w:rsidRPr="00203EB0">
        <w:rPr>
          <w:rFonts w:cs="Times New Roman"/>
          <w:vertAlign w:val="subscript"/>
        </w:rPr>
        <w:t>2</w:t>
      </w:r>
      <w:r w:rsidRPr="00203EB0">
        <w:rPr>
          <w:rFonts w:cs="Times New Roman"/>
        </w:rPr>
        <w:t>O emissions from cover crop-based fertilized systems under relatively lower WFPS via a mechanism of respiration-induced anoxia and highlight potential risks of underestimating N</w:t>
      </w:r>
      <w:r w:rsidRPr="00203EB0">
        <w:rPr>
          <w:rFonts w:cs="Times New Roman"/>
          <w:vertAlign w:val="subscript"/>
        </w:rPr>
        <w:t>2</w:t>
      </w:r>
      <w:r w:rsidRPr="00203EB0">
        <w:rPr>
          <w:rFonts w:cs="Times New Roman"/>
        </w:rPr>
        <w:t>O emissions under sole reliance on WFPS.</w:t>
      </w:r>
    </w:p>
    <w:p w14:paraId="0D7D5AFC" w14:textId="0E837069" w:rsidR="00477D91" w:rsidRPr="00203EB0" w:rsidRDefault="00141463" w:rsidP="00A61CF4">
      <w:pPr>
        <w:pStyle w:val="Heading2"/>
      </w:pPr>
      <w:bookmarkStart w:id="48" w:name="_Toc206669119"/>
      <w:r w:rsidRPr="00203EB0">
        <w:t>Introduction</w:t>
      </w:r>
      <w:bookmarkEnd w:id="48"/>
    </w:p>
    <w:p w14:paraId="40315211" w14:textId="1F46A91E" w:rsidR="0084379E" w:rsidRPr="00203EB0" w:rsidRDefault="0084379E" w:rsidP="0084379E">
      <w:pPr>
        <w:spacing w:line="480" w:lineRule="auto"/>
        <w:rPr>
          <w:rFonts w:cs="Times New Roman"/>
        </w:rPr>
      </w:pPr>
      <w:r w:rsidRPr="00203EB0">
        <w:rPr>
          <w:rFonts w:cs="Times New Roman"/>
        </w:rPr>
        <w:t xml:space="preserve">Global agriculture annually generates approximately 3.8 billion Mg of crop residues, of which 4.8 million Mg is contributed by the U.S. </w:t>
      </w:r>
      <w:r w:rsidRPr="00203EB0">
        <w:rPr>
          <w:rFonts w:cs="Times New Roman"/>
        </w:rPr>
        <w:fldChar w:fldCharType="begin" w:fldLock="1"/>
      </w:r>
      <w:r w:rsidR="00EB2F35" w:rsidRPr="00203EB0">
        <w:rPr>
          <w:rFonts w:cs="Times New Roman"/>
        </w:rPr>
        <w:instrText>ADDIN CSL_CITATION {"citationItems":[{"id":"ITEM-1","itemData":{"DOI":"10.1016/j.envint.2004.09.005","ISSN":"18736750","PMID":"15788197","abstract":"Reducing and off-setting anthropogenic emissions of CO2 and other greenhouse gases (GHGs) are important strategies of mitigating the greenhouse effect. Thus, the need for developing carbon (C) neutral and renewable sources of energy is more than ever before. Use of crop residue as a possible source of feedstock for bioenergy production must be critically and objectively assessed because of its positive impact on soil C sequestration, soil quality maintenance and ecosystem functions. The amount of crop residue produced in the US is estimated at 367×106 Mg/year for 9 cereal crops, 450×106 Mg/year for 14 cereals and legumes, and 488×106 Mg/year for 21 crops. The amount of crop residue produced in the world is estimated at 2802×106 Mg/year for cereal crops, 3107×106 Mg/year for 17 cereals and legumes, and 3758×106 Mg/year for 27 food crops. The fuel value of the total annual residue produced is estimated at 1.5×1015 kcal, about 1 billion barrels (bbl) of diesel equivalent, or about 8 quads for the US; and 11.3×1015 kcal, about 7.5 billion bbl of diesel or 60 quads for the world. However, even a partial removal (30-40%) of crop residue from land can exacerbate soil erosion hazard, deplete the SOC pool, accentuate emission of CO2 and other GHGs from soil to the atmosphere, and exacerbate the risks of global climate change. Therefore, establishing bioenergy plantations of site-specific species with potential of producing 10-15 Mg biomass/year is an option that needs to be considered. This option will require 40-60 million hectares of land in the US and about 250 million hectares worldwide to establish bioenergy plantations. © 2004 Elsevier Ltd. All rights reserved.","author":[{"dropping-particle":"","family":"Lal","given":"R.","non-dropping-particle":"","parse-names":false,"suffix":""}],"container-title":"Environment International","id":"ITEM-1","issue":"4","issued":{"date-parts":[["2005"]]},"page":"575-584","title":"World crop residues production and implications of its use as a biofuel","type":"article-journal","volume":"31"},"uris":["http://www.mendeley.com/documents/?uuid=3f1ce00a-96f1-4da8-a3ee-a60dac708e51"]}],"mendeley":{"formattedCitation":"(Lal, 2005)","plainTextFormattedCitation":"(Lal, 2005)","previouslyFormattedCitation":"(Lal, 2005)"},"properties":{"noteIndex":0},"schema":"https://github.com/citation-style-language/schema/raw/master/csl-citation.json"}</w:instrText>
      </w:r>
      <w:r w:rsidRPr="00203EB0">
        <w:rPr>
          <w:rFonts w:cs="Times New Roman"/>
        </w:rPr>
        <w:fldChar w:fldCharType="separate"/>
      </w:r>
      <w:r w:rsidRPr="00203EB0">
        <w:rPr>
          <w:rFonts w:cs="Times New Roman"/>
          <w:noProof/>
        </w:rPr>
        <w:t>(Lal, 2005)</w:t>
      </w:r>
      <w:r w:rsidRPr="00203EB0">
        <w:rPr>
          <w:rFonts w:cs="Times New Roman"/>
        </w:rPr>
        <w:fldChar w:fldCharType="end"/>
      </w:r>
      <w:r w:rsidRPr="00203EB0">
        <w:rPr>
          <w:rFonts w:cs="Times New Roman"/>
        </w:rPr>
        <w:t xml:space="preserve">. Increasing adoption of winter cover crops as a soil health practice will continue generating organic residues. For example, U.S. cover crop acres in 2017 (15.4 million acres) was 50% higher than that in 2012 (10.3 million acres) </w:t>
      </w:r>
      <w:r w:rsidRPr="00203EB0">
        <w:rPr>
          <w:rFonts w:cs="Times New Roman"/>
        </w:rPr>
        <w:fldChar w:fldCharType="begin" w:fldLock="1"/>
      </w:r>
      <w:r w:rsidR="00EB2F35" w:rsidRPr="00203EB0">
        <w:rPr>
          <w:rFonts w:cs="Times New Roman"/>
        </w:rPr>
        <w:instrText>ADDIN CSL_CITATION {"citationItems":[{"id":"ITEM-1","itemData":{"ISBN":"AC-12-A-51","abstract":"The 2012 Census of Agriculture is the 28th Federal census of agriculture and the fourth conducted by the U.S. Department of Agriculture (USDA), National Agricultural Statistics Service (NASS). The U.S. Department of Commerce, Bureau of the Census conducted the census of agriculture for 156 years (1840-1996). The 1997 Appropriations Act contained a provision that transferred the responsibility for the census of agriculture to NASS. The history of collecting data on U.S. agriculture dates back as far as President George Washington, who kept meticulous statistical records describing his own and other farms. In 1791, President Washington wrote to farmers requesting information on land values, crop acreages, crop yields, livestock prices, and taxes. Washington compiled the results on an area extending roughly 250 miles from north to south and 100 miles from east to west which today lies in Maryland, Pennsylvania, Virginia, West Virginia, and the District of Columbia, where most of the young country’s population lived. In effect, Washington’s inquiry was an attempt to fulfill the need for sound agricultural data for a nation that was heavily reliant on the success of agriculture. Such informal inquiries worked while the Nation was young, but were insufficient as the country expanded. In 1839, Congress appropriated $1,000 for “carrying out agricultural investigations, and procuring agricultural statistics.” The first agriculture census was taken in 1840 as part of the sixth decennial census of population. As the country expanded and agriculture evolved, the decade between censuses became too long an interval to capture the changes in agricultural production. After the 1920 census, the census interval was changed to every five years resulting in a separate mid-decade census of agriculture being conducted in 1925, 1935, and 1945. The agriculture census continued to be taken as part of the decennial census through 1950. From 1954 to 1974, the census was taken for the years ending in 4 and 9. In 1976, Congress changed the 5- year data collection cycle to years ending in 2 and 7 to coincide with other economic censuses. That 5- year cycle continues to this day.","author":[{"dropping-particle":"","family":"NASS","given":"USDA","non-dropping-particle":"","parse-names":false,"suffix":""}],"container-title":"2017 Census of Agriculture","id":"ITEM-1","issue":"Part 51","issued":{"date-parts":[["2017"]]},"number-of-pages":"820","title":"United States Summary and State Data","type":"report","volume":"1"},"uris":["http://www.mendeley.com/documents/?uuid=e57e8908-951a-4c1b-8abe-a31e9063dcb4"]}],"mendeley":{"formattedCitation":"(NASS, 2017)","plainTextFormattedCitation":"(NASS, 2017)","previouslyFormattedCitation":"(NASS, 2017)"},"properties":{"noteIndex":0},"schema":"https://github.com/citation-style-language/schema/raw/master/csl-citation.json"}</w:instrText>
      </w:r>
      <w:r w:rsidRPr="00203EB0">
        <w:rPr>
          <w:rFonts w:cs="Times New Roman"/>
        </w:rPr>
        <w:fldChar w:fldCharType="separate"/>
      </w:r>
      <w:r w:rsidRPr="00203EB0">
        <w:rPr>
          <w:rFonts w:cs="Times New Roman"/>
          <w:noProof/>
        </w:rPr>
        <w:t>(NASS, 2017)</w:t>
      </w:r>
      <w:r w:rsidRPr="00203EB0">
        <w:rPr>
          <w:rFonts w:cs="Times New Roman"/>
        </w:rPr>
        <w:fldChar w:fldCharType="end"/>
      </w:r>
      <w:r w:rsidRPr="00203EB0">
        <w:rPr>
          <w:rFonts w:cs="Times New Roman"/>
        </w:rPr>
        <w:t xml:space="preserve">. When cover and cash crop residues are returned back to the soils, they can provide diverse ecosystem services including soil carbon (C) sequestration </w:t>
      </w:r>
      <w:r w:rsidRPr="00203EB0">
        <w:rPr>
          <w:rFonts w:cs="Times New Roman"/>
        </w:rPr>
        <w:fldChar w:fldCharType="begin" w:fldLock="1"/>
      </w:r>
      <w:r w:rsidR="004179E3" w:rsidRPr="00203EB0">
        <w:rPr>
          <w:rFonts w:cs="Times New Roman"/>
        </w:rPr>
        <w:instrText>ADDIN CSL_CITATION {"citationItems":[{"id":"ITEM-1","itemData":{"author":[{"dropping-particle":"","family":"Lal","given":"R.","non-dropping-particle":"","parse-names":false,"suffix":""}],"container-title":"Journal of Sustainable Agriculture","id":"ITEM-1","issue":"May 2013","issued":{"date-parts":[["1995"]]},"title":"The role of residues management in sustainable agricultural systems","type":"article-journal"},"uris":["http://www.mendeley.com/documents/?uuid=f1f3de92-cc2f-47dd-8d44-1b3251285e9c"]},{"id":"ITEM-2","itemData":{"DOI":"10.2136/sssaj2010.0430","ISSN":"03615995","abstract":"Inclusion of cover crops (CCs) may be a potential strategy to boost no-till performance by improving soil physical properties. To assess this potential, we utilized a winter wheat (Triticum aestivum L.)-grain sorghum [Sorghum bicolor (L.) Moench] rotation, four N rates, and a hairy vetch (HV; Vicia villosa Roth) CC after wheat during the first rotation cycles, which was replaced in subsequent cycles with sunn hemp (SH; Crotalaria juncea L.) and late-maturing soybean [LMS; Glycine max (L.) Merr.] CCs in no-till on a silt loam. At the end of 15 yr, we studied the cumulative impacts of CCs on soil physical properties and assessed relationships between soil properties and soil organic C (SOC) concentration. Across N rates, SH reduced near-surface bulk density ( ρb ) by 4% and increased cumulative infiltration by three times relative to no-CC plots. Without N application, SH and LMS reduced Proctor maximum ρb , a parameter of soil compactibility, by 5%, indicating that soils under CCs may be less susceptible to compaction. Cover crops also increased mean weight diameter of aggregates (MWDA) by 80% in the 0- to 7.5-cm depth. The SOC concentration was 30% greater for SH and 20% greater for LMS than for no-CC plots in the 0- to 7.5-cm depth. The CC-induced increase in SOC concentration was negatively correlated with Proctor maximum ρb and positively with MWDA and cumulative infiltration. Overall, addition of CCs to no-till systems improved soil physical properties, and the CC-induced change in SOC concentration was correlated with soil physical properties. © Soil Science Society of America.","author":[{"dropping-particle":"","family":"Blanco-Canqui","given":"Humberto","non-dropping-particle":"","parse-names":false,"suffix":""},{"dropping-particle":"","family":"Mikha","given":"Maysoon M.","non-dropping-particle":"","parse-names":false,"suffix":""},{"dropping-particle":"","family":"Presley","given":"DeAnn R.","non-dropping-particle":"","parse-names":false,"suffix":""},{"dropping-particle":"","family":"Claassen","given":"Mark M.","non-dropping-particle":"","parse-names":false,"suffix":""}],"container-title":"Soil Science Society of America Journal","id":"ITEM-2","issue":"4","issued":{"date-parts":[["2011"]]},"page":"1471-1482","title":"Addition of cover crops enhances no-till potential for improving soil physical properties","type":"article-journal","volume":"75"},"uris":["http://www.mendeley.com/documents/?uuid=bd811282-56ce-4d24-98d6-fd580266fb1d"]}],"mendeley":{"formattedCitation":"(Lal, 1995; Blanco-Canqui et al., 2011)","plainTextFormattedCitation":"(Lal, 1995; Blanco-Canqui et al., 2011)","previouslyFormattedCitation":"(Lal, 1995; Blanco-Canqui et al., 2011)"},"properties":{"noteIndex":0},"schema":"https://github.com/citation-style-language/schema/raw/master/csl-citation.json"}</w:instrText>
      </w:r>
      <w:r w:rsidRPr="00203EB0">
        <w:rPr>
          <w:rFonts w:cs="Times New Roman"/>
        </w:rPr>
        <w:fldChar w:fldCharType="separate"/>
      </w:r>
      <w:r w:rsidRPr="00203EB0">
        <w:rPr>
          <w:rFonts w:cs="Times New Roman"/>
          <w:noProof/>
        </w:rPr>
        <w:t>(Lal, 1995; Blanco-Canqui et al., 2011)</w:t>
      </w:r>
      <w:r w:rsidRPr="00203EB0">
        <w:rPr>
          <w:rFonts w:cs="Times New Roman"/>
        </w:rPr>
        <w:fldChar w:fldCharType="end"/>
      </w:r>
      <w:r w:rsidRPr="00203EB0">
        <w:rPr>
          <w:rFonts w:cs="Times New Roman"/>
        </w:rPr>
        <w:t xml:space="preserve"> and overall improvement of soil health </w:t>
      </w:r>
      <w:r w:rsidRPr="00203EB0">
        <w:rPr>
          <w:rFonts w:cs="Times New Roman"/>
        </w:rPr>
        <w:fldChar w:fldCharType="begin" w:fldLock="1"/>
      </w:r>
      <w:r w:rsidR="00EB2F35" w:rsidRPr="00203EB0">
        <w:rPr>
          <w:rFonts w:cs="Times New Roman"/>
        </w:rPr>
        <w:instrText>ADDIN CSL_CITATION {"citationItems":[{"id":"ITEM-1","itemData":{"DOI":"10.1016/j.earscirev.2018.06.013","ISSN":"00128252","abstract":"The maintenance of soil health in agro-ecosystems is essential for sustaining agricultural productivity. Through its positive impacts on various soil physical and biological processes, cover cropping can be an important component of sustainable agricultural production systems. However, the practice of cover cropping can be complex, and possible trade-offs between the benefits and side effects of cover crops have not been examined. To evaluate these benefits and potential trade-offs, we quantitatively synthesized different ecosystem services provided by cover crops (e.g., erosion control, water quality regulation, soil moisture retention, accumulation of soil organic matter and microbial biomass, greenhouse gas (GHG) emission, weed and pest control, as well as yield of the subsequent cash crop) using data from previous publications. We used a simple indicator (δ), defined as the ratio of an observed variable (i.e., ecosystem service) under cover crop and under fallow condition, to evaluate the impacts of cover crops on a given ecosystem service. Our results showed that cover crops provided beneficial ecosystem services in most cases, except for an increase in GHG emission (δCO2 = 1.46 ± 0.47 and δN2 O = 1.49 ± 1.22; x¯ ± SD) and in pest (nematode) incidence (δnematode abundance = 1.29 ± 1.61). It is also important to highlight that, in some cases, tillage could offset the extent of ecosystem service benefits provided by cover crops. Based on this synthesis, we argue that cover crops should be incorporated into modern agricultural practices because of the many environmental benefits they offer, particularly the maintenance of soil and ecosystem health. More importantly, there was generally an increase in cash crop yield with cover cropping (δyield = 1.15 ± 0.75), likely due to improvement in various soil processes. Despite its benefits, the complexity of cover crop management should not be overlooked, and site-specific factors such as climate, soil type, cover crop species and tillage practices must be considered in order to optimize the benefits of cover cropping. In addition to crop yield, detailed economic analyses are needed to calculate the direct (e.g., reduction in the amount of chemical fertilizer) and indirect monetary benefits (e.g., the improvement of soil quality) of cover crops. Such a comprehensive analysis could serve as incentive for producers to integrate cover crops into their management practices.","author":[{"dropping-particle":"","family":"Daryanto","given":"Stefani","non-dropping-particle":"","parse-names":false,"suffix":""},{"dropping-particle":"","family":"Fu","given":"Bojie","non-dropping-particle":"","parse-names":false,"suffix":""},{"dropping-particle":"","family":"Wang","given":"Lixin","non-dropping-particle":"","parse-names":false,"suffix":""},{"dropping-particle":"","family":"Jacinthe","given":"Pierre André","non-dropping-particle":"","parse-names":false,"suffix":""},{"dropping-particle":"","family":"Zhao","given":"Wenwu","non-dropping-particle":"","parse-names":false,"suffix":""}],"container-title":"Earth-Science Reviews","id":"ITEM-1","issue":"June","issued":{"date-parts":[["2018"]]},"page":"357-373","publisher":"Elsevier","title":"Quantitative synthesis on the ecosystem services of cover crops","type":"article-journal","volume":"185"},"uris":["http://www.mendeley.com/documents/?uuid=44413284-7ecc-42bb-a1ce-f2c4eb8bbf8f"]},{"id":"ITEM-2","itemData":{"DOI":"10.1016/j.agwat.2016.04.006","ISSN":"18732283","abstract":"The Midwestern United States, a region that produces one-third of maize and one-quarter of soybean grain globally, is projected to experience increasing rainfall variability. One approach to mitigate climate impacts is to utilize crop and soil management practices that enhance soil water storage and reduce the risks of flooding as well as drought-induced crop water stress. While some research indicates that a winter cover crop in maize-soybean rotations increases soil water availability, producers continue to be concerned that water use by cover crops will reduce water for a following cash crop. We analyzed continuous in-field soil water measurements from 2008 to 2014 at a Central Iowa research site that has included a winter rye cover crop in a maize-soybean rotation for thirteen years. This period of study included years in the top third of the wettest on record (2008, 2010, 2014) as well as drier years in the bottom third (2012, 2013). We found the cover crop treatment to have significantly higher soil water storage at the 0-30 cm depth from 2012 to 2014 when compared to the no cover crop treatment and in most years greater soil water content on individual days analyzed during the cash crop growing season. We further found that the cover crop significantly increased the field capacity water content by 10-11% and plant available water by 21-22%. Finally, in 2013 and 2014, we measured maize and soybean biomass every 2-3 weeks and did not see treatment differences in crop growth, leaf area or nitrogen uptake. Final crop yields were not statistically different between the cover and no cover crop treatment in any of the seven years of this analysis. This research indicates that the long-term use of a winter rye cover crop can improve soil water dynamics without sacrificing cash crop growth in maize-soybean crop rotations in the Midwestern United States.","author":[{"dropping-particle":"","family":"Basche","given":"Andrea D.","non-dropping-particle":"","parse-names":false,"suffix":""},{"dropping-particle":"","family":"Kaspar","given":"Thomas C.","non-dropping-particle":"","parse-names":false,"suffix":""},{"dropping-particle":"V.","family":"Archontoulis","given":"Sotirios","non-dropping-particle":"","parse-names":false,"suffix":""},{"dropping-particle":"","family":"Jaynes","given":"Dan B.","non-dropping-particle":"","parse-names":false,"suffix":""},{"dropping-particle":"","family":"Sauer","given":"Thomas J.","non-dropping-particle":"","parse-names":false,"suffix":""},{"dropping-particle":"","family":"Parkin","given":"Timothy B.","non-dropping-particle":"","parse-names":false,"suffix":""},{"dropping-particle":"","family":"Miguez","given":"Fernando E.","non-dropping-particle":"","parse-names":false,"suffix":""}],"container-title":"Agricultural Water Management","id":"ITEM-2","issued":{"date-parts":[["2016"]]},"page":"40-50","publisher":"Elsevier B.V.","title":"Soil water improvements with the long-term use of a winter rye cover crop","type":"article-journal","volume":"172"},"uris":["http://www.mendeley.com/documents/?uuid=c4197f9f-6965-4150-b3fe-ce41b757ec2f"]},{"id":"ITEM-3","itemData":{"DOI":"10.1016/j.agee.2013.11.001","ISSN":"01678809","abstract":"Smallholder vegetable farmers tend to specialize and intensify their production to secure income. In south Uruguay, frequent tillage and little or no inputs of organic matter have resulted in soil degradation that threatens soil productivity and systems sustainability. This study aimed to quantify the impact of tillage, crop residue management, and organic matter incorporation on runoff, soil erosion, water dynamics, and productivity of a raised bed tomato-oat rotation system. A field trial was set up in 2010 and replicated in 2011 in a temperate climate on a fine textured soil including four soil management practices: reduced tillage with a cover crop left as mulch and chicken manure incorporation (RT), conventional tillage with a cover crop used as green manure and chicken manure incorporation (CGM), conventional tillage with chicken manure incorporation (CChM), and conventional tillage system as control (CT). RT decreased soil erosion and runoff by more than 50% compared with the three conventional tillage systems. We proposed a non-linear model to estimate the reduction in runoff due to stubble as a function of rainfall, with locally adjusted parameters. Yields under CChM were the largest both years, and more than 50% greater than under RT. Causes of low yields under RT are most likely poor crop establishment under the organic cover in combination with N immobilization. Compared with CChM water use efficiency under RT was reduced by 43% during the first season, and by 35% under both RT and CGM during the second season. In a dry season, RT increased soil water capture by 20% (45. mm) compared with conventional tillage treatments. This is of special interest in these systems as it may result in a larger cultivated area of irrigation-dependent crops on a farm, thus building resilience to climate change. Future research on soil and water conserving practices in vegetable production systems should particularly address crop establishment and N management to avoid yield penalties under reduced tillage. © 2013 Elsevier B.V.","author":[{"dropping-particle":"","family":"Alliaume","given":"F.","non-dropping-particle":"","parse-names":false,"suffix":""},{"dropping-particle":"","family":"Rossing","given":"W. A.H.","non-dropping-particle":"","parse-names":false,"suffix":""},{"dropping-particle":"","family":"Tittonell","given":"P.","non-dropping-particle":"","parse-names":false,"suffix":""},{"dropping-particle":"","family":"Jorge","given":"G.","non-dropping-particle":"","parse-names":false,"suffix":""},{"dropping-particle":"","family":"Dogliotti","given":"S.","non-dropping-particle":"","parse-names":false,"suffix":""}],"container-title":"Agriculture, Ecosystems and Environment","id":"ITEM-3","issued":{"date-parts":[["2014"]]},"page":"127-137","publisher":"Elsevier B.V.","title":"Reduced tillage and cover crops improve water capture and reduce erosion of fine textured soils in raised bed tomato systems","type":"article-journal","volume":"183"},"uris":["http://www.mendeley.com/documents/?uuid=f0c3c5b4-760c-4ea0-9048-5e08a7e8c2c6"]},{"id":"ITEM-4","itemData":{"DOI":"10.2134/agronj15.0086","ISSN":"14350645","abstract":"Cover crops (CCs) can provide multiple soil, agricultural production, and environmental benefits. However, a better understanding of such potential ecosystem services is needed. We summarized the current state of knowledge of CC effects on soil C stocks, soil erosion, physical properties, soil water, nutrients, microbial properties, weed control, crop yields, expanded uses, and economics and highlighted research needs. Our review indicates that CCs are multifunctional. Cover crops increase soil organic C stocks (0.1-1. Mg ha-1 yr-1) with the magnitude depending on biomass amount, years in CCs, and initial soil C level. Runoff loss can decrease by up to 80% and sediment loss from 40 to 96% with CCs. Wind erosion potential also decreases with CCs, but studies are few. Cover crops alleviate soil compaction, improve soil structural and hydraulic properties, moderate soil temperature, improve microbial properties, recycle nutrients, and suppress weeds. Cover crops increase or have no effect on crop yields but reduce yields in water-limited regions by reducing available water for the subsequent crops. The few available studies indicate that grazing and haying of CCs do not adversely affect soil and crop production, which suggests that CC biomass removal for livestock or biofuel production can be another benefit from CCs. Overall, CCs provide numerous ecosystem services (i.e., soil, crop-livestock systems, and environment), although the magnitude of benefits is highly site specific. More research data are needed on the (i) multi-functionality of CCs for different climates and management scenarios and (ii) short-and long-term economic return from CCs.","author":[{"dropping-particle":"","family":"Blanco-Canqui","given":"Humberto","non-dropping-particle":"","parse-names":false,"suffix":""},{"dropping-particle":"","family":"Shaver","given":"Tim M.","non-dropping-p</w:instrText>
      </w:r>
      <w:r w:rsidR="00EB2F35" w:rsidRPr="00622616">
        <w:rPr>
          <w:rFonts w:cs="Times New Roman"/>
          <w:lang w:val="es-UY"/>
        </w:rPr>
        <w:instrText>article":"","parse-names":false,"suffix":""},{"dropping-particle":"","family":"Lindquist","given":"John L.","non-dropping-particle":"","parse-names":false,"suffix":""},{"dropping-particle":"","family":"Shapiro","given":"Charles A.","non-dropping-particle":"","parse-names":false,"suffix":""},{"dropping-particle":"","family":"Elmore","given":"Roger W.","non-dropping-particle":"","parse-names":false,"suffix":""},{"dropping-particle":"","family":"Francis","given":"Charles A.","non-dropping-particle":"","parse-names":false,"suffix":""},{"dropping-particle":"","family":"Hergert","given":"Gary W.","non-dropping-particle":"","parse-names":false,"suffix":""}],"container-title":"Agronomy Journal","id":"ITEM-4","issue":"6","issued":{"date-parts":[["2015"]]},"page":"2449-2474","title":"Cover crops and ecosystem services: Insights from studies in temperate soils","type":"article-journal","volume":"107"},"uris":["http://www.mendeley.com/documents/?uuid=20454a17-5493-4265-8396-8283e61f78b2"]}],"mendeley":{"formattedCitation":"(Alliaume et al., 2014; Blanco-Canqui et al., 2015; Basche et al., 2016; Daryanto et al., 2018)","plainTextFormattedCitation":"(Alliaume et al., 2014; Blanco-Canqui et al., 2015; Basche et al., 2016; Daryanto et al., 2018)","previouslyFormattedCitation":"(Alliaume et al., 2014; Blanco-Canqui et al., 2015; Basche et al., 2016; Daryanto et al., 2018)"},"properties":{"noteIndex":0},"schema":"https://github.com/citation-style-language/schema/raw/master/csl-citation.json"}</w:instrText>
      </w:r>
      <w:r w:rsidRPr="00203EB0">
        <w:rPr>
          <w:rFonts w:cs="Times New Roman"/>
        </w:rPr>
        <w:fldChar w:fldCharType="separate"/>
      </w:r>
      <w:r w:rsidRPr="00622616">
        <w:rPr>
          <w:rFonts w:cs="Times New Roman"/>
          <w:noProof/>
          <w:lang w:val="es-UY"/>
        </w:rPr>
        <w:t>(Alliaume et al., 2014; Blanco-Canqui et al., 2015; Basche et al., 2016; Daryanto et al., 2018)</w:t>
      </w:r>
      <w:r w:rsidRPr="00203EB0">
        <w:rPr>
          <w:rFonts w:cs="Times New Roman"/>
        </w:rPr>
        <w:fldChar w:fldCharType="end"/>
      </w:r>
      <w:r w:rsidRPr="00622616">
        <w:rPr>
          <w:rFonts w:cs="Times New Roman"/>
          <w:lang w:val="es-UY"/>
        </w:rPr>
        <w:t xml:space="preserve">. </w:t>
      </w:r>
      <w:r w:rsidRPr="00203EB0">
        <w:rPr>
          <w:rFonts w:cs="Times New Roman"/>
        </w:rPr>
        <w:t>However, decomposing fresh residues can influence coupled soil C and nitrogen (N) cycling, which could be important with regards to the emission of nitrous oxide (N</w:t>
      </w:r>
      <w:r w:rsidRPr="00203EB0">
        <w:rPr>
          <w:rFonts w:cs="Times New Roman"/>
          <w:vertAlign w:val="subscript"/>
        </w:rPr>
        <w:t>2</w:t>
      </w:r>
      <w:r w:rsidRPr="00203EB0">
        <w:rPr>
          <w:rFonts w:cs="Times New Roman"/>
        </w:rPr>
        <w:t xml:space="preserve">O) </w:t>
      </w:r>
      <w:r w:rsidRPr="00203EB0">
        <w:rPr>
          <w:rFonts w:cs="Times New Roman"/>
        </w:rPr>
        <w:fldChar w:fldCharType="begin" w:fldLock="1"/>
      </w:r>
      <w:r w:rsidR="00EB2F35" w:rsidRPr="00203EB0">
        <w:rPr>
          <w:rFonts w:cs="Times New Roman"/>
        </w:rPr>
        <w:instrText>ADDIN CSL_CITATION {"citationItems":[{"id":"ITEM-1","itemData":{"DOI":"10.2489/jswc.69.6.471","ISSN":"19413300","abstract":"There are many environmental benefits to incorporating cover crops into crop rotations, such as their potential to decrease soil erosion, reduce nitrate (NO3) leaching, and increase soil organic matter. Some of these benefits impact other agroecosystem processes, such as greenhouse gas emissions. In particular, there is not a consensus in the literature regarding the effect of cover crops on nitrous oxide (N2O) emissions. Compared to site-specific studies, meta-analysis can provide a more general investigation into these effects. Twenty-six peer-reviewed articles including 106 observations of cover crop effects on N2O emissions from the soil surface were analyzed according to their response ratio, the natural log of the N2O flux with a cover crop divided by the N2O flux without a cover crop (LRR). Forty percent of the observations had negative LRRs, indicating a cover crop treatment which decreased N2O, while 60% had positive LRRs indicating a cover crop treatment which increased N2O. There was a significant interaction between N rate and the type of cover crop where legumes had higher LRRs at lower N rates than nonlegume species. When cover crop residues were incorporated into the soil, LRRs were significantly higher than those where residue was not incorporated. Geographies with higher total precipitation and variability in precipitation tended to produce higher LRRs. Finally, data points measured during cover crop decomposition had large positive LRRs and were larger than those measured when the cover crop was alive. In contrast, those data points measuring for a full year had LRRs close to zero, indicating that there was a balance between periods when cover crops increased N2O and periods when cover crops decreased emissions. Therefore, N2O measurements over the entire year may be needed to determine the net effect of cover crops on N2O. The data included in this meta-analysis indicate some overarching crop management practices that reduce direct N2O emissions from the soil surface, such as no soil incorporation of residues and use of nonlegume cover crop species. However, our results demonstrate that cover crops do not always reduce direct N2O emissions from the soil surface in the short term and that more work is needed to understand the full global warming potential of cover crop management.","author":[{"dropping-particle":"","family":"Basche","given":"A. D.","non-dropping-particle":"","parse-names":false,"suffix":""},{"dropping-particle":"","family":"Miguez","given":"F. E.","non-dropping-particle":"","parse-names":false,"suffix":""},{"dropping-particle":"","family":"Kaspar","given":"T. C.","non-dropping-particle":"","parse-names":false,"suffix":""},{"dropping-particle":"","family":"Castellano","given":"M. J.","non-dropping-particle":"","parse-names":false,"suffix":""}],"container-title":"Journal of Soil and Water Conservation","id":"ITEM-1","issue":"6","issued":{"date-parts":[["2014"]]},"page":"471-482","title":"Do cover crops increase or decrease nitrous oxide emissions? a meta-analysis","type":"article-journal","volume":"69"},"uris":["http://www.mendeley.com/documents/?uuid=26e2b31f-dd9f-421a-85e4-cc0aa5848a95"]},{"id":"ITEM-2","itemData":{"DOI":"10.1016/j.still.2009.10.001","author":[{"dropping-particle":"","family":"Gomes","given":"Juliana","non-dropping-particle":"","parse-names":false,"suffix":""},{"dropping-particle":"De","family":"Souza","given":"Falberni","non-dropping-particle":"","parse-names":false,"suffix":""},{"dropping-particle":"De","family":"Cassia","given":"Marisa","non-dropping-particle":"","parse-names":false,"suffix":""},{"dropping-particle":"","family":"Zanatta","given":"Acordi","non-dropping-particle":"","parse-names":false,"suffix":""},{"dropping-particle":"","family":"Costa","given":"Frederico","non-dropping-particle":"","parse-names":false,"suffix":""},{"dropping-particle":"","family":"Vieira","given":"Beber","non-dropping-particle":"","parse-names":false,"suffix":""},{"dropping-particle":"","family":"Six","given":"Johan","non-dropping-particle":"","parse-names":false,"suffix":""}],"container-title":"Soil &amp; Tillage Research","id":"ITEM-2","issued":{"date-parts":[["2009"]]},"page":"36-44","title":"Soil nitrous oxide emissions in long-term cover crops-based rotations under subtropical climate","type":"article-journal","volume":"106"},"uris":["http://www.mendeley.com/documents/?uuid=9a715c53-49ab-42dc-89d5-d7fac0e647f4"]},{"id":"ITEM-3","itemData":{"DOI":"10.1002/eap.2403","author":[{"dropping-particle":"","family":"Saha","given":"Debasish","non-dropping-particle":"","parse-names":false,"suffix":""},{"dropping-particle":"","family":"Kaye","given":"Jason P K","non-dropping-particle":"","parse-names":false,"suffix":""},{"dropping-particle":"","family":"Bhowmik","given":"Arnab","non-dropping-particle":"","parse-names":false,"suffix":""},{"dropping-particle":"","family":"Bruns","given":"Marry Ann","non-dropping-particle":"","parse-names":false,"suffix":""},{"dropping-particle":"","family":"Wallace","given":"John M","non-dropping-particle":"","parse-names":false,"suffix":""},{"dropping-particle":"","family":"Kemanian","given":"Armen R.","non-dropping-particle":"","parse-names":false,"suffix":""}],"container-title":"Ecological Applications","id":"ITEM-3","issue":"7","issued":{"date-parts":[["2021"]]},"page":"1-18","title":"Organic fertility inputs synergistically increase denitri fi cation- derived nitrous oxide emissions in agroecosystems","type":"article-journal","volume":"31"},"uris":["http://www.mendeley.com/documents/?uuid=c4301395-76c0-4f90-b96c-513fcb18a751"]},{"id":"ITEM-4","itemData":{"DOI":"10.1111/ejss.13309","author":[{"dropping-particle":"","family":"Panday","given":"Dinesh","non-dropping-particle":"","parse-names":false,"suffix":""},{"dropping-particle":"","family":"Saha","given":"Debasish","non-dropping-particle":"","parse-names":false,"suffix":""},{"dropping-particle":"","family":"Lee","given":"Jaehoon","non-dropping-particle":"","parse-names":false,"suffix":""},{"dropping-particle":"","family":"Jagadamma","given":"Sindhu","non-dropping-particle":"","parse-names":false,"suffix":""},{"dropping-particle":"","family":"Adoptey","given":"Nutifafa","non-dropping-particle":"","parse-names":false,"suffix":""},{"dropping-particle":"","family":"Mengistu","given":"Alemu","non-dropping-particle":"","parse-names":false,"suffix":""}],"container-title":"European Journal of Soil Science","id":"ITEM-4","issue":"September","issued":{"date-parts":[["2022"]]},"page":"1-14","title":"Cover crop residue influence on soil N2O and CO2 emissions under wetting-drying intensities : An incubation study","type":"article-journal"},"uris":["http://www.mendeley.com/documents/?uuid=49e64433-3d69-4bfd-be32-c16e7c0350f1"]},{"id":"ITEM-5","itemData":{"DOI":"10.1038/s41598-022-16719-w","ISBN":"0123456789","ISSN":"2045-2322","author":[{"dropping-particle":"","family":"Acharya","given":"Pramod","non-dropping-particle":"","parse-names":false,"suffix":""},{"dropping-particle":"","family":"Ghimire","given":"Rajan","non-dropping-particle":"","parse-names":false,"suffix":""},{"dropping-particle":"","family":"Paye","given":"Wooiklee S","non-dropping-particle":"","parse-names":false,"suffix":""},{"dropping-particle":"","family":"Ganguli","given":"Amy C","non-dropping-particle":"","parse-names":false,"suffix":""},{"dropping-particle":"","family":"Delgrosso","given":"Stephen J","non-dropping-particle":"","parse-names":false,"suffix":""}],"container-title":"Scientific Reports","id":"ITEM-5","issued":{"date-parts":[["2022"]]},"page":"1-13","publisher":"Nature Publishing Group UK","title":"Net greenhouse gas balance with cover crops in semi ‑ arid irrigated cropping systems","type":"article-journal"},"uris":["http://www.mendeley.com/documents/?uuid=cccd443f-bd86-4c39-ab8f-3d4a4543f276"]}],"mendeley":{"formattedCitation":"(Gomes et al., 2009; Basche et al., 2014; Saha et al., 2021b; Acharya et al., 2022; Panday et al., 2022)","plainTextFormattedCitation":"(Gomes et al., 2009; Basche et al., 2014; Saha et al., 2021b; Acharya et al., 2022; Panday et al., 2022)","previouslyFormattedCitation":"(Gomes et al., 2009; Basche et al., 2014; Saha et al., 2021b; Acharya et al., 2022; Panday et al., 2022)"},"properties":{"noteIndex":0},"schema":"https://github.com/citation-style-language/schema/raw/master/csl-citation.json"}</w:instrText>
      </w:r>
      <w:r w:rsidRPr="00203EB0">
        <w:rPr>
          <w:rFonts w:cs="Times New Roman"/>
        </w:rPr>
        <w:fldChar w:fldCharType="separate"/>
      </w:r>
      <w:r w:rsidR="00EB2F35" w:rsidRPr="00203EB0">
        <w:rPr>
          <w:rFonts w:cs="Times New Roman"/>
          <w:noProof/>
        </w:rPr>
        <w:t>(Gomes et al., 2009; Basche et al., 2014; Saha et al., 2021b; Acharya et al., 2022; Panday et al., 2022)</w:t>
      </w:r>
      <w:r w:rsidRPr="00203EB0">
        <w:rPr>
          <w:rFonts w:cs="Times New Roman"/>
        </w:rPr>
        <w:fldChar w:fldCharType="end"/>
      </w:r>
      <w:r w:rsidRPr="00203EB0">
        <w:rPr>
          <w:rFonts w:cs="Times New Roman"/>
        </w:rPr>
        <w:t xml:space="preserve">; a long-lived potent greenhouse gas (GHG) largely emitted from global agricultural soils </w:t>
      </w:r>
      <w:r w:rsidRPr="00203EB0">
        <w:rPr>
          <w:rFonts w:cs="Times New Roman"/>
        </w:rPr>
        <w:fldChar w:fldCharType="begin" w:fldLock="1"/>
      </w:r>
      <w:r w:rsidR="004179E3" w:rsidRPr="00203EB0">
        <w:rPr>
          <w:rFonts w:cs="Times New Roman"/>
        </w:rPr>
        <w:instrText>ADDIN CSL_CITATION {"citationItems":[{"id":"ITEM-1","itemData":{"author":[{"dropping-particle":"","family":"IPCC","given":"","non-dropping-particle":"","parse-names":false,"suffix":""}],"container-title":"Intergovernmental Panel of Climate Change","id":"ITEM-1","issued":{"date-parts":[["1996"]]},"number-of-pages":"1-5","title":"Revised 1996 IPCC guidelines for national greenhouse gas inventories","type":"report"},"uris":["http://www.mendeley.com/documents/?uuid=e2571e33-b380-445c-a952-aae8529a1f74"]}],"mendeley":{"formattedCitation":"(IPCC, 1996)","plainTextFormattedCitation":"(IPCC, 1996)","previouslyFormattedCitation":"(IPCC, 1996)"},"properties":{"noteIndex":0},"schema":"https://github.com/citation-style-language/schema/raw/master/csl-citation.json"}</w:instrText>
      </w:r>
      <w:r w:rsidRPr="00203EB0">
        <w:rPr>
          <w:rFonts w:cs="Times New Roman"/>
        </w:rPr>
        <w:fldChar w:fldCharType="separate"/>
      </w:r>
      <w:r w:rsidRPr="00203EB0">
        <w:rPr>
          <w:rFonts w:cs="Times New Roman"/>
          <w:noProof/>
        </w:rPr>
        <w:t>(IPCC, 1996)</w:t>
      </w:r>
      <w:r w:rsidRPr="00203EB0">
        <w:rPr>
          <w:rFonts w:cs="Times New Roman"/>
        </w:rPr>
        <w:fldChar w:fldCharType="end"/>
      </w:r>
      <w:r w:rsidRPr="00203EB0">
        <w:rPr>
          <w:rFonts w:cs="Times New Roman"/>
        </w:rPr>
        <w:t>. This process has the potential to be amplified when winter cover crops are used, as their decomposition upon termination often coincides with N fertilization before summer crop planting in many agricultural production systems.</w:t>
      </w:r>
    </w:p>
    <w:p w14:paraId="3F26326A" w14:textId="11FF9156" w:rsidR="0084379E" w:rsidRPr="00203EB0" w:rsidRDefault="0084379E" w:rsidP="0084379E">
      <w:pPr>
        <w:spacing w:line="480" w:lineRule="auto"/>
        <w:rPr>
          <w:rFonts w:cs="Times New Roman"/>
        </w:rPr>
      </w:pPr>
      <w:r w:rsidRPr="00203EB0">
        <w:rPr>
          <w:rFonts w:cs="Times New Roman"/>
        </w:rPr>
        <w:t xml:space="preserve">Cover crop residue quality determines N release during decomposition, with high-quality residues (low C:N ratio, e.g., legumes) often exhibiting faster mineralization and N release </w:t>
      </w:r>
      <w:r w:rsidRPr="00203EB0">
        <w:rPr>
          <w:rFonts w:cs="Times New Roman"/>
        </w:rPr>
        <w:lastRenderedPageBreak/>
        <w:t xml:space="preserve">than high C:N ratio non-legume residues </w:t>
      </w:r>
      <w:r w:rsidRPr="00203EB0">
        <w:rPr>
          <w:rFonts w:cs="Times New Roman"/>
        </w:rPr>
        <w:fldChar w:fldCharType="begin" w:fldLock="1"/>
      </w:r>
      <w:r w:rsidR="00EB2F35" w:rsidRPr="00203EB0">
        <w:rPr>
          <w:rFonts w:cs="Times New Roman"/>
        </w:rPr>
        <w:instrText>ADDIN CSL_CITATION {"citationItems":[{"id":"ITEM-1","itemData":{"DOI":"10.2134/agronj15.0065","ISSN":"14350645","abstract":"Cover crop residues and animal waste products can be important sources of N in cropping systems. The objectives of this research were to determine, under field conditions, the effects of hairy vetch (legume; Vicia villosa Roth)/cereal rye (grass; Secale cereale L.) proportion and pelletized poultry litter (PPL) management (no PPL, subsurface banded, broadcast, or incorporated with tillage) on the extent and rate of cover crop residue mass loss and N release during a subsequent growing season. Measuring cover crop residues placed in mesh litter bags, or residues+PPL in litter bags for the broadcast treatment, we found that increasing hairy vetch proportion led to greater proportional mass loss and N release (cumulative mass loss ranged from 40 to 80% and N release ranged from 0-90% of initial), as well as greater rates of mass loss in all PPL treatments. Nitrogen release rates were generally unaffected by species proportions; however, N release rates for pure cereal rye residue in all PPL treatments except broadcast could not be estimated due to minimal N release. Incorporation of residues and PPL increased the rates of mass loss and N release for pure hairy vetch and hairy vetch-cereal rye mixtures. Although broadcast PPL application and incorporation affected decomposition patterns, subsurface banded PPL application did not. Results suggest that cereal rye provides the greatest mulch persistence, hairy vetch provides the greatest N release, and mixtures provide moderate delivery of these two services. Subsurface banding is the recommended PPL application method to conserve surface residues.","author":[{"dropping-particle":"","family":"Poffenbarger","given":"Hanna J.","non-dropping-particle":"","parse-names":false,"suffix":""},{"dropping-particle":"","family":"Mirsky","given":"Steven B.","non-dropping-particle":"","parse-names":false,"suffix":""},{"dropping-particle":"","family":"Weil","given":"Raymond R.","non-dropping-particle":"","parse-names":false,"suffix":""},{"dropping-particle":"","family":"Kramer","given":"Matthew","non-dropping-particle":"","parse-names":false,"suffix":""},{"dropping-particle":"","family":"Spargo","given":"John T.","non-dropping-particle":"","parse-names":false,"suffix":""},{"dropping-particle":"","family":"Cavigelli","given":"Michel A.","non-dropping-particle":"","parse-names":false,"suffix":""}],"container-title":"Agronomy Journal","id":"ITEM-1","issue":"6","issued":{"date-parts":[["2015"]]},"page":"2083-2096","title":"Legume proportion, poultry litter, and tillage effects on cover crop decomposition","type":"article-journal","volume":"107"},"uris":["http://www.mendeley.com/documents/?uuid=887ecbfc-10b8-4d39-8a75-6d72b83a267c"]},{"id":"ITEM-2","itemData":{"DOI":"10.2134/agronj15.0182","ISSN":"14350645","abstract":"Increasing plant diversity in agroecosystems with cover crops has been a successful strategy to augment ecosystem services from agriculture, and increasing diversity of cover crops may provide even greater benefits. Productivity and ecosystem services from multi-species cover crop mixtures were measured in a 2-yr field study of 18 cover crop treatments preceding conventionally tilled corn in central Pennsylvania. Increasing the number of species in a stand increased cover crop biomass (R2 = 0.15). However, mixing cover crop species that were complementary in phenology or N acquisition strategy did not result in mixtures that produced more biomass than high yielding monocultures. Increasing cover crop biomass was positively correlated with several ecosystem services, namely weed suppression, prevention of nitrate leaching, and aboveground biomass N, but negatively impacted inorganic N availability and corn yield in the subsequent cropping season. The cover crop C/N ratio was another determinant of ecosystem services positively related to nitrate leaching prevention, but negatively related to inorganic N availability and corn yield. This study supports the long-held assumption that increasing biomass can enhance certain ecosystem services from cover crops; however, because the mixtures tested did not produce more biomass than high yielding monocultures, opportunities to increase biomassdriven services with mixtures may be limited. The correlation between biomass C/N ratio and ecosystem services in this study also indicates that functional traits, as opposed to biomass alone, will be important for predicting ecosystem services from cover crop mixtures.","author":[{"dropping-particle":"","family":"Finney","given":"Denise M.","non-dropping-particle":"","parse-names":false,"suffix":""},{"dropping-particle":"","family":"White","given":"Charles M.","non-dropping-particle":"","parse-names":false,"suffix":""},{"dropping-particle":"","family":"Kaye","given":"Jason P.","non-dropping-particle":"","parse-names":false,"suffix":""}],"container-title":"Agronomy Journal","id":"ITEM-2","issue":"1","issued":{"date-parts":[["2016"]]},"page":"39-52","title":"Biomass production and carbon/nitrogen ratio influence ecosystem services from cover crop mixtures","type":"article-journal","volume":"108"},"uris":["http://www.mendeley.com/documents/?uuid=391d673a-7547-47bc-a72d-a55e7d524aed"]}],"mendeley":{"formattedCitation":"(Poffenbarger et al., 2015; Finney et al., 2016)","plainTextFormattedCitation":"(Poffenbarger et al., 2015; Finney et al., 2016)","previouslyFormattedCitation":"(Poffenbarger et al., 2015; Finney et al., 2016)"},"properties":{"noteIndex":0},"schema":"https://github.com/citation-style-language/schema/raw/master/csl-citation.json"}</w:instrText>
      </w:r>
      <w:r w:rsidRPr="00203EB0">
        <w:rPr>
          <w:rFonts w:cs="Times New Roman"/>
        </w:rPr>
        <w:fldChar w:fldCharType="separate"/>
      </w:r>
      <w:r w:rsidRPr="00203EB0">
        <w:rPr>
          <w:rFonts w:cs="Times New Roman"/>
          <w:noProof/>
        </w:rPr>
        <w:t>(Poffenbarger et al., 2015; Finney et al., 2016)</w:t>
      </w:r>
      <w:r w:rsidRPr="00203EB0">
        <w:rPr>
          <w:rFonts w:cs="Times New Roman"/>
        </w:rPr>
        <w:fldChar w:fldCharType="end"/>
      </w:r>
      <w:r w:rsidRPr="00203EB0">
        <w:rPr>
          <w:rFonts w:cs="Times New Roman"/>
        </w:rPr>
        <w:t>. However, the cover crop residue influence on N</w:t>
      </w:r>
      <w:r w:rsidRPr="00203EB0">
        <w:rPr>
          <w:rFonts w:cs="Times New Roman"/>
          <w:vertAlign w:val="subscript"/>
        </w:rPr>
        <w:t>2</w:t>
      </w:r>
      <w:r w:rsidRPr="00203EB0">
        <w:rPr>
          <w:rFonts w:cs="Times New Roman"/>
        </w:rPr>
        <w:t>O emissions is far from straightforward and further depends on management practices (termination method, N fertilization source and rate) and environmental conditions</w:t>
      </w:r>
      <w:r w:rsidR="003F6FA1"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{"citationItems":[{"id":"ITEM-1","itemData":{"DOI":"10.1016/j.soilbio.2021.108460","ISSN":"00380717","abstract":"Oxygen (O2) is a key factor driving the expression of N-cycle-related functional genes and regulating nitrogenous gas production in the soil. However, how and to what extent the associated gene transcription and corresponding gas kinetics interact with the transition of soil O2 status caused by N fertilisation, remains poorly understood. In this context, we conducted a robotized incubation experiment using a He/O2 atmosphere with different amounts of ammonium-based fertiliser (0 (control), 60 (AS60) and 200 mg N kg−1 (NH4)2SO4 (AS200)) applied to an agricultural soil with a strong nitrification potential under three different initial O2 levels (oxic 21%, sub-oxic 3%, and anoxic 0%) over 14 days. Through repeated measurements of N2O, NO, and N2 concentrations and kinetics of mineral N following the decline of O2 concentrations, we found that higher ammonium addition (200 vs. 60 mg N kg−1) caused faster O2 consumption in the headspace and induced up to 238 times higher net accumulation of N2O under initially oxic headspace condition. We speculate that this was due to: 1) the rapid transition of O2 status from oxic to anoxic due to vigorous ammonia oxidation; and 2) the increased N2O/(N2O + NO + N2) ratio of denitrification with higher N addition. The amoA and nosZ gene transcript numbers changed significantly in response to ammonium addition and decreasing O2 concentration, whereas high-throughput sequencing revealed a significant structural alteration of the soil microbiota along with the transition of O2 status. Our results highlight that the vigorousness of oxygen depletion in the soil matrix driven by rapid ammonia oxidation is the proximal factor that regulates gas kinetics in high nitrification-potential soil when O2 diffusion is limited. This implies that practices which reduce hotspots of ammonia oxidation have the potential to mitigate N2O emissions from nitrifier denitrification and denitrification in agricultural soil.","author":[{"dropping-particle":"","family":"Yang","given":"Liuqing","non-dropping-particle":"","parse-names":false,"suffix":""},{"dropping-particle":"","family":"Zhang","given":"Xiaojun","non-dropping-particle":"","parse-names":false,"suffix":""},{"dropping-particle":"","family":"Ju","given":"Xiaotang","non-dropping-particle":"","parse-names":false,"suffix":""},{"dropping-particle":"","family":"Wu","given":"Di","non-dropping-particle":"","parse-names":false,"suffix":""}],"container-title":"Soil Biology and Biochemistry","id":"ITEM-1","issue":"October","issued":{"date-parts":[["2021"]]},"title":"Oxygen-depletion by rapid ammonia oxidation regulates kinetics of N2O, NO and N2 production in an ammonium fertilised agricultural soil","type":"article-journal","volume":"163"},"uris":["http://www.mendeley.com/documents/?uuid=b70b3839-4e6c-485f-b97d-e6aa95dfe46d"]},{"id":"ITEM-2","itemData":{"DOI":"10.2489/jswc.69.6.471","ISSN":"19413300","abstract":"There are many environmental benefits to incorporating cover crops into crop rotations, such as their potential to decrease soil erosion, reduce nitrate (NO3) leaching, and increase soil organic matter. Some of these benefits impact other agroecosystem processes, such as greenhouse gas emissions. In particular, there is not a consensus in the literature regarding the effect of cover crops on nitrous oxide (N2O) emissions. Compared to site-specific studies, meta-analysis can provide a more general investigation into these effects. Twenty-six peer-reviewed articles including 106 observations of cover crop effects on N2O emissions from the soil surface were analyzed according to their response ratio, the natural log of the N2O flux with a cover crop divided by the N2O flux without a cover crop (LRR). Forty percent of the observations had negative LRRs, indicating a cover crop treatment which decreased N2O, while 60% had positive LRRs indicating a cover crop treatment which increased N2O. There was a significant interaction between N rate and the type of cover crop where legumes had higher LRRs at lower N rates than nonlegume species. When cover crop residues were incorporated into the soil, LRRs were significantly higher than those where residue was not incorporated. Geographies with higher total precipitation and variability in precipitation tended to produce higher LRRs. Finally, data points measured during cover crop decomposition had large positive LRRs and were larger than those measured when the cover crop was alive. In contrast, those data points measuring for a full year had LRRs close to zero, indicating that there was a balance between periods when cover crops increased N2O and periods when cover crops decreased emissions. Therefore, N2O measurements over the entire year may be needed to determine the net effect of cover crops on N2O. The data included in this meta-analysis indicate some overarching crop management practices that reduce direct N2O emissions from the soil surface, such as no soil incorporation of residues and use of nonlegume cover crop species. However, our results demonstrate that cover crops do not always reduce direct N2O emissions from the soil surface in the short term and that more work is needed to understand the full global warming potential of cover crop management.","author":[{"dropping-particle":"","family":"Basche","given":"A. D.","non-dropping-particle":"","parse-names":false,"suffix":""},{"dropping-particle":"","family":"Miguez","given":"F. E.","non-dropping-particle":"","parse-names":false,"suffix":""},{"dropping-particle":"","family":"Kaspar","given":"T. C.","non-dropping-particle":"","parse-names":false,"suffix":""},{"dropping-particle":"","family":"Castellano","given":"M. J.","non-dropping-particle":"","parse-names":false,"suffix":""}],"container-title":"Journal of Soil and Water Conservation","id":"ITEM-2","issue":"6","issued":{"date-parts":[["2014"]]},"page":"471-482","title":"Do cover crops increase or decrease nitrous oxide emissions? a meta-analysis","type":"article-journal","volume":"69"},"uris":["http://www.mendeley.com/documents/?uuid=26e2b31f-dd9f-421a-85e4-cc0aa5848a95"]}],"mendeley":{"formattedCitation":"(Basche et al., 2014; Yang et al., 2021)","plainTextFormattedCitation":"(Basche et al., 2014; Yang et al., 2021)","previouslyFormattedCitation":"(Basche et al., 2014; Yang et al., 2021)"},"properties":{"noteIndex":0},"schema":"https://github.com/citation-style-language/schema/raw/master/csl-citation.json"}</w:instrText>
      </w:r>
      <w:r w:rsidRPr="00203EB0">
        <w:rPr>
          <w:rFonts w:cs="Times New Roman"/>
        </w:rPr>
        <w:fldChar w:fldCharType="separate"/>
      </w:r>
      <w:r w:rsidRPr="00203EB0">
        <w:rPr>
          <w:rFonts w:cs="Times New Roman"/>
          <w:noProof/>
        </w:rPr>
        <w:t>(Basche et al., 2014; Yang et al., 2021)</w:t>
      </w:r>
      <w:r w:rsidRPr="00203EB0">
        <w:rPr>
          <w:rFonts w:cs="Times New Roman"/>
        </w:rPr>
        <w:fldChar w:fldCharType="end"/>
      </w:r>
      <w:r w:rsidRPr="00203EB0">
        <w:rPr>
          <w:rFonts w:cs="Times New Roman"/>
        </w:rPr>
        <w:t>. Beyond N supply, simultaneous increase in C availability during residue decomposition can trigger heterotrophic microbial respiration, leading to rapid soil oxygen (O</w:t>
      </w:r>
      <w:r w:rsidRPr="00203EB0">
        <w:rPr>
          <w:rFonts w:cs="Times New Roman"/>
          <w:vertAlign w:val="subscript"/>
        </w:rPr>
        <w:t>2</w:t>
      </w:r>
      <w:r w:rsidRPr="00203EB0">
        <w:rPr>
          <w:rFonts w:cs="Times New Roman"/>
        </w:rPr>
        <w:t>) consumption. Under such conditions, water induced O</w:t>
      </w:r>
      <w:r w:rsidRPr="00203EB0">
        <w:rPr>
          <w:rFonts w:cs="Times New Roman"/>
          <w:vertAlign w:val="subscript"/>
        </w:rPr>
        <w:t>2</w:t>
      </w:r>
      <w:r w:rsidRPr="00203EB0">
        <w:rPr>
          <w:rFonts w:cs="Times New Roman"/>
        </w:rPr>
        <w:t xml:space="preserve"> diffusion limitation may not be required to prevail anoxic conditions and N</w:t>
      </w:r>
      <w:r w:rsidRPr="00203EB0">
        <w:rPr>
          <w:rFonts w:cs="Times New Roman"/>
          <w:vertAlign w:val="subscript"/>
        </w:rPr>
        <w:t>2</w:t>
      </w:r>
      <w:r w:rsidRPr="00203EB0">
        <w:rPr>
          <w:rFonts w:cs="Times New Roman"/>
        </w:rPr>
        <w:t>O emissions</w:t>
      </w:r>
      <w:r w:rsidR="003F6FA1" w:rsidRPr="00203EB0">
        <w:rPr>
          <w:rFonts w:cs="Times New Roman"/>
        </w:rPr>
        <w:t xml:space="preserve"> </w:t>
      </w:r>
      <w:r w:rsidRPr="00203EB0">
        <w:rPr>
          <w:rFonts w:cs="Times New Roman"/>
        </w:rPr>
        <w:fldChar w:fldCharType="begin" w:fldLock="1"/>
      </w:r>
      <w:r w:rsidR="004179E3" w:rsidRPr="00203EB0">
        <w:rPr>
          <w:rFonts w:cs="Times New Roman"/>
        </w:rPr>
        <w:instrText>ADDIN CSL_CITATION {"citationItems":[{"id":"ITEM-1","itemData":{"DOI":"10.2136/sssaj1987.03615995005100050019x","ISSN":"03615995","abstract":"The spatial variability exhibited by soil denitrification rates is high. As is typical for natural denitrification rate measurements, the individual rates of most samples of a given data set are low; however, a few samples often exhibit extremely high rates. Such data are characterized by highly skewed sample frequency distributions. This study was initiated to investigate the underlying mechanisms responsible for these observations. It was found that 'hot-spots' of high specific denitrification activity were associated with particulate organic C material in the soil. This observation served as the basis of a computer model that evaluates the influence of density and dispersion pattern of these high activity sites on the measured rates of denitrification.","author":[{"dropping-particle":"","family":"Parkin","given":"Timothy B.","non-dropping-particle":"","parse-names":false,"suffix":""}],"container-title":"Soil Science Society of America Journal","id":"ITEM-1","issue":"5","issued":{"date-parts":[["1987"]]},"page":"1194-1199","title":"Soil microsites as a source of denitrification variability","type":"article-journal","volume":"51"},"uris":["http://www.mendeley.com/documents/?uuid=a934a23b-7669-4319-ab3f-5e4c68f20423"]}],"mendeley":{"formattedCitation":"(Parkin, 1987)","plainTextFormattedCitation":"(Parkin, 1987)","previouslyFormattedCitation":"(Parkin, 1987)"},"properties":{"noteIndex":0},"schema":"https://github.com/citation-style-language/schema/raw/master/csl-citation.json"}</w:instrText>
      </w:r>
      <w:r w:rsidRPr="00203EB0">
        <w:rPr>
          <w:rFonts w:cs="Times New Roman"/>
        </w:rPr>
        <w:fldChar w:fldCharType="separate"/>
      </w:r>
      <w:r w:rsidRPr="00203EB0">
        <w:rPr>
          <w:rFonts w:cs="Times New Roman"/>
          <w:noProof/>
        </w:rPr>
        <w:t>(Parkin, 1987)</w:t>
      </w:r>
      <w:r w:rsidRPr="00203EB0">
        <w:rPr>
          <w:rFonts w:cs="Times New Roman"/>
        </w:rPr>
        <w:fldChar w:fldCharType="end"/>
      </w:r>
      <w:r w:rsidRPr="00203EB0">
        <w:rPr>
          <w:rFonts w:cs="Times New Roman"/>
        </w:rPr>
        <w:t>. While N</w:t>
      </w:r>
      <w:r w:rsidRPr="00203EB0">
        <w:rPr>
          <w:rFonts w:cs="Times New Roman"/>
          <w:vertAlign w:val="subscript"/>
        </w:rPr>
        <w:t>2</w:t>
      </w:r>
      <w:r w:rsidRPr="00203EB0">
        <w:rPr>
          <w:rFonts w:cs="Times New Roman"/>
        </w:rPr>
        <w:t>O emissions in response to residue addition have been widely attributed to altered C and N availability</w:t>
      </w:r>
      <w:r w:rsidR="003F6FA1"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{"citationItems":[{"id":"ITEM-1","itemData":{"DOI":"10.1002/jeq2.20330","ISSN":"15372537","PMID":"35098536","abstract":"Cover cropping is used to improve soil quality and increase N inputs in agricultural systems, but it also may enhance greenhouse gases (GHG) emissions. Here, a 47-d incubation study was conducted to track the decomposition process and evaluate GHG emissions and its drivers and to calculate the C costs of residue-derived N released following the addition of residues from cover crops (pigeon pea, cowpea, lablab bean, vetch, and black oat) and maize under two water-filled pore space (WFPS) levels (40 and 70%). For both WFPS levels, the increase in cumulative CO2 fluxes in plots that received residues is mainly related with the increment of potentially mineralizable C. Crop residues increased the global warming potential (GWP) under both WFPS levels, with CO2 emissions accounting for ≥98% of the GWP at 40% WFPS. At 70% WFPS, the GPW increment was driven by a notable increase in N2O emissions. The contribution of CH4 in the GWP emissions was negligible for all the crop residues evaluated. Principal component analysis highlighted that the optimal conditions for production and release are specific for each GHG. The cleaner N source was cowpea at 40% WFPS, which produced only 17.7 kg CO2-eq kg–1 N mineralized, compared with vetch residues, which produced 233 kg CO2-eq kg–1 N mineralized. To integrate agronomic and climate change mitigation perspectives, we suggest considering the C costs of the residue-N released when choosing a cover crop.","author":[{"dropping-particle":"","family":"Oliveira","given":"Dener M.S.","non-dropping-particle":"","parse-names":false,"suffix":""},{"dropping-particle":"","family":"Pimentel","given":"Laisa G.","non-dropping-particle":"","parse-names":false,"suffix":""},{"dropping-particle":"","family":"Barreto","given":"Matheus S.C.","non-dropping-particle":"","parse-names":false,"suffix":""},{"dropping-particle":"","family":"Weiler","given":"Douglas A.","non-dropping-particle":"","parse-names":false,"suffix":""},{"dropping-particle":"","family":"Bayer","given":"Cimélio","non-dropping-particle":"","parse-names":false,"suffix":""}],"container-title":"Journal of Environmental Quality","id":"ITEM-1","issue":"2","issued":{"date-parts":[["2022"]]},"page":"193-204","title":"Greenhouse gas emissions and C costs of N release associated with cover crop decomposition are plant specific and depend on soil moisture: A microcosm study","type":"article-journal","volume":"51"},"uris":["http://www.mendeley.com/documents/?uuid=b29f6fd7-f5cc-43c7-bcf1-f5dc2ecba2e3"]}],"mendeley":{"formattedCitation":"(Oliveira et al., 2022a)","plainTextFormattedCitation":"(Oliveira et al., 2022a)","previouslyFormattedCitation":"(Oliveira et al., 2022a)"},"properties":{"noteIndex":0},"schema":"https://github.com/citation-style-language/schema/raw/master/csl-citation.json"}</w:instrText>
      </w:r>
      <w:r w:rsidRPr="00203EB0">
        <w:rPr>
          <w:rFonts w:cs="Times New Roman"/>
        </w:rPr>
        <w:fldChar w:fldCharType="separate"/>
      </w:r>
      <w:r w:rsidRPr="00203EB0">
        <w:rPr>
          <w:rFonts w:cs="Times New Roman"/>
          <w:noProof/>
        </w:rPr>
        <w:t>(Oliveira et al., 2022a)</w:t>
      </w:r>
      <w:r w:rsidRPr="00203EB0">
        <w:rPr>
          <w:rFonts w:cs="Times New Roman"/>
        </w:rPr>
        <w:fldChar w:fldCharType="end"/>
      </w:r>
      <w:r w:rsidRPr="00203EB0">
        <w:rPr>
          <w:rFonts w:cs="Times New Roman"/>
        </w:rPr>
        <w:t>, wetness independent anoxia during residue decomposition as a possible mechanism of N</w:t>
      </w:r>
      <w:r w:rsidRPr="00203EB0">
        <w:rPr>
          <w:rFonts w:cs="Times New Roman"/>
          <w:vertAlign w:val="subscript"/>
        </w:rPr>
        <w:t>2</w:t>
      </w:r>
      <w:r w:rsidRPr="00203EB0">
        <w:rPr>
          <w:rFonts w:cs="Times New Roman"/>
        </w:rPr>
        <w:t xml:space="preserve">O production has only been postulated with limited direct evidence </w:t>
      </w:r>
      <w:r w:rsidRPr="00203EB0">
        <w:rPr>
          <w:rFonts w:cs="Times New Roman"/>
        </w:rPr>
        <w:fldChar w:fldCharType="begin" w:fldLock="1"/>
      </w:r>
      <w:r w:rsidR="00EB2F35" w:rsidRPr="00203EB0">
        <w:rPr>
          <w:rFonts w:cs="Times New Roman"/>
        </w:rPr>
        <w:instrText>ADDIN CSL_CITATION {"citationItems":[{"id":"ITEM-1","itemData":{"DOI":"10.1111/gcb.12274","ISSN":"13541013","PMID":"23729165","abstract":"Annual production of crop residues has reached nearly 4 billion metric tons globally. Retention of this large amount of residues on agricultural land can be beneficial to soil C sequestration. Such potential impacts, however, may be offset if residue retention substantially increases soil emissions of N2O, a potent greenhouse gas and ozone depletion substance. Residue effects on soil N2O emissions have gained considerable attention since early 1990s; yet, it is still a great challenge to predict the magnitude and direction of soil N2O emissions following residue amendment. Here, we used a meta-analysis to assess residue impacts on soil N2O emissions in relation to soil and residue attributes, i.e., soil pH, soil texture, soil water content, residue C and N input, and residue C : N ratio. Residue effects were negatively associated with C : N ratios, but generally residue amendment could not reduce soil N2O emissions, even for C : N ratios well above ca. 30, the threshold for net N immobilization. Residue effects were also comparable to, if not greater than, those of synthetic N fertilizers. In addition, residue effects on soil N2O emissions were positively related to the amounts of residue C input as well as residue effects on soil CO2 respiration. Furthermore, most significant and stimulatory effects occurred at 60-90% soil water-filled pore space and soil pH 7.1-7.8. Stimulatory effects were also present for all soil textures except sand or clay content ≤10%. However, inhibitory effects were found for soils with &gt;90% water-filled pore space. Altogether, our meta-analysis suggests that crop residues played roles beyond N supply for N2O production. Perhaps, by stimulating microbial respiration, crop residues enhanced oxygen depletion and therefore promoted anaerobic conditions for denitrification and N2O production. Our meta-analysis highlights the necessity to connect the quantity and quality of crop residues with soil properties for predicting soil N2O emissions. © 2013 John Wiley &amp; Sons Ltd.","author":[{"dropping-particle":"","family":"Chen","given":"Huaihai","non-dropping-particle":"","parse-names":false,"suffix":""},{"dropping-particle":"","family":"Li","given":"Xuechao","non-dropping-particle":"","parse-names":false,"suffix":""},{"dropping-particle":"","family":"Hu","given":"Feng","non-dropping-particle":"","parse-names":false,"suffix":""},{"dropping-particle":"","family":"Shi","given":"Wei","non-dropping-particle":"","parse-names":false,"suffix":""}],"container-title":"Global Change Biology","id":"ITEM-1","issue":"10","issued":{"date-parts":[["2013"]]},"page":"2956-2964","title":"Soil nitrous oxide emissions following crop residue addition: A meta-analysis","type":"article-journal","volume":"19"},"uris":["http://www.mendeley.com/documents/?uuid=a1cd9f4e-1bab-46a8-bb75-ada466dd9152"]},{"id":"ITEM-2","itemData":{"DOI":"10.1002/eap.2403","author":[{"dropping-particle":"","family":"Saha","given":"Debasish","non-dropping-particle":"","parse-names":false,"suffix":""},{"dropping-particle":"","family":"Kaye","given":"Jason P K","non-dropping-particle":"","parse-names":false,"suffix":""},{"dropping-particle":"","family":"Bhowmik","given":"Arnab","non-dropping-particle":"","parse-names":false,"suffix":""},{"dropping-particle":"","family":"Bruns","given":"Marry Ann","non-dropping-particle":"","parse-names":false,"suffix":""},{"dropping-particle":"","family":"Wallace","given":"John M","non-dropping-particle":"","parse-names":false,"suffix":""},{"dropping-particle":"","family":"Kemanian","given":"Armen R.","non-dropping-particle":"","parse-names":false,"suffix":""}],"container-title":"Ecological Applications","id":"ITEM-2","issue":"7","issued":{"date-parts":[["2021"]]},"page":"1-18","title":"Organic fertility inputs synergistically increase denitri fi cation- derived nitrous oxide emissions in agroecosystems","type":"article-journal","volume":"31"},"uris":["http://www.mendeley.com/documents/?uuid=c4301395-76c0-4f90-b96c-513fcb18a751"]}],"mendeley":{"formattedCitation":"(Chen et al., 2013; Saha et al., 2021b)","plainTextFormattedCitation":"(Chen et al., 2013; Saha et al., 2021b)","previouslyFormattedCitation":"(Chen et al., 2013; Saha et al., 2021b)"},"properties":{"noteIndex":0},"schema":"https://github.com/citation-style-language/schema/raw/master/csl-citation.json"}</w:instrText>
      </w:r>
      <w:r w:rsidRPr="00203EB0">
        <w:rPr>
          <w:rFonts w:cs="Times New Roman"/>
        </w:rPr>
        <w:fldChar w:fldCharType="separate"/>
      </w:r>
      <w:r w:rsidR="00EB2F35" w:rsidRPr="00203EB0">
        <w:rPr>
          <w:rFonts w:cs="Times New Roman"/>
          <w:noProof/>
        </w:rPr>
        <w:t>(Chen et al., 2013; Saha et al., 2021b)</w:t>
      </w:r>
      <w:r w:rsidRPr="00203EB0">
        <w:rPr>
          <w:rFonts w:cs="Times New Roman"/>
        </w:rPr>
        <w:fldChar w:fldCharType="end"/>
      </w:r>
      <w:r w:rsidRPr="00203EB0">
        <w:rPr>
          <w:rFonts w:cs="Times New Roman"/>
        </w:rPr>
        <w:t>. The challenge lies in the lack of an effective approach to capture high-resolution soil O</w:t>
      </w:r>
      <w:r w:rsidRPr="00203EB0">
        <w:rPr>
          <w:rFonts w:cs="Times New Roman"/>
          <w:vertAlign w:val="subscript"/>
        </w:rPr>
        <w:t>2</w:t>
      </w:r>
      <w:r w:rsidRPr="00203EB0">
        <w:rPr>
          <w:rFonts w:cs="Times New Roman"/>
        </w:rPr>
        <w:t xml:space="preserve"> consumption in the pore spaces where critical C and N cycling </w:t>
      </w:r>
      <w:r w:rsidR="00912284" w:rsidRPr="00203EB0">
        <w:rPr>
          <w:rFonts w:cs="Times New Roman"/>
        </w:rPr>
        <w:t>processes</w:t>
      </w:r>
      <w:r w:rsidRPr="00203EB0">
        <w:rPr>
          <w:rFonts w:cs="Times New Roman"/>
        </w:rPr>
        <w:t xml:space="preserve"> </w:t>
      </w:r>
      <w:proofErr w:type="gramStart"/>
      <w:r w:rsidRPr="00203EB0">
        <w:rPr>
          <w:rFonts w:cs="Times New Roman"/>
        </w:rPr>
        <w:t>occur to</w:t>
      </w:r>
      <w:proofErr w:type="gramEnd"/>
      <w:r w:rsidRPr="00203EB0">
        <w:rPr>
          <w:rFonts w:cs="Times New Roman"/>
        </w:rPr>
        <w:t xml:space="preserve"> trigger N</w:t>
      </w:r>
      <w:r w:rsidRPr="00203EB0">
        <w:rPr>
          <w:rFonts w:cs="Times New Roman"/>
          <w:vertAlign w:val="subscript"/>
        </w:rPr>
        <w:t>2</w:t>
      </w:r>
      <w:r w:rsidRPr="00203EB0">
        <w:rPr>
          <w:rFonts w:cs="Times New Roman"/>
        </w:rPr>
        <w:t xml:space="preserve">O emissions. </w:t>
      </w:r>
    </w:p>
    <w:p w14:paraId="3768D6FD" w14:textId="12CA40BA" w:rsidR="0084379E" w:rsidRPr="00203EB0" w:rsidRDefault="0084379E" w:rsidP="0084379E">
      <w:pPr>
        <w:spacing w:line="480" w:lineRule="auto"/>
        <w:rPr>
          <w:rFonts w:cs="Times New Roman"/>
        </w:rPr>
      </w:pPr>
      <w:r w:rsidRPr="00203EB0">
        <w:rPr>
          <w:rFonts w:cs="Times New Roman"/>
        </w:rPr>
        <w:t>Although the relevance of nitrification and denitrification processes as pathways of soil N</w:t>
      </w:r>
      <w:r w:rsidRPr="00203EB0">
        <w:rPr>
          <w:rFonts w:cs="Times New Roman"/>
          <w:vertAlign w:val="subscript"/>
        </w:rPr>
        <w:t>2</w:t>
      </w:r>
      <w:r w:rsidRPr="00203EB0">
        <w:rPr>
          <w:rFonts w:cs="Times New Roman"/>
        </w:rPr>
        <w:t>O production is well-established</w:t>
      </w:r>
      <w:r w:rsidR="003F6FA1"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{"citationItems":[{"id":"ITEM-1","itemData":{"DOI":"10.1098/rstb.2013.0122","ISSN":"09628436","PMID":"23713120","abstract":"Although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 © 2013 The Authors.","author":[{"dropping-particle":"","family":"Butterbach-Bahl","given":"Klaus","non-dropping-particle":"","parse-names":false,"suffix":""},{"dropping-particle":"","family":"Baggs","given":"Elizabeth M.","non-dropping-particle":"","parse-names":false,"suffix":""},{"dropping-particle":"","family":"Dannenmann","given":"Michael","non-dropping-particle":"","parse-names":false,"suffix":""},{"dropping-particle":"","family":"Kiese","given":"Ralf","non-dropping-particle":"","parse-names":false,"suffix":""},{"dropping-particle":"","family":"Zechmeister-Boltenstern","given":"Sophie","non-dropping-particle":"","parse-names":false,"suffix":""}],"container-title":"Philosophical Transactions of the Royal Society B: Biological Sciences","id":"ITEM-1","issue":"1621","issued":{"date-parts":[["2013"]]},"title":"Nitrous oxide emissions from soils: How well do we understand the processes and their controls?","type":"article-journal","volume":"368"},"uris":["http://www.mendeley.com/documents/?uuid=0db8131c-aaca-494e-b70f-d876b35147f7"]}],"mendeley":{"formattedCitation":"(Butterbach-Bahl et al., 2013)","plainTextFormattedCitation":"(Butterbach-Bahl et al., 2013)","previouslyFormattedCitation":"(Butterbach-Bahl et al., 2013)"},"properties":{"noteIndex":0},"schema":"https://github.com/citation-style-language/schema/raw/master/csl-citation.json"}</w:instrText>
      </w:r>
      <w:r w:rsidRPr="00203EB0">
        <w:rPr>
          <w:rFonts w:cs="Times New Roman"/>
        </w:rPr>
        <w:fldChar w:fldCharType="separate"/>
      </w:r>
      <w:r w:rsidRPr="00203EB0">
        <w:rPr>
          <w:rFonts w:cs="Times New Roman"/>
          <w:noProof/>
        </w:rPr>
        <w:t>(Butterbach-Bahl et al., 2013)</w:t>
      </w:r>
      <w:r w:rsidRPr="00203EB0">
        <w:rPr>
          <w:rFonts w:cs="Times New Roman"/>
        </w:rPr>
        <w:fldChar w:fldCharType="end"/>
      </w:r>
      <w:r w:rsidRPr="00203EB0">
        <w:rPr>
          <w:rFonts w:cs="Times New Roman"/>
        </w:rPr>
        <w:t>, multiple microbial pathways of N</w:t>
      </w:r>
      <w:r w:rsidRPr="00203EB0">
        <w:rPr>
          <w:rFonts w:cs="Times New Roman"/>
          <w:vertAlign w:val="subscript"/>
        </w:rPr>
        <w:t>2</w:t>
      </w:r>
      <w:r w:rsidRPr="00203EB0">
        <w:rPr>
          <w:rFonts w:cs="Times New Roman"/>
        </w:rPr>
        <w:t>O production can often co-occur in the soil</w:t>
      </w:r>
      <w:r w:rsidR="003F6FA1"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{"citationItems":[{"id":"ITEM-1","itemData":{"DOI":"10.1111/gcbb.12519","ISSN":"17571707","abstract":"Organic compounds and mineral nitrogen (N) usually increase nitrous oxide (N2O) emissions. Vinasse, a by-product of bio-ethanol production that is rich in carbon, nitrogen, and potassium, is recycled in sugarcane fields as a bio-fertilizer. Vinasse can contribute significantly to N2O emissions when applied with N in sugarcane plantations, a common practice. However, the biological processes involved in N2O emissions under this management practice are unknown. This study investigated the roles of nitrification and denitrification in N2O emissions from straw-covered soils amended with different vinasses (CV: concentrated and V: nonconcentrated) before or at the same time as mineral fertilizers at different time points of the sugarcane cycle in two seasons. N2O emissions were evaluated for 90 days, the period that occurs most of the N2O emission from fertilizers; the microbial genes encoding enzymes involved in N2O production (archaeal and bacterial amoA, fungal and bacterial nirK, and bacterial nirS and nosZ), total bacteria, and total fungi were quantified by real-time PCR. The application of CV and V in conjunction with mineral N resulted in higher N2O emissions than the application of N fertilizer alone. The strategy of vinasse application 30 days before mineral N reduced N2O emissions by 65% for CV, but not for V. Independent of rainy or dry season, the microbial processes were nitrification by ammonia-oxidizing bacteria (AOB) and archaea and denitrification by bacteria and fungi. The contributions of each process differed and depended on soil moisture, soil pH, and N sources. We concluded that amoA-AOB was the most important gene related to N2O emissions, which indicates that nitrification by AOB is the main microbial-driven process linked to N2O emissions in tropical soil. Interestingly, fungal nirK was also significantly correlated with N2O emissions, suggesting that denitrification by fungi contributes to N2O emission in soils receiving straw and vinasse application.","author":[{"dropping-particle":"","family":"Lourenço","given":"Késia S.","non-dropping-particle":"","parse-names":false,"suffix":""},{"dropping-particle":"","family":"Dimitrov","given":"Maurício R.","non-dropping-particle":"","parse-names":false,"suffix":""},{"dropping-particle":"","family":"Pijl","given":"Agata","non-dropping-particle":"","parse-names":false,"suffix":""},{"dropping-particle":"","family":"Soares","given":"Johnny R.","non-dropping-particle":"","parse-names":false,"suffix":""},{"dropping-particle":"","family":"Carmo","given":"Janaína B.","non-dropping-particle":"do","parse-names":false,"suffix":""},{"dropping-particle":"","family":"Veen","given":"Johannes A.","non-dropping-particle":"van","parse-names":false,"suffix":""},{"dropping-particle":"","family":"Cantarella","given":"Heitor","non-dropping-particle":"","parse-names":false,"suffix":""},{"dropping-particle":"","family":"Kuramae","given":"Eiko E.","non-dropping-particle":"","parse-names":false,"suffix":""}],"container-title":"GCB Bioenergy","id":"ITEM-1","issue":"9","issued":{"date-parts":[["2018"]]},"page":"645-660","title":"Dominance of bacterial ammonium oxidizers and fungal denitrifiers in the complex nitrogen cycle pathways related to nitrous oxide emission","type":"article-journal","volume":"10"},"uris":["http://www.mendeley.com/documents/?uuid=7b61aaf6-e303-4414-8f6b-957bbce72357"]}],"mendeley":{"formattedCitation":"(Lourenço et al., 2018)","plainTextFormattedCitation":"(Lourenço et al., 2018)","previouslyFormattedCitation":"(Lourenço et al., 2018)"},"properties":{"noteIndex":0},"schema":"https://github.com/citation-style-language/schema/raw/master/csl-citation.json"}</w:instrText>
      </w:r>
      <w:r w:rsidRPr="00203EB0">
        <w:rPr>
          <w:rFonts w:cs="Times New Roman"/>
        </w:rPr>
        <w:fldChar w:fldCharType="separate"/>
      </w:r>
      <w:r w:rsidRPr="00203EB0">
        <w:rPr>
          <w:rFonts w:cs="Times New Roman"/>
          <w:noProof/>
        </w:rPr>
        <w:t>(Lourenço et al., 2018)</w:t>
      </w:r>
      <w:r w:rsidRPr="00203EB0">
        <w:rPr>
          <w:rFonts w:cs="Times New Roman"/>
        </w:rPr>
        <w:fldChar w:fldCharType="end"/>
      </w:r>
      <w:r w:rsidRPr="00203EB0">
        <w:rPr>
          <w:rFonts w:cs="Times New Roman"/>
        </w:rPr>
        <w:t>. Typically, microbial denitrification is one of the dominant pathways of soil N</w:t>
      </w:r>
      <w:r w:rsidRPr="00203EB0">
        <w:rPr>
          <w:rFonts w:cs="Times New Roman"/>
          <w:vertAlign w:val="subscript"/>
        </w:rPr>
        <w:t>2</w:t>
      </w:r>
      <w:r w:rsidRPr="00203EB0">
        <w:rPr>
          <w:rFonts w:cs="Times New Roman"/>
        </w:rPr>
        <w:t>O production, in which N</w:t>
      </w:r>
      <w:r w:rsidRPr="00203EB0">
        <w:rPr>
          <w:rFonts w:cs="Times New Roman"/>
          <w:vertAlign w:val="subscript"/>
        </w:rPr>
        <w:t>2</w:t>
      </w:r>
      <w:r w:rsidRPr="00203EB0">
        <w:rPr>
          <w:rFonts w:cs="Times New Roman"/>
        </w:rPr>
        <w:t>O is produced as an intermediate product during stepwise reduction of nitrate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to di-nitrogen (N</w:t>
      </w:r>
      <w:r w:rsidRPr="00203EB0">
        <w:rPr>
          <w:rFonts w:cs="Times New Roman"/>
          <w:vertAlign w:val="subscript"/>
        </w:rPr>
        <w:t>2</w:t>
      </w:r>
      <w:r w:rsidRPr="00203EB0">
        <w:rPr>
          <w:rFonts w:cs="Times New Roman"/>
        </w:rPr>
        <w:t>) gas under anoxic conditions</w:t>
      </w:r>
      <w:r w:rsidR="003F6FA1"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{"citationItems":[{"id":"ITEM-1","itemData":{"DOI":"10.1007/BF01343848","ISSN":"0032079X","author":[{"dropping-particle":"","family":"Wijler","given":"J.","non-dropping-particle":"","parse-names":false,"suffix":""},{"dropping-particle":"","family":"Delwiche","given":"C. C.","non-dropping-particle":"","parse-names":false,"suffix":""}],"container-title":"Plant and Soil","id":"ITEM-1","issue":"2","issued":{"date-parts":[["1954"]]},"page":"155-169","title":"Investigations on the denitrifying process in soil","type":"chapter","volume":"5"},"uris":["http://www.mendeley.com/documents/?uuid=d4793c00-fb29-4849-b376-15782e288638"]}],"mendeley":{"formattedCitation":"(Wijler and Delwiche, 1954)","plainTextFormattedCitation":"(Wijler and Delwiche, 1954)","previouslyFormattedCitation":"(Wijler and Delwiche, 1954)"},"properties":{"noteIndex":0},"schema":"https://github.com/citation-style-language/schema/raw/master/csl-citation.json"}</w:instrText>
      </w:r>
      <w:r w:rsidRPr="00203EB0">
        <w:rPr>
          <w:rFonts w:cs="Times New Roman"/>
        </w:rPr>
        <w:fldChar w:fldCharType="separate"/>
      </w:r>
      <w:r w:rsidRPr="00203EB0">
        <w:rPr>
          <w:rFonts w:cs="Times New Roman"/>
          <w:noProof/>
        </w:rPr>
        <w:t>(Wijler and Delwiche, 1954)</w:t>
      </w:r>
      <w:r w:rsidRPr="00203EB0">
        <w:rPr>
          <w:rFonts w:cs="Times New Roman"/>
        </w:rPr>
        <w:fldChar w:fldCharType="end"/>
      </w:r>
      <w:r w:rsidRPr="00203EB0">
        <w:rPr>
          <w:rFonts w:cs="Times New Roman"/>
        </w:rPr>
        <w:t>. Complex interactions between O</w:t>
      </w:r>
      <w:r w:rsidRPr="00203EB0">
        <w:rPr>
          <w:rFonts w:cs="Times New Roman"/>
          <w:vertAlign w:val="subscript"/>
        </w:rPr>
        <w:t>2</w:t>
      </w:r>
      <w:r w:rsidRPr="00203EB0">
        <w:rPr>
          <w:rFonts w:cs="Times New Roman"/>
        </w:rPr>
        <w:t xml:space="preserve"> concentration in soil microsites and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and C availability regulate not only the total amount of denitrification but also the ratio between </w:t>
      </w:r>
      <w:r w:rsidRPr="00203EB0">
        <w:rPr>
          <w:rFonts w:cs="Times New Roman"/>
        </w:rPr>
        <w:lastRenderedPageBreak/>
        <w:t>N</w:t>
      </w:r>
      <w:r w:rsidRPr="00203EB0">
        <w:rPr>
          <w:rFonts w:cs="Times New Roman"/>
          <w:vertAlign w:val="subscript"/>
        </w:rPr>
        <w:t>2</w:t>
      </w:r>
      <w:r w:rsidRPr="00203EB0">
        <w:rPr>
          <w:rFonts w:cs="Times New Roman"/>
        </w:rPr>
        <w:t xml:space="preserve"> and N</w:t>
      </w:r>
      <w:r w:rsidRPr="00203EB0">
        <w:rPr>
          <w:rFonts w:cs="Times New Roman"/>
          <w:vertAlign w:val="subscript"/>
        </w:rPr>
        <w:t>2</w:t>
      </w:r>
      <w:r w:rsidRPr="00203EB0">
        <w:rPr>
          <w:rFonts w:cs="Times New Roman"/>
        </w:rPr>
        <w:t>O produced</w:t>
      </w:r>
      <w:r w:rsidR="003F6FA1" w:rsidRPr="00203EB0">
        <w:rPr>
          <w:rFonts w:cs="Times New Roman"/>
        </w:rPr>
        <w:t xml:space="preserve"> </w:t>
      </w:r>
      <w:r w:rsidRPr="00203EB0">
        <w:rPr>
          <w:rFonts w:cs="Times New Roman"/>
        </w:rPr>
        <w:fldChar w:fldCharType="begin" w:fldLock="1"/>
      </w:r>
      <w:r w:rsidR="004179E3" w:rsidRPr="00203EB0">
        <w:rPr>
          <w:rFonts w:cs="Times New Roman"/>
        </w:rPr>
        <w:instrText>ADDIN CSL_CITATION {"citationItems":[{"id":"ITEM-1","itemData":{"DOI":"10.2136/sssaj1993.03615995005700010013x","ISBN":"0361599500570","ISSN":"03615995","abstract":"Biological denitrification is affected by many environmental factors that control the amount of N-2 and N-20 entering the atmosphere. This study was conducted to measure the effect on water-filled pore space (WFPS), available C, and soil NO-3 concentration on total denitrification (N-2 + N-2O), using acetylene (C-2H-2) inhibition, and to ascertain if denitrification could be estimated from N-2O measurements in the field using an average N-2/N-2O ratio. Repacked cores of four bench-mark soils were brought to 60, 75, and 90% WFPS by applying treatments of glucose-C (0, 180, and 360 kg ha-1) and NO-3-N (0, 50, and 100 kg ha-1). The cores were incubated at 25 degree C, with and without 100 mL C-2H-2 L-1, for 5 d during which daily gas samples of the headspace were analyzed for N-2O and CO-2. Total N loss due to denitrification generally increased as soil texture became finer and WFPS increased. The only exception to this was the C-amended sand, where N losses up to 26 and 66% were recorded at 60 and 75% WFPS, respectively. Denitrification rates of high N concentrations were quite small in the absence of an available C source but increased with increasing available C (glucose). The N-2/N-2O ratio generally increased with time of incubation after the initial treatment application. The largest ratios (up to 549) were found at the highest available C rate and generally at the highest soil water content. The presence of high NO-3 concentrations apparently inhibited the conversion of N-2O to N-2, resulting in lower N-2/N-2O ratios. Using an average N-2/N-2O ratio for estimation of denitrification from N-2O field measurements cannot be recommended because of the variation in this ratio due to the many environmental factors altered by field management that influence denitrification and the relative production of N-2 and N-2O.","author":[{"dropping-particle":"","family":"Weier","given":"K. L.","non-dropping-particle":"","parse-names":false,"suffix":""},{"dropping-particle":"","family":"Doran","given":"J. W.","non-dropping-particle":"","parse-names":false,"suffix":""},{"dropping-particle":"","family":"Power","given":"J. F.","non-dropping-particle":"","parse-names":false,"suffix":""},{"dropping-particle":"","family":"Walters","given":"D. T.","non-dropping-particle":"","parse-names":false,"suffix":""}],"container-title":"Soil Science Society of America Journal","id":"ITEM-1","issue":"1","issued":{"date-parts":[["1993"]]},"page":"66-72","title":"Denitrification and the dinitrogen/nitrous oxide ratio as affected by soil water, available carbon, and nitrate","type":"article-journal","volume":"57"},"uris":["http://www.mendeley.com/documents/?uuid=88796c40-0039-4022-ab39-7a7b64039151"]},{"id":"ITEM-2","itemData":{"DOI":"10.1007/s00374-022-01673-6","ISBN":"0123456789","ISSN":"14320789","abstract":"European policy recommends that biomass production occur on marginal land, such as poorly draining Stagnosols. Compared to annual cropping, perennial crops may better mitigate N2O emissions at such sites, through more complete denitrification. To test that hypothesis, we compared N2 and N2O fluxes from the soils of a perennial crop (cup plant, Silphium perfoliatum L.) and an annual crop (silage maize, Zea mays L.). Intact soil columns (35 cm height, 14.4 cm diameter) were incubated for 37 days. The soils were fertilized with 60 or 120 kg N ha−1 and exposed to successive phases of waterlogging: free drainage, waterlogging of 1/3-, and waterlogging of 2/3- of the column. Source-specific N2O and N2 fluxes were measured using the 15 N gas flux method. Denitrification was higher in cup plant than maize soil and total N losses from denitrification were dominated by emissions from the third phase. Cup plant soil emitted 33.6 ± 78.1 mg N m−2 and 95.8 ± 64.4 mg N m−2 more N2O than maize soil in the low and high N treatments, respectively. The product ratio of denitrification (N2Oi = N2O/(N2 + N2O)) increased with waterlogging in maize soil, while remaining stable in cup plant soil. Emissions from the top 10 cm dominated the N2Oi rather than N2 fluxes from the saturated soil. This study did not show N2O mitigation in cup plant soil, instead highlighting the complexity of plant-soil effects on denitrification. We clearly showed that the application of a general N2Oi for agricultural soils across annual and perennial cropping is not recommended.","author":[{"dropping-particle":"","family":"Kemmann","given":"Björn","non-dropping-particle":"","parse-names":false,"suffix":""},{"dropping-particle":"","family":"Ruf","given":"Thorsten","non-dropping-particle":"","parse-names":false,"suffix":""},{"dropping-particle":"","family":"Matson","given":"Amanda","non-dropping-particle":"","parse-names":false,"suffix":""},{"dropping-particle":"","family":"Well","given":"Reinhard","non-dropping-particle":"","parse-names":false,"suffix":""}],"container-title":"Biology and Fertility of Soils","id":"ITEM-2","issue":"1","issued":{"date-parts":[["2023"]]},"page":"53-71","publisher":"Springer Berlin Heidelberg","title":"Waterlogging effects on N2O and N2 emissions from a Stagnosol cultivated with Silphium perfoliatum and silage maize","type":"article-journal","volume":"59"},"uris":["http://www.mendeley.com/documents/?uuid=c5e44e41-09d3-44ad-b8c0-669673854bdb"]},{"id":"ITEM-3","itemData":{"DOI":"10.1371/journal.pone.0108144","ISSN":"19326203","PMID":"25243844","abstract":"The increase in atmospheric nitrous oxide (N2O), a potent greenhouse and ozone depleting gas, is of serious global concern. Soils are large contributors to this increase through microbial processes that are enhanced in agricultural land due to nitrogenous fertilizer applications. Denitrification, a respiratory process using nitrogen oxides as electron acceptors in the absence of oxygen, is the main source of N2O. The end product of denitrification is benign dinitrogen (N2) and understanding what regulates the shift in ratio of N2O and N2 emission is crucial for mitigation strategies. The role of organic carbon in controlling N2O reduction is poorly understood, and mostly based on application of glucose. Here we investigated how a range of carbon compounds (succinate, butyrate, malic acid, acetate, glucose, sucrose and cysteine) affect denitrifier N2/N2O production stoichiometry under laboratory conditions. The results show that a soil's capability in efficiently reducing N2O to N2 is C substrate dependent and most compounds tested were different in regards to this efficiency compared to glucose. We challenge the concept of using glucose as a model soil C compound in furthering our understanding of denitrification and specifically the efficiency in the N2O reductase enzyme. Organic acids, commonly exuded by roots, increased N2/N2O ratios compared to glucose, and therefore mitigated net N2O release and we suggest provides better insights into soil regulatory aspects of N2O reduction. The widespread use of glucose in soil laboratory studies could lead to misleading knowledge on the functioning of denitrification in soils with regards to N2O reduction.","author":[{"dropping-particle":"","family":"Morley","given":"Nicholas J.","non-dropping-particle":"","parse-names":false,"suffix":""},{"dropping-particle":"","family":"Richardson","given":"David J.","non-dropping-particle":"","parse-names":false,"suffix":""},{"dropping-particle":"","family":"Baggs","given":"Elizabeth M.","non-dropping-particle":"","parse-names":false,"suffix":""}],"container-title":"PLoS ONE","id":"ITEM-3","issue":"9","issued":{"date-parts":[["2014"]]},"page":"1-6","title":"Substrate induced denitrification over or under estimates shifts in soil N2/N2O ratios","type":"article-journal","volume":"9"},"uris":["http://www.mendeley.com/documents/?uuid=bcd56fc6-248c-4589-9036-bdc9042f4ce4"]}],"mendeley":{"formattedCitation":"(Weier et al., 1993; Morley et al., 2014; Kemmann et al., 2023)","plainTextFormattedCitation":"(Weier et al., 1993; Morley et al., 2014; Kemmann et al., 2023)","previouslyFormattedCitation":"(Weier et al., 1993; Morley et al., 2014; Kemmann et al., 2023)"},"properties":{"noteIndex":0},"schema":"https://github.com/citation-style-language/schema/raw/master/csl-citation.json"}</w:instrText>
      </w:r>
      <w:r w:rsidRPr="00203EB0">
        <w:rPr>
          <w:rFonts w:cs="Times New Roman"/>
        </w:rPr>
        <w:fldChar w:fldCharType="separate"/>
      </w:r>
      <w:r w:rsidRPr="00203EB0">
        <w:rPr>
          <w:rFonts w:cs="Times New Roman"/>
          <w:noProof/>
        </w:rPr>
        <w:t>(Weier et al., 1993; Morley et al., 2014; Kemmann et al., 2023)</w:t>
      </w:r>
      <w:r w:rsidRPr="00203EB0">
        <w:rPr>
          <w:rFonts w:cs="Times New Roman"/>
        </w:rPr>
        <w:fldChar w:fldCharType="end"/>
      </w:r>
      <w:r w:rsidRPr="00203EB0">
        <w:rPr>
          <w:rFonts w:cs="Times New Roman"/>
        </w:rPr>
        <w:t>. Under limited soil O</w:t>
      </w:r>
      <w:r w:rsidRPr="00203EB0">
        <w:rPr>
          <w:rFonts w:cs="Times New Roman"/>
          <w:vertAlign w:val="subscript"/>
        </w:rPr>
        <w:t>2</w:t>
      </w:r>
      <w:r w:rsidRPr="00203EB0">
        <w:rPr>
          <w:rFonts w:cs="Times New Roman"/>
        </w:rPr>
        <w:t xml:space="preserve"> but abundant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vertAlign w:val="superscript"/>
        </w:rPr>
        <w:t xml:space="preserve"> </w:t>
      </w:r>
      <w:r w:rsidRPr="00203EB0">
        <w:rPr>
          <w:rFonts w:cs="Times New Roman"/>
        </w:rPr>
        <w:t>supply, increasing C availability from residue decompositions could stimulate heterotrophic denitrification with N</w:t>
      </w:r>
      <w:r w:rsidRPr="00203EB0">
        <w:rPr>
          <w:rFonts w:cs="Times New Roman"/>
          <w:vertAlign w:val="subscript"/>
        </w:rPr>
        <w:t>2</w:t>
      </w:r>
      <w:r w:rsidRPr="00203EB0">
        <w:rPr>
          <w:rFonts w:cs="Times New Roman"/>
        </w:rPr>
        <w:t>O being the dominant product</w:t>
      </w:r>
      <w:r w:rsidR="003F6FA1"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{"citationItems":[{"id":"ITEM-1","itemData":{"DOI":"10.1029/96GB01455","ISSN":"19449224","abstract":"We describe a model of N2 and N2O gas fluxes from nitrification and denitrification. The model was developed using laboratory denitrification gas flux data and field-observed N2O gas fluxes from different sites. Controls over nitrification N2O gas fluxes are soil texture, soil NH4, soil water-filled pore space, soil N turnover rate, soil pH, and soil temperature. Observed data suggest that nitrification N2O gas fluxes are proportional to soil N turnover and that soil NH4 levels only impact N2O gas fluxes with high levels of soil NH4 (&gt;3 μg N g-1). Total denitrification (N2 plus N2O) gas fluxes are a function of soil heterotrophic respiration rates, soil NO3, soil water content, and soil texture. N2:N2O ratio is a function of soil water content, soil NO3, and soil heterotrophic respiration rates. The denitrification model was developed using laboratory data [Weier et al, 1993] where soil water content, soil NO3, and soil C availability were varied using a full factorial design. The Weier's model simulated observed N2 and N2O gas fluxes for different soils quite well with r2 equal to 0.62 and 0.75, respectively. Comparison of simulated model results with field N2O data for several validation sites shows that the model results compare well with the observed data (r2 = 0.62). Winter denitrification events were poorly simulated by the model. This problem could have been caused by spatial and temporal variations in the observed soil water data and N2O fluxes. The model results and observed data suggest that approximately 14% of the N2O fluxes for a shortgrass steppe are a result of denitrification and that this percentage ranged from 0% to 59% for different sites.","author":[{"dropping-particle":"","family":"Parton","given":"W. J.","non-dropping-particle":"","parse-names":false,"suffix":""},{"dropping-particle":"","family":"Mosier","given":"A. R.","non-dropping-particle":"","parse-names":false,"suffix":""},{"dropping-particle":"","family":"Ojima","given":"D. S.","non-dropping-particle":"","parse-names":false,"suffix":""},{"dropping-particle":"","family":"Valentine","given":"D. W.","non-dropping-particle":"","parse-names":false,"suffix":""},{"dropping-particle":"","family":"Schime","given":"D. S.","non-dropping-particle":"","parse-names":false,"suffix":""},{"dropping-particle":"","family":"Weier","given":"K.","non-dropping-particle":"","parse-names":false,"suffix":""},{"dropping-particle":"","family":"Kulmala","given":"A. E.","non-dropping-particle":"","parse-names":false,"suffix":""}],"container-title":"Global Biogeochemical Cycles","id":"ITEM-1","issue":"3","issued":{"date-parts":[["1996"]]},"page":"401-412","title":"Generalized model for N2 and N2O production from nitrification and denitrification","type":"article-journal","volume":"10"},"uris":["http://www.mendeley.com/documents/?uuid=18f97a26-ce4b-4a77-a915-11acdbfde80c"]}],"mendeley":{"formattedCitation":"(Parton et al., 1996)","plainTextFormattedCitation":"(Parton et al., 1996)","previouslyFormattedCitation":"(Parton et al., 1996)"},"properties":{"noteIndex":0},"schema":"https://github.com/citation-style-language/schema/raw/master/csl-citation.json"}</w:instrText>
      </w:r>
      <w:r w:rsidRPr="00203EB0">
        <w:rPr>
          <w:rFonts w:cs="Times New Roman"/>
        </w:rPr>
        <w:fldChar w:fldCharType="separate"/>
      </w:r>
      <w:r w:rsidRPr="00203EB0">
        <w:rPr>
          <w:rFonts w:cs="Times New Roman"/>
          <w:noProof/>
        </w:rPr>
        <w:t>(Parton et al., 1996)</w:t>
      </w:r>
      <w:r w:rsidRPr="00203EB0">
        <w:rPr>
          <w:rFonts w:cs="Times New Roman"/>
        </w:rPr>
        <w:fldChar w:fldCharType="end"/>
      </w:r>
      <w:r w:rsidRPr="00203EB0">
        <w:rPr>
          <w:rFonts w:cs="Times New Roman"/>
        </w:rPr>
        <w:t>. Therefore, when cover crop residues and N fertilizer co-occur in space and time, decomposing cover crop residues could enhance N</w:t>
      </w:r>
      <w:r w:rsidRPr="00203EB0">
        <w:rPr>
          <w:rFonts w:cs="Times New Roman"/>
          <w:vertAlign w:val="subscript"/>
        </w:rPr>
        <w:t>2</w:t>
      </w:r>
      <w:r w:rsidRPr="00203EB0">
        <w:rPr>
          <w:rFonts w:cs="Times New Roman"/>
        </w:rPr>
        <w:t>O losses from fertilizer N by providing C for energy to microbes</w:t>
      </w:r>
      <w:r w:rsidR="003F6FA1"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{"citationItems":[{"id":"ITEM-1","itemData":{"DOI":"10.2136/sssaj2013.02.0074","ISSN":"0361-5995","abstract":"Nitrous oxide (N2O) emission from denitrification in agricultural soils often increases with N fertilizer and soil nitrate (NO 3) concentrations. Overwintering cover crops in cereal rotations can decrease soil NO3 concentrations and may decrease N2O emissions. However, mineralizable C availability can be a more important control on N2O emission than NO3 concentration in fertilized soils, and cover crop residue provides mineralizable C input. We measured the effect of a winter rye (Secale céréale L.) cover crop on soil N2O emissions from a maize (Zea mays L.) cropping system treated with banded N fertilizer at three rates (0, 135, and 225 kg N ha-1) in Iowa. In addition, we conducted laboratory incubations to determine if potential N2O emissions were limited by mineralizable C or NO3 at these N rates. The rye cover crop decreased soil NO3 concentrations at all N rates. Although the cover crop decreased N2O emissions when no N fertilizer was applied, it increased N2O emissions at an N rate near the economic optimum. In laboratory incubations, N2O emissions from soils from fertilizer bands did not increase with added NO3, but did increase with added glucose. These results show that mineralizable C availability can control N2O emissions, indicating that C from cover crop residue increased N2O emissions from fertilizer band soils in the field. Mineralizable C availability should be considered in future evaluations of cover crop effects on N2O emissions, especially as cover crops are evaluated as a strategy to mitigate agricultural greenhouse gas emissions. © Soil Science Society of America, All rights reserved.","author":[{"dropping-particle":"","family":"Mitchell","given":"David C.","non-dropping-particle":"","parse-names":false,"suffix":""},{"dropping-particle":"","family":"Castellano","given":"Michael J.","non-dropping-particle":"","parse-names":false,"suffix":""},{"dropping-particle":"","family":"Sawyer","given":"John E.","non-dropping-particle":"","parse-names":false,"suffix":""},{"dropping-particle":"","family":"Pantoja","given":"Jose","non-dropping-particle":"","parse-names":false,"suffix":""}],"container-title":"Soil Science Society of America Journal","id":"ITEM-1","issue":"5","issued":{"date-parts":[["2013"]]},"page":"1765-1773","title":"Cover crop effects on nitrous oxide emissions: role of mineralizable carbon","type":"article-journal","volume":"77"},"uris":["http://www.mendeley.com/documents/?uuid=b2e05011-a2f8-467e-95ab-8d366c2c7949"]}],"mendeley":{"formattedCitation":"(Mitchell et al., 2013)","plainTextFormattedCitation":"(Mitchell et al., 2013)","previouslyFormattedCitation":"(Mitchell et al., 2013)"},"properties":{"noteIndex":0},"schema":"https://github.com/citation-style-language/schema/raw/master/csl-citation.json"}</w:instrText>
      </w:r>
      <w:r w:rsidRPr="00203EB0">
        <w:rPr>
          <w:rFonts w:cs="Times New Roman"/>
        </w:rPr>
        <w:fldChar w:fldCharType="separate"/>
      </w:r>
      <w:r w:rsidRPr="00203EB0">
        <w:rPr>
          <w:rFonts w:cs="Times New Roman"/>
          <w:noProof/>
        </w:rPr>
        <w:t>(Mitchell et al., 2013)</w:t>
      </w:r>
      <w:r w:rsidRPr="00203EB0">
        <w:rPr>
          <w:rFonts w:cs="Times New Roman"/>
        </w:rPr>
        <w:fldChar w:fldCharType="end"/>
      </w:r>
      <w:r w:rsidRPr="00203EB0">
        <w:rPr>
          <w:rFonts w:cs="Times New Roman"/>
        </w:rPr>
        <w:t xml:space="preserve"> and increased heterogeneity in soil O</w:t>
      </w:r>
      <w:r w:rsidRPr="00203EB0">
        <w:rPr>
          <w:rFonts w:cs="Times New Roman"/>
          <w:vertAlign w:val="subscript"/>
        </w:rPr>
        <w:t>2</w:t>
      </w:r>
      <w:r w:rsidRPr="00203EB0">
        <w:rPr>
          <w:rFonts w:cs="Times New Roman"/>
        </w:rPr>
        <w:t xml:space="preserve"> availability around the decomposing residues, a key control for denitrification</w:t>
      </w:r>
      <w:r w:rsidR="003F6FA1" w:rsidRPr="00203EB0">
        <w:rPr>
          <w:rFonts w:cs="Times New Roman"/>
        </w:rPr>
        <w:t xml:space="preserve"> </w:t>
      </w:r>
      <w:r w:rsidRPr="00203EB0">
        <w:rPr>
          <w:rFonts w:cs="Times New Roman"/>
        </w:rPr>
        <w:fldChar w:fldCharType="begin" w:fldLock="1"/>
      </w:r>
      <w:r w:rsidR="004179E3" w:rsidRPr="00203EB0">
        <w:rPr>
          <w:rFonts w:cs="Times New Roman"/>
        </w:rPr>
        <w:instrText>ADDIN CSL_CITATION {"citationItems":[{"id":"ITEM-1","itemData":{"DOI":"10.2136/sssaj1987.03615995005100050019x","ISSN":"03615995","abstract":"The spatial variability exhibited by soil denitrification rates is high. As is typical for natural denitrification rate measurements, the individual rates of most samples of a given data set are low; however, a few samples often exhibit extremely high rates. Such data are characterized by highly skewed sample frequency distributions. This study was initiated to investigate the underlying mechanisms responsible for these observations. It was found that 'hot-spots' of high specific denitrification activity were associated with particulate organic C material in the soil. This observation served as the basis of a computer model that evaluates the influence of density and dispersion pattern of these high activity sites on the measured rates of denitrification.","author":[{"dropping-particle":"","family":"Parkin","given":"Timothy B.","non-dropping-particle":"","parse-names":false,"suffix":""}],"container-title":"Soil Science Society of America Journal","id":"ITEM-1","issue":"5","issued":{"date-parts":[["1987"]]},"page":"1194-1199","title":"Soil microsites as a source of denitrification variability","type":"article-journal","volume":"51"},"uris":["http://www.mendeley.com/documents/?uuid=a934a23b-7669-4319-ab3f-5e4c68f20423"]},{"id":"ITEM-2","itemData":{"DOI":"10.1021/acs.est.9b03089","ISSN":"15205851","PMID":"31596573","abstract":"Oxygen (O2) plays a critical and yet poorly understood role in regulating nitrous oxide (N2O) production in well-structured agricultural soils. We investigated the effects of in situ O2 dynamics on N2O production in a typical intensively managed Chinese cropping system under a range of environmental conditions (temperature, moisture, ammonium, nitrate, dissolved organic carbon, and so forth). Climate and management (fertilization, irrigation, precipitation, and temperature), and their interactions significantly affected soil O2 and N2O concentrations (P &lt; 0.05). Soil O2 concentration was the most significant factor correlating with soil N2O concentration (r = -0.71) when compared with temperature, water-filled pore space, and ammonium concentration (r = 0.30, 0.25, and 0.26, respectively). Soil N2O concentration increased exponentially with decreasing soil O2 concentrations. The exponential model of N treatments and fertilization with irrigation/precipitation events predicted 74-90% and 58% of the variance in soil N2O concentrations, respectively. Our results highlight that the soil O2 status is the proximal, direct, and the most decisive environmental trigger for N2O production, outweighing the effects of other factors and could be a key variable integrating the aggregated effects of various complex interacting variables. This study offers new opportunities for developing more sensitive approaches to predicting and through appropriate management interventions mitigating N2O emissions from agricultural soils.","author":[{"dropping-particle":"","family":"Song","given":"Xiaotong","non-dropping-particle":"","parse-names":false,"suffix":""},{"dropping-particle":"","family":"Ju","given":"Xiaotang","non-dropping-particle":"","parse-names":false,"suffix":""},{"dropping-particle":"","family":"Topp","given":"Cairistiona F.E.","non-dropping-particle":"","parse-names":false,"suffix":""},{"dropping-particle":"","family":"Rees","given":"Robert M.","non-dropping-particle":"","parse-names":false,"suffix":""}],"container-title":"Environmental Science and Technology","id":"ITEM-2","issue":"21","issued":{"date-parts":[["2019"]]},"page":"12539-12547","title":"Oxygen regulates nitrous oxide production directly in agricultural Soils","type":"article-journal","volume":"53"},"uris":["http://www.mendeley.com/documents/?uuid=eac98da4-ae0d-4811-9136-f0ea357f8c69"]}],"mendeley":{"formattedCitation":"(Parkin, 1987; Song et al., 2019)","plainTextFormattedCitation":"(Parkin, 1987; Song et al., 2019)","previouslyFormattedCitation":"(Parkin, 1987; Song et al., 2019)"},"properties":{"noteIndex":0},"schema":"https://github.com/citation-style-language/schema/raw/master/csl-citation.json"}</w:instrText>
      </w:r>
      <w:r w:rsidRPr="00203EB0">
        <w:rPr>
          <w:rFonts w:cs="Times New Roman"/>
        </w:rPr>
        <w:fldChar w:fldCharType="separate"/>
      </w:r>
      <w:r w:rsidRPr="00203EB0">
        <w:rPr>
          <w:rFonts w:cs="Times New Roman"/>
          <w:noProof/>
        </w:rPr>
        <w:t>(Parkin, 1987; Song et al., 2019)</w:t>
      </w:r>
      <w:r w:rsidRPr="00203EB0">
        <w:rPr>
          <w:rFonts w:cs="Times New Roman"/>
        </w:rPr>
        <w:fldChar w:fldCharType="end"/>
      </w:r>
      <w:r w:rsidRPr="00203EB0">
        <w:rPr>
          <w:rFonts w:cs="Times New Roman"/>
        </w:rPr>
        <w:t xml:space="preserve">. </w:t>
      </w:r>
    </w:p>
    <w:p w14:paraId="4C0C7084" w14:textId="1694C2A7" w:rsidR="0084379E" w:rsidRPr="00203EB0" w:rsidRDefault="0084379E" w:rsidP="0084379E">
      <w:pPr>
        <w:spacing w:line="480" w:lineRule="auto"/>
        <w:rPr>
          <w:rFonts w:cs="Times New Roman"/>
        </w:rPr>
      </w:pPr>
      <w:r w:rsidRPr="00203EB0">
        <w:rPr>
          <w:rFonts w:cs="Times New Roman"/>
        </w:rPr>
        <w:t>While spatial distribution of soil O</w:t>
      </w:r>
      <w:r w:rsidRPr="00203EB0">
        <w:rPr>
          <w:rFonts w:cs="Times New Roman"/>
          <w:vertAlign w:val="subscript"/>
        </w:rPr>
        <w:t>2</w:t>
      </w:r>
      <w:r w:rsidRPr="00203EB0">
        <w:rPr>
          <w:rFonts w:cs="Times New Roman"/>
        </w:rPr>
        <w:t xml:space="preserve"> has long been recognized as a proximal driver of N</w:t>
      </w:r>
      <w:r w:rsidRPr="00203EB0">
        <w:rPr>
          <w:rFonts w:cs="Times New Roman"/>
          <w:vertAlign w:val="subscript"/>
        </w:rPr>
        <w:t>2</w:t>
      </w:r>
      <w:r w:rsidRPr="00203EB0">
        <w:rPr>
          <w:rFonts w:cs="Times New Roman"/>
        </w:rPr>
        <w:t>O production</w:t>
      </w:r>
      <w:r w:rsidR="003F6FA1"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{"citationItems":[{"id":"ITEM-1","itemData":{"DOI":"10.5194/bg-18-1185-2021","ISSN":"17264189","abstract":"The prediction of nitrous oxide (N2O) and of dinitrogen (N2) emissions formed by biotic denitrification in soil is notoriously difficult due to challenges in capturing cooccurring processes at microscopic scales. N2O production and reduction depend on the spatial extent of anoxic conditions in soil, which in turn are a function of oxygen (O2) supply through diffusion and O2 demand by respiration in the presence of an alternative electron acceptor (e.g. nitrate). This study aimed to explore controlling factors of complete denitrification in terms of N2O and (N2OCN2) fluxes in repacked soils by taking micro-environmental conditions directly into account. This was achieved by measuring microscale oxygen saturation and estimating the anaerobic soil volume fraction (ansvf) based on internal air distribution measured with X-ray computed tomography (X-ray CT). O2 supply and demand were explored systemically in a full factorial design with soil organic matter (SOM; 1.2% and 4.5 %), aggregate size (2-4 and 4-8 mm), and water saturation (70 %, 83 %, and 95% water-holding capacity, WHC) as factors. CO2 and N2O emissions were monitored with gas chromatography. The 15N gas flux method was used to estimate the N2O reduction to N2. N gas emissions could only be predicted well when explanatory variables for O2 demand and O2 supply were considered jointly. Combining CO2 emission and ansvf as proxies for O2 demand and supply resulted in 83% explained variability in (N2OCN2) emissions and together with the denitrification product ratio [N2O= (N2OCN2)] (pr) 81%in N2O emissions. O2 concentration measured by microsensors was a poor predictor due to the variability in O2 over small distances combined with the small measurement volume of the microsensors. The substitution of predictors by independent, readily available proxies for O2 demand (SOM) and O2 supply (diffusivity) reduced the predictive power considerably (60% and 66% for N2O and (N2OCN2/ fluxes, respectively). The new approach of using X-ray CT imaging analysis to directly quantify soil structure in terms of ansvf in combination with N2O and (N2OCN2) flux measurements opens up new perspectives to estimate complete denitrification in soil. This will also contribute to improving N2O flux models and can help to develop mitigation strategies for N2O fluxes and improve N use efficiency.","author":[{"dropping-particle":"","family":"Rohe","given":"Lena","non-dropping-particle":"","parse-names":false,"suffix":""},{"dropping-particle":"","family":"Apelt","given":"Bernd","non-dropping-particle":"","parse-names":false,"suffix":""},{"dropping-particle":"","family":"Vogel","given":"Hans Jörg","non-dropping-particle":"","parse-names":false,"suffix":""},{"dropping-particle":"","family":"Well","given":"Reinhard","non-dropping-particle":"","parse-names":false,"suffix":""},{"dropping-particle":"","family":"Wu","given":"Gi Mick","non-dropping-particle":"","parse-names":false,"suffix":""},{"dropping-particle":"","family":"Schlüter","given":"Steffen","non-dropping-particle":"","parse-names":false,"suffix":""}],"container-title":"Biogeosciences","id":"ITEM-1","issue":"3","issued":{"date-parts":[["2021"]]},"page":"1185-1201","title":"Denitrification in soil as a function of oxygen availability at the microscale","type":"article-journal","volume":"18"},"uris":["http://www.mendeley.com/documents/?uuid=cdc4ed38-878e-4b10-b586-c9c4c1f63168"]},{"id":"ITEM-2","itemData":{"DOI":"10.1029/2011JG001799","ISSN":"01480227","abstract":"Wetland soil oxygen (O2) is rarely measured, which limits our understanding of a key regulator of nitrogen loss through denitrification. We asked: (1) How does soil [O2] vary in riparian wetlands? (2) How does this [O2] variation affect denitrification rates and end products? and (3) How does [O2] variation and previous exposure to O 2 affect trace gas fluxes? We collected a continuous seven-month record of [O2] dynamics in a \"wet\" and \"dry\" riparian zone. In April 2009, soil [O2] ranged from 0 to 13% and consistently increased with increasing distance from the stream. [O2] gradually declined in all sensors until all sensors went anoxic in early September 2009. In mid-fall, a dropping water table increased soil [O 2] to 15-20% within a 2-3 day period. We measured denitrification using the Nitrogen-Free Air Recirculation Method (N-FARM), a direct measurement of N2 production against a helium background. Denitrification rates were significantly higher in the wetter areas, which correlated to lower O 2 conditions. Denitrification rates in the drier areas correlated with [O2] in the early spring and summer, but significantly decreased in late summer despite decreasing O2 concentrations. Increasing [O2] significantly increased core N2O production, and therefore may be an important control on nitrous oxide yield. Field N 2O fluxes, however, were highly variable, ranging from 0 to 800 ug N m-2 hr-1 with no differences between the wet and dry sites. Future research should focus on understanding the biotic and abiotic controls on O2 dynamics, and O2 dynamics should be included in models of soil N cycling and trace gas fluxes. Copyright 2012 by the American Geophysical Union.","author":[{"dropping-particle":"","family":"Burgin","given":"Amy J.","non-dropping-particle":"","parse-names":false,"suffix":""},{"dropping-particle":"","family":"Groffman","given":"Peter M.","non-dropping-particle":"","parse-names":false,"suffix":""}],"container-title":"Journal of Geophysical Research: Biogeosciences","id":"ITEM-2","issue":"1","issued":{"date-parts":[["2012"]]},"page":"1-10","title":"Soil O2 controls denitrification rates and N2O yield in a riparian wetland","type":"article-journal","volume":"117"},"uris":["http://www.mendeley.com/documents/?uuid=3c2e6011-4590-4a9b-a694-9e9bf491330c"]}],"mendeley":{"formattedCitation":"(Burgin and Groffman, 2012; Rohe et al., 2021)","plainTextFormattedCitation":"(Burgin and Groffman, 2012; Rohe et al., 2021)","previouslyFormattedCitation":"(Burgin and Groffman, 2012; Rohe et al., 2021)"},"properties":{"noteIndex":0},"schema":"https://github.com/citation-style-language/schema/raw/master/csl-citation.json"}</w:instrText>
      </w:r>
      <w:r w:rsidRPr="00203EB0">
        <w:rPr>
          <w:rFonts w:cs="Times New Roman"/>
        </w:rPr>
        <w:fldChar w:fldCharType="separate"/>
      </w:r>
      <w:r w:rsidRPr="00203EB0">
        <w:rPr>
          <w:rFonts w:cs="Times New Roman"/>
          <w:noProof/>
        </w:rPr>
        <w:t>(Burgin and Groffman, 2012; Rohe et al., 2021)</w:t>
      </w:r>
      <w:r w:rsidRPr="00203EB0">
        <w:rPr>
          <w:rFonts w:cs="Times New Roman"/>
        </w:rPr>
        <w:fldChar w:fldCharType="end"/>
      </w:r>
      <w:r w:rsidRPr="00203EB0">
        <w:rPr>
          <w:rFonts w:cs="Times New Roman"/>
        </w:rPr>
        <w:t>, its high-resolution measurements are difficult under field conditions. As a surrogate for O</w:t>
      </w:r>
      <w:r w:rsidRPr="00203EB0">
        <w:rPr>
          <w:rFonts w:cs="Times New Roman"/>
          <w:vertAlign w:val="subscript"/>
        </w:rPr>
        <w:t>2</w:t>
      </w:r>
      <w:r w:rsidRPr="00203EB0">
        <w:rPr>
          <w:rFonts w:cs="Times New Roman"/>
        </w:rPr>
        <w:t xml:space="preserve"> availability, water-filled pore space (WFPS) is often used to link N</w:t>
      </w:r>
      <w:r w:rsidRPr="00203EB0">
        <w:rPr>
          <w:rFonts w:cs="Times New Roman"/>
          <w:vertAlign w:val="subscript"/>
        </w:rPr>
        <w:t>2</w:t>
      </w:r>
      <w:r w:rsidRPr="00203EB0">
        <w:rPr>
          <w:rFonts w:cs="Times New Roman"/>
        </w:rPr>
        <w:t>O production with soil O</w:t>
      </w:r>
      <w:r w:rsidRPr="00203EB0">
        <w:rPr>
          <w:rFonts w:cs="Times New Roman"/>
          <w:vertAlign w:val="subscript"/>
        </w:rPr>
        <w:t>2</w:t>
      </w:r>
      <w:r w:rsidRPr="00203EB0">
        <w:rPr>
          <w:rFonts w:cs="Times New Roman"/>
        </w:rPr>
        <w:t xml:space="preserve"> availability</w:t>
      </w:r>
      <w:r w:rsidR="003F6FA1"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{"citationItems":[{"id":"ITEM-1","itemData":{"DOI":"10.1029/1999JD900378","ISSN":"01480227","abstract":"Emissions of nitrous oxide from intensively managed agricultural fields were measured over 3 years. Exponential increases in flux occurred with increasing soil waterfilled pore space (WFPS) and temperature; increases in soil mineral N content due to fertilizer application also stimulated emissions. Fluxes were low when any of these variables was below a critical value. The largest fluxes occurred when WFPS values were very high (70-90%), indicating that denitrification was the major process responsible. The relationships with the driving variables showed strong similarities to those reported for very different environments: irrigated sugar cane crops, pastures, and forest in the tropics. Annual emissions varied widely (0.3-18.4 kg N2O-N ha-1). These variations were principally due to the degree of coincidence of fertilizer application and major rainfall events. It is concluded therefore that several years' data are required from any agricultural ecosystem in a variable climate to obtain a robust estimate of mean N2O fluxes. The emissions from small-grain cereals (winter wheat and spring barley) were consistently lower (0.2-0.7 kg N2O-N per 100 kg N applied) than from cut grassland (0.3-5.8 kg N2O-N per 100 kg N). Crops such as broccoli and potatoes gave emissions of the same order as those from the grassland. Although these differences between crop types are not apparent in general data comparisons, there may well be distinct regional differences in the relative and absolute emissions from different crops, due to local factors relating to soil type, weather patterns, and agricultural management practices. This will only be determined by more detailed comparative studies. Copyright 1999 by the American Geophysical Union.","author":[{"dropping-particle":"","family":"Dobbie","given":"K. E.","non-dropping-particle":"","parse-names":false,"suffix":""},{"dropping-particle":"","family":"McTaggart","given":"I. P.","non-dropping-particle":"","parse-names":false,"suffix":""},{"dropping-particle":"","family":"Smith","given":"K. A.","non-dropping-particle":"","parse-names":false,"suffix":""}],"container-title":"Journal of Geophysical Research Atmospheres","id":"ITEM-1","issue":"D21","issued":{"date-parts":[["1999"]]},"page":"26891-26899","title":"Nitrous oxide emissions from intensive agricultural systems: Variations between crops and seasons, key driving variables, and mean emission factors","type":"article-journal","volume":"104"},"uris":["http://www.mendeley.com/documents/?uuid=53488899-3a1b-4232-ae05-5dad1c7e3d48"]},{"id":"ITEM-2","itemData":{"DOI":"10.1046/j.1365-2486.2003.00563.x","ISSN":"13541013","abstract":"Measurements were made of nitrous oxide (N2O) emissions from N-fertilised ungrazed grassland and arable land at sites widely distributed across Great Britain during 1999-2001. The closed static chamber method was used throughout. Emissions varied widely throughout the year at each site, and between sites. Daily fluxes up to 1200 g N2O-N ha-1 d-1 were recorded. The highest annual flux was 27.6 kg N2O-N ha-1 at a grassland site in Wales, whereas the lowest, 1.7 kg N2O-N ha-1, occurred on a soil overlying chalk in southern England. The key factors affecting N2O emissions from agricultural soil were soil WFPS, temperature and soil NO3--N content. On grassland, rainfall (particularly around the time of N application), with its consequent effect on water-filled pore space (WFPS), was the main driving factor during the growing season. Annual emission factors (EFs), uncorrected for background emission, varied from 0.4 to 6.5% of the nitrogen (N) applied, covering a similar range for grassland to that found previously for sites restricted to Scotland. Continued monitoring at a grassland reference site near Edinburgh showed that annual EFs vary greatly from year to year, even with similar management, and that several years' data are required to produce a robust mean EF. The overall distribution of EFs in this and previous studies was log-normal. The EFs for small-grain cereals (and oilseed rape) peaked at a much lower value than those for grassland, whereas the values for leafy vegetables and potato crops fitted well into the grassland distribution. These differences in EF between various types of crop should be taken into account when compiling regional or national N2O emission inventories.","author":[{"dropping-particle":"","family":"Dobbie","given":"Karen E.","non-dropping-particle":"","parse-names":false,"suffix":""},{"dropping-particle":"","family":"Smith","given":"Keith A.","non-dropping-particle":"","parse-names":false,"suffix":""}],"container-title":"Global Change Biology","id":"ITEM-2","issue":"2","issued":{"date-parts":[["2003"]]},"page":"204-218","title":"Nitrous oxide emission factors for agricultural soils in Great Britain: The impact of soil water-filled pore space and other controlling variables","type":"article-journal","volume":"9"},"uris":["http://www.mendeley.com/documents/?uuid=56532ab7-9c25-4f02-947f-bf6f40d35b54"]},{"id":"ITEM-3","itemData":{"DOI":"10.1641/0006-3568(2000)050[0667:TACMOS]2.0.CO;2","ISSN":"00063568","author":[{"dropping-particle":"","family":"Davidson","given":"E. A.","non-dropping-particle":"","parse-names":false,"suffix":""},{"dropping-particle":"","family":"Keller","given":"M.","non-dropping-particle":"","parse-names":false,"suffix":""},{"dropping-particle":"","family":"Erickson","given":"H. E.","non-dropping-particle":"","parse-names":false,"suffix":""},{"dropping-particle":"V.","family":"Verchot","given":"L.","non-dropping-particle":"","parse-names":false,"suffix":""},{"dropping-particle":"","family":"Veldkamp","given":"E.","non-dropping-particle":"","parse-names":false,"suffix":""}],"container-title":"BioScience","id":"ITEM-3","issue":"8","issued":{"date-parts":[["2000"]]},"page":"667-680","title":"Testing a conceptual model of soil emissions of nitrous and nitric oxides","type":"article-journal","volume":"50"},"uris":["http://www.mendeley.com/documents/?uuid=7184fb48-ed31-41c0-8af8-2d5a549c23da"]}],"mendeley":{"formattedCitation":"(Dobbie et al., 1999; Davidson et al., 2000; Dobbie and Smith, 2003)","plainTextFormattedCitation":"(Dobbie et al., 1999; Davidson et al., 2000; Dobbie and Smith, 2003)","previouslyFormattedCitation":"(Dobbie et al., 1999; Davidson et al., 2000; Dobbie and Smith, 2003)"},"properties":{"noteIndex":0},"schema":"https://github.com/citation-style-language/schema/raw/master/csl-citation.json"}</w:instrText>
      </w:r>
      <w:r w:rsidRPr="00203EB0">
        <w:rPr>
          <w:rFonts w:cs="Times New Roman"/>
        </w:rPr>
        <w:fldChar w:fldCharType="separate"/>
      </w:r>
      <w:r w:rsidRPr="00203EB0">
        <w:rPr>
          <w:rFonts w:cs="Times New Roman"/>
          <w:noProof/>
        </w:rPr>
        <w:t>(Dobbie et al., 1999; Davidson et al., 2000; Dobbie and Smith, 2003)</w:t>
      </w:r>
      <w:r w:rsidRPr="00203EB0">
        <w:rPr>
          <w:rFonts w:cs="Times New Roman"/>
        </w:rPr>
        <w:fldChar w:fldCharType="end"/>
      </w:r>
      <w:r w:rsidRPr="00203EB0">
        <w:rPr>
          <w:rFonts w:cs="Times New Roman"/>
        </w:rPr>
        <w:t>. It is generally accepted that soil N</w:t>
      </w:r>
      <w:r w:rsidRPr="00203EB0">
        <w:rPr>
          <w:rFonts w:cs="Times New Roman"/>
          <w:vertAlign w:val="subscript"/>
        </w:rPr>
        <w:t>2</w:t>
      </w:r>
      <w:r w:rsidRPr="00203EB0">
        <w:rPr>
          <w:rFonts w:cs="Times New Roman"/>
        </w:rPr>
        <w:t>O emissions from nitrification occur within the range of 30 to 60% WFPS content, whereas denitrification dominates at higher WFPS (60-100%), with N</w:t>
      </w:r>
      <w:r w:rsidRPr="00203EB0">
        <w:rPr>
          <w:rFonts w:cs="Times New Roman"/>
          <w:vertAlign w:val="subscript"/>
        </w:rPr>
        <w:t>2</w:t>
      </w:r>
      <w:r w:rsidRPr="00203EB0">
        <w:rPr>
          <w:rFonts w:cs="Times New Roman"/>
        </w:rPr>
        <w:t>O as the major product up to 80% WFPS and N</w:t>
      </w:r>
      <w:r w:rsidRPr="00203EB0">
        <w:rPr>
          <w:rFonts w:cs="Times New Roman"/>
          <w:vertAlign w:val="subscript"/>
        </w:rPr>
        <w:t xml:space="preserve">2 </w:t>
      </w:r>
      <w:r w:rsidRPr="00203EB0">
        <w:rPr>
          <w:rFonts w:cs="Times New Roman"/>
        </w:rPr>
        <w:t>with increasing WFPS thereafter</w:t>
      </w:r>
      <w:r w:rsidR="003F6FA1"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{"citationItems":[{"id":"ITEM-1","itemData":{"DOI":"10.1641/0006-3568(2000)050[0667:TACMOS]2.0.CO;2","ISSN":"00063568","author":[{"dropping-particle":"","family":"Davidson","given":"E. A.","non-dropping-particle":"","parse-names":false,"suffix":""},{"dropping-particle":"","family":"Keller","given":"M.","non-dropping-particle":"","parse-names":false,"suffix":""},{"dropping-particle":"","family":"Erickson","given":"H. E.","non-dropping-particle":"","parse-names":false,"suffix":""},{"dropping-particle":"V.","family":"Verchot","given":"L.","non-dropping-particle":"","parse-names":false,"suffix":""},{"dropping-particle":"","family":"Veldkamp","given":"E.","non-dropping-particle":"","parse-names":false,"suffix":""}],"container-title":"BioScience","id":"ITEM-1","issue":"8","issued":{"date-parts":[["2000"]]},"page":"667-680","title":"Testing a conceptual model of soil emissions of nitrous and nitric oxides","type":"article-journal","volume":"50"},"uris":["http://www.mendeley.com/documents/?uuid=7184fb48-ed31-41c0-8af8-2d5a549c23da"]},{"id":"ITEM-2","itemData":{"DOI":"10.1007/s00374-005-0858-3","ISSN":"01782762","abstract":"A combination of stable isotope and acetylene (0.01% v/v) inhibition techniques were used for the first time to determine N2O production during denitrification, autotrophic nitrification and heterotrophic nitrification in a fertilised (200 kg N ha-1) silt loam soil at contrasting (20-70%) water-filled pore space (WFPS). 15N-N 2O emissions from 14NH415NO 3 replicates were attributed to denitrification and 15N-N2O from 15NH415NO3 minus that from 14NH415NO3 replicates was attributed to nitrification and heterotrophic nitrification in the presence of acetylene, as there was no dissimilatory nitrate reduction to ammonium or immobilisation and remineralisation of 15N-NO3-. All of the N2O emitted at 70% WFPS (31.6 mg N2O-N m-2 over 24 days; 1.12 μg N2O-N g dry soil-1; 0.16% of N applied) was produced during denitrification, but at 35-60% WFPS nitrification was the main process producing N2O, accounting for 81% of 15N-N2O emitted at 60% WFPS, and 7.9 μg 15N-N2O m-2 (0.28 ng 15N-N 2O g dry soil-1) was estimated to be emitted over 7 days during heterotrophic nitrification in the 50% WFPS treatment and accounted for 20% of 15N-N2O from this treatment. Denitrification was the predominant N2O-producing process at 20% WFPS (2.6 μg 15N-N2O m-2 over 7 days; 0.09 ng 15N-N2O g dry soil-1; 85% of 15N-N2O from this treatment) and may have been due to the occurrence of aerobic denitrification at this WFPS. Our results demonstrate the usefulness of a combined stable isotope and acetylene approach to quantify N2O emissions from different processes and to show that several processes may contribute to N2O emission from agricultural soils depending on soil WFPS. © Springer-Verlag 2005.","author":[{"dropping-particle":"","family":"Bateman","given":"E. J.","non-dropping-particle":"","parse-names":false,"suffix":""},{"dropping-particle":"","family":"Baggs","given":"E. M.","non-dropping-particle":"","parse-names":false,"suffix":""}],"container-title":"Biology and Fertility of Soils","id":"ITEM-2","issue":"6","issued":{"date-parts":[["2005"]]},"page":"379-388","title":"Contributions of nitrification and denitrification to N2O emissions from soils at different water-filled pore space","type":"article-journal","volume":"41"},"uris":["http://www.mendeley.com/documents/?uuid=a54a72b9-080b-4bf7-814c-5deb17066a12"]}],"mendeley":{"formattedCitation":"(Davidson et al., 2000; Bateman and Baggs, 2005)","plainTextFormattedCitation":"(Davidson et al., 2000; Bateman and Baggs, 2005)","previouslyFormattedCitation":"(Davidson et al., 2000; Bateman and Baggs, 2005)"},"properties":{"noteIndex":0},"schema":"https://github.com/citation-style-language/schema/raw/master/csl-citation.json"}</w:instrText>
      </w:r>
      <w:r w:rsidRPr="00203EB0">
        <w:rPr>
          <w:rFonts w:cs="Times New Roman"/>
        </w:rPr>
        <w:fldChar w:fldCharType="separate"/>
      </w:r>
      <w:r w:rsidRPr="00203EB0">
        <w:rPr>
          <w:rFonts w:cs="Times New Roman"/>
          <w:noProof/>
        </w:rPr>
        <w:t>(Davidson et al., 2000; Bateman and Baggs, 2005)</w:t>
      </w:r>
      <w:r w:rsidRPr="00203EB0">
        <w:rPr>
          <w:rFonts w:cs="Times New Roman"/>
        </w:rPr>
        <w:fldChar w:fldCharType="end"/>
      </w:r>
      <w:r w:rsidRPr="00203EB0">
        <w:rPr>
          <w:rFonts w:cs="Times New Roman"/>
        </w:rPr>
        <w:t>. Despite this prevailing consensus, certain studies have identified a decoupling of the relationship between WFPS and N</w:t>
      </w:r>
      <w:r w:rsidRPr="00203EB0">
        <w:rPr>
          <w:rFonts w:cs="Times New Roman"/>
          <w:vertAlign w:val="subscript"/>
        </w:rPr>
        <w:t>2</w:t>
      </w:r>
      <w:r w:rsidRPr="00203EB0">
        <w:rPr>
          <w:rFonts w:cs="Times New Roman"/>
        </w:rPr>
        <w:t>O production pathways, where changes in WFPS did not have the anticipated impact on N</w:t>
      </w:r>
      <w:r w:rsidRPr="00203EB0">
        <w:rPr>
          <w:rFonts w:cs="Times New Roman"/>
          <w:vertAlign w:val="subscript"/>
        </w:rPr>
        <w:t>2</w:t>
      </w:r>
      <w:r w:rsidRPr="00203EB0">
        <w:rPr>
          <w:rFonts w:cs="Times New Roman"/>
        </w:rPr>
        <w:t xml:space="preserve">O source partitioning </w:t>
      </w:r>
      <w:r w:rsidRPr="00203EB0">
        <w:rPr>
          <w:rFonts w:cs="Times New Roman"/>
        </w:rPr>
        <w:fldChar w:fldCharType="begin" w:fldLock="1"/>
      </w:r>
      <w:r w:rsidR="00EB2F35" w:rsidRPr="00203EB0">
        <w:rPr>
          <w:rFonts w:cs="Times New Roman"/>
        </w:rPr>
        <w:instrText>ADDIN CSL_CITATION {"citationItems":[{"id":"ITEM-1","itemData":{"DOI":"10.1016/j.jhazmat.2022.130413","ISSN":"18733336","PMID":"36436452","abstract":"Despite its environmental significance, little is known about denitrification in vadose zones owing to the complexity of such environments. Here, we investigated denitrification in unsaturated soils with different pore distributions. To this end, we performed batch-type denitrification experiments and analyzed microbial community shifts before and after possible reactions with nitrates to clarify the relevant denitrifying mechanism in the microcosms. For quantitative comparison, pore distribution in the test soil samples was characterized based on the uniformity coefficient (Cu) and water saturation degree (SD). Micro-CT analysis of the soil pore distribution confirmed that the proportion of bigger-sized pores increased with decreasing Cu. However, oxygen diffusion into the system was controlled by SD rather than Cu. Within a certain SD range (51–67%), the pore condition changed abruptly from an oxic to an anoxic state. Consequently, denitrification occurred even under unsaturated soil conditions when the SD increased beyond 51–67%. High throughput sequencing revealed that the same microbial species were potentially responsible for denitrification under both partially (SD 67%), and fully saturated (SD of 100%) conditions, implying that the mechanism of denitrification in a vadose zone, if it exists, might be possibly similar under varying conditions.","author":[{"dropping-particle":"","family":"Oh","given":"Sungjik","non-dropping-particle":"","parse-names":false,"suffix":""},{"dropping-particle":"","family":"Cho","given":"Kyungjin","non-dropping-particle":"","parse-names":false,"suffix":""},{"dropping-particle":"","family":"Park","given":"Saerom","non-dropping-particle":"","parse-names":false,"suffix":""},{"dropping-particle":"","family":"Kwon","given":"Man Jae","non-dropping-particle":"","parse-names":false,"suffix":""},{"dropping-particle":"","family":"Chung","given":"Jaeshik","non-dropping-particle":"","parse-names":false,"suffix":""},{"dropping-particle":"","family":"Lee","given":"Seunghak","non-dropping-particle":"","parse-names":false,"suffix":""}],"container-title":"Journal of Hazardous Materials","id":"ITEM-1","issue":"November 2022","issued":{"date-parts":[["2023"]]},"page":"130413","publisher":"Elsevier B.V.","title":"Denitrification dynamics in unsaturated soils with different porous structures and water saturation degrees: A focus on the shift in microbial community structures","type":"article-journal","volume":"445"},"uris":["http://www.mendeley.com/documents/?uuid=53866f56-8e43-416f-be7f-ac31408aba25"]},{"id":"ITEM-2","itemData":{"DOI":"10.1007/s10533-013-9883-8","ISSN":"01682563","abstract":"Long-term elevated atmogenic deposition (~5 g m-2 year-1) of reactive nitrogen (N) causes N saturation in forests of subtropical China which may lead to high nitrous oxide (N2O) emissions. Recently, we found high N2O emission rates (up to 1,730 μg N2O-N m-2 h-1) during summer on well-drained acidic acrisols (pH = 4.0) along a hill slope in the forested Tieshanping catchment, Chongqing, southwest China. Here, we present results from an in situ 15N-NO3- labeling experiment to assess the contribution of nitrification and denitrification to N2O emissions in these soils. Two loads of 99 at.% K15NO3 (equivalent to 0.2 and 1.0 g N m-2) were applied as a single dose to replicated plots at two positions along the hill slope (at top and bottom, respectively) during monsoonal summer. During a 6-day period after label application, we found that 71-100 % of the emitted N2O was derived from the labeled NO3- pool irrespective of slope position. Based on this, we assume that denitrification is the dominant process of N2O formation in these forest soils. Within 6 days after label addition, the fraction of the added 15N-NO3- emitted as 15N-N2O was highest at the low-N addition plots (0.2 g N m-2), amounting to 1.3 % at the top position of the hill slope and to 3.2 % at the bottom position, respectively. Our data illustrate the large potential of acid forest soils in subtropical China to form N2O from excess NO3- most likely through denitrification. © 2013 The Author(s).","author":[{"dropping-particle":"","family":"Zhu","given":"Jing","non-dropping-particle":"","parse-names":false,"suffix":""},{"dropping-particle":"","family":"Mulder","given":"Jan","non-dropping-particle":"","parse-names":false,"suffix":""},{"dropping-particle":"","family":"Bakken","given":"Lars","non-dropping-particle":"","parse-names":false,"suffix":""},{"dropping-particle":"","family":"Dörsch","given":"Peter","non-dropping-particle":"","parse-names":false,"suffix":""}],"container-title":"Biogeochemistry","id":"ITEM-2","issue":"1-3","issued":{"date-parts":[["2013"]]},"page":"103-117","title":"The importance of denitrification for N2O emissions from an N-saturated forest in SW China: Results from in situ 15N labeling experiments","type":"article-journal","volume":"116"},"uris":["http://www.mendeley.com/documents/?uuid=d8e3bab8-5550-4ff2-ae49-767c980f3690"]}],"mendeley":{"formattedCitation":"(Zhu et al., 2013b; Oh et al., 2023)","plainTextFormattedCitation":"(Zhu et al., 2013b; Oh et al., 2023)","previouslyFormattedCitation":"(Zhu et al., 2013b; Oh et al., 2023)"},"properties":{"noteIndex":0},"schema":"https://github.com/citation-style-language/schema/raw/master/csl-citation.json"}</w:instrText>
      </w:r>
      <w:r w:rsidRPr="00203EB0">
        <w:rPr>
          <w:rFonts w:cs="Times New Roman"/>
        </w:rPr>
        <w:fldChar w:fldCharType="separate"/>
      </w:r>
      <w:r w:rsidRPr="00203EB0">
        <w:rPr>
          <w:rFonts w:cs="Times New Roman"/>
          <w:noProof/>
        </w:rPr>
        <w:t>(Zhu et al., 2013b; Oh et al., 2023)</w:t>
      </w:r>
      <w:r w:rsidRPr="00203EB0">
        <w:rPr>
          <w:rFonts w:cs="Times New Roman"/>
        </w:rPr>
        <w:fldChar w:fldCharType="end"/>
      </w:r>
      <w:r w:rsidRPr="00203EB0">
        <w:rPr>
          <w:rFonts w:cs="Times New Roman"/>
        </w:rPr>
        <w:t>. Soil WFPS only accounts for diffusion limitation due to soil wetness and neglects soil O</w:t>
      </w:r>
      <w:r w:rsidRPr="00203EB0">
        <w:rPr>
          <w:rFonts w:cs="Times New Roman"/>
          <w:vertAlign w:val="subscript"/>
        </w:rPr>
        <w:t>2</w:t>
      </w:r>
      <w:r w:rsidRPr="00203EB0">
        <w:rPr>
          <w:rFonts w:cs="Times New Roman"/>
        </w:rPr>
        <w:t xml:space="preserve"> depletion due to accelerated heterotrophic respiration that could create anoxia to promote denitrification even under </w:t>
      </w:r>
      <w:r w:rsidRPr="00203EB0">
        <w:rPr>
          <w:rFonts w:cs="Times New Roman"/>
        </w:rPr>
        <w:lastRenderedPageBreak/>
        <w:t>lower WFPS conditions, otherwise not conducive for denitrification and significant N</w:t>
      </w:r>
      <w:r w:rsidRPr="00203EB0">
        <w:rPr>
          <w:rFonts w:cs="Times New Roman"/>
          <w:vertAlign w:val="subscript"/>
        </w:rPr>
        <w:t>2</w:t>
      </w:r>
      <w:r w:rsidRPr="00203EB0">
        <w:rPr>
          <w:rFonts w:cs="Times New Roman"/>
        </w:rPr>
        <w:t>O emissions</w:t>
      </w:r>
      <w:r w:rsidR="003F6FA1"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{"citationItems":[{"id":"ITEM-1","itemData":{"DOI":"10.1016/j.soilbio.2008.10.017","ISSN":"00380717","abstract":"To better understand the role of resource heterogeneity in decomposition and nitrous oxide (N2O) flux we systematically altered the degree of plant litter aggregation in soil, from uniformly distributed to highly aggregated. In laboratory incubations, we distributed 4.5 g of dried clover shoots (Trifolium pratense L.) in two particle sizes (1 or &gt;5 mm) into 1, 3, or 9 patches versus uniformly distributed. Soil moisture content was also varied to manipulate soil oxygen (O2) concentrations. In moist soil (50% water-filled pore space, WFPS), litter aggregation delayed the peak litter decomposition rate by 3-5 days compared to uniformly distributed litter regardless of the litter particle size. In contrast, under near-saturated soil conditions (80% WFPS) litter aggregation suppressed decomposition throughout the 26-day incubation period. This significant interaction between litter aggregation and soil moisture treatments suggests that diffusion of soil resources (likely O2) plays an important role in the influence of litter aggregation on decomposition. Specifically, O2 diffusion may more adequately meet O2 consumption rates when litter is distributed than when aggregated. In contrast to the temporary influence of aggregation on litter decomposition, N2O fluxes under 50% WFPS conditions were consistently greater and on average 7.9, 7.2, and 4.7-fold greater than fine aggregated litter (1, 3, and 9 patches, respectively) than when uniformly distributed. Coarse litter aggregation also stimulated N2O emissions, but not as much as fine litter. Under field conditions with growing maize (Zea mays L.), litter aggregation also stimulated N2O emissions. The results suggest that litter aggregation plays a role in N2O flux from agricultural soils and it might be manipulated to provide an additional N2O mitigation strategy. © 2008 Elsevier Ltd. All rights reserved.","author":[{"dropping-particle":"","family":"Loecke","given":"Terrance D.","non-dropping-particle":"","parse-names":false,"suffix":""},{"dropping-particle":"","family":"Robertson","given":"G. Philip","non-dropping-particle":"","parse-names":false,"suffix":""}],"container-title":"Soil Biology and Biochemistry","id":"ITEM-1","issue":"2","issued":{"date-parts":[["2009"]]},"page":"228-235","publisher":"Elsevier Ltd","title":"Soil resource heterogeneity in terms of litter aggregation promotes nitrous oxide fluxes and slows decomposition","type":"article-journal","volume":"41"},"uris":["http://www.mendeley.com/documents/?uuid=ce423021-443b-4571-9042-8efe5c235587"]},{"id":"ITEM-2","itemData":{"DOI":"10.1002/mlf2.12080","ISSN":"2770100X","abstract":"Our knowledge of microbial processes—who is responsible for what, the rates at which they occur, and the substrates consumed and products produced—is imperfect for many if not most taxa, but even less is known about how microsite processes scale to the ecosystem and thence the globe. In both natural and managed environments, scaling links fundamental knowledge to application and also allows for global assessments of the importance of microbial processes. But rarely is scaling straightforward: More often than not, process rates in situ are distributed in a highly skewed fashion, under the influence of multiple interacting controls, and thus often difficult to sample, quantify, and predict. To date, quantitative models of many important processes fail to capture daily, seasonal, and annual fluxes with the precision needed to effect meaningful management outcomes. Nitrogen cycle processes are a case in point, and denitrification is a prime example. Statistical models based on machine learning can improve predictability and identify the best environmental predictors but are—by themselves—insufficient for revealing process-level knowledge gaps or predicting outcomes under novel environmental conditions. Hybrid models that incorporate well-calibrated process models as predictors for machine learning algorithms can provide both improved understanding and more reliable forecasts under environmental conditions not yet experienced. Incorporating trait-based models into such efforts promises to improve predictions and understanding still further, but much more development is needed.","author":[{"dropping-particle":"","family":"Robertson","given":"G. Philip","non-dropping-particle":"","parse-names":false,"suffix":""}],"container-title":"mLife","id":"ITEM-2","issue":"3","issued":{"date-parts":[["2023"]]},"page":"229-238","title":"Denitrification and the challenge of scaling microsite knowledge to the globe","type":"article-journal","volume":"2"},"uris":["http://www.mendeley.com/documents/?uuid=e64c36bc-c431-4845-a933-d7051211380f"]}],"mendeley":{"formattedCitation":"(Loecke and Robertson, 2009; Robertson, 2023)","plainTextFormattedCitation":"(Loecke and Robertson, 2009; Robertson, 2023)","previouslyFormattedCitation":"(Loecke and Robertson, 2009; Robertson, 2023)"},"properties":{"noteIndex":0},"schema":"https://github.com/citation-style-language/schema/raw/master/csl-citation.json"}</w:instrText>
      </w:r>
      <w:r w:rsidRPr="00203EB0">
        <w:rPr>
          <w:rFonts w:cs="Times New Roman"/>
        </w:rPr>
        <w:fldChar w:fldCharType="separate"/>
      </w:r>
      <w:r w:rsidRPr="00203EB0">
        <w:rPr>
          <w:rFonts w:cs="Times New Roman"/>
          <w:noProof/>
        </w:rPr>
        <w:t>(Loecke and Robertson, 2009; Robertson, 2023)</w:t>
      </w:r>
      <w:r w:rsidRPr="00203EB0">
        <w:rPr>
          <w:rFonts w:cs="Times New Roman"/>
        </w:rPr>
        <w:fldChar w:fldCharType="end"/>
      </w:r>
      <w:r w:rsidRPr="00203EB0">
        <w:rPr>
          <w:rFonts w:cs="Times New Roman"/>
        </w:rPr>
        <w:t xml:space="preserve">. Given abundant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supply, those conditions could trigger equally high N</w:t>
      </w:r>
      <w:r w:rsidRPr="00203EB0">
        <w:rPr>
          <w:rFonts w:cs="Times New Roman"/>
          <w:vertAlign w:val="subscript"/>
        </w:rPr>
        <w:t>2</w:t>
      </w:r>
      <w:r w:rsidRPr="00203EB0">
        <w:rPr>
          <w:rFonts w:cs="Times New Roman"/>
        </w:rPr>
        <w:t>O emissions as in diffusion induced O</w:t>
      </w:r>
      <w:r w:rsidRPr="00203EB0">
        <w:rPr>
          <w:rFonts w:cs="Times New Roman"/>
          <w:vertAlign w:val="subscript"/>
        </w:rPr>
        <w:t>2</w:t>
      </w:r>
      <w:r w:rsidRPr="00203EB0">
        <w:rPr>
          <w:rFonts w:cs="Times New Roman"/>
        </w:rPr>
        <w:t xml:space="preserve"> limitation under high WFPS that could quickly escape to the atmosphere due to greater diffusivity under lower WFPS. Further understanding the interplay among N fertilizer management, cover cropping, and N</w:t>
      </w:r>
      <w:r w:rsidRPr="00203EB0">
        <w:rPr>
          <w:rFonts w:cs="Times New Roman"/>
          <w:vertAlign w:val="subscript"/>
        </w:rPr>
        <w:t>2</w:t>
      </w:r>
      <w:r w:rsidRPr="00203EB0">
        <w:rPr>
          <w:rFonts w:cs="Times New Roman"/>
        </w:rPr>
        <w:t>O emissions in cropping systems is imperative due to the increasing adoption of soil health practices such as cover cropping, which promote residue addition to soils, alongside the concerning trend in increasing atmospheric N</w:t>
      </w:r>
      <w:r w:rsidRPr="00203EB0">
        <w:rPr>
          <w:rFonts w:cs="Times New Roman"/>
          <w:vertAlign w:val="subscript"/>
        </w:rPr>
        <w:t>2</w:t>
      </w:r>
      <w:r w:rsidRPr="00203EB0">
        <w:rPr>
          <w:rFonts w:cs="Times New Roman"/>
        </w:rPr>
        <w:t>O concentration in recent decades</w:t>
      </w:r>
      <w:r w:rsidR="003F6FA1"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{"citationItems":[{"id":"ITEM-1","itemData":{"DOI":"10.1111/gcb.14514","ISSN":"13652486","PMID":"30414347","abstract":"Our understanding and quantification of global soil nitrous oxide (N 2 O) emissions and the underlying processes remain largely uncertain. Here, we assessed the effects of multiple anthropogenic and natural factors, including nitrogen fertilizer (N) application, atmospheric N deposition, manure N application, land cover change, climate change, and rising atmospheric CO 2 concentration, on global soil N 2 O emissions for the period 1861–2016 using a standard simulation protocol with seven process-based terrestrial biosphere models. Results suggest global soil N 2 O emissions have increased from 6.3 ± 1.1 Tg N 2 O-N/year in the preindustrial period (the 1860s) to 10.0 ± 2.0 Tg N 2 O-N/year in the recent decade (2007–2016). Cropland soil emissions increased from 0.3 Tg N 2 O-N/year to 3.3 Tg N 2 O-N/year over the same period, accounting for 82% of the total increase. Regionally, China, South Asia, and Southeast Asia underwent rapid increases in cropland N 2 O emissions since the 1970s. However, US cropland N 2 O emissions had been relatively flat in magnitude since the 1980s, and EU cropland N 2 O emissions appear to have decreased by 14%. Soil N 2 O emissions from predominantly natural ecosystems accounted for 67% of the global soil emissions in the recent decade but showed only a relatively small increase of 0.7 ± 0.5 Tg N 2 O-N/year (11%) since the 1860s. In the recent decade, N fertilizer application, N deposition, manure N application, and climate change contributed 54%, 26%, 15%, and 24%, respectively, to the total increase. Rising atmospheric CO 2 concentration reduced soil N 2 O emissions by 10% through the enhanced plant N uptake, while land cover change played a minor role. Our estimation here does not account for indirect emissions from soils and the directed emissions from excreta of grazing livestock. To address uncertainties in estimating regional and global soil N 2 O emissions, this study recommends several critical strategies for improving the process-based simulations.","author":[{"dropping-particle":"","family":"Tian","given":"Hanqin","non-dropping-particle":"","parse-names":false,"suffix":""},{"dropping-particle":"","family":"Yang","given":"Jia","non-dropping-particle":"","parse-names":false,"suffix":""},{"dropping-particle":"","family":"Xu","given":"Rongting","non-dropping-particle":"","parse-names":false,"suffix":""},{"dropping-particle":"","family":"Lu","given":"Chaoqun","non-dropping-particle":"","parse-names":false,"suffix":""},{"dropping-particle":"","family":"Canadell","given":"Josep G.","non-dropping-particle":"","parse-names":false,"suffix":""},{"dropping-particle":"","family":"Davidson","given":"Eric A.","non-dropping-particle":"","parse-names":false,"suffix":""},{"dropping-particle":"","family":"Jackson","given":"Robert B.","non-dropping-particle":"","parse-names":false,"suffix":""},{"dropping-particle":"","family":"Arneth","given":"Almut","non-dropping-particle":"","parse-names":false,"suffix":""},{"dropping-particle":"","family":"Chang","given":"Jinfeng","non-dropping-particle":"","parse-names":false,"suffix":""},{"dropping-particle":"","family":"Ciais","given":"Philippe","non-dropping-particle":"","parse-names":false,"suffix":""},{"dropping-particle":"","family":"Gerber","given":"Stefan","non-dropping-particle":"","parse-names":false,"suffix":""},{"dropping-particle":"","family":"Ito","given":"Akihiko","non-dropping-particle":"","parse-names":false,"suffix":""},{"dropping-particle":"","family":"Joos","given":"Fortunat","non-dropping-particle":"","parse-names":false,"suffix":""},{"dropping-particle":"","family":"Lienert","given":"Sebastian","non-dropping-particle":"","parse-names":false,"suffix":""},{"dropping-particle":"","family":"Messina","given":"Palmira","non-dropping-particle":"","parse-names":false,"suffix":""},{"dropping-particle":"","family":"Olin","given":"Stefan","non-dropping-particle":"","parse-names":false,"suffix":""},{"dropping-particle":"","family":"Pan","given":"Shufen","non-dropping-particle":"","parse-names":false,"suffix":""},{"dropping-particle":"","family":"Peng","given":"Changhui","non-dropping-particle":"","parse-names":false,"suffix":""},{"dropping-particle":"","family":"Saikawa","given":"Eri","non-dropping-particle":"","parse-names":false,"suffix":""},{"dropping-particle":"","family":"Thompson","given":"Rona L.","non-dropping-particle":"","parse-names":false,"suffix":""},{"dropping-particle":"","family":"Vuichard","given":"Nicolas","non-dropping-particle":"","parse-names":false,"suffix":""},{"dropping-particle":"","family":"Winiwarter","given":"Wilfried","non-dropping-particle":"","parse-names":false,"suffix":""},{"dropping-particle":"","family":"Zaehle","given":"Sönke","non-dropping-particle":"","parse-names":false,"suffix":""},{"dropping-particle":"","family":"Zhang","given":"Bowen","non-dropping-particle":"","parse-names":false,"suffix":""}],"container-title":"Global Change Biology","id":"ITEM-1","issue":"2","issued":{"date-parts":[["2018"]]},"page":"640-659","title":"Global soil nitrous oxide emissions since the preindustrial era estimated by an ensemble of terrestrial biosphere models: Magnitude, attribution, and uncertainty","type":"article-journal","volume":"25"},"uris":["http://www.mendeley.com/documents/?uuid=34573a8d-5f94-4810-a32e-dff3ee6230c3"]},{"id":"ITEM-2","itemData":{"DOI":"10.1038/s41558-019-0613-7","ISBN":"4155801906","ISSN":"17586798","abstract":"Nitrous oxide (N2O) is the third most important long-lived GHG and an important stratospheric ozone depleting substance. Agricultural practices and the use of N-fertilizers have greatly enhanced emissions of N2O. Here, we present estimates of N2O emissions determined from three global atmospheric inversion frameworks during the period 1998–2016. We find that global N2O emissions increased substantially from 2009 and at a faster rate than estimated by the IPCC emission factor approach. The regions of East Asia and South America made the largest contributions to the global increase. From the inversion-based emissions, we estimate a global emission factor of 2.3 ± 0.6%, which is significantly larger than the IPCC Tier-1 default for combined direct and indirect emissions of 1.375%. The larger emission factor and accelerating emission increase found from the inversions suggest that N2O emission may have a nonlinear response at global and regional scales with high levels of N-input.","author":[{"dropping-particle":"","family":"Thompson","given":"R. L.","non-dropping-particle":"","parse-names":false,"suffix":""},{"dropping-particle":"","family":"Lassaletta","given":"L.","non-dropping-particle":"","parse-names":false,"suffix":""},{"dropping-particle":"","family":"Patra","given":"P. K.","non-dropping-particle":"","parse-names":false,"suffix":""},{"dropping-particle":"","family":"Wilson","given":"C.","non-dropping-particle":"","parse-names":false,"suffix":""},{"dropping-particle":"","family":"Wells","given":"K. C.","non-dropping-particle":"","parse-names":false,"suffix":""},{"dropping-particle":"","family":"Gressent","given":"A.","non-dropping-particle":"","parse-names":false,"suffix":""},{"dropping-particle":"","family":"Koffi","given":"E. N.","non-dropping-particle":"","parse-names":false,"suffix":""},{"dropping-particle":"","family":"Chipperfield","given":"M. P.","non-dropping-particle":"","parse-names":false,"suffix":""},{"dropping-particle":"","family":"Winiwarter","given":"W.","non-dropping-particle":"","parse-names":false,"suffix":""},{"dropping-particle":"","family":"Davidson","given":"E. A.","non-dropping-particle":"","parse-names":false,"suffix":""},{"dropping-particle":"","family":"Tian","given":"H.","non-dropping-particle":"","parse-names":false,"suffix":""},{"dropping-particle":"","family":"Canadell","given":"J. G.","non-dropping-particle":"","parse-names":false,"suffix":""}],"container-title":"Nature Climate Change","id":"ITEM-2","issue":"12","issued":{"date-parts":[["2019"]]},"page":"993-998","publisher":"Springer US","title":"Acceleration of global N2O emissions seen from two decades of atmospheric inversion","type":"article-journal","volume":"9"},"uris":["http://www.mendeley.com/documents/?uuid=008757cf-5fa6-4a2d-b513-5f9905dd1213"]}],"mendeley":{"formattedCitation":"(Tian et al., 2018; Thompson et al., 2019)","plainTextFormattedCitation":"(Tian et al., 2018; Thompson et al., 2019)","previouslyFormattedCitation":"(Tian et al., 2018; Thompson et al., 2019)"},"properties":{"noteIndex":0},"schema":"https://github.com/citation-style-language/schema/raw/master/csl-citation.json"}</w:instrText>
      </w:r>
      <w:r w:rsidRPr="00203EB0">
        <w:rPr>
          <w:rFonts w:cs="Times New Roman"/>
        </w:rPr>
        <w:fldChar w:fldCharType="separate"/>
      </w:r>
      <w:r w:rsidRPr="00203EB0">
        <w:rPr>
          <w:rFonts w:cs="Times New Roman"/>
          <w:noProof/>
        </w:rPr>
        <w:t>(Tian et al., 2018; Thompson et al., 2019)</w:t>
      </w:r>
      <w:r w:rsidRPr="00203EB0">
        <w:rPr>
          <w:rFonts w:cs="Times New Roman"/>
        </w:rPr>
        <w:fldChar w:fldCharType="end"/>
      </w:r>
      <w:r w:rsidRPr="00203EB0">
        <w:rPr>
          <w:rFonts w:cs="Times New Roman"/>
        </w:rPr>
        <w:t>. This is crucial to effectively assess net GHG mitigation potential of cover crops as elevated N</w:t>
      </w:r>
      <w:r w:rsidRPr="00203EB0">
        <w:rPr>
          <w:rFonts w:cs="Times New Roman"/>
          <w:vertAlign w:val="subscript"/>
        </w:rPr>
        <w:t>2</w:t>
      </w:r>
      <w:r w:rsidRPr="00203EB0">
        <w:rPr>
          <w:rFonts w:cs="Times New Roman"/>
        </w:rPr>
        <w:t>O emissions can offset soil C sequestration benefits</w:t>
      </w:r>
      <w:r w:rsidR="003F6FA1"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{"citationItems":[{"id":"ITEM-1","itemData":{"DOI":"10.1111/gcb.15342","ISSN":"13652486","PMID":"32894815","abstract":"To respect the Paris agreement targeting a limitation of global warming below 2°C by 2100, and possibly below 1.5°C, drastic reductions of greenhouse gas emissions are mandatory but not sufficient. Large-scale deployment of other climate mitigation strategies is also necessary. Among these, increasing soil organic carbon (SOC) stocks is an important lever because carbon in soils can be stored for long periods and land management options to achieve this already exist and have been widely tested. However, agricultural soils are also an important source of nitrous oxide (N2O), a powerful greenhouse gas, and increasing SOC may influence N2O emissions, likely causing an increase in many cases, thus tending to offset the climate change benefit from increased SOC storage. Here we review the main agricultural management options for increasing SOC stocks. We evaluate the amount of SOC that can be stored as well as resulting changes in N2O emissions to better estimate the climate benefits of these management options. Based on quantitative data obtained from published meta-analyses and from our current level of understanding, we conclude that the climate mitigation induced by increased SOC storage is generally overestimated if associated N2O emissions are not considered but, with the exception of reduced tillage, is never fully offset. Some options (e.g. biochar or non-pyrogenic C amendment application) may even decrease N2O emissions.","author":[{"dropping-particle":"","family":"Guenet","given":"Bertrand","non-dropping-particle":"","parse-names":false,"suffix":""},{"dropping-particle":"","family":"Gabrielle","given":"Benoit","non-dropping-particle":"","parse-names":false,"suffix":""},{"dropping-particle":"","family":"Chenu","given":"Claire","non-dropping-particle":"","parse-names":false,"suffix":""},{"dropping-particle":"","family":"Arrouays","given":"Dominique","non-dropping-particle":"","parse-names":false,"suffix":""},{"dropping-particle":"","family":"Balesdent","given":"Jérôme","non-dropping-particle":"","parse-names":false,"suffix":""},{"dropping-particle":"","family":"Bernoux","given":"Martial","non-dropping-particle":"","parse-names":false,"suffix":""},{"dropping-particle":"","family":"Bruni","given":"Elisa","non-dropping-particle":"","parse-names":false,"suffix":""},{"dropping-particle":"","family":"Caliman","given":"Jean Pierre","non-dropping-particle":"","parse-names":false,"suffix":""},{"dropping-particle":"","family":"Cardinael","given":"Rémi","non-dropping-particle":"","parse-names":false,"suffix":""},{"dropping-particle":"","family":"Chen","given":"Songchao","non-dropping-particle":"","parse-names":false,"suffix":""},{"dropping-particle":"","family":"Ciais","given":"Philippe","non-dropping-particle":"","parse-names":false,"suffix":""},{"dropping-particle":"","family":"Desbois","given":"Dominique","non-dropping-particle":"","parse-names":false,"suffix":""},{"dropping-particle":"","family":"Fouche","given":"Julien","non-dropping-particle":"","parse-names":false,"suffix":""},{"dropping-particle":"","family":"Frank","given":"Stefan","non-dropping-particle":"","parse-names":false,"suffix":""},{"dropping-particle":"","family":"Henault","given":"Catherine","non-dropping-particle":"","parse-names":false,"suffix":""},{"dropping-particle":"","family":"Lugato","given":"Emanuele","non-dropping-particle":"","parse-names":false,"suffix":""},{"dropping-particle":"","family":"Naipal","given":"Victoria","non-dropping-particle":"","parse-names":false,"suffix":""},{"dropping-particle":"","family":"Nesme","given":"Thomas","non-dropping-particle":"","parse-names":false,"suffix":""},{"dropping-particle":"","family":"Obersteiner","given":"Michael","non-dropping-particle":"","parse-names":false,"suffix":""},{"dropping-particle":"","family":"Pellerin","given":"Sylvain","non-dropping-particle":"","parse-names":false,"suffix":""},{"dropping-particle":"","family":"Powlson","given":"David S.","non-dropping-particle":"","parse-names":false,"suffix":""},{"dropping-particle":"","family":"Rasse","given":"Daniel P.","non-dropping-particle":"","parse-names":false,"suffix":""},{"dropping-particle":"","family":"Rees","given":"Frédéric","non-dropping-particle":"","parse-names":false,"suffix":""},{"dropping-particle":"","family":"Soussana","given":"Jean François","non-dropping-particle":"","parse-names":false,"suffix":""},{"dropping-particle":"","family":"Su","given":"Yang","non-dropping-particle":"","parse-names":false,"suffix":""},{"dropping-particle":"","family":"Tian","given":"Hanqin","non-dropping-particle":"","parse-names":false,"suffix":""},{"dropping-particle":"","family":"Valin","given":"Hugo","non-dropping-particle":"","parse-names":false,"suffix":""},{"dropping-particle":"","family":"Zhou","given":"Feng","non-dropping-particle":"","parse-names":false,"suffix":""}],"container-title":"Global Change Biology","id":"ITEM-1","issue":"2","issued":{"date-parts":[["2021"]]},"page":"237-256","title":"Can N2O emissions offset the benefits from soil organic carbon storage?","type":"article-journal","volume":"27"},"uris":["http://www.mendeley.com/documents/?uuid=d5755e77-1125-48ba-94e1-83ffb9a57787"]},{"id":"ITEM-2","itemData":{"DOI":"10.1088/1748-9326/ac9b50","ISSN":"17489326","abstract":"Nitrous oxide (N2O) emissions from agricultural soils are the main source of atmospheric N2O, a potent greenhouse gas and key ozone-depleting substance. Several agricultural practices with potential to mitigate N2O emissions have been tested worldwide. However, to guide policymaking for reducing N2O emissions from agricultural soils, it is necessary to better understand the overall performance and variability of mitigation practices and identify those requiring further investigation. We performed a systematic review and a second-order meta-analysis to assess the abatement efficiency of N2O mitigation practices from agricultural soils. We used 27 meta-analyses including 41 effect sizes based on 1119 primary studies. Technology-driven solutions (e.g. enhanced-efficiency fertilizers, drip irrigation, and biochar) and optimization of fertilizer rate have considerable mitigation potential. Agroecological mitigation practices (e.g. organic fertilizer and reduced tillage), while potentially contributing to soil quality and carbon storage, may enhance N2O emissions and only lead to reductions under certain pedoclimatic and farming conditions. Other mitigation practices (e.g. lime amendment or crop residue removal) led to marginal N2O decreases. Despite the variable mitigation potential, evidencing the context-dependency of N2O reductions and tradeoffs, several mitigation practices may maintain or increase crop production, representing relevant alternatives for policymaking to reduce greenhouse gas emissions and safeguard food security.","author":[{"dropping-particle":"","family":"Grados","given":"Diego","non-dropping-particle":"","parse-names":false,"suffix":""},{"dropping-particle":"","family":"Butterbach-Bahl","given":"Klaus","non-dropping-particle":"","parse-names":false,"suffix":""},{"dropping-particle":"","family":"Chen","given":"Ji","non-dropping-particle":"","parse-names":false,"suffix":""},{"dropping-particle":"","family":"Jan van Groenigen","given":"Kees","non-dropping-particle":"","parse-names":false,"suffix":""},{"dropping-particle":"","family":"Olesen","given":"Jørgen Eivind","non-dropping-particle":"","parse-names":false,"suffix":""},{"dropping-particle":"","family":"Willem van Groenigen","given":"Jan","non-dropping-particle":"","parse-names":false,"suffix":""},{"dropping-particle":"","family":"Abalos","given":"Diego","non-dropping-particle":"","parse-names":false,"suffix":""}],"container-title":"Environmental Research Letters","id":"ITEM-2","issue":"11","issued":{"date-parts":[["2022"]]},"title":"Synthesizing the evidence of nitrous oxide mitigation practices in agroecosystems","type":"article-journal","volume":"17"},"uris":["http://www.mendeley.com/documents/?uuid=e5557a98-e100-47c6-b615-370696d523e8"]}],"mendeley":{"formattedCitation":"(Guenet et al., 2021; Grados et al., 2022)","plainTextFormattedCitation":"(Guenet et al., 2021; Grados et al., 2022)","previouslyFormattedCitation":"(Guenet et al., 2021; Grados et al., 2022)"},"properties":{"noteIndex":0},"schema":"https://github.com/citation-style-language/schema/raw/master/csl-citation.json"}</w:instrText>
      </w:r>
      <w:r w:rsidRPr="00203EB0">
        <w:rPr>
          <w:rFonts w:cs="Times New Roman"/>
        </w:rPr>
        <w:fldChar w:fldCharType="separate"/>
      </w:r>
      <w:r w:rsidRPr="00203EB0">
        <w:rPr>
          <w:rFonts w:cs="Times New Roman"/>
          <w:noProof/>
        </w:rPr>
        <w:t>(Guenet et al., 2021; Grados et al., 2022)</w:t>
      </w:r>
      <w:r w:rsidRPr="00203EB0">
        <w:rPr>
          <w:rFonts w:cs="Times New Roman"/>
        </w:rPr>
        <w:fldChar w:fldCharType="end"/>
      </w:r>
      <w:r w:rsidRPr="00203EB0">
        <w:rPr>
          <w:rFonts w:cs="Times New Roman"/>
        </w:rPr>
        <w:t>, leading agricultural systems to shift from net C sink to a C source.</w:t>
      </w:r>
    </w:p>
    <w:p w14:paraId="4E92E495" w14:textId="6AC521B0" w:rsidR="007378CE" w:rsidRPr="00203EB0" w:rsidRDefault="007378CE" w:rsidP="007378CE">
      <w:pPr>
        <w:spacing w:line="480" w:lineRule="auto"/>
        <w:rPr>
          <w:rFonts w:cs="Times New Roman"/>
        </w:rPr>
      </w:pPr>
      <w:r w:rsidRPr="00203EB0">
        <w:rPr>
          <w:rFonts w:cs="Times New Roman"/>
        </w:rPr>
        <w:t>In a laboratory microcosm study, we investigated the effects of contrasting cover crop residue (grass vs legume) decomposition on high-resolution soil O</w:t>
      </w:r>
      <w:r w:rsidRPr="00203EB0">
        <w:rPr>
          <w:rFonts w:cs="Times New Roman"/>
          <w:vertAlign w:val="subscript"/>
        </w:rPr>
        <w:t>2</w:t>
      </w:r>
      <w:r w:rsidRPr="00203EB0">
        <w:rPr>
          <w:rFonts w:cs="Times New Roman"/>
        </w:rPr>
        <w:t xml:space="preserve"> dynamics to influence N</w:t>
      </w:r>
      <w:r w:rsidRPr="00203EB0">
        <w:rPr>
          <w:rFonts w:cs="Times New Roman"/>
          <w:vertAlign w:val="subscript"/>
        </w:rPr>
        <w:t>2</w:t>
      </w:r>
      <w:r w:rsidRPr="00203EB0">
        <w:rPr>
          <w:rFonts w:cs="Times New Roman"/>
        </w:rPr>
        <w:t>O emissions from N fertilized soils under different WFPS levels (50% and 80%). We hypothesized that accelerated O</w:t>
      </w:r>
      <w:r w:rsidRPr="00203EB0">
        <w:rPr>
          <w:rFonts w:cs="Times New Roman"/>
          <w:vertAlign w:val="subscript"/>
        </w:rPr>
        <w:t>2</w:t>
      </w:r>
      <w:r w:rsidRPr="00203EB0">
        <w:rPr>
          <w:rFonts w:cs="Times New Roman"/>
        </w:rPr>
        <w:t xml:space="preserve"> depletion caused by heterotrophic respiration in the presence of decomposing cover crop residues will create O</w:t>
      </w:r>
      <w:r w:rsidRPr="00203EB0">
        <w:rPr>
          <w:rFonts w:cs="Times New Roman"/>
          <w:vertAlign w:val="subscript"/>
        </w:rPr>
        <w:t>2</w:t>
      </w:r>
      <w:r w:rsidRPr="00203EB0">
        <w:rPr>
          <w:rFonts w:cs="Times New Roman"/>
        </w:rPr>
        <w:t xml:space="preserve"> limited conditions that promote N</w:t>
      </w:r>
      <w:r w:rsidRPr="00203EB0">
        <w:rPr>
          <w:rFonts w:cs="Times New Roman"/>
          <w:vertAlign w:val="subscript"/>
        </w:rPr>
        <w:t>2</w:t>
      </w:r>
      <w:r w:rsidRPr="00203EB0">
        <w:rPr>
          <w:rFonts w:cs="Times New Roman"/>
        </w:rPr>
        <w:t>O emissions even under WFPS conditions that are sub-optimal for denitrification and high N</w:t>
      </w:r>
      <w:r w:rsidRPr="00203EB0">
        <w:rPr>
          <w:rFonts w:cs="Times New Roman"/>
          <w:vertAlign w:val="subscript"/>
        </w:rPr>
        <w:t>2</w:t>
      </w:r>
      <w:r w:rsidRPr="00203EB0">
        <w:rPr>
          <w:rFonts w:cs="Times New Roman"/>
        </w:rPr>
        <w:t>O emissions. We also hypothesized that in presence of N fertilizer, high-quality vetch cover crop residue will deplete soil O</w:t>
      </w:r>
      <w:r w:rsidRPr="00203EB0">
        <w:rPr>
          <w:rFonts w:cs="Times New Roman"/>
          <w:vertAlign w:val="subscript"/>
        </w:rPr>
        <w:t>2</w:t>
      </w:r>
      <w:r w:rsidRPr="00203EB0">
        <w:rPr>
          <w:rFonts w:cs="Times New Roman"/>
        </w:rPr>
        <w:t xml:space="preserve"> at a much faster rate than wheat cover crop residue and produce greater N</w:t>
      </w:r>
      <w:r w:rsidRPr="00203EB0">
        <w:rPr>
          <w:rFonts w:cs="Times New Roman"/>
          <w:vertAlign w:val="subscript"/>
        </w:rPr>
        <w:t>2</w:t>
      </w:r>
      <w:r w:rsidRPr="00203EB0">
        <w:rPr>
          <w:rFonts w:cs="Times New Roman"/>
        </w:rPr>
        <w:t>O emissions from N fertilizer.</w:t>
      </w:r>
    </w:p>
    <w:p w14:paraId="27AA5533" w14:textId="2C90E401" w:rsidR="00A9086C" w:rsidRPr="00203EB0" w:rsidRDefault="00A9086C" w:rsidP="00A61CF4">
      <w:pPr>
        <w:pStyle w:val="Heading2"/>
      </w:pPr>
      <w:bookmarkStart w:id="49" w:name="_Toc206669120"/>
      <w:r w:rsidRPr="00203EB0">
        <w:lastRenderedPageBreak/>
        <w:t>Materials and Methods</w:t>
      </w:r>
      <w:bookmarkEnd w:id="49"/>
    </w:p>
    <w:p w14:paraId="4D87BF5F" w14:textId="71E2E000" w:rsidR="00A9086C" w:rsidRPr="00203EB0" w:rsidRDefault="00A9086C" w:rsidP="005316EC">
      <w:pPr>
        <w:pStyle w:val="Heading3"/>
        <w:spacing w:line="480" w:lineRule="auto"/>
      </w:pPr>
      <w:bookmarkStart w:id="50" w:name="_Toc206669121"/>
      <w:r w:rsidRPr="00203EB0">
        <w:t>Experimental site and soil sampling</w:t>
      </w:r>
      <w:bookmarkEnd w:id="50"/>
    </w:p>
    <w:p w14:paraId="6E9B0EAA" w14:textId="50962580" w:rsidR="005B54E8" w:rsidRPr="00203EB0" w:rsidRDefault="005B54E8" w:rsidP="005316EC">
      <w:pPr>
        <w:spacing w:line="480" w:lineRule="auto"/>
        <w:rPr>
          <w:rFonts w:cs="Times New Roman"/>
        </w:rPr>
      </w:pPr>
      <w:r w:rsidRPr="00203EB0">
        <w:rPr>
          <w:rFonts w:cs="Times New Roman"/>
        </w:rPr>
        <w:t>Surface soil samples (0-10 cm depth) were collected from a no-till corn (</w:t>
      </w:r>
      <w:r w:rsidRPr="00203EB0">
        <w:rPr>
          <w:rFonts w:cs="Times New Roman"/>
          <w:i/>
        </w:rPr>
        <w:t>Zea mays)</w:t>
      </w:r>
      <w:r w:rsidRPr="00203EB0">
        <w:rPr>
          <w:rFonts w:cs="Times New Roman"/>
        </w:rPr>
        <w:t xml:space="preserve"> field at the University of Tennessee’s West Tennessee Research and Education Center in Jackson, Tennessee (35°37′22″ N, 88°50′47″ W; elevation 125 m), United States, in August 2022.  A total of 50 kg of dry soil </w:t>
      </w:r>
      <w:proofErr w:type="gramStart"/>
      <w:r w:rsidRPr="00203EB0">
        <w:rPr>
          <w:rFonts w:cs="Times New Roman"/>
        </w:rPr>
        <w:t>were</w:t>
      </w:r>
      <w:proofErr w:type="gramEnd"/>
      <w:r w:rsidRPr="00203EB0">
        <w:rPr>
          <w:rFonts w:cs="Times New Roman"/>
        </w:rPr>
        <w:t xml:space="preserve"> randomly collected from four replicated plots maintained without N fertilization for two years to achieve a low background </w:t>
      </w:r>
      <w:proofErr w:type="gramStart"/>
      <w:r w:rsidRPr="00203EB0">
        <w:rPr>
          <w:rFonts w:cs="Times New Roman"/>
        </w:rPr>
        <w:t>soil N level</w:t>
      </w:r>
      <w:proofErr w:type="gramEnd"/>
      <w:r w:rsidRPr="00203EB0">
        <w:rPr>
          <w:rFonts w:cs="Times New Roman"/>
        </w:rPr>
        <w:t xml:space="preserve">. The study site soil is classified as a Lexington silt loam (fine-silty, mixed, thermic </w:t>
      </w:r>
      <w:proofErr w:type="spellStart"/>
      <w:r w:rsidRPr="00203EB0">
        <w:rPr>
          <w:rFonts w:cs="Times New Roman"/>
        </w:rPr>
        <w:t>Ultic</w:t>
      </w:r>
      <w:proofErr w:type="spellEnd"/>
      <w:r w:rsidRPr="00203EB0">
        <w:rPr>
          <w:rFonts w:cs="Times New Roman"/>
        </w:rPr>
        <w:t xml:space="preserve"> </w:t>
      </w:r>
      <w:proofErr w:type="spellStart"/>
      <w:r w:rsidRPr="00203EB0">
        <w:rPr>
          <w:rFonts w:cs="Times New Roman"/>
        </w:rPr>
        <w:t>Hapludalfs</w:t>
      </w:r>
      <w:proofErr w:type="spellEnd"/>
      <w:r w:rsidRPr="00203EB0">
        <w:rPr>
          <w:rFonts w:cs="Times New Roman"/>
        </w:rPr>
        <w:t>), organic matter was 15.5 g kg</w:t>
      </w:r>
      <w:r w:rsidRPr="00203EB0">
        <w:rPr>
          <w:rFonts w:cs="Times New Roman"/>
          <w:vertAlign w:val="superscript"/>
        </w:rPr>
        <w:t xml:space="preserve"> -1</w:t>
      </w:r>
      <w:r w:rsidRPr="00203EB0">
        <w:rPr>
          <w:rFonts w:cs="Times New Roman"/>
        </w:rPr>
        <w:t>, total N was 0.85 g kg</w:t>
      </w:r>
      <w:r w:rsidRPr="00203EB0">
        <w:rPr>
          <w:rFonts w:cs="Times New Roman"/>
          <w:vertAlign w:val="superscript"/>
        </w:rPr>
        <w:t xml:space="preserve"> -1</w:t>
      </w:r>
      <w:r w:rsidRPr="00203EB0">
        <w:rPr>
          <w:rFonts w:cs="Times New Roman"/>
        </w:rPr>
        <w:t>, and pH (H</w:t>
      </w:r>
      <w:r w:rsidRPr="00203EB0">
        <w:rPr>
          <w:rFonts w:cs="Times New Roman"/>
          <w:vertAlign w:val="subscript"/>
        </w:rPr>
        <w:t>2</w:t>
      </w:r>
      <w:r w:rsidRPr="00203EB0">
        <w:rPr>
          <w:rFonts w:cs="Times New Roman"/>
        </w:rPr>
        <w:t>O) was 6.3. The moist soil was thoroughly mixed, air dried, sieved (&lt;6 mm), and stored at 21°C until the experiment started. At the start of the incubation experiment, the soil contained 0.6 mg kg</w:t>
      </w:r>
      <w:r w:rsidRPr="00203EB0">
        <w:rPr>
          <w:rFonts w:cs="Times New Roman"/>
          <w:vertAlign w:val="superscript"/>
        </w:rPr>
        <w:t xml:space="preserve"> -1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and 7.1 mg kg</w:t>
      </w:r>
      <w:r w:rsidRPr="00203EB0">
        <w:rPr>
          <w:rFonts w:cs="Times New Roman"/>
          <w:vertAlign w:val="superscript"/>
        </w:rPr>
        <w:t xml:space="preserve"> -1 </w:t>
      </w:r>
      <w:r w:rsidRPr="00203EB0">
        <w:rPr>
          <w:rFonts w:cs="Times New Roman"/>
        </w:rPr>
        <w:t xml:space="preserve">ammonium-N </w:t>
      </w:r>
      <m:oMath>
        <m:r>
          <w:rPr>
            <w:rFonts w:ascii="Cambria Math" w:hAnsi="Cambria Math" w:cs="Times New Roman"/>
          </w:rPr>
          <m:t>(</m:t>
        </m:r>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r>
          <w:rPr>
            <w:rFonts w:ascii="Cambria Math" w:hAnsi="Cambria Math" w:cs="Times New Roman"/>
          </w:rPr>
          <m:t>)</m:t>
        </m:r>
      </m:oMath>
      <w:r w:rsidRPr="00203EB0">
        <w:rPr>
          <w:rFonts w:cs="Times New Roman"/>
        </w:rPr>
        <w:t xml:space="preserve">. </w:t>
      </w:r>
    </w:p>
    <w:p w14:paraId="2B297B5D" w14:textId="065E61F8" w:rsidR="005B54E8" w:rsidRPr="00203EB0" w:rsidRDefault="0037234F" w:rsidP="005316EC">
      <w:pPr>
        <w:pStyle w:val="Heading3"/>
        <w:spacing w:line="480" w:lineRule="auto"/>
      </w:pPr>
      <w:bookmarkStart w:id="51" w:name="_Toc206669122"/>
      <w:r w:rsidRPr="00203EB0">
        <w:t>Cover crop biomass sampling</w:t>
      </w:r>
      <w:bookmarkEnd w:id="51"/>
    </w:p>
    <w:p w14:paraId="3F26E889" w14:textId="79410CCC" w:rsidR="0037234F" w:rsidRPr="00203EB0" w:rsidRDefault="0037234F" w:rsidP="005316EC">
      <w:pPr>
        <w:spacing w:line="480" w:lineRule="auto"/>
        <w:rPr>
          <w:rFonts w:cs="Times New Roman"/>
        </w:rPr>
      </w:pPr>
      <w:r w:rsidRPr="00203EB0">
        <w:rPr>
          <w:rFonts w:cs="Times New Roman"/>
        </w:rPr>
        <w:t>Two cover crops were included in this study, 1) hairy vetch (</w:t>
      </w:r>
      <w:r w:rsidRPr="00203EB0">
        <w:rPr>
          <w:rFonts w:cs="Times New Roman"/>
          <w:i/>
        </w:rPr>
        <w:t xml:space="preserve">Vicia </w:t>
      </w:r>
      <w:proofErr w:type="spellStart"/>
      <w:r w:rsidRPr="00203EB0">
        <w:rPr>
          <w:rFonts w:cs="Times New Roman"/>
          <w:i/>
        </w:rPr>
        <w:t>villosa</w:t>
      </w:r>
      <w:proofErr w:type="spellEnd"/>
      <w:r w:rsidRPr="00203EB0">
        <w:rPr>
          <w:rFonts w:cs="Times New Roman"/>
        </w:rPr>
        <w:t>), which is a legume with a low C/N ratio (10:1), and 2) winter wheat (</w:t>
      </w:r>
      <w:r w:rsidRPr="00203EB0">
        <w:rPr>
          <w:rFonts w:cs="Times New Roman"/>
          <w:i/>
        </w:rPr>
        <w:t>Triticum aestivum L.</w:t>
      </w:r>
      <w:r w:rsidRPr="00203EB0">
        <w:rPr>
          <w:rFonts w:cs="Times New Roman"/>
        </w:rPr>
        <w:t xml:space="preserve">), which is a cereal with a relatively higher C/N ratio (24:1). Above ground cover crop biomass was sampled at approximately 2 cm above the soil surface in April 2022, just before cover crop termination. Oven dried (60°C for 48 h) samples were cut into 5 mm pieces and stored until the start of the incubation experiment. Total C and N concentrations of ground residue subsamples were determined using an </w:t>
      </w:r>
      <w:proofErr w:type="spellStart"/>
      <w:r w:rsidRPr="00203EB0">
        <w:rPr>
          <w:rFonts w:cs="Times New Roman"/>
        </w:rPr>
        <w:t>Elementar</w:t>
      </w:r>
      <w:proofErr w:type="spellEnd"/>
      <w:r w:rsidRPr="00203EB0">
        <w:rPr>
          <w:rFonts w:cs="Times New Roman"/>
        </w:rPr>
        <w:t xml:space="preserve"> </w:t>
      </w:r>
      <w:proofErr w:type="spellStart"/>
      <w:r w:rsidRPr="00203EB0">
        <w:rPr>
          <w:rFonts w:cs="Times New Roman"/>
        </w:rPr>
        <w:t>vario</w:t>
      </w:r>
      <w:proofErr w:type="spellEnd"/>
      <w:r w:rsidRPr="00203EB0">
        <w:rPr>
          <w:rFonts w:cs="Times New Roman"/>
        </w:rPr>
        <w:t xml:space="preserve"> Max cube CN analyzer (</w:t>
      </w:r>
      <w:proofErr w:type="spellStart"/>
      <w:r w:rsidRPr="00203EB0">
        <w:rPr>
          <w:rFonts w:cs="Times New Roman"/>
        </w:rPr>
        <w:t>Elementar</w:t>
      </w:r>
      <w:proofErr w:type="spellEnd"/>
      <w:r w:rsidRPr="00203EB0">
        <w:rPr>
          <w:rFonts w:cs="Times New Roman"/>
        </w:rPr>
        <w:t>, Hanau, Germany).</w:t>
      </w:r>
    </w:p>
    <w:p w14:paraId="4F94DF66" w14:textId="6F4B2165" w:rsidR="0037234F" w:rsidRPr="00203EB0" w:rsidRDefault="0037234F" w:rsidP="005316EC">
      <w:pPr>
        <w:pStyle w:val="Heading3"/>
        <w:spacing w:line="480" w:lineRule="auto"/>
      </w:pPr>
      <w:bookmarkStart w:id="52" w:name="_Toc206669123"/>
      <w:r w:rsidRPr="00203EB0">
        <w:lastRenderedPageBreak/>
        <w:t>Incubation experimental set up</w:t>
      </w:r>
      <w:bookmarkEnd w:id="52"/>
    </w:p>
    <w:p w14:paraId="5AFA9797" w14:textId="77777777" w:rsidR="0037234F" w:rsidRPr="00203EB0" w:rsidRDefault="0037234F" w:rsidP="005316EC">
      <w:pPr>
        <w:spacing w:line="480" w:lineRule="auto"/>
        <w:rPr>
          <w:rFonts w:cs="Times New Roman"/>
        </w:rPr>
      </w:pPr>
      <w:r w:rsidRPr="00203EB0">
        <w:rPr>
          <w:rFonts w:cs="Times New Roman"/>
        </w:rPr>
        <w:t>A three-week long incubation experiment was established in a randomized complete block design with three factors: two levels of N addition (control 0 N and equivalent rate of 160 kg N ha</w:t>
      </w:r>
      <w:r w:rsidRPr="00203EB0">
        <w:rPr>
          <w:rFonts w:cs="Times New Roman"/>
          <w:vertAlign w:val="superscript"/>
        </w:rPr>
        <w:t>-1</w:t>
      </w:r>
      <w:r w:rsidRPr="00203EB0">
        <w:rPr>
          <w:rFonts w:cs="Times New Roman"/>
        </w:rPr>
        <w:t xml:space="preserve"> as K</w:t>
      </w:r>
      <w:r w:rsidRPr="00203EB0">
        <w:rPr>
          <w:rFonts w:cs="Times New Roman"/>
          <w:vertAlign w:val="superscript"/>
        </w:rPr>
        <w:t>15</w:t>
      </w:r>
      <w:r w:rsidRPr="00203EB0">
        <w:rPr>
          <w:rFonts w:cs="Times New Roman"/>
        </w:rPr>
        <w:t>NO</w:t>
      </w:r>
      <w:r w:rsidRPr="00203EB0">
        <w:rPr>
          <w:rFonts w:cs="Times New Roman"/>
          <w:vertAlign w:val="subscript"/>
        </w:rPr>
        <w:t>3</w:t>
      </w:r>
      <w:r w:rsidRPr="00203EB0">
        <w:rPr>
          <w:rFonts w:cs="Times New Roman"/>
        </w:rPr>
        <w:t xml:space="preserve"> at 10 atom % excess), three levels of cover crop residue addition (hairy vetch, winter wheat, and no cover crop) and two levels of WFPS (50% and 80%). The experimental design resulted in eight treatments as follows: T1: 50% WFPS + hairy vetch + 160 kg N ha</w:t>
      </w:r>
      <w:r w:rsidRPr="00203EB0">
        <w:rPr>
          <w:rFonts w:cs="Times New Roman"/>
          <w:vertAlign w:val="superscript"/>
        </w:rPr>
        <w:t>-1</w:t>
      </w:r>
      <w:r w:rsidRPr="00203EB0">
        <w:rPr>
          <w:rFonts w:cs="Times New Roman"/>
        </w:rPr>
        <w:t>, T2: 50% WFPS + wheat + 160 kg N ha</w:t>
      </w:r>
      <w:r w:rsidRPr="00203EB0">
        <w:rPr>
          <w:rFonts w:cs="Times New Roman"/>
          <w:vertAlign w:val="superscript"/>
        </w:rPr>
        <w:t>-1</w:t>
      </w:r>
      <w:r w:rsidRPr="00203EB0">
        <w:rPr>
          <w:rFonts w:cs="Times New Roman"/>
        </w:rPr>
        <w:t>, T3: 50% WFPS + no cover crop + 160 kg N ha</w:t>
      </w:r>
      <w:r w:rsidRPr="00203EB0">
        <w:rPr>
          <w:rFonts w:cs="Times New Roman"/>
          <w:vertAlign w:val="superscript"/>
        </w:rPr>
        <w:t>-1</w:t>
      </w:r>
      <w:r w:rsidRPr="00203EB0">
        <w:rPr>
          <w:rFonts w:cs="Times New Roman"/>
        </w:rPr>
        <w:t>, T4: 50% WFPS (0 N and no cover crop addition as Control), T5: 80% WFPS + hairy vetch + 160 kg N ha</w:t>
      </w:r>
      <w:r w:rsidRPr="00203EB0">
        <w:rPr>
          <w:rFonts w:cs="Times New Roman"/>
          <w:vertAlign w:val="superscript"/>
        </w:rPr>
        <w:t>-1</w:t>
      </w:r>
      <w:r w:rsidRPr="00203EB0">
        <w:rPr>
          <w:rFonts w:cs="Times New Roman"/>
        </w:rPr>
        <w:t>, T6: 80% WFPS + wheat + 160 kg N ha</w:t>
      </w:r>
      <w:r w:rsidRPr="00203EB0">
        <w:rPr>
          <w:rFonts w:cs="Times New Roman"/>
          <w:vertAlign w:val="superscript"/>
        </w:rPr>
        <w:t>-1</w:t>
      </w:r>
      <w:r w:rsidRPr="00203EB0">
        <w:rPr>
          <w:rFonts w:cs="Times New Roman"/>
        </w:rPr>
        <w:t>, T7: 80% WFPS + no cover crop + 160 kg N ha</w:t>
      </w:r>
      <w:r w:rsidRPr="00203EB0">
        <w:rPr>
          <w:rFonts w:cs="Times New Roman"/>
          <w:vertAlign w:val="superscript"/>
        </w:rPr>
        <w:t>-1</w:t>
      </w:r>
      <w:r w:rsidRPr="00203EB0">
        <w:rPr>
          <w:rFonts w:cs="Times New Roman"/>
        </w:rPr>
        <w:t>, and T8: 80% WFPS (0 N and no cover crop addition as Control). Cover crop residues were added at an equivalent rate of 3 Mg dry matter (DM) ha</w:t>
      </w:r>
      <w:r w:rsidRPr="00203EB0">
        <w:rPr>
          <w:rFonts w:cs="Times New Roman"/>
          <w:vertAlign w:val="superscript"/>
        </w:rPr>
        <w:t>-1</w:t>
      </w:r>
      <w:r w:rsidRPr="00203EB0">
        <w:rPr>
          <w:rFonts w:cs="Times New Roman"/>
        </w:rPr>
        <w:t xml:space="preserve">, a typical biomass production for spring cover crops in Tennessee under desirable weather conditions. Four replicates were prepared for each of the 8 treatments and four additional sets of samples were included for five-time points destructive soil samplings, with a total of 160 (32 for gas sampling + 128 for destructive soil sampling) experimental units. </w:t>
      </w:r>
    </w:p>
    <w:p w14:paraId="5A965FA9" w14:textId="77777777" w:rsidR="0037234F" w:rsidRPr="00203EB0" w:rsidRDefault="0037234F" w:rsidP="0037234F">
      <w:pPr>
        <w:spacing w:line="480" w:lineRule="auto"/>
        <w:rPr>
          <w:rFonts w:cs="Times New Roman"/>
        </w:rPr>
      </w:pPr>
      <w:r w:rsidRPr="00203EB0">
        <w:rPr>
          <w:rFonts w:cs="Times New Roman"/>
        </w:rPr>
        <w:t>Soil cores (5 cm w ×5 cm l × 10 cm h) were packed at a bulk density of 1.2 g cm</w:t>
      </w:r>
      <w:r w:rsidRPr="00203EB0">
        <w:rPr>
          <w:rFonts w:cs="Times New Roman"/>
          <w:vertAlign w:val="superscript"/>
        </w:rPr>
        <w:t>-3</w:t>
      </w:r>
      <w:r w:rsidRPr="00203EB0">
        <w:rPr>
          <w:rFonts w:cs="Times New Roman"/>
        </w:rPr>
        <w:t xml:space="preserve"> in 15 cm long rectangular transparent acrylic liners. The soil and cover crops residues were weighed (300 g dry soil and 0.750 g DM residue equivalent to 3 Mg DM ha</w:t>
      </w:r>
      <w:r w:rsidRPr="00203EB0">
        <w:rPr>
          <w:rFonts w:cs="Times New Roman"/>
          <w:vertAlign w:val="superscript"/>
        </w:rPr>
        <w:t xml:space="preserve">-1 </w:t>
      </w:r>
      <w:r w:rsidRPr="00203EB0">
        <w:rPr>
          <w:rFonts w:cs="Times New Roman"/>
        </w:rPr>
        <w:t xml:space="preserve">for treatments receiving cover crops), mixed, and added to each acrylic liner. Experimental units were pre-incubated in the dark for 72 </w:t>
      </w:r>
      <w:proofErr w:type="spellStart"/>
      <w:r w:rsidRPr="00203EB0">
        <w:rPr>
          <w:rFonts w:cs="Times New Roman"/>
        </w:rPr>
        <w:t>hrs</w:t>
      </w:r>
      <w:proofErr w:type="spellEnd"/>
      <w:r w:rsidRPr="00203EB0">
        <w:rPr>
          <w:rFonts w:cs="Times New Roman"/>
        </w:rPr>
        <w:t xml:space="preserve"> with a soil water content amended to achieve the targeted 50% and 80% WFPS, saving 10 mL of water to dissolve the N fertilizer. Water </w:t>
      </w:r>
      <w:r w:rsidRPr="00203EB0">
        <w:rPr>
          <w:rFonts w:cs="Times New Roman"/>
        </w:rPr>
        <w:lastRenderedPageBreak/>
        <w:t xml:space="preserve">was added from the bottom end of the cores, which were sealed with parafilm with small holes to prevent soil leakage but allows wetting through capillary rise. The top end of plastic liners was covered with perforated parafilm to minimize evaporation, which was removed 1 </w:t>
      </w:r>
      <w:proofErr w:type="spellStart"/>
      <w:r w:rsidRPr="00203EB0">
        <w:rPr>
          <w:rFonts w:cs="Times New Roman"/>
        </w:rPr>
        <w:t>hr</w:t>
      </w:r>
      <w:proofErr w:type="spellEnd"/>
      <w:r w:rsidRPr="00203EB0">
        <w:rPr>
          <w:rFonts w:cs="Times New Roman"/>
        </w:rPr>
        <w:t xml:space="preserve"> before gas sampling.  </w:t>
      </w:r>
    </w:p>
    <w:p w14:paraId="304D1242" w14:textId="17D8AD68" w:rsidR="0037234F" w:rsidRPr="00203EB0" w:rsidRDefault="0037234F" w:rsidP="0037234F">
      <w:pPr>
        <w:spacing w:line="480" w:lineRule="auto"/>
      </w:pPr>
      <w:r w:rsidRPr="00203EB0">
        <w:rPr>
          <w:rFonts w:cs="Times New Roman"/>
        </w:rPr>
        <w:t>At the start of incubation, 0.289 g K</w:t>
      </w:r>
      <w:r w:rsidRPr="00203EB0">
        <w:rPr>
          <w:rFonts w:cs="Times New Roman"/>
          <w:vertAlign w:val="superscript"/>
        </w:rPr>
        <w:t>15</w:t>
      </w:r>
      <w:r w:rsidRPr="00203EB0">
        <w:rPr>
          <w:rFonts w:cs="Times New Roman"/>
        </w:rPr>
        <w:t>NO</w:t>
      </w:r>
      <w:r w:rsidRPr="00203EB0">
        <w:rPr>
          <w:rFonts w:cs="Times New Roman"/>
          <w:vertAlign w:val="subscript"/>
        </w:rPr>
        <w:t>3</w:t>
      </w:r>
      <w:r w:rsidRPr="00203EB0">
        <w:rPr>
          <w:rFonts w:cs="Times New Roman"/>
        </w:rPr>
        <w:t xml:space="preserve"> (10 atom % excess </w:t>
      </w:r>
      <w:r w:rsidRPr="00203EB0">
        <w:rPr>
          <w:rFonts w:cs="Times New Roman"/>
          <w:vertAlign w:val="superscript"/>
        </w:rPr>
        <w:t>15</w:t>
      </w:r>
      <w:r w:rsidRPr="00203EB0">
        <w:rPr>
          <w:rFonts w:cs="Times New Roman"/>
        </w:rPr>
        <w:t>N), equivalent to the recommended 160 kg N ha</w:t>
      </w:r>
      <w:r w:rsidRPr="00203EB0">
        <w:rPr>
          <w:rFonts w:cs="Times New Roman"/>
          <w:vertAlign w:val="superscript"/>
        </w:rPr>
        <w:t>-1</w:t>
      </w:r>
      <w:r w:rsidRPr="00203EB0">
        <w:rPr>
          <w:rFonts w:cs="Times New Roman"/>
        </w:rPr>
        <w:t>, was dissolved in 10 mL de-ionized water and applied to the fertilized treatments with a syringe from the top (133 mg N kg</w:t>
      </w:r>
      <w:r w:rsidRPr="00203EB0">
        <w:rPr>
          <w:rFonts w:cs="Times New Roman"/>
          <w:vertAlign w:val="superscript"/>
        </w:rPr>
        <w:t>-1</w:t>
      </w:r>
      <w:r w:rsidRPr="00203EB0">
        <w:rPr>
          <w:rFonts w:cs="Times New Roman"/>
        </w:rPr>
        <w:t xml:space="preserve"> soil was added as KNO</w:t>
      </w:r>
      <w:r w:rsidRPr="00203EB0">
        <w:rPr>
          <w:rFonts w:cs="Times New Roman"/>
          <w:vertAlign w:val="subscript"/>
        </w:rPr>
        <w:t>3</w:t>
      </w:r>
      <w:r w:rsidRPr="00203EB0">
        <w:rPr>
          <w:rFonts w:cs="Times New Roman"/>
        </w:rPr>
        <w:t>). We used K</w:t>
      </w:r>
      <w:r w:rsidRPr="00203EB0">
        <w:rPr>
          <w:rFonts w:cs="Times New Roman"/>
          <w:vertAlign w:val="superscript"/>
        </w:rPr>
        <w:t>15</w:t>
      </w:r>
      <w:r w:rsidRPr="00203EB0">
        <w:rPr>
          <w:rFonts w:cs="Times New Roman"/>
        </w:rPr>
        <w:t>NO</w:t>
      </w:r>
      <w:r w:rsidRPr="00203EB0">
        <w:rPr>
          <w:rFonts w:cs="Times New Roman"/>
          <w:vertAlign w:val="subscript"/>
        </w:rPr>
        <w:t xml:space="preserve">3 </w:t>
      </w:r>
      <w:r w:rsidRPr="00203EB0">
        <w:rPr>
          <w:rFonts w:cs="Times New Roman"/>
        </w:rPr>
        <w:t>as fertilizer source to facilitate testing our hypothesis that anoxia from residue decomposition would promote N</w:t>
      </w:r>
      <w:r w:rsidRPr="00203EB0">
        <w:rPr>
          <w:rFonts w:cs="Times New Roman"/>
          <w:vertAlign w:val="subscript"/>
        </w:rPr>
        <w:t>2</w:t>
      </w:r>
      <w:r w:rsidRPr="00203EB0">
        <w:rPr>
          <w:rFonts w:cs="Times New Roman"/>
        </w:rPr>
        <w:t xml:space="preserve">O production from denitrification (i.e., reduction of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independent of WFPS conditions. All experimental units were incubated in the dark at 21 °C until gas sampling for 21 consecutive days and kept at a constant %WFPS level for the duration of the incubation experiment by adding water based on daily weight losses of the cores.</w:t>
      </w:r>
    </w:p>
    <w:p w14:paraId="6DE125A8" w14:textId="1B2C373A" w:rsidR="0037234F" w:rsidRPr="00203EB0" w:rsidRDefault="00610998" w:rsidP="00070085">
      <w:pPr>
        <w:pStyle w:val="Heading3"/>
      </w:pPr>
      <w:bookmarkStart w:id="53" w:name="_Toc206669124"/>
      <w:r w:rsidRPr="00203EB0">
        <w:t>Gas sampling, analysis, and N</w:t>
      </w:r>
      <w:r w:rsidRPr="00203EB0">
        <w:rPr>
          <w:vertAlign w:val="subscript"/>
        </w:rPr>
        <w:t>2</w:t>
      </w:r>
      <w:r w:rsidRPr="00203EB0">
        <w:t>O source calculations</w:t>
      </w:r>
      <w:bookmarkEnd w:id="53"/>
    </w:p>
    <w:p w14:paraId="0A4F6E29" w14:textId="77777777" w:rsidR="00610998" w:rsidRPr="00203EB0" w:rsidRDefault="00610998" w:rsidP="00610998"/>
    <w:p w14:paraId="5F862265" w14:textId="77777777" w:rsidR="00610998" w:rsidRPr="00203EB0" w:rsidRDefault="00610998" w:rsidP="00610998">
      <w:pPr>
        <w:spacing w:line="480" w:lineRule="auto"/>
        <w:rPr>
          <w:rFonts w:cs="Times New Roman"/>
        </w:rPr>
      </w:pPr>
      <w:r w:rsidRPr="00203EB0">
        <w:rPr>
          <w:rFonts w:cs="Times New Roman"/>
        </w:rPr>
        <w:t>Gas samples were taken on days 0 (12 hours after N fertilizer addition), 1, 2, 3, 4, 5, 7, 9, 11, 13, 16, and 21. Each core was transferred to a 2 L jar and closed with a lid that contains a septum for gas sampling. Headspace samples (120-mL) were withdrawn from the jars at 60 and 120 min after closure. Three additional samples of lab air were taken each sampling day. The 60 mL syringe was plunged 3 times to mix the gas in the 2L chamber before final collection. The collected gas samples were injected into pre-evacuated 100 mL crimp top clear serum vials and analyzed for</w:t>
      </w:r>
      <w:r w:rsidRPr="00203EB0">
        <w:rPr>
          <w:rFonts w:cs="Times New Roman"/>
          <w:vertAlign w:val="subscript"/>
        </w:rPr>
        <w:t xml:space="preserve"> </w:t>
      </w:r>
      <w:r w:rsidRPr="00203EB0">
        <w:rPr>
          <w:rFonts w:cs="Times New Roman"/>
        </w:rPr>
        <w:t>CO</w:t>
      </w:r>
      <w:r w:rsidRPr="00203EB0">
        <w:rPr>
          <w:rFonts w:cs="Times New Roman"/>
          <w:vertAlign w:val="subscript"/>
        </w:rPr>
        <w:t>2</w:t>
      </w:r>
      <w:r w:rsidRPr="00203EB0">
        <w:rPr>
          <w:rFonts w:cs="Times New Roman"/>
        </w:rPr>
        <w:t xml:space="preserve"> and N</w:t>
      </w:r>
      <w:r w:rsidRPr="00203EB0">
        <w:rPr>
          <w:rFonts w:cs="Times New Roman"/>
          <w:vertAlign w:val="subscript"/>
        </w:rPr>
        <w:t>2</w:t>
      </w:r>
      <w:r w:rsidRPr="00203EB0">
        <w:rPr>
          <w:rFonts w:cs="Times New Roman"/>
        </w:rPr>
        <w:t xml:space="preserve">O on a </w:t>
      </w:r>
      <w:proofErr w:type="spellStart"/>
      <w:r w:rsidRPr="00203EB0">
        <w:rPr>
          <w:rFonts w:cs="Times New Roman"/>
        </w:rPr>
        <w:t>Delta+XL</w:t>
      </w:r>
      <w:proofErr w:type="spellEnd"/>
      <w:r w:rsidRPr="00203EB0">
        <w:rPr>
          <w:rFonts w:cs="Times New Roman"/>
        </w:rPr>
        <w:t xml:space="preserve"> mass spectrometer (</w:t>
      </w:r>
      <w:proofErr w:type="spellStart"/>
      <w:r w:rsidRPr="00203EB0">
        <w:rPr>
          <w:rFonts w:cs="Times New Roman"/>
        </w:rPr>
        <w:t>Thermo</w:t>
      </w:r>
      <w:proofErr w:type="spellEnd"/>
      <w:r w:rsidRPr="00203EB0">
        <w:rPr>
          <w:rFonts w:cs="Times New Roman"/>
        </w:rPr>
        <w:t xml:space="preserve"> Finnigan) coupled with a </w:t>
      </w:r>
      <w:proofErr w:type="spellStart"/>
      <w:r w:rsidRPr="00203EB0">
        <w:rPr>
          <w:rFonts w:cs="Times New Roman"/>
        </w:rPr>
        <w:t>Precon</w:t>
      </w:r>
      <w:proofErr w:type="spellEnd"/>
      <w:r w:rsidRPr="00203EB0">
        <w:rPr>
          <w:rFonts w:cs="Times New Roman"/>
        </w:rPr>
        <w:t xml:space="preserve"> and </w:t>
      </w:r>
      <w:proofErr w:type="spellStart"/>
      <w:r w:rsidRPr="00203EB0">
        <w:rPr>
          <w:rFonts w:cs="Times New Roman"/>
        </w:rPr>
        <w:t>Gasbench</w:t>
      </w:r>
      <w:proofErr w:type="spellEnd"/>
      <w:r w:rsidRPr="00203EB0">
        <w:rPr>
          <w:rFonts w:cs="Times New Roman"/>
        </w:rPr>
        <w:t xml:space="preserve"> II (</w:t>
      </w:r>
      <w:proofErr w:type="spellStart"/>
      <w:r w:rsidRPr="00203EB0">
        <w:rPr>
          <w:rFonts w:cs="Times New Roman"/>
        </w:rPr>
        <w:t>ThermoScientific</w:t>
      </w:r>
      <w:proofErr w:type="spellEnd"/>
      <w:r w:rsidRPr="00203EB0">
        <w:rPr>
          <w:rFonts w:cs="Times New Roman"/>
        </w:rPr>
        <w:t xml:space="preserve">). </w:t>
      </w:r>
      <w:r w:rsidRPr="00203EB0">
        <w:rPr>
          <w:rFonts w:cs="Times New Roman"/>
        </w:rPr>
        <w:lastRenderedPageBreak/>
        <w:t>Overpressure in the vials allowed for sequential sampling of the gas sample for the two gases. CO</w:t>
      </w:r>
      <w:r w:rsidRPr="00203EB0">
        <w:rPr>
          <w:rFonts w:cs="Times New Roman"/>
          <w:vertAlign w:val="subscript"/>
        </w:rPr>
        <w:t>2</w:t>
      </w:r>
      <w:r w:rsidRPr="00203EB0">
        <w:rPr>
          <w:rFonts w:cs="Times New Roman"/>
        </w:rPr>
        <w:t xml:space="preserve"> was measured and then the overpressure in the jar was vented. The entire volume of the vial gas was then transferred to a liquid N cooled trap for N</w:t>
      </w:r>
      <w:r w:rsidRPr="00203EB0">
        <w:rPr>
          <w:rFonts w:cs="Times New Roman"/>
          <w:vertAlign w:val="subscript"/>
        </w:rPr>
        <w:t>2</w:t>
      </w:r>
      <w:r w:rsidRPr="00203EB0">
        <w:rPr>
          <w:rFonts w:cs="Times New Roman"/>
        </w:rPr>
        <w:t xml:space="preserve">O measurement. </w:t>
      </w:r>
    </w:p>
    <w:p w14:paraId="37E26F68" w14:textId="77777777" w:rsidR="00610998" w:rsidRPr="00203EB0" w:rsidRDefault="00610998" w:rsidP="00610998">
      <w:pPr>
        <w:spacing w:line="480" w:lineRule="auto"/>
        <w:rPr>
          <w:rFonts w:cs="Times New Roman"/>
        </w:rPr>
      </w:pPr>
      <w:r w:rsidRPr="00203EB0">
        <w:rPr>
          <w:rFonts w:cs="Times New Roman"/>
        </w:rPr>
        <w:t>The fluxes of CO</w:t>
      </w:r>
      <w:r w:rsidRPr="00203EB0">
        <w:rPr>
          <w:rFonts w:cs="Times New Roman"/>
          <w:vertAlign w:val="subscript"/>
        </w:rPr>
        <w:t>2</w:t>
      </w:r>
      <w:r w:rsidRPr="00203EB0">
        <w:rPr>
          <w:rFonts w:cs="Times New Roman"/>
        </w:rPr>
        <w:t xml:space="preserve"> and N</w:t>
      </w:r>
      <w:r w:rsidRPr="00203EB0">
        <w:rPr>
          <w:rFonts w:cs="Times New Roman"/>
          <w:vertAlign w:val="subscript"/>
        </w:rPr>
        <w:t>2</w:t>
      </w:r>
      <w:r w:rsidRPr="00203EB0">
        <w:rPr>
          <w:rFonts w:cs="Times New Roman"/>
        </w:rPr>
        <w:t>O were calculated from the increasing gas concentrations during the 120-minute headspace closure. The cumulative gas fluxes during the 21-day experiment were calculated by linear interpolation of daily fluxes.</w:t>
      </w:r>
    </w:p>
    <w:p w14:paraId="04D8C625" w14:textId="77777777" w:rsidR="00610998" w:rsidRPr="00203EB0" w:rsidRDefault="00610998" w:rsidP="00610998">
      <w:pPr>
        <w:spacing w:line="480" w:lineRule="auto"/>
        <w:rPr>
          <w:rFonts w:cs="Times New Roman"/>
        </w:rPr>
      </w:pPr>
      <w:r w:rsidRPr="00203EB0">
        <w:rPr>
          <w:rFonts w:cs="Times New Roman"/>
        </w:rPr>
        <w:t xml:space="preserve">The </w:t>
      </w:r>
      <w:r w:rsidRPr="00203EB0">
        <w:rPr>
          <w:rFonts w:cs="Times New Roman"/>
          <w:vertAlign w:val="superscript"/>
        </w:rPr>
        <w:t>15</w:t>
      </w:r>
      <w:r w:rsidRPr="00203EB0">
        <w:rPr>
          <w:rFonts w:cs="Times New Roman"/>
        </w:rPr>
        <w:t>N abundance in N</w:t>
      </w:r>
      <w:r w:rsidRPr="00203EB0">
        <w:rPr>
          <w:rFonts w:cs="Times New Roman"/>
          <w:vertAlign w:val="subscript"/>
        </w:rPr>
        <w:t>2</w:t>
      </w:r>
      <w:r w:rsidRPr="00203EB0">
        <w:rPr>
          <w:rFonts w:cs="Times New Roman"/>
        </w:rPr>
        <w:t>O was determined using the same headspace samples. The relative contributions of N</w:t>
      </w:r>
      <w:r w:rsidRPr="00203EB0">
        <w:rPr>
          <w:rFonts w:cs="Times New Roman"/>
          <w:vertAlign w:val="subscript"/>
        </w:rPr>
        <w:t>2</w:t>
      </w:r>
      <w:r w:rsidRPr="00203EB0">
        <w:rPr>
          <w:rFonts w:cs="Times New Roman"/>
        </w:rPr>
        <w:t>O by fertilizer-N (f</w:t>
      </w:r>
      <w:r w:rsidRPr="00203EB0">
        <w:rPr>
          <w:rFonts w:cs="Times New Roman"/>
          <w:vertAlign w:val="subscript"/>
        </w:rPr>
        <w:t>N2O_fertilizer</w:t>
      </w:r>
      <w:r w:rsidRPr="00203EB0">
        <w:rPr>
          <w:rFonts w:cs="Times New Roman"/>
        </w:rPr>
        <w:t>) and other-N sources (SOM + cover crop residues, f</w:t>
      </w:r>
      <w:r w:rsidRPr="00203EB0">
        <w:rPr>
          <w:rFonts w:cs="Times New Roman"/>
          <w:vertAlign w:val="subscript"/>
        </w:rPr>
        <w:t>N2O_Other</w:t>
      </w:r>
      <w:r w:rsidRPr="00203EB0">
        <w:rPr>
          <w:rFonts w:cs="Times New Roman"/>
        </w:rPr>
        <w:t xml:space="preserve">) were determined with a mixing model as follows: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
        <w:gridCol w:w="6834"/>
        <w:gridCol w:w="1439"/>
      </w:tblGrid>
      <w:tr w:rsidR="00610998" w:rsidRPr="00203EB0" w14:paraId="67767209" w14:textId="77777777" w:rsidTr="00610998">
        <w:tc>
          <w:tcPr>
            <w:tcW w:w="212" w:type="pct"/>
          </w:tcPr>
          <w:p w14:paraId="2027AA7F" w14:textId="77777777" w:rsidR="00610998" w:rsidRPr="00203EB0" w:rsidRDefault="00610998" w:rsidP="00652800">
            <w:pPr>
              <w:spacing w:line="480" w:lineRule="auto"/>
              <w:rPr>
                <w:rFonts w:cs="Times New Roman"/>
              </w:rPr>
            </w:pPr>
          </w:p>
        </w:tc>
        <w:tc>
          <w:tcPr>
            <w:tcW w:w="3955" w:type="pct"/>
            <w:vAlign w:val="center"/>
          </w:tcPr>
          <w:p w14:paraId="2CC48748" w14:textId="77777777" w:rsidR="00610998" w:rsidRPr="00203EB0" w:rsidRDefault="00610998" w:rsidP="00652800">
            <w:pPr>
              <w:spacing w:line="480" w:lineRule="auto"/>
              <w:rPr>
                <w:rFonts w:cs="Times New Roman"/>
              </w:rPr>
            </w:pPr>
            <w:r w:rsidRPr="00203EB0">
              <w:rPr>
                <w:rFonts w:cs="Times New Roman"/>
              </w:rPr>
              <w:t>f</w:t>
            </w:r>
            <w:r w:rsidRPr="00203EB0">
              <w:rPr>
                <w:rFonts w:cs="Times New Roman"/>
                <w:vertAlign w:val="subscript"/>
              </w:rPr>
              <w:t xml:space="preserve">N2O_fertilizer </w:t>
            </w:r>
            <w:r w:rsidRPr="00203EB0">
              <w:rPr>
                <w:rFonts w:cs="Times New Roman"/>
              </w:rPr>
              <w:t>+ f</w:t>
            </w:r>
            <w:r w:rsidRPr="00203EB0">
              <w:rPr>
                <w:rFonts w:cs="Times New Roman"/>
                <w:vertAlign w:val="subscript"/>
              </w:rPr>
              <w:t xml:space="preserve">N2O_Other </w:t>
            </w:r>
            <w:r w:rsidRPr="00203EB0">
              <w:rPr>
                <w:rFonts w:cs="Times New Roman"/>
              </w:rPr>
              <w:t xml:space="preserve">= 1 </w:t>
            </w:r>
          </w:p>
        </w:tc>
        <w:tc>
          <w:tcPr>
            <w:tcW w:w="833" w:type="pct"/>
            <w:vAlign w:val="center"/>
          </w:tcPr>
          <w:p w14:paraId="0A869107" w14:textId="13BC944D" w:rsidR="00610998" w:rsidRPr="00203EB0" w:rsidRDefault="00C17CD4" w:rsidP="00001ABC">
            <w:pPr>
              <w:pStyle w:val="Caption"/>
              <w:rPr>
                <w:i/>
              </w:rPr>
            </w:pPr>
            <w:r w:rsidRPr="00203EB0">
              <w:t xml:space="preserve"> </w:t>
            </w:r>
            <w:r w:rsidR="00610998" w:rsidRPr="00203EB0">
              <w:t xml:space="preserve">Equation </w:t>
            </w:r>
            <w:r w:rsidR="00C84D75" w:rsidRPr="00203EB0">
              <w:t>1</w:t>
            </w:r>
          </w:p>
        </w:tc>
      </w:tr>
    </w:tbl>
    <w:p w14:paraId="27B85A82" w14:textId="77777777" w:rsidR="00A9086C" w:rsidRPr="00203EB0" w:rsidRDefault="00A9086C" w:rsidP="00A9086C">
      <w:pPr>
        <w:rPr>
          <w:rFonts w:cs="Times New Roman"/>
        </w:rPr>
      </w:pPr>
    </w:p>
    <w:p w14:paraId="637C362C" w14:textId="481E5A18" w:rsidR="00141463" w:rsidRPr="00203EB0" w:rsidRDefault="00141463" w:rsidP="00141463">
      <w:pPr>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
        <w:gridCol w:w="6834"/>
        <w:gridCol w:w="1439"/>
      </w:tblGrid>
      <w:tr w:rsidR="00420795" w:rsidRPr="00203EB0" w14:paraId="3862B64C" w14:textId="77777777" w:rsidTr="00420795">
        <w:tc>
          <w:tcPr>
            <w:tcW w:w="212" w:type="pct"/>
          </w:tcPr>
          <w:p w14:paraId="08C0652B" w14:textId="77777777" w:rsidR="00420795" w:rsidRPr="00203EB0" w:rsidRDefault="00420795" w:rsidP="00652800">
            <w:pPr>
              <w:spacing w:line="480" w:lineRule="auto"/>
              <w:rPr>
                <w:rFonts w:cs="Times New Roman"/>
              </w:rPr>
            </w:pPr>
          </w:p>
        </w:tc>
        <w:tc>
          <w:tcPr>
            <w:tcW w:w="3955" w:type="pct"/>
            <w:vAlign w:val="center"/>
          </w:tcPr>
          <w:p w14:paraId="57F5CD54" w14:textId="77777777" w:rsidR="00420795" w:rsidRPr="00203EB0" w:rsidRDefault="00420795" w:rsidP="00652800">
            <w:pPr>
              <w:spacing w:line="480" w:lineRule="auto"/>
              <w:rPr>
                <w:rFonts w:cs="Times New Roman"/>
              </w:rPr>
            </w:pPr>
            <w:r w:rsidRPr="00203EB0">
              <w:rPr>
                <w:rFonts w:cs="Times New Roman"/>
              </w:rPr>
              <w:t>δ</w:t>
            </w:r>
            <w:r w:rsidRPr="00203EB0">
              <w:rPr>
                <w:rFonts w:cs="Times New Roman"/>
                <w:vertAlign w:val="superscript"/>
              </w:rPr>
              <w:t>15</w:t>
            </w:r>
            <w:r w:rsidRPr="00203EB0">
              <w:rPr>
                <w:rFonts w:cs="Times New Roman"/>
              </w:rPr>
              <w:t>N</w:t>
            </w:r>
            <w:r w:rsidRPr="00203EB0">
              <w:rPr>
                <w:rFonts w:cs="Times New Roman"/>
                <w:vertAlign w:val="subscript"/>
              </w:rPr>
              <w:t>Treatment</w:t>
            </w:r>
            <w:r w:rsidRPr="00203EB0">
              <w:rPr>
                <w:rFonts w:cs="Times New Roman"/>
              </w:rPr>
              <w:t xml:space="preserve"> = δ</w:t>
            </w:r>
            <w:r w:rsidRPr="00203EB0">
              <w:rPr>
                <w:rFonts w:cs="Times New Roman"/>
                <w:vertAlign w:val="superscript"/>
              </w:rPr>
              <w:t>15</w:t>
            </w:r>
            <w:r w:rsidRPr="00203EB0">
              <w:rPr>
                <w:rFonts w:cs="Times New Roman"/>
              </w:rPr>
              <w:t>N</w:t>
            </w:r>
            <w:r w:rsidRPr="00203EB0">
              <w:rPr>
                <w:rFonts w:cs="Times New Roman"/>
                <w:vertAlign w:val="subscript"/>
              </w:rPr>
              <w:t>fertilizer</w:t>
            </w:r>
            <w:r w:rsidRPr="00203EB0">
              <w:rPr>
                <w:rFonts w:cs="Times New Roman"/>
              </w:rPr>
              <w:t xml:space="preserve"> × f</w:t>
            </w:r>
            <w:r w:rsidRPr="00203EB0">
              <w:rPr>
                <w:rFonts w:cs="Times New Roman"/>
                <w:vertAlign w:val="subscript"/>
              </w:rPr>
              <w:t xml:space="preserve">N2O_fertilizer </w:t>
            </w:r>
            <w:r w:rsidRPr="00203EB0">
              <w:rPr>
                <w:rFonts w:cs="Times New Roman"/>
              </w:rPr>
              <w:t>+ δ</w:t>
            </w:r>
            <w:r w:rsidRPr="00203EB0">
              <w:rPr>
                <w:rFonts w:cs="Times New Roman"/>
                <w:vertAlign w:val="superscript"/>
              </w:rPr>
              <w:t>15</w:t>
            </w:r>
            <w:r w:rsidRPr="00203EB0">
              <w:rPr>
                <w:rFonts w:cs="Times New Roman"/>
              </w:rPr>
              <w:t>N</w:t>
            </w:r>
            <w:r w:rsidRPr="00203EB0">
              <w:rPr>
                <w:rFonts w:cs="Times New Roman"/>
                <w:vertAlign w:val="subscript"/>
              </w:rPr>
              <w:t>Other</w:t>
            </w:r>
            <w:r w:rsidRPr="00203EB0">
              <w:rPr>
                <w:rFonts w:cs="Times New Roman"/>
              </w:rPr>
              <w:t xml:space="preserve"> × f</w:t>
            </w:r>
            <w:r w:rsidRPr="00203EB0">
              <w:rPr>
                <w:rFonts w:cs="Times New Roman"/>
                <w:vertAlign w:val="subscript"/>
              </w:rPr>
              <w:t xml:space="preserve">N2O_Other   </w:t>
            </w:r>
          </w:p>
        </w:tc>
        <w:tc>
          <w:tcPr>
            <w:tcW w:w="833" w:type="pct"/>
            <w:vAlign w:val="center"/>
          </w:tcPr>
          <w:p w14:paraId="0BD2FDE3" w14:textId="461F792B" w:rsidR="00420795" w:rsidRPr="00203EB0" w:rsidRDefault="00420795" w:rsidP="00001ABC">
            <w:pPr>
              <w:pStyle w:val="Caption"/>
              <w:rPr>
                <w:i/>
              </w:rPr>
            </w:pPr>
            <w:r w:rsidRPr="00203EB0">
              <w:t xml:space="preserve"> Equation </w:t>
            </w:r>
            <w:r w:rsidR="00C84D75" w:rsidRPr="00203EB0">
              <w:t>2</w:t>
            </w:r>
          </w:p>
        </w:tc>
      </w:tr>
    </w:tbl>
    <w:p w14:paraId="64895DD7" w14:textId="77777777" w:rsidR="00420795" w:rsidRPr="00203EB0" w:rsidRDefault="00420795" w:rsidP="00420795"/>
    <w:p w14:paraId="47C83862" w14:textId="77777777" w:rsidR="00420795" w:rsidRPr="00203EB0" w:rsidRDefault="00420795" w:rsidP="00420795">
      <w:pPr>
        <w:spacing w:line="480" w:lineRule="auto"/>
        <w:rPr>
          <w:rFonts w:cs="Times New Roman"/>
        </w:rPr>
      </w:pPr>
      <w:r w:rsidRPr="00203EB0">
        <w:rPr>
          <w:rFonts w:cs="Times New Roman"/>
        </w:rPr>
        <w:t>where δ</w:t>
      </w:r>
      <w:r w:rsidRPr="00203EB0">
        <w:rPr>
          <w:rFonts w:cs="Times New Roman"/>
          <w:vertAlign w:val="superscript"/>
        </w:rPr>
        <w:t>15</w:t>
      </w:r>
      <w:r w:rsidRPr="00203EB0">
        <w:rPr>
          <w:rFonts w:cs="Times New Roman"/>
        </w:rPr>
        <w:t>N</w:t>
      </w:r>
      <w:r w:rsidRPr="00203EB0">
        <w:rPr>
          <w:rFonts w:cs="Times New Roman"/>
          <w:vertAlign w:val="subscript"/>
        </w:rPr>
        <w:t>Treatment</w:t>
      </w:r>
      <w:r w:rsidRPr="00203EB0">
        <w:rPr>
          <w:rFonts w:cs="Times New Roman"/>
        </w:rPr>
        <w:t xml:space="preserve"> is the measured δ</w:t>
      </w:r>
      <w:r w:rsidRPr="00203EB0">
        <w:rPr>
          <w:rFonts w:cs="Times New Roman"/>
          <w:vertAlign w:val="superscript"/>
        </w:rPr>
        <w:t>15</w:t>
      </w:r>
      <w:r w:rsidRPr="00203EB0">
        <w:rPr>
          <w:rFonts w:cs="Times New Roman"/>
        </w:rPr>
        <w:t>N of the total N</w:t>
      </w:r>
      <w:r w:rsidRPr="00203EB0">
        <w:rPr>
          <w:rFonts w:cs="Times New Roman"/>
          <w:vertAlign w:val="subscript"/>
        </w:rPr>
        <w:t>2</w:t>
      </w:r>
      <w:r w:rsidRPr="00203EB0">
        <w:rPr>
          <w:rFonts w:cs="Times New Roman"/>
        </w:rPr>
        <w:t>O, δ</w:t>
      </w:r>
      <w:r w:rsidRPr="00203EB0">
        <w:rPr>
          <w:rFonts w:cs="Times New Roman"/>
          <w:vertAlign w:val="superscript"/>
        </w:rPr>
        <w:t>15</w:t>
      </w:r>
      <w:r w:rsidRPr="00203EB0">
        <w:rPr>
          <w:rFonts w:cs="Times New Roman"/>
        </w:rPr>
        <w:t>N</w:t>
      </w:r>
      <w:r w:rsidRPr="00203EB0">
        <w:rPr>
          <w:rFonts w:cs="Times New Roman"/>
          <w:vertAlign w:val="subscript"/>
        </w:rPr>
        <w:t>fertilizer</w:t>
      </w:r>
      <w:r w:rsidRPr="00203EB0">
        <w:rPr>
          <w:rFonts w:cs="Times New Roman"/>
        </w:rPr>
        <w:t xml:space="preserve"> is the δ</w:t>
      </w:r>
      <w:r w:rsidRPr="00203EB0">
        <w:rPr>
          <w:rFonts w:cs="Times New Roman"/>
          <w:vertAlign w:val="superscript"/>
        </w:rPr>
        <w:t>15</w:t>
      </w:r>
      <w:r w:rsidRPr="00203EB0">
        <w:rPr>
          <w:rFonts w:cs="Times New Roman"/>
        </w:rPr>
        <w:t>N of KNO</w:t>
      </w:r>
      <w:r w:rsidRPr="00203EB0">
        <w:rPr>
          <w:rFonts w:cs="Times New Roman"/>
          <w:vertAlign w:val="subscript"/>
        </w:rPr>
        <w:t>3</w:t>
      </w:r>
      <w:r w:rsidRPr="00203EB0">
        <w:rPr>
          <w:rFonts w:cs="Times New Roman"/>
        </w:rPr>
        <w:t xml:space="preserve"> (10 atom % excess </w:t>
      </w:r>
      <w:r w:rsidRPr="00203EB0">
        <w:rPr>
          <w:rFonts w:cs="Times New Roman"/>
          <w:vertAlign w:val="superscript"/>
        </w:rPr>
        <w:t>15</w:t>
      </w:r>
      <w:r w:rsidRPr="00203EB0">
        <w:rPr>
          <w:rFonts w:cs="Times New Roman"/>
        </w:rPr>
        <w:t>N), and δ</w:t>
      </w:r>
      <w:r w:rsidRPr="00203EB0">
        <w:rPr>
          <w:rFonts w:cs="Times New Roman"/>
          <w:vertAlign w:val="superscript"/>
        </w:rPr>
        <w:t>15</w:t>
      </w:r>
      <w:r w:rsidRPr="00203EB0">
        <w:rPr>
          <w:rFonts w:cs="Times New Roman"/>
        </w:rPr>
        <w:t>N</w:t>
      </w:r>
      <w:r w:rsidRPr="00203EB0">
        <w:rPr>
          <w:rFonts w:cs="Times New Roman"/>
          <w:vertAlign w:val="subscript"/>
        </w:rPr>
        <w:t>Other</w:t>
      </w:r>
      <w:r w:rsidRPr="00203EB0">
        <w:rPr>
          <w:rFonts w:cs="Times New Roman"/>
        </w:rPr>
        <w:t xml:space="preserve"> is the δ</w:t>
      </w:r>
      <w:r w:rsidRPr="00203EB0">
        <w:rPr>
          <w:rFonts w:cs="Times New Roman"/>
          <w:vertAlign w:val="superscript"/>
        </w:rPr>
        <w:t>15</w:t>
      </w:r>
      <w:r w:rsidRPr="00203EB0">
        <w:rPr>
          <w:rFonts w:cs="Times New Roman"/>
        </w:rPr>
        <w:t>N in the N</w:t>
      </w:r>
      <w:r w:rsidRPr="00203EB0">
        <w:rPr>
          <w:rFonts w:cs="Times New Roman"/>
          <w:vertAlign w:val="subscript"/>
        </w:rPr>
        <w:t>2</w:t>
      </w:r>
      <w:r w:rsidRPr="00203EB0">
        <w:rPr>
          <w:rFonts w:cs="Times New Roman"/>
        </w:rPr>
        <w:t xml:space="preserve">O produced by the SOM and/or cover crop residues. Since the natural enrichment in </w:t>
      </w:r>
      <w:r w:rsidRPr="00203EB0">
        <w:rPr>
          <w:rFonts w:cs="Times New Roman"/>
          <w:vertAlign w:val="superscript"/>
        </w:rPr>
        <w:t>15</w:t>
      </w:r>
      <w:r w:rsidRPr="00203EB0">
        <w:rPr>
          <w:rFonts w:cs="Times New Roman"/>
        </w:rPr>
        <w:t xml:space="preserve">N between soil and cover crop residues is small compared to the </w:t>
      </w:r>
      <w:r w:rsidRPr="00203EB0">
        <w:rPr>
          <w:rFonts w:cs="Times New Roman"/>
          <w:vertAlign w:val="superscript"/>
        </w:rPr>
        <w:t>15</w:t>
      </w:r>
      <w:r w:rsidRPr="00203EB0">
        <w:rPr>
          <w:rFonts w:cs="Times New Roman"/>
        </w:rPr>
        <w:t>N enrichment in the labelled N fertilizer, the isotopic composition of the N</w:t>
      </w:r>
      <w:r w:rsidRPr="00203EB0">
        <w:rPr>
          <w:rFonts w:cs="Times New Roman"/>
          <w:vertAlign w:val="subscript"/>
        </w:rPr>
        <w:t>2</w:t>
      </w:r>
      <w:r w:rsidRPr="00203EB0">
        <w:rPr>
          <w:rFonts w:cs="Times New Roman"/>
        </w:rPr>
        <w:t xml:space="preserve">O produced by the other sources was assumed to be the value measured in </w:t>
      </w:r>
      <w:proofErr w:type="gramStart"/>
      <w:r w:rsidRPr="00203EB0">
        <w:rPr>
          <w:rFonts w:cs="Times New Roman"/>
        </w:rPr>
        <w:t>the control</w:t>
      </w:r>
      <w:proofErr w:type="gramEnd"/>
      <w:r w:rsidRPr="00203EB0">
        <w:rPr>
          <w:rFonts w:cs="Times New Roman"/>
        </w:rPr>
        <w:t xml:space="preserve"> treatments (T4 and T8).  </w:t>
      </w:r>
    </w:p>
    <w:p w14:paraId="6EF0533C" w14:textId="77777777" w:rsidR="00420795" w:rsidRPr="00203EB0" w:rsidRDefault="00420795" w:rsidP="005316EC">
      <w:pPr>
        <w:pStyle w:val="Heading3"/>
        <w:spacing w:line="480" w:lineRule="auto"/>
      </w:pPr>
      <w:bookmarkStart w:id="54" w:name="_Toc206669125"/>
      <w:r w:rsidRPr="00203EB0">
        <w:t>Soil O</w:t>
      </w:r>
      <w:r w:rsidRPr="00203EB0">
        <w:rPr>
          <w:vertAlign w:val="subscript"/>
        </w:rPr>
        <w:t>2</w:t>
      </w:r>
      <w:r w:rsidRPr="00203EB0">
        <w:t xml:space="preserve"> measurements</w:t>
      </w:r>
      <w:bookmarkEnd w:id="54"/>
      <w:r w:rsidRPr="00203EB0">
        <w:t xml:space="preserve"> </w:t>
      </w:r>
    </w:p>
    <w:p w14:paraId="36945604" w14:textId="3148301D" w:rsidR="00420795" w:rsidRPr="00203EB0" w:rsidRDefault="00420795" w:rsidP="005316EC">
      <w:pPr>
        <w:spacing w:line="480" w:lineRule="auto"/>
        <w:rPr>
          <w:rFonts w:cs="Times New Roman"/>
        </w:rPr>
      </w:pPr>
      <w:r w:rsidRPr="00203EB0">
        <w:rPr>
          <w:rFonts w:cs="Times New Roman"/>
        </w:rPr>
        <w:t>Spatially resolved soil O</w:t>
      </w:r>
      <w:r w:rsidRPr="00203EB0">
        <w:rPr>
          <w:rFonts w:cs="Times New Roman"/>
          <w:vertAlign w:val="subscript"/>
        </w:rPr>
        <w:t>2</w:t>
      </w:r>
      <w:r w:rsidRPr="00203EB0">
        <w:rPr>
          <w:rFonts w:cs="Times New Roman"/>
        </w:rPr>
        <w:t xml:space="preserve"> dynamics, measured as % air saturation, was monitored using planar </w:t>
      </w:r>
      <w:proofErr w:type="spellStart"/>
      <w:r w:rsidRPr="00203EB0">
        <w:rPr>
          <w:rFonts w:cs="Times New Roman"/>
        </w:rPr>
        <w:t>optode</w:t>
      </w:r>
      <w:proofErr w:type="spellEnd"/>
      <w:r w:rsidRPr="00203EB0">
        <w:rPr>
          <w:rFonts w:cs="Times New Roman"/>
        </w:rPr>
        <w:t xml:space="preserve"> technology of </w:t>
      </w:r>
      <w:proofErr w:type="spellStart"/>
      <w:r w:rsidRPr="00203EB0">
        <w:rPr>
          <w:rFonts w:cs="Times New Roman"/>
        </w:rPr>
        <w:t>VisiSensTM</w:t>
      </w:r>
      <w:proofErr w:type="spellEnd"/>
      <w:r w:rsidRPr="00203EB0">
        <w:rPr>
          <w:rFonts w:cs="Times New Roman"/>
        </w:rPr>
        <w:t xml:space="preserve"> A1 system (</w:t>
      </w:r>
      <w:proofErr w:type="spellStart"/>
      <w:r w:rsidRPr="00203EB0">
        <w:rPr>
          <w:rFonts w:cs="Times New Roman"/>
        </w:rPr>
        <w:t>PreSens</w:t>
      </w:r>
      <w:proofErr w:type="spellEnd"/>
      <w:r w:rsidRPr="00203EB0">
        <w:rPr>
          <w:rFonts w:cs="Times New Roman"/>
        </w:rPr>
        <w:t xml:space="preserve"> GmbH, Germany) with a </w:t>
      </w:r>
      <w:r w:rsidRPr="00203EB0">
        <w:rPr>
          <w:rFonts w:cs="Times New Roman"/>
        </w:rPr>
        <w:lastRenderedPageBreak/>
        <w:t>portable detector unit DU01 containing a Universal Serial Bus (USB) microscope</w:t>
      </w:r>
      <w:r w:rsidR="00B505F8"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{"citationItems":[{"id":"ITEM-1","itemData":{"DOI":"10.4319/lom.2011.9.348","ISSN":"15415856","abstract":"A simple, high resolution colormetric planar optode imaging approach is presented. The approach is simple and inexpensive yet versatile, and can be used to study the two-dimensional distribution and dynamics of a range of analytes. The imaging approach utilizes the inbuilt color filter of standard commercial digital single lens reflex cameras to simultaneously record different colors (red, green, and blue) of luminophore emission light using only one excitation light source. Using the ratio between the intensity of the different colors recorded in a single image analyte concentrations can be calculated. The robustness of the approach is documented by obtaining high resolution data of O2 and pH distributions in marine sediments using easy synthesizable sensors. The sensors rely on the platinum(II)octaethylporphyrin (PtOEP) and lipophilic 8-Hydroxy-1,3,6-pyrenetrisulfonic acid trisodium (HPTS) salt derivate for O2 and pH measurements, respectively. The brightness of both indicators is dramatically enhanced by making use of energy transfer from a donor molecule (Macrolex yellow coumarin). Furthermore, the emission from the donor serves as an internal reference for the O2 sensor. The approach relies on semitransparent sensors, facilitating visual inspection of the sediment behind the sensors during measurements. Software for data acquisition and calibration will be available from the authors, whereas all hardware is available from a range of commercial sources. The total cost of the complete measuring system is approximately $3000 US. © 2011, by the American Society of Limnology and Oceanography, Inc.","author":[{"dropping-particle":"","family":"Larsen","given":"Morten","non-dropping-particle":"","parse-names":false,"suffix":""},{"dropping-particle":"","family":"Borisov","given":"Sergey M.","non-dropping-particle":"","parse-names":false,"suffix":""},{"dropping-particle":"","family":"Grunwald","given":"Björn","non-dropping-particle":"","parse-names":false,"suffix":""},{"dropping-particle":"","family":"Klimant","given":"Ingo","non-dropping-particle":"","parse-names":false,"suffix":""},{"dropping-particle":"","family":"Glud","given":"Ronnie N.","non-dropping-particle":"","parse-names":false,"suffix":""}],"container-title":"Limnology and Oceanography: Methods","id":"ITEM-1","issue":"SEP","issued":{"date-parts":[["2011"]]},"page":"348-360","title":"A simple and inexpensive high resolution color ratiometric planar optode imaging approach: Application to oxygen and pH sensing","type":"article-journal","volume":"9"},"uris":["http://www.mendeley.com/documents/?uuid=40d520e2-6571-4ed5-9d29-b559bf6d056a"]},{"id":"ITEM-2","itemData":{"DOI":"10.1111/j.1469-8137.2012.04295.x","ISSN":"10643745","PMID":"28871531","abstract":"Conventional oxygen (micro-) sensors assess oxygen concentration within a particular region or across a transect of tissue, but provide no information regarding its bidimensional distribution. Here, a novel imaging technology is presented, in which an optical sensor foil (i.e., the planar optode) is attached to the surface of the sample. The sensor converts a fluorescent signal into an oxygen value. Since each single image captures an entire area of the sample surface, the system is able to deduce the distribution of oxygen at a resolution level of few micrometers. It can be deployed to dynamically monitor oxygen consumption, thereby providing a detailed respiration map at close to cellular resolution. Here, we demonstrate the application of the imaging tool to developing plant seeds; the protocol is explained step by step and some potential pitfalls are discussed.","author":[{"dropping-particle":"","family":"Tschiersch","given":"Henning","non-dropping-particle":"","parse-names":false,"suffix":""},{"dropping-particle":"","family":"Liebsch","given":"Gregor","non-dropping-particle":"","parse-names":false,"suffix":""},{"dropping-particle":"","family":"Borisjuk","given":"Ljudmilla","non-dropping-particle":"","parse-names":false,"suffix":""},{"dropping-particle":"","family":"Stangelmayer","given":"Achim","non-dropping-particle":"","parse-names":false,"suffix":""},{"dropping-particle":"","family":"Rolletschek","given":"Hardy","non-dropping-particle":"","parse-names":false,"suffix":""}],"container-title":"New Phytologist","id":"ITEM-2","issued":{"date-parts":[["2012"]]},"page":"926–936","title":"An imaging method for oxygen distribution, respiration and photosynthesis at a microscopic level of resolution","type":"article-journal","volume":"196"},"uris":["http://www.mendeley.com/documents/?uuid=a428144e-004a-4d6e-9364-1cabaa6f9464"]},{"id":"ITEM-3","itemData":{"DOI":"10.1016/j.scitotenv.2016.06.252","ISSN":"18791026","PMID":"27575428","abstract":"Fine-scale processes in soils affect large-scale phenomena by controlling mixing and reaction rates, yet technological constraints have hampered the collection of micro-scale kinetic data. As a result, limited information is available on the magnitude of fine-scale biogeochemical rates and their temporal and spatial pattern in response to environmental perturbations. In this work we investigate the spatio-temporal dynamics in oxidative microbial activity and the development of anoxic micro zones (i.e., anoxic hot-spots) at the microscopic level (μm - cm). These analyses rely on novel non-invasive &amp; non-destructive optodes, which are able to capture real-time imaging of oxygen concentrations over time at an interval of twenty seconds. Results showed that labile carbon addition resulted in maximum rates of local metabolic activity within a few minutes (5 to 15) and led to the subsequent formation of anoxic hot-spots. Different areas within a given soil sample presented up to one order of magnitude variation in metabolic rate values. As a result, oxic and anoxic micro-zones coexisted closely. The relationship between oxygen concentrations and heterogeneity of oxidative metabolism resulted in an initial increase in metabolic heterogeneity over time followed by a decrease when anoxic conditions dominated. A similar link was found by comparing metabolic activity and its heterogeneity across a range of soil types. These results demonstrate that the microbial activity and hot-spot development can be monitored by using a non-invasive quantitative imaging system that allows real-time monitoring of spatial oxygen distribution. We conclude that local dynamics of heterogeneity in space and time at the fine-scale present the same functional behavior encountered in most ecosystems at the landscape-scale.","author":[{"dropping-particle":"","family":"Rubol","given":"Simonetta","non-dropping-particle":"","parse-names":false,"suffix":""},{"dropping-particle":"","family":"Dutta","given":"Tanushree","non-dropping-particle":"","parse-names":false,"suffix":""},{"dropping-particle":"","family":"Rocchini","given":"Duccio","non-dropping-particle":"","parse-names":false,"suffix":""}],"container-title":"Science of the Total Environment","id":"ITEM-3","issued":{"date-parts":[["2016"]]},"page":"713-723","publisher":"Elsevier B.V.","title":"2D visualization captures the local heterogeneity of oxidative metabolism across soils from diverse land-use","type":"article-journal","volume":"572"},"uris":["http://www.mendeley.com/documents/?uuid=be2c9b3d-6e89-4041-a8ad-c1cfe4cf118c"]}],"mendeley":{"formattedCitation":"(Larsen et al., 2011; Tschiersch et al., 2012; Rubol et al., 2016)","plainTextFormattedCitation":"(Larsen et al., 2011; Tschiersch et al., 2012; Rubol et al., 2016)","previouslyFormattedCitation":"(Larsen et al., 2011; Tschiersch et al., 2012; Rubol et al., 2016)"},"properties":{"noteIndex":0},"schema":"https://github.com/citation-style-language/schema/raw/master/csl-citation.json"}</w:instrText>
      </w:r>
      <w:r w:rsidRPr="00203EB0">
        <w:rPr>
          <w:rFonts w:cs="Times New Roman"/>
        </w:rPr>
        <w:fldChar w:fldCharType="separate"/>
      </w:r>
      <w:r w:rsidRPr="00203EB0">
        <w:rPr>
          <w:rFonts w:cs="Times New Roman"/>
          <w:noProof/>
        </w:rPr>
        <w:t>(Larsen et al., 2011; Tschiersch et al., 2012; Rubol et al., 2016)</w:t>
      </w:r>
      <w:r w:rsidRPr="00203EB0">
        <w:rPr>
          <w:rFonts w:cs="Times New Roman"/>
        </w:rPr>
        <w:fldChar w:fldCharType="end"/>
      </w:r>
      <w:r w:rsidRPr="00203EB0">
        <w:rPr>
          <w:rFonts w:cs="Times New Roman"/>
        </w:rPr>
        <w:t>. Each incubation core for gas sampling had an O</w:t>
      </w:r>
      <w:r w:rsidRPr="00203EB0">
        <w:rPr>
          <w:rFonts w:cs="Times New Roman"/>
          <w:vertAlign w:val="subscript"/>
        </w:rPr>
        <w:t>2</w:t>
      </w:r>
      <w:r w:rsidRPr="00203EB0">
        <w:rPr>
          <w:rFonts w:cs="Times New Roman"/>
        </w:rPr>
        <w:t xml:space="preserve"> sensor foil (SF-RPSu4) attached to the inner side of the acrylic liner wall throughout the length of the 10-cm soil column that allowed the high-resolution 2-D </w:t>
      </w:r>
      <w:proofErr w:type="gramStart"/>
      <w:r w:rsidRPr="00203EB0">
        <w:rPr>
          <w:rFonts w:cs="Times New Roman"/>
        </w:rPr>
        <w:t>imaging</w:t>
      </w:r>
      <w:proofErr w:type="gramEnd"/>
      <w:r w:rsidRPr="00203EB0">
        <w:rPr>
          <w:rFonts w:cs="Times New Roman"/>
        </w:rPr>
        <w:t xml:space="preserve"> of soil O</w:t>
      </w:r>
      <w:r w:rsidRPr="00203EB0">
        <w:rPr>
          <w:rFonts w:cs="Times New Roman"/>
          <w:vertAlign w:val="subscript"/>
        </w:rPr>
        <w:t>2</w:t>
      </w:r>
      <w:r w:rsidRPr="00203EB0">
        <w:rPr>
          <w:rFonts w:cs="Times New Roman"/>
        </w:rPr>
        <w:t xml:space="preserve"> saturation. Briefly, the O</w:t>
      </w:r>
      <w:r w:rsidRPr="00203EB0">
        <w:rPr>
          <w:rFonts w:cs="Times New Roman"/>
          <w:vertAlign w:val="subscript"/>
        </w:rPr>
        <w:t>2</w:t>
      </w:r>
      <w:r w:rsidRPr="00203EB0">
        <w:rPr>
          <w:rFonts w:cs="Times New Roman"/>
        </w:rPr>
        <w:t xml:space="preserve"> sensor foil contains fluorescent dyes sensitive to soil O</w:t>
      </w:r>
      <w:r w:rsidRPr="00203EB0">
        <w:rPr>
          <w:rFonts w:cs="Times New Roman"/>
          <w:vertAlign w:val="subscript"/>
        </w:rPr>
        <w:t xml:space="preserve">2 </w:t>
      </w:r>
      <w:r w:rsidRPr="00203EB0">
        <w:rPr>
          <w:rFonts w:cs="Times New Roman"/>
        </w:rPr>
        <w:t>concentration that, when exposed to the LED light from the detector unit, emit fluorescence of specific wavelengths that are captured by the microscope, which translates the data into color images. The images were taken immediately after gas sampling and under dark conditions. Prior to starting the measurements, calibration was performed with identical ambient and temperature conditions as experimental readings. Calibration was performed using a two-point calibration method as recommended by the manufacture´s instruction manual, where a solution of oxygen-free water (0% air saturation) was used as first calibration point and ambient air (100% air saturation) was used as second calibration point. Three images were captured in each acrylic liner by placing the detector in the sensor foil at 0 to 3, 3 to 6 and 6 to 9 cm respectively, to ensure the measurement of real-time high resolution spatial distribution of O</w:t>
      </w:r>
      <w:r w:rsidRPr="00203EB0">
        <w:rPr>
          <w:rFonts w:cs="Times New Roman"/>
          <w:vertAlign w:val="subscript"/>
        </w:rPr>
        <w:t xml:space="preserve">2 </w:t>
      </w:r>
      <w:r w:rsidRPr="00203EB0">
        <w:rPr>
          <w:rFonts w:cs="Times New Roman"/>
        </w:rPr>
        <w:t xml:space="preserve">along the soil profile. Image processing was performed using </w:t>
      </w:r>
      <w:proofErr w:type="spellStart"/>
      <w:r w:rsidRPr="00203EB0">
        <w:rPr>
          <w:rFonts w:cs="Times New Roman"/>
        </w:rPr>
        <w:t>ViSiens</w:t>
      </w:r>
      <w:proofErr w:type="spellEnd"/>
      <w:r w:rsidRPr="00203EB0">
        <w:rPr>
          <w:rFonts w:cs="Times New Roman"/>
        </w:rPr>
        <w:t xml:space="preserve"> Imaging System Software (version VA1.12). A description of the measurement setup is provided in</w:t>
      </w:r>
      <w:r w:rsidR="000C6796" w:rsidRPr="00203EB0">
        <w:rPr>
          <w:rFonts w:cs="Times New Roman"/>
        </w:rPr>
        <w:t xml:space="preserve"> </w:t>
      </w:r>
      <w:r w:rsidRPr="00203EB0">
        <w:rPr>
          <w:rFonts w:cs="Times New Roman"/>
          <w:b/>
        </w:rPr>
        <w:t>Fig</w:t>
      </w:r>
      <w:r w:rsidR="000C6796" w:rsidRPr="00203EB0">
        <w:rPr>
          <w:rFonts w:cs="Times New Roman"/>
          <w:b/>
        </w:rPr>
        <w:t>ure</w:t>
      </w:r>
      <w:r w:rsidRPr="00203EB0">
        <w:rPr>
          <w:rFonts w:cs="Times New Roman"/>
          <w:b/>
        </w:rPr>
        <w:t xml:space="preserve"> </w:t>
      </w:r>
      <w:r w:rsidR="000C6796" w:rsidRPr="00203EB0">
        <w:rPr>
          <w:rFonts w:cs="Times New Roman"/>
          <w:b/>
        </w:rPr>
        <w:t>4.1</w:t>
      </w:r>
      <w:r w:rsidRPr="00203EB0">
        <w:rPr>
          <w:rFonts w:cs="Times New Roman"/>
        </w:rPr>
        <w:t xml:space="preserve">. For a more detailed description refer to </w:t>
      </w:r>
      <w:proofErr w:type="spellStart"/>
      <w:r w:rsidRPr="00203EB0">
        <w:rPr>
          <w:rFonts w:cs="Times New Roman"/>
        </w:rPr>
        <w:t>Keiluweit</w:t>
      </w:r>
      <w:proofErr w:type="spellEnd"/>
      <w:r w:rsidRPr="00203EB0">
        <w:rPr>
          <w:rFonts w:cs="Times New Roman"/>
        </w:rPr>
        <w:t xml:space="preserve"> et al.</w:t>
      </w:r>
      <w:r w:rsidRPr="00203EB0">
        <w:rPr>
          <w:rFonts w:cs="Times New Roman"/>
        </w:rPr>
        <w:fldChar w:fldCharType="begin" w:fldLock="1"/>
      </w:r>
      <w:r w:rsidR="00EB2F35" w:rsidRPr="00203EB0">
        <w:rPr>
          <w:rFonts w:cs="Times New Roman"/>
        </w:rPr>
        <w:instrText>ADDIN CSL_CITATION {"citationItems":[{"id":"ITEM-1","itemData":{"DOI":"10.1016/j.soilbio.2017.12.002","ISSN":"00380717","abstract":"Recent evidence suggests that oxygen limitations are a critical regulator of soil organic matter mineralization rates, even within seemingly well-drained upland soils. Oxygen limitations may arise in otherwise well-aerated soils when oxygen consumption (via microbial respiration) in soil microsites outpaces oxygen supply (through diffusion). Due to analytical limitations, attempts to parameterize oxygen limitations in models have so far been limited to measures of bulk oxygen concentrations or cm-scale gradients within larger soil structural units (e.g., aggregates or peds). Smaller anoxic microsites may thus have gone undetected, limiting our ability to accurately model and predict anoxic pore volume. Here we quantify the extent of anoxic microsites in soils held at moderate moisture and identify the soil properties that dictate their formation and persistence. Using a planar optode imaging system, we monitored oxygen dynamics during incubations of a range of soils spanning natural and artificial gradients in texture and organic matter availability. While bulk oxygen concentrations ranged from 40 to 100% of saturation, we observed significant micro-scale variability resulting in the formation of anoxic microsites, here defined as soil spaces showing less than 5% saturation. Anoxic microsites comprised 2 and 9% of the total soil volume, or 14–85% of the total pore volume. Bulk oxygen concentrations showed a strong negative correlation with bioavailable organic matter, presumably due to its influence on microbial oxygen consumption. In contrast, the extent of anoxic microsites was negatively correlated to clay content, an effect attributed to limited oxygen supply in clay-rich microstructures. Our results demonstrate that texture-dependent diffusion limitations at moderate moisture conditions cause an abundance of anoxic domains, not only in cm-sized macro-aggregates as current modeling approaches assume, but also within micro-aggregates. Anoxic domain size within these microstructures is at least partially decoupled from bulk oxygen concentrations, challenging the use of bulk oxygen concentrations for predicting microbially available oxygen levels and resulting OM mineralization rates and pathways in upland soils.","author":[{"dropping-particle":"","family":"Keiluweit","given":"Marco","non-dropping-particle":"","parse-names":false,"suffix":""},{"dropping-particle":"","family":"Gee","given":"Kaitlyn","non-dropping-particle":"","parse-names":false,"suffix":""},{"dropping-particle":"","family":"Denney","given":"Amanda","non-dropping-particle":"","parse-names":false,"suffix":""},{"dropping-particle":"","family":"Fendorf","given":"Scott","non-dropping-particle":"","parse-names":false,"suffix":""}],"container-title":"Soil Biology and Biochemistry","id":"ITEM-1","issue":"November 2017","issued":{"date-parts":[["2018"]]},"page":"42-50","publisher":"Elsevier","title":"Anoxic microsites in upland soils dominantly controlled by clay content","type":"article-journal","volume":"118"},"uris":["http://www.mendeley.com/documents/?uuid=0b60f52e-38d4-4aa5-ba58-35025b407eb3"]}],"mendeley":{"formattedCitation":"(Keiluweit et al., 2018)","manualFormatting":"(2018)","plainTextFormattedCitation":"(Keiluweit et al., 2018)","previouslyFormattedCitation":"(Keiluweit et al., 2018)"},"properties":{"noteIndex":0},"schema":"https://github.com/citation-style-language/schema/raw/master/csl-citation.json"}</w:instrText>
      </w:r>
      <w:r w:rsidRPr="00203EB0">
        <w:rPr>
          <w:rFonts w:cs="Times New Roman"/>
        </w:rPr>
        <w:fldChar w:fldCharType="separate"/>
      </w:r>
      <w:r w:rsidR="001C08B2" w:rsidRPr="00203EB0">
        <w:rPr>
          <w:rFonts w:cs="Times New Roman"/>
          <w:noProof/>
        </w:rPr>
        <w:t>(</w:t>
      </w:r>
      <w:r w:rsidRPr="00203EB0">
        <w:rPr>
          <w:rFonts w:cs="Times New Roman"/>
          <w:noProof/>
        </w:rPr>
        <w:t>2018)</w:t>
      </w:r>
      <w:r w:rsidRPr="00203EB0">
        <w:rPr>
          <w:rFonts w:cs="Times New Roman"/>
        </w:rPr>
        <w:fldChar w:fldCharType="end"/>
      </w:r>
      <w:r w:rsidRPr="00203EB0">
        <w:rPr>
          <w:rFonts w:cs="Times New Roman"/>
        </w:rPr>
        <w:t xml:space="preserve">. </w:t>
      </w:r>
    </w:p>
    <w:p w14:paraId="73B4A17B" w14:textId="6662DE03" w:rsidR="00420795" w:rsidRPr="00203EB0" w:rsidRDefault="00420795" w:rsidP="00420795">
      <w:pPr>
        <w:spacing w:line="480" w:lineRule="auto"/>
        <w:rPr>
          <w:rFonts w:cs="Times New Roman"/>
        </w:rPr>
      </w:pPr>
      <w:r w:rsidRPr="00203EB0">
        <w:rPr>
          <w:rFonts w:cs="Times New Roman"/>
        </w:rPr>
        <w:t>Based on O</w:t>
      </w:r>
      <w:r w:rsidRPr="00203EB0">
        <w:rPr>
          <w:rFonts w:cs="Times New Roman"/>
          <w:vertAlign w:val="subscript"/>
        </w:rPr>
        <w:t xml:space="preserve">2 </w:t>
      </w:r>
      <w:r w:rsidRPr="00203EB0">
        <w:rPr>
          <w:rFonts w:cs="Times New Roman"/>
        </w:rPr>
        <w:t>content, soils O</w:t>
      </w:r>
      <w:r w:rsidRPr="00203EB0">
        <w:rPr>
          <w:rFonts w:cs="Times New Roman"/>
          <w:vertAlign w:val="subscript"/>
        </w:rPr>
        <w:t>2</w:t>
      </w:r>
      <w:r w:rsidRPr="00203EB0">
        <w:rPr>
          <w:rFonts w:cs="Times New Roman"/>
        </w:rPr>
        <w:t xml:space="preserve"> can be categorized into three groups as in Wang et al.</w:t>
      </w:r>
      <w:r w:rsidRPr="00203EB0">
        <w:rPr>
          <w:rFonts w:cs="Times New Roman"/>
        </w:rPr>
        <w:fldChar w:fldCharType="begin" w:fldLock="1"/>
      </w:r>
      <w:r w:rsidR="00DA3A53">
        <w:rPr>
          <w:rFonts w:cs="Times New Roman"/>
        </w:rPr>
        <w:instrText>ADDIN CSL_CITATION {"citationItems":[{"id":"ITEM-1","itemData":{"DOI":"10.1038/s41598-021-86026-3","ISBN":"4159802186026","ISSN":"2045-2322","author":[{"dropping-particle":"","family":"Wang","given":"Chen","non-dropping-particle":"","parse-names":false,"suffix":""},{"dropping-particle":"","family":"Ma","given":"Xuehong","non-dropping-particle":"","parse-names":false,"suffix":""},{"dropping-particle":"","family":"Wang","given":"Gang","non-dropping-particle":"","parse-names":false,"suffix":""},{"dropping-particle":"","family":"Li","given":"Guitong","non-dropping-particle":"","parse-names":false,"suffix":""},{"dropping-particle":"","family":"Zhu","given":"Kun","non-dropping-particle":"","parse-names":false,"suffix":""}],"container-title":"Scientific Reports","id":"ITEM-1","issue":"0123456789","issued":{"date-parts":[["2021"]]},"page":"1-13","publisher":"Nature Publishing Group UK","title":"Implication of ­ O2 dynamics CH4 emissions for both ­ N2O and ­ from soil during biological soil disinfestation","type":"article-journal"},"uris":["http://www.mendeley.com/documents/?uuid=13d17f87-b29a-445f-bf25-9ea6db30065f"]}],"mendeley":{"formattedCitation":"(Wang et al., 2021b)","manualFormatting":"(2021)","plainTextFormattedCitation":"(Wang et al., 2021b)","previouslyFormattedCitation":"(Wang et al., 2021b)"},"properties":{"noteIndex":0},"schema":"https://github.com/citation-style-language/schema/raw/master/csl-citation.json"}</w:instrText>
      </w:r>
      <w:r w:rsidRPr="00203EB0">
        <w:rPr>
          <w:rFonts w:cs="Times New Roman"/>
        </w:rPr>
        <w:fldChar w:fldCharType="separate"/>
      </w:r>
      <w:r w:rsidR="001C08B2" w:rsidRPr="00203EB0">
        <w:rPr>
          <w:rFonts w:cs="Times New Roman"/>
          <w:noProof/>
        </w:rPr>
        <w:t>(</w:t>
      </w:r>
      <w:r w:rsidRPr="00203EB0">
        <w:rPr>
          <w:rFonts w:cs="Times New Roman"/>
          <w:noProof/>
        </w:rPr>
        <w:t>2021)</w:t>
      </w:r>
      <w:r w:rsidRPr="00203EB0">
        <w:rPr>
          <w:rFonts w:cs="Times New Roman"/>
        </w:rPr>
        <w:fldChar w:fldCharType="end"/>
      </w:r>
      <w:r w:rsidRPr="00203EB0">
        <w:rPr>
          <w:rFonts w:cs="Times New Roman"/>
        </w:rPr>
        <w:t xml:space="preserve">: </w:t>
      </w:r>
      <w:proofErr w:type="spellStart"/>
      <w:r w:rsidRPr="00203EB0">
        <w:rPr>
          <w:rFonts w:cs="Times New Roman"/>
        </w:rPr>
        <w:t>oxic</w:t>
      </w:r>
      <w:proofErr w:type="spellEnd"/>
      <w:r w:rsidRPr="00203EB0">
        <w:rPr>
          <w:rFonts w:cs="Times New Roman"/>
        </w:rPr>
        <w:t xml:space="preserve"> (&gt; 2.00 mg L</w:t>
      </w:r>
      <w:r w:rsidRPr="00203EB0">
        <w:rPr>
          <w:rFonts w:cs="Times New Roman"/>
          <w:vertAlign w:val="superscript"/>
        </w:rPr>
        <w:t>-1</w:t>
      </w:r>
      <w:r w:rsidRPr="00203EB0">
        <w:rPr>
          <w:rFonts w:cs="Times New Roman"/>
        </w:rPr>
        <w:t>, equivalent air saturation &gt; 22.5%), hypoxic (0.14 to 2.00 mg L</w:t>
      </w:r>
      <w:r w:rsidRPr="00203EB0">
        <w:rPr>
          <w:rFonts w:cs="Times New Roman"/>
          <w:vertAlign w:val="superscript"/>
        </w:rPr>
        <w:t>-1</w:t>
      </w:r>
      <w:r w:rsidRPr="00203EB0">
        <w:rPr>
          <w:rFonts w:cs="Times New Roman"/>
        </w:rPr>
        <w:t xml:space="preserve">, </w:t>
      </w:r>
      <w:r w:rsidRPr="00203EB0">
        <w:rPr>
          <w:rFonts w:cs="Times New Roman"/>
        </w:rPr>
        <w:lastRenderedPageBreak/>
        <w:t>equivalent air saturation 1.6 to 22.5%) and anoxic (</w:t>
      </w:r>
      <w:r w:rsidRPr="00203EB0">
        <w:rPr>
          <w:rFonts w:cs="Times New Roman"/>
          <w:shd w:val="clear" w:color="auto" w:fill="FFFFFF"/>
        </w:rPr>
        <w:t xml:space="preserve">&lt; </w:t>
      </w:r>
      <w:r w:rsidRPr="00203EB0">
        <w:rPr>
          <w:rFonts w:cs="Times New Roman"/>
        </w:rPr>
        <w:t>0.14 mg L</w:t>
      </w:r>
      <w:r w:rsidRPr="00203EB0">
        <w:rPr>
          <w:rFonts w:cs="Times New Roman"/>
          <w:vertAlign w:val="superscript"/>
        </w:rPr>
        <w:t>-1</w:t>
      </w:r>
      <w:r w:rsidRPr="00203EB0">
        <w:rPr>
          <w:rFonts w:cs="Times New Roman"/>
        </w:rPr>
        <w:t xml:space="preserve">, equivalent air saturation </w:t>
      </w:r>
      <w:r w:rsidRPr="00203EB0">
        <w:rPr>
          <w:rFonts w:cs="Times New Roman"/>
          <w:shd w:val="clear" w:color="auto" w:fill="FFFFFF"/>
        </w:rPr>
        <w:t>&lt;</w:t>
      </w:r>
      <w:r w:rsidRPr="00203EB0">
        <w:rPr>
          <w:rFonts w:cs="Times New Roman"/>
        </w:rPr>
        <w:t xml:space="preserve"> 22.5%) conditions.</w:t>
      </w:r>
    </w:p>
    <w:p w14:paraId="0A7765E0" w14:textId="7B8B5B04" w:rsidR="00420795" w:rsidRPr="00203EB0" w:rsidRDefault="00420795" w:rsidP="00BE089A">
      <w:pPr>
        <w:pStyle w:val="Heading3"/>
        <w:spacing w:line="480" w:lineRule="auto"/>
      </w:pPr>
      <w:bookmarkStart w:id="55" w:name="_Toc206669126"/>
      <w:r w:rsidRPr="00203EB0">
        <w:t>Soil analysis</w:t>
      </w:r>
      <w:bookmarkEnd w:id="55"/>
    </w:p>
    <w:p w14:paraId="334E7056" w14:textId="284DF597" w:rsidR="00420795" w:rsidRPr="00203EB0" w:rsidRDefault="00420795" w:rsidP="00BE089A">
      <w:pPr>
        <w:spacing w:line="480" w:lineRule="auto"/>
        <w:rPr>
          <w:rFonts w:cs="Times New Roman"/>
        </w:rPr>
      </w:pPr>
      <w:r w:rsidRPr="00203EB0">
        <w:rPr>
          <w:rFonts w:cs="Times New Roman"/>
        </w:rPr>
        <w:t>On days 2, 7, 11, 16, and 21, soil cores were destructively sampled and analyzed for soil inorganic N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cs="Times New Roman"/>
          <w:vertAlign w:val="superscript"/>
        </w:rPr>
        <w:t xml:space="preserve"> </w:t>
      </w:r>
      <w:r w:rsidRPr="00203EB0">
        <w:rPr>
          <w:rFonts w:cs="Times New Roman"/>
        </w:rPr>
        <w:t xml:space="preserve">and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content by 2M KCl extraction </w:t>
      </w:r>
      <w:r w:rsidRPr="00203EB0">
        <w:rPr>
          <w:rFonts w:cs="Times New Roman"/>
        </w:rPr>
        <w:fldChar w:fldCharType="begin" w:fldLock="1"/>
      </w:r>
      <w:r w:rsidR="00EB2F35" w:rsidRPr="00203EB0">
        <w:rPr>
          <w:rFonts w:cs="Times New Roman"/>
        </w:rPr>
        <w:instrText>ADDIN CSL_CITATION {"citationItems":[{"id":"ITEM-1","itemData":{"DOI":"10.1081/AL-120024647","ISSN":"00032719","abstract":"A spectrophotometric procedure for determination of nitrate in water, soil extracts, and a variety of other sample types is described using one reagent solution which is easily prepared and stored. Sample and equipment requirements are minimal. Reduced chemical hazard, simplicity, and versatility represent improvements over existing methods. Limit of detection is 0.01 μg N mL -1 (0.72 μM NO3-) or less, depending on the matrix.","author":[{"dropping-particle":"","family":"Doane","given":"Timothy A.","non-dropping-particle":"","parse-names":false,"suffix":""},{"dropping-particle":"","family":"Horwáth","given":"William R.","non-dropping-particle":"","parse-names":false,"suffix":""}],"container-title":"Analytical Letters","id":"ITEM-1","issue":"12","issued":{"date-parts":[["2003"]]},"page":"2713-2722","title":"Spectrophotometric determination of nitrate with a single reagent","type":"article-journal","volume":"36"},"uris":["http://www.mendeley.com/documents/?uuid=ce5d9156-97fe-44c1-a3f8-43c21a16defb"]},{"id":"ITEM-2","itemData":{"author":[{"dropping-particle":"","family":"Forster","given":"JC","non-dropping-particle":"","parse-names":false,"suffix":""}],"container-title":"Methods in Applied Soil Microbiology and Biochemistry","editor":[{"dropping-particle":"","family":"Alef","given":"K","non-dropping-particle":"","parse-names":false,"suffix":""},{"dropping-particle":"","family":"Nannipieri","given":"P","non-dropping-particle":"","parse-names":false,"suffix":""}],"id":"ITEM-2","issued":{"date-parts":[["1995"]]},"page":"79-87","publisher":"Academic Press","publisher-place":"San Diego","title":"Soil nitrogen","type":"chapter"},"uris":["http://www.mendeley.com/documents/?uuid=62cf468d-bcdf-4416-8c5e-2bea12ea24d7"]}],"mendeley":{"formattedCitation":"(Forster, 1995; Doane and Horwáth, 2003)","plainTextFormattedCitation":"(Forster, 1995; Doane and Horwáth, 2003)","previouslyFormattedCitation":"(Forster, 1995; Doane and Horwáth, 2003)"},"properties":{"noteIndex":0},"schema":"https://github.com/citation-style-language/schema/raw/master/csl-citation.json"}</w:instrText>
      </w:r>
      <w:r w:rsidRPr="00203EB0">
        <w:rPr>
          <w:rFonts w:cs="Times New Roman"/>
        </w:rPr>
        <w:fldChar w:fldCharType="separate"/>
      </w:r>
      <w:r w:rsidRPr="00203EB0">
        <w:rPr>
          <w:rFonts w:cs="Times New Roman"/>
          <w:noProof/>
        </w:rPr>
        <w:t>(Forster, 1995; Doane and Horwáth, 2003)</w:t>
      </w:r>
      <w:r w:rsidRPr="00203EB0">
        <w:rPr>
          <w:rFonts w:cs="Times New Roman"/>
        </w:rPr>
        <w:fldChar w:fldCharType="end"/>
      </w:r>
      <w:r w:rsidRPr="00203EB0">
        <w:rPr>
          <w:rFonts w:cs="Times New Roman"/>
        </w:rPr>
        <w:t xml:space="preserve"> and permanganate oxidizable C (POXC) </w:t>
      </w:r>
      <w:r w:rsidRPr="00203EB0">
        <w:rPr>
          <w:rFonts w:cs="Times New Roman"/>
        </w:rPr>
        <w:fldChar w:fldCharType="begin" w:fldLock="1"/>
      </w:r>
      <w:r w:rsidR="00EB2F35" w:rsidRPr="00203EB0">
        <w:rPr>
          <w:rFonts w:cs="Times New Roman"/>
        </w:rPr>
        <w:instrText>ADDIN CSL_CITATION {"citationItems":[{"id":"ITEM-1","itemData":{"ISBN":"08891893","ISSN":"08891893","author":[{"dropping-particle":"","family":"Weil","given":"Ray R.","non-dropping-particle":"","parse-names":false,"suffix":""},{"dropping-particle":"","family":"Islam","given":"Kandikar R.","non-dropping-particle":"","parse-names":false,"suffix":""},{"dropping-particle":"","family":"Stine","given":"Melissa A.","non-dropping-particle":"","parse-names":false,"suffix":""},{"dropping-particle":"","family":"Gruver","given":"Joel B.","non-dropping-particle":"","parse-names":false,"suffix":""},{"dropping-particle":"","family":"Samson-Liebig","given":"Susan E.","non-dropping-particle":"","parse-names":false,"suffix":""}],"container-title":"American Journal of Alternative Agriculture","id":"ITEM-1","issue":"1","issued":{"date-parts":[["2003"]]},"page":"1-17","title":"Estimating active carbon for soil quality assessment: A simplified method for laboratory and field use","type":"article-journal","volume":"18"},"uris":["http://www.mendeley.com/documents/?uuid=a3a809c5-8e3c-438d-9349-5dbff7908f9c"]}],"mendeley":{"formattedCitation":"(Weil et al., 2003)","plainTextFormattedCitation":"(Weil et al., 2003)","previouslyFormattedCitation":"(Weil et al., 2003)"},"properties":{"noteIndex":0},"schema":"https://github.com/citation-style-language/schema/raw/master/csl-citation.json"}</w:instrText>
      </w:r>
      <w:r w:rsidRPr="00203EB0">
        <w:rPr>
          <w:rFonts w:cs="Times New Roman"/>
        </w:rPr>
        <w:fldChar w:fldCharType="separate"/>
      </w:r>
      <w:r w:rsidRPr="00203EB0">
        <w:rPr>
          <w:rFonts w:cs="Times New Roman"/>
          <w:noProof/>
        </w:rPr>
        <w:t>(Weil et al., 2003)</w:t>
      </w:r>
      <w:r w:rsidRPr="00203EB0">
        <w:rPr>
          <w:rFonts w:cs="Times New Roman"/>
        </w:rPr>
        <w:fldChar w:fldCharType="end"/>
      </w:r>
      <w:r w:rsidRPr="00203EB0">
        <w:rPr>
          <w:rFonts w:cs="Times New Roman"/>
        </w:rPr>
        <w:t>.</w:t>
      </w:r>
    </w:p>
    <w:p w14:paraId="5197C861" w14:textId="1A449A3E" w:rsidR="00420795" w:rsidRPr="00203EB0" w:rsidRDefault="00420795" w:rsidP="00BE089A">
      <w:pPr>
        <w:pStyle w:val="Heading3"/>
        <w:spacing w:line="480" w:lineRule="auto"/>
      </w:pPr>
      <w:bookmarkStart w:id="56" w:name="_Toc206669127"/>
      <w:r w:rsidRPr="00203EB0">
        <w:t xml:space="preserve">Statistical </w:t>
      </w:r>
      <w:r w:rsidR="003B42F1" w:rsidRPr="00203EB0">
        <w:t>analysis</w:t>
      </w:r>
      <w:bookmarkEnd w:id="56"/>
    </w:p>
    <w:p w14:paraId="3BCD1146" w14:textId="5D5CF53A" w:rsidR="00420795" w:rsidRPr="00203EB0" w:rsidRDefault="00420795" w:rsidP="00BE089A">
      <w:pPr>
        <w:spacing w:line="480" w:lineRule="auto"/>
        <w:rPr>
          <w:rFonts w:cs="Times New Roman"/>
        </w:rPr>
      </w:pPr>
      <w:r w:rsidRPr="00203EB0">
        <w:rPr>
          <w:rFonts w:cs="Times New Roman"/>
        </w:rPr>
        <w:t>Statistical analys</w:t>
      </w:r>
      <w:r w:rsidR="00BF4F9E" w:rsidRPr="00203EB0">
        <w:rPr>
          <w:rFonts w:cs="Times New Roman"/>
        </w:rPr>
        <w:t>i</w:t>
      </w:r>
      <w:r w:rsidRPr="00203EB0">
        <w:rPr>
          <w:rFonts w:cs="Times New Roman"/>
        </w:rPr>
        <w:t>s were conducted using R statistical software version 4.3.0 (2023)</w:t>
      </w:r>
      <w:r w:rsidR="00B505F8"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{"citationItems":[{"id":"ITEM-1","itemData":{"author":[{"dropping-particle":"","family":"R Core Team","given":"R","non-dropping-particle":"","parse-names":false,"suffix":""}],"id":"ITEM-1","issued":{"date-parts":[["2013"]]},"title":"R: A language and environment for statistical computing","type":"article-journal"},"uris":["http://www.mendeley.com/documents/?uuid=89a16fed-3ee8-4adf-a475-c575ac62d613"]}],"mendeley":{"formattedCitation":"(R Core Team, 2013)","plainTextFormattedCitation":"(R Core Team, 2013)","previouslyFormattedCitation":"(R Core Team, 2013)"},"properties":{"noteIndex":0},"schema":"https://github.com/citation-style-language/schema/raw/master/csl-citation.json"}</w:instrText>
      </w:r>
      <w:r w:rsidRPr="00203EB0">
        <w:rPr>
          <w:rFonts w:cs="Times New Roman"/>
        </w:rPr>
        <w:fldChar w:fldCharType="separate"/>
      </w:r>
      <w:r w:rsidRPr="00203EB0">
        <w:rPr>
          <w:rFonts w:cs="Times New Roman"/>
          <w:noProof/>
        </w:rPr>
        <w:t>(R Core Team, 2013)</w:t>
      </w:r>
      <w:r w:rsidRPr="00203EB0">
        <w:rPr>
          <w:rFonts w:cs="Times New Roman"/>
        </w:rPr>
        <w:fldChar w:fldCharType="end"/>
      </w:r>
      <w:r w:rsidRPr="00203EB0">
        <w:rPr>
          <w:rFonts w:cs="Times New Roman"/>
        </w:rPr>
        <w:t xml:space="preserve"> with a significance level set at </w:t>
      </w:r>
      <w:r w:rsidRPr="00203EB0">
        <w:rPr>
          <w:rFonts w:cs="Times New Roman"/>
          <w:i/>
        </w:rPr>
        <w:t>p</w:t>
      </w:r>
      <w:r w:rsidRPr="00203EB0">
        <w:rPr>
          <w:rFonts w:cs="Times New Roman"/>
        </w:rPr>
        <w:t xml:space="preserve"> &lt; 0.05. The ANOVA model included treatments (a combination of cover crop, N fertilization, and WFPS content) as fixed effects, and block as a random effect. Following significant ANOVA results, Tukey´s honest significant difference (HSD) test was performed to compare treatments for cumulative CO</w:t>
      </w:r>
      <w:r w:rsidRPr="00203EB0">
        <w:rPr>
          <w:rFonts w:cs="Times New Roman"/>
          <w:vertAlign w:val="subscript"/>
        </w:rPr>
        <w:t>2</w:t>
      </w:r>
      <w:r w:rsidRPr="00203EB0">
        <w:rPr>
          <w:rFonts w:cs="Times New Roman"/>
        </w:rPr>
        <w:t xml:space="preserve"> and N</w:t>
      </w:r>
      <w:r w:rsidRPr="00203EB0">
        <w:rPr>
          <w:rFonts w:cs="Times New Roman"/>
          <w:vertAlign w:val="subscript"/>
        </w:rPr>
        <w:t>2</w:t>
      </w:r>
      <w:r w:rsidRPr="00203EB0">
        <w:rPr>
          <w:rFonts w:cs="Times New Roman"/>
        </w:rPr>
        <w:t>O emissions, as well as soil O</w:t>
      </w:r>
      <w:r w:rsidRPr="00203EB0">
        <w:rPr>
          <w:rFonts w:cs="Times New Roman"/>
          <w:vertAlign w:val="subscript"/>
        </w:rPr>
        <w:t>2</w:t>
      </w:r>
      <w:r w:rsidRPr="00203EB0">
        <w:rPr>
          <w:rFonts w:cs="Times New Roman"/>
        </w:rPr>
        <w:t xml:space="preserve">,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cs="Times New Roman"/>
          <w:vertAlign w:val="subscript"/>
        </w:rPr>
        <w:t xml:space="preserve"> </w:t>
      </w:r>
      <w:r w:rsidRPr="00203EB0">
        <w:rPr>
          <w:rFonts w:cs="Times New Roman"/>
        </w:rPr>
        <w:t xml:space="preserve">,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 and POXC concentrations. Data were transformed using Box-Cox, logistic, or square root transformations, as appropriate, to meet the assumptions of normality and homoscedasticity. Throughout the paper, the error terms reported are the mean standard errors. </w:t>
      </w:r>
    </w:p>
    <w:p w14:paraId="001B7605" w14:textId="7882541E" w:rsidR="000C6796" w:rsidRDefault="00420795" w:rsidP="00420795">
      <w:pPr>
        <w:spacing w:line="480" w:lineRule="auto"/>
        <w:rPr>
          <w:rFonts w:cs="Times New Roman"/>
        </w:rPr>
      </w:pPr>
      <w:r w:rsidRPr="00203EB0">
        <w:rPr>
          <w:rFonts w:cs="Times New Roman"/>
        </w:rPr>
        <w:t>Random Forest regression model</w:t>
      </w:r>
      <w:r w:rsidR="00B505F8"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{"citationItems":[{"id":"ITEM-1","itemData":{"DOI":"10.1007/978-3-030-62008-0_35","ISBN":"9783030620073","ISSN":"16113349","author":[{"dropping-particle":"","family":"Breiman","given":"Leo","non-dropping-particle":"","parse-names":false,"suffix":""}],"container-title":"Machine Learning","id":"ITEM-1","issue":"45","issued":{"date-parts":[["2001"]]},"page":"5-32","title":"Random Forests","type":"article-journal","volume":"45"},"uris":["http://www.mendeley.com/documents/?uuid=66c32ef7-3114-4075-bae9-2d874f19d9b7"]}],"mendeley":{"formattedCitation":"(Breiman, 2001)","plainTextFormattedCitation":"(Breiman, 2001)","previouslyFormattedCitation":"(Breiman, 2001)"},"properties":{"noteIndex":0},"schema":"https://github.com/citation-style-language/schema/raw/master/csl-citation.json"}</w:instrText>
      </w:r>
      <w:r w:rsidRPr="00203EB0">
        <w:rPr>
          <w:rFonts w:cs="Times New Roman"/>
        </w:rPr>
        <w:fldChar w:fldCharType="separate"/>
      </w:r>
      <w:r w:rsidRPr="00203EB0">
        <w:rPr>
          <w:rFonts w:cs="Times New Roman"/>
          <w:noProof/>
        </w:rPr>
        <w:t>(Breiman, 2001)</w:t>
      </w:r>
      <w:r w:rsidRPr="00203EB0">
        <w:rPr>
          <w:rFonts w:cs="Times New Roman"/>
        </w:rPr>
        <w:fldChar w:fldCharType="end"/>
      </w:r>
      <w:r w:rsidRPr="00203EB0">
        <w:rPr>
          <w:rFonts w:cs="Times New Roman"/>
        </w:rPr>
        <w:t xml:space="preserve"> was used to understand the differential controls of N</w:t>
      </w:r>
      <w:r w:rsidRPr="00203EB0">
        <w:rPr>
          <w:rFonts w:cs="Times New Roman"/>
          <w:vertAlign w:val="subscript"/>
        </w:rPr>
        <w:t>2</w:t>
      </w:r>
      <w:r w:rsidRPr="00203EB0">
        <w:rPr>
          <w:rFonts w:cs="Times New Roman"/>
        </w:rPr>
        <w:t xml:space="preserve">O emissions under 50% and 80% WFPS. The dataset </w:t>
      </w:r>
      <w:proofErr w:type="gramStart"/>
      <w:r w:rsidRPr="00203EB0">
        <w:rPr>
          <w:rFonts w:cs="Times New Roman"/>
        </w:rPr>
        <w:t>was separately</w:t>
      </w:r>
      <w:proofErr w:type="gramEnd"/>
      <w:r w:rsidRPr="00203EB0">
        <w:rPr>
          <w:rFonts w:cs="Times New Roman"/>
        </w:rPr>
        <w:t xml:space="preserve"> analyzed for 50% and 80% WFPS treatments (n = 352 for each WFPS). The input variables included CO</w:t>
      </w:r>
      <w:r w:rsidRPr="00203EB0">
        <w:rPr>
          <w:rFonts w:cs="Times New Roman"/>
          <w:vertAlign w:val="subscript"/>
        </w:rPr>
        <w:t>2</w:t>
      </w:r>
      <w:r w:rsidRPr="00203EB0">
        <w:rPr>
          <w:rFonts w:cs="Times New Roman"/>
        </w:rPr>
        <w:t>, O</w:t>
      </w:r>
      <w:r w:rsidRPr="00203EB0">
        <w:rPr>
          <w:rFonts w:cs="Times New Roman"/>
          <w:vertAlign w:val="subscript"/>
        </w:rPr>
        <w:t>2</w:t>
      </w:r>
      <w:r w:rsidRPr="00203EB0">
        <w:rPr>
          <w:rFonts w:cs="Times New Roman"/>
        </w:rPr>
        <w:t xml:space="preserve">,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cs="Times New Roman"/>
        </w:rPr>
        <w:t xml:space="preserve">,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w:t>
      </w:r>
      <w:r w:rsidRPr="00203EB0">
        <w:rPr>
          <w:rFonts w:cs="Times New Roman"/>
          <w:vertAlign w:val="superscript"/>
        </w:rPr>
        <w:t xml:space="preserve"> </w:t>
      </w:r>
      <w:r w:rsidRPr="00203EB0">
        <w:rPr>
          <w:rFonts w:cs="Times New Roman"/>
        </w:rPr>
        <w:t>and POXC, with the aim of identifying the main drivers of N</w:t>
      </w:r>
      <w:r w:rsidRPr="00203EB0">
        <w:rPr>
          <w:rFonts w:cs="Times New Roman"/>
          <w:vertAlign w:val="subscript"/>
        </w:rPr>
        <w:t>2</w:t>
      </w:r>
      <w:r w:rsidRPr="00203EB0">
        <w:rPr>
          <w:rFonts w:cs="Times New Roman"/>
        </w:rPr>
        <w:t xml:space="preserve">O fluxes </w:t>
      </w:r>
      <w:r w:rsidRPr="00203EB0">
        <w:rPr>
          <w:rFonts w:cs="Times New Roman"/>
        </w:rPr>
        <w:lastRenderedPageBreak/>
        <w:t xml:space="preserve">and evaluating model performance. Briefly, each dataset was split into training (80% data, n = 281) and testing (20% data, n = 71) data, with the training set used to train the Random Forest model using the model parameters as follows: </w:t>
      </w:r>
      <w:proofErr w:type="spellStart"/>
      <w:r w:rsidRPr="00203EB0">
        <w:rPr>
          <w:rFonts w:cs="Times New Roman"/>
        </w:rPr>
        <w:t>random_state</w:t>
      </w:r>
      <w:proofErr w:type="spellEnd"/>
      <w:r w:rsidRPr="00203EB0">
        <w:rPr>
          <w:rFonts w:cs="Times New Roman"/>
        </w:rPr>
        <w:t xml:space="preserve"> = 42 and </w:t>
      </w:r>
      <w:proofErr w:type="spellStart"/>
      <w:r w:rsidRPr="00203EB0">
        <w:rPr>
          <w:rFonts w:cs="Times New Roman"/>
        </w:rPr>
        <w:t>n_estimators</w:t>
      </w:r>
      <w:proofErr w:type="spellEnd"/>
      <w:r w:rsidRPr="00203EB0">
        <w:rPr>
          <w:rFonts w:cs="Times New Roman"/>
        </w:rPr>
        <w:t xml:space="preserve"> = 100. The importance of predictor variables was assessed for 50% and 80% WFPS conditions, and model performance was evaluated on the test data set using RMSE and R</w:t>
      </w:r>
      <w:r w:rsidRPr="00203EB0">
        <w:rPr>
          <w:rFonts w:cs="Times New Roman"/>
          <w:vertAlign w:val="superscript"/>
        </w:rPr>
        <w:t>2</w:t>
      </w:r>
      <w:r w:rsidRPr="00203EB0">
        <w:rPr>
          <w:rFonts w:cs="Times New Roman"/>
        </w:rPr>
        <w:t xml:space="preserve"> model metrics. The Random Forest model was fitted using “</w:t>
      </w:r>
      <w:proofErr w:type="spellStart"/>
      <w:r w:rsidRPr="00203EB0">
        <w:rPr>
          <w:rFonts w:cs="Times New Roman"/>
        </w:rPr>
        <w:t>RandomForestRegressor</w:t>
      </w:r>
      <w:proofErr w:type="spellEnd"/>
      <w:r w:rsidRPr="00203EB0">
        <w:rPr>
          <w:rFonts w:cs="Times New Roman"/>
        </w:rPr>
        <w:t>” function from the “</w:t>
      </w:r>
      <w:proofErr w:type="spellStart"/>
      <w:proofErr w:type="gramStart"/>
      <w:r w:rsidRPr="00203EB0">
        <w:rPr>
          <w:rFonts w:cs="Times New Roman"/>
        </w:rPr>
        <w:t>sklearn.ensemble</w:t>
      </w:r>
      <w:proofErr w:type="spellEnd"/>
      <w:proofErr w:type="gramEnd"/>
      <w:r w:rsidRPr="00203EB0">
        <w:rPr>
          <w:rFonts w:cs="Times New Roman"/>
        </w:rPr>
        <w:t xml:space="preserve">” modules in Python (Python 3.10). </w:t>
      </w:r>
    </w:p>
    <w:p w14:paraId="6C5DBA63" w14:textId="77777777" w:rsidR="00D6797E" w:rsidRPr="00203EB0" w:rsidRDefault="00D6797E" w:rsidP="00420795">
      <w:pPr>
        <w:spacing w:line="480" w:lineRule="auto"/>
        <w:rPr>
          <w:rFonts w:cs="Times New Roman"/>
        </w:rPr>
      </w:pPr>
    </w:p>
    <w:p w14:paraId="006DD661" w14:textId="77777777" w:rsidR="000C6796" w:rsidRPr="00203EB0" w:rsidRDefault="000C6796" w:rsidP="00420795">
      <w:pPr>
        <w:spacing w:line="480" w:lineRule="auto"/>
        <w:rPr>
          <w:rFonts w:cs="Times New Roman"/>
        </w:rPr>
      </w:pPr>
      <w:r w:rsidRPr="00203EB0">
        <w:rPr>
          <w:rFonts w:cs="Times New Roman"/>
          <w:noProof/>
        </w:rPr>
        <w:drawing>
          <wp:inline distT="0" distB="0" distL="0" distR="0" wp14:anchorId="41C409BB" wp14:editId="3BBD5D0A">
            <wp:extent cx="5459107" cy="2406650"/>
            <wp:effectExtent l="0" t="0" r="825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64242" cy="2408914"/>
                    </a:xfrm>
                    <a:prstGeom prst="rect">
                      <a:avLst/>
                    </a:prstGeom>
                    <a:noFill/>
                  </pic:spPr>
                </pic:pic>
              </a:graphicData>
            </a:graphic>
          </wp:inline>
        </w:drawing>
      </w:r>
    </w:p>
    <w:p w14:paraId="28C9EA7C" w14:textId="0DDB4D8E" w:rsidR="000C6796" w:rsidRPr="00203EB0" w:rsidRDefault="000C6796" w:rsidP="00001ABC">
      <w:pPr>
        <w:pStyle w:val="Caption"/>
      </w:pPr>
      <w:bookmarkStart w:id="57" w:name="_Toc206669266"/>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4</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1</w:t>
      </w:r>
      <w:r w:rsidR="00BD46F8" w:rsidRPr="00203EB0">
        <w:rPr>
          <w:b/>
          <w:bCs/>
        </w:rPr>
        <w:fldChar w:fldCharType="end"/>
      </w:r>
      <w:r w:rsidRPr="00203EB0">
        <w:rPr>
          <w:b/>
          <w:bCs/>
        </w:rPr>
        <w:t>:</w:t>
      </w:r>
      <w:r w:rsidRPr="00203EB0">
        <w:t xml:space="preserve"> Illustration of the experimental set-up (not to scale) and calibration image.</w:t>
      </w:r>
      <w:bookmarkEnd w:id="57"/>
    </w:p>
    <w:p w14:paraId="75C2809D" w14:textId="77777777" w:rsidR="000C6796" w:rsidRDefault="000C6796" w:rsidP="00001ABC">
      <w:pPr>
        <w:pStyle w:val="Caption"/>
      </w:pPr>
    </w:p>
    <w:p w14:paraId="346B4643" w14:textId="77777777" w:rsidR="00D6797E" w:rsidRDefault="00D6797E" w:rsidP="00D6797E"/>
    <w:p w14:paraId="64C6A016" w14:textId="77777777" w:rsidR="00D6797E" w:rsidRPr="00D6797E" w:rsidRDefault="00D6797E" w:rsidP="00D6797E"/>
    <w:p w14:paraId="7F42B55D" w14:textId="77777777" w:rsidR="000C6796" w:rsidRPr="00203EB0" w:rsidRDefault="000C6796" w:rsidP="00A61CF4">
      <w:pPr>
        <w:pStyle w:val="Heading2"/>
      </w:pPr>
      <w:bookmarkStart w:id="58" w:name="_Toc206669128"/>
      <w:r w:rsidRPr="00203EB0">
        <w:lastRenderedPageBreak/>
        <w:t>Results</w:t>
      </w:r>
      <w:bookmarkEnd w:id="58"/>
    </w:p>
    <w:p w14:paraId="48C15A31" w14:textId="77777777" w:rsidR="000C6796" w:rsidRPr="00203EB0" w:rsidRDefault="000C6796" w:rsidP="00D95FA5">
      <w:pPr>
        <w:pStyle w:val="Heading3"/>
        <w:spacing w:line="480" w:lineRule="auto"/>
      </w:pPr>
      <w:bookmarkStart w:id="59" w:name="_Toc206669129"/>
      <w:r w:rsidRPr="00203EB0">
        <w:t>Cover crop residue and N fertilization impacts on temporal N</w:t>
      </w:r>
      <w:r w:rsidRPr="00203EB0">
        <w:rPr>
          <w:vertAlign w:val="subscript"/>
        </w:rPr>
        <w:t>2</w:t>
      </w:r>
      <w:r w:rsidRPr="00203EB0">
        <w:t>O and CO</w:t>
      </w:r>
      <w:r w:rsidRPr="00203EB0">
        <w:rPr>
          <w:vertAlign w:val="subscript"/>
        </w:rPr>
        <w:t>2</w:t>
      </w:r>
      <w:r w:rsidRPr="00203EB0">
        <w:t xml:space="preserve"> emissions</w:t>
      </w:r>
      <w:bookmarkEnd w:id="59"/>
    </w:p>
    <w:p w14:paraId="24EC98D9" w14:textId="3CAF2205" w:rsidR="000C6796" w:rsidRPr="00203EB0" w:rsidRDefault="000C6796" w:rsidP="00D95FA5">
      <w:pPr>
        <w:tabs>
          <w:tab w:val="left" w:pos="2206"/>
        </w:tabs>
        <w:spacing w:line="480" w:lineRule="auto"/>
        <w:rPr>
          <w:rFonts w:cs="Times New Roman"/>
        </w:rPr>
      </w:pPr>
      <w:r w:rsidRPr="00203EB0">
        <w:rPr>
          <w:rFonts w:cs="Times New Roman"/>
        </w:rPr>
        <w:t>The combination of cover crop residue and N fertilizer addition exhibited higher peak N</w:t>
      </w:r>
      <w:r w:rsidRPr="00203EB0">
        <w:rPr>
          <w:rFonts w:cs="Times New Roman"/>
          <w:vertAlign w:val="subscript"/>
        </w:rPr>
        <w:t>2</w:t>
      </w:r>
      <w:r w:rsidRPr="00203EB0">
        <w:rPr>
          <w:rFonts w:cs="Times New Roman"/>
        </w:rPr>
        <w:t xml:space="preserve">O emissions than the N fertilized without cover </w:t>
      </w:r>
      <w:proofErr w:type="gramStart"/>
      <w:r w:rsidRPr="00203EB0">
        <w:rPr>
          <w:rFonts w:cs="Times New Roman"/>
        </w:rPr>
        <w:t>crop</w:t>
      </w:r>
      <w:proofErr w:type="gramEnd"/>
      <w:r w:rsidRPr="00203EB0">
        <w:rPr>
          <w:rFonts w:cs="Times New Roman"/>
        </w:rPr>
        <w:t xml:space="preserve"> and control treatments under both 50% and 80% WFPS conditions (</w:t>
      </w:r>
      <w:r w:rsidRPr="00203EB0">
        <w:rPr>
          <w:rFonts w:cs="Times New Roman"/>
          <w:b/>
        </w:rPr>
        <w:t>Figure 4.2a, b</w:t>
      </w:r>
      <w:r w:rsidRPr="00203EB0">
        <w:rPr>
          <w:rFonts w:cs="Times New Roman"/>
        </w:rPr>
        <w:t>). Temporal N</w:t>
      </w:r>
      <w:r w:rsidRPr="00203EB0">
        <w:rPr>
          <w:rFonts w:cs="Times New Roman"/>
          <w:vertAlign w:val="subscript"/>
        </w:rPr>
        <w:t>2</w:t>
      </w:r>
      <w:r w:rsidRPr="00203EB0">
        <w:rPr>
          <w:rFonts w:cs="Times New Roman"/>
        </w:rPr>
        <w:t xml:space="preserve">O fluxes showed different trends across cover crop treatments under 50% and 80% WFPS. First, cover crop treatments under 80% WFPS immediately showed high daily fluxes ranging from 674 to 2728 </w:t>
      </w:r>
      <w:proofErr w:type="gramStart"/>
      <w:r w:rsidRPr="00203EB0">
        <w:rPr>
          <w:rFonts w:cs="Times New Roman"/>
        </w:rPr>
        <w:t>µg</w:t>
      </w:r>
      <w:proofErr w:type="gramEnd"/>
      <w:r w:rsidRPr="00203EB0">
        <w:rPr>
          <w:rFonts w:cs="Times New Roman"/>
        </w:rPr>
        <w:t xml:space="preserve"> N</w:t>
      </w:r>
      <w:r w:rsidRPr="00203EB0">
        <w:rPr>
          <w:rFonts w:cs="Times New Roman"/>
          <w:vertAlign w:val="subscript"/>
        </w:rPr>
        <w:t>2</w:t>
      </w:r>
      <w:r w:rsidRPr="00203EB0">
        <w:rPr>
          <w:rFonts w:cs="Times New Roman"/>
        </w:rPr>
        <w:t>O-N kg soil</w:t>
      </w:r>
      <w:r w:rsidRPr="00203EB0">
        <w:rPr>
          <w:rFonts w:cs="Times New Roman"/>
          <w:vertAlign w:val="superscript"/>
        </w:rPr>
        <w:t>-1</w:t>
      </w:r>
      <w:r w:rsidRPr="00203EB0">
        <w:rPr>
          <w:rFonts w:cs="Times New Roman"/>
        </w:rPr>
        <w:t xml:space="preserve"> day</w:t>
      </w:r>
      <w:r w:rsidRPr="00203EB0">
        <w:rPr>
          <w:rFonts w:cs="Times New Roman"/>
          <w:vertAlign w:val="superscript"/>
        </w:rPr>
        <w:t>-1</w:t>
      </w:r>
      <w:r w:rsidRPr="00203EB0">
        <w:rPr>
          <w:rFonts w:cs="Times New Roman"/>
        </w:rPr>
        <w:t xml:space="preserve"> during day 0 to 4. Whereas peak N</w:t>
      </w:r>
      <w:r w:rsidRPr="00203EB0">
        <w:rPr>
          <w:rFonts w:cs="Times New Roman"/>
          <w:vertAlign w:val="subscript"/>
        </w:rPr>
        <w:t>2</w:t>
      </w:r>
      <w:r w:rsidRPr="00203EB0">
        <w:rPr>
          <w:rFonts w:cs="Times New Roman"/>
        </w:rPr>
        <w:t>O emissions were slightly delayed under 50% WFPS ranging from 529 to 2824 µg N</w:t>
      </w:r>
      <w:r w:rsidRPr="00203EB0">
        <w:rPr>
          <w:rFonts w:cs="Times New Roman"/>
          <w:vertAlign w:val="subscript"/>
        </w:rPr>
        <w:t>2</w:t>
      </w:r>
      <w:r w:rsidRPr="00203EB0">
        <w:rPr>
          <w:rFonts w:cs="Times New Roman"/>
        </w:rPr>
        <w:t>O-N kg soil</w:t>
      </w:r>
      <w:r w:rsidRPr="00203EB0">
        <w:rPr>
          <w:rFonts w:cs="Times New Roman"/>
          <w:vertAlign w:val="superscript"/>
        </w:rPr>
        <w:t>-1</w:t>
      </w:r>
      <w:r w:rsidRPr="00203EB0">
        <w:rPr>
          <w:rFonts w:cs="Times New Roman"/>
        </w:rPr>
        <w:t xml:space="preserve"> day</w:t>
      </w:r>
      <w:r w:rsidRPr="00203EB0">
        <w:rPr>
          <w:rFonts w:cs="Times New Roman"/>
          <w:vertAlign w:val="superscript"/>
        </w:rPr>
        <w:t>-1</w:t>
      </w:r>
      <w:r w:rsidRPr="00203EB0">
        <w:rPr>
          <w:rFonts w:cs="Times New Roman"/>
        </w:rPr>
        <w:t>, the same or slightly higher in magnitude than that under 80% WFPS. Second, N</w:t>
      </w:r>
      <w:r w:rsidRPr="00203EB0">
        <w:rPr>
          <w:rFonts w:cs="Times New Roman"/>
          <w:vertAlign w:val="subscript"/>
        </w:rPr>
        <w:t>2</w:t>
      </w:r>
      <w:r w:rsidRPr="00203EB0">
        <w:rPr>
          <w:rFonts w:cs="Times New Roman"/>
        </w:rPr>
        <w:t xml:space="preserve">O emissions from the cover crop treatments sharply decreased following the peak emissions under 80% WFPS, with identical emissions to the control treatment after day 7. In contrast, the decline in emissions </w:t>
      </w:r>
      <w:proofErr w:type="gramStart"/>
      <w:r w:rsidRPr="00203EB0">
        <w:rPr>
          <w:rFonts w:cs="Times New Roman"/>
        </w:rPr>
        <w:t>were</w:t>
      </w:r>
      <w:proofErr w:type="gramEnd"/>
      <w:r w:rsidRPr="00203EB0">
        <w:rPr>
          <w:rFonts w:cs="Times New Roman"/>
        </w:rPr>
        <w:t xml:space="preserve"> more gradual under 50% WFPS where moderate daily N</w:t>
      </w:r>
      <w:r w:rsidRPr="00203EB0">
        <w:rPr>
          <w:rFonts w:cs="Times New Roman"/>
          <w:vertAlign w:val="subscript"/>
        </w:rPr>
        <w:t>2</w:t>
      </w:r>
      <w:r w:rsidRPr="00203EB0">
        <w:rPr>
          <w:rFonts w:cs="Times New Roman"/>
        </w:rPr>
        <w:t xml:space="preserve">O fluxes (ranging from 88 to 607 </w:t>
      </w:r>
      <w:proofErr w:type="gramStart"/>
      <w:r w:rsidRPr="00203EB0">
        <w:rPr>
          <w:rFonts w:cs="Times New Roman"/>
        </w:rPr>
        <w:t>µg</w:t>
      </w:r>
      <w:proofErr w:type="gramEnd"/>
      <w:r w:rsidRPr="00203EB0">
        <w:rPr>
          <w:rFonts w:cs="Times New Roman"/>
        </w:rPr>
        <w:t xml:space="preserve"> N</w:t>
      </w:r>
      <w:r w:rsidRPr="00203EB0">
        <w:rPr>
          <w:rFonts w:cs="Times New Roman"/>
          <w:vertAlign w:val="subscript"/>
        </w:rPr>
        <w:t>2</w:t>
      </w:r>
      <w:r w:rsidRPr="00203EB0">
        <w:rPr>
          <w:rFonts w:cs="Times New Roman"/>
        </w:rPr>
        <w:t>O-N kg soil</w:t>
      </w:r>
      <w:r w:rsidRPr="00203EB0">
        <w:rPr>
          <w:rFonts w:cs="Times New Roman"/>
          <w:vertAlign w:val="superscript"/>
        </w:rPr>
        <w:t>-1</w:t>
      </w:r>
      <w:r w:rsidRPr="00203EB0">
        <w:rPr>
          <w:rFonts w:cs="Times New Roman"/>
        </w:rPr>
        <w:t xml:space="preserve"> day</w:t>
      </w:r>
      <w:r w:rsidRPr="00203EB0">
        <w:rPr>
          <w:rFonts w:cs="Times New Roman"/>
          <w:vertAlign w:val="superscript"/>
        </w:rPr>
        <w:t>-1</w:t>
      </w:r>
      <w:r w:rsidRPr="00203EB0">
        <w:rPr>
          <w:rFonts w:cs="Times New Roman"/>
        </w:rPr>
        <w:t>), significantly higher than the control treatment (</w:t>
      </w:r>
      <w:r w:rsidRPr="00203EB0">
        <w:rPr>
          <w:rFonts w:cs="Times New Roman"/>
          <w:i/>
          <w:iCs/>
        </w:rPr>
        <w:t xml:space="preserve">p </w:t>
      </w:r>
      <w:r w:rsidRPr="00203EB0">
        <w:rPr>
          <w:rFonts w:cs="Times New Roman"/>
        </w:rPr>
        <w:t>&lt; 0.05), were observed until the end of the incubation experiment. Third, in the absence of cover crop residues, the N fertilized treatment produced very little N</w:t>
      </w:r>
      <w:r w:rsidRPr="00203EB0">
        <w:rPr>
          <w:rFonts w:cs="Times New Roman"/>
          <w:vertAlign w:val="subscript"/>
        </w:rPr>
        <w:t>2</w:t>
      </w:r>
      <w:r w:rsidRPr="00203EB0">
        <w:rPr>
          <w:rFonts w:cs="Times New Roman"/>
        </w:rPr>
        <w:t>O emissions under 50% WFPS, about the same as the control treatment. In contrast, N fertilization under 80% WFPS had significantly higher N</w:t>
      </w:r>
      <w:r w:rsidRPr="00203EB0">
        <w:rPr>
          <w:rFonts w:cs="Times New Roman"/>
          <w:vertAlign w:val="subscript"/>
        </w:rPr>
        <w:t>2</w:t>
      </w:r>
      <w:r w:rsidRPr="00203EB0">
        <w:rPr>
          <w:rFonts w:cs="Times New Roman"/>
        </w:rPr>
        <w:t xml:space="preserve">O fluxes than the control treatment from day 1 to day 16; however, the peak fluxes were much lower in magnitude (ranging from 44 to 859 </w:t>
      </w:r>
      <w:proofErr w:type="gramStart"/>
      <w:r w:rsidRPr="00203EB0">
        <w:rPr>
          <w:rFonts w:cs="Times New Roman"/>
        </w:rPr>
        <w:t>µg</w:t>
      </w:r>
      <w:proofErr w:type="gramEnd"/>
      <w:r w:rsidRPr="00203EB0">
        <w:rPr>
          <w:rFonts w:cs="Times New Roman"/>
        </w:rPr>
        <w:t xml:space="preserve"> N</w:t>
      </w:r>
      <w:r w:rsidRPr="00203EB0">
        <w:rPr>
          <w:rFonts w:cs="Times New Roman"/>
          <w:vertAlign w:val="subscript"/>
        </w:rPr>
        <w:t>2</w:t>
      </w:r>
      <w:r w:rsidRPr="00203EB0">
        <w:rPr>
          <w:rFonts w:cs="Times New Roman"/>
        </w:rPr>
        <w:t>O-N kg soil</w:t>
      </w:r>
      <w:r w:rsidRPr="00203EB0">
        <w:rPr>
          <w:rFonts w:cs="Times New Roman"/>
          <w:vertAlign w:val="superscript"/>
        </w:rPr>
        <w:t>-1</w:t>
      </w:r>
      <w:r w:rsidRPr="00203EB0">
        <w:rPr>
          <w:rFonts w:cs="Times New Roman"/>
        </w:rPr>
        <w:t xml:space="preserve"> day</w:t>
      </w:r>
      <w:r w:rsidRPr="00203EB0">
        <w:rPr>
          <w:rFonts w:cs="Times New Roman"/>
          <w:vertAlign w:val="superscript"/>
        </w:rPr>
        <w:t>-1</w:t>
      </w:r>
      <w:r w:rsidRPr="00203EB0">
        <w:rPr>
          <w:rFonts w:cs="Times New Roman"/>
        </w:rPr>
        <w:t xml:space="preserve">) and showed </w:t>
      </w:r>
      <w:proofErr w:type="gramStart"/>
      <w:r w:rsidRPr="00203EB0">
        <w:rPr>
          <w:rFonts w:cs="Times New Roman"/>
        </w:rPr>
        <w:t>a slightly</w:t>
      </w:r>
      <w:proofErr w:type="gramEnd"/>
      <w:r w:rsidRPr="00203EB0">
        <w:rPr>
          <w:rFonts w:cs="Times New Roman"/>
        </w:rPr>
        <w:t xml:space="preserve"> different emission patterns than the cover crop treatments. Lastly, residue type (legume vs grass) effect on temporal N</w:t>
      </w:r>
      <w:r w:rsidRPr="00203EB0">
        <w:rPr>
          <w:rFonts w:cs="Times New Roman"/>
          <w:vertAlign w:val="subscript"/>
        </w:rPr>
        <w:t>2</w:t>
      </w:r>
      <w:r w:rsidRPr="00203EB0">
        <w:rPr>
          <w:rFonts w:cs="Times New Roman"/>
        </w:rPr>
        <w:t xml:space="preserve">O emissions was </w:t>
      </w:r>
      <w:r w:rsidRPr="00203EB0">
        <w:rPr>
          <w:rFonts w:cs="Times New Roman"/>
        </w:rPr>
        <w:lastRenderedPageBreak/>
        <w:t>not consistent across the WFPS treatments, with higher peak emissions from hairy vetch than winter wheat residue addition with N fertilizer under 50% WFPS (</w:t>
      </w:r>
      <w:r w:rsidRPr="00203EB0">
        <w:rPr>
          <w:rFonts w:cs="Times New Roman"/>
          <w:i/>
          <w:iCs/>
        </w:rPr>
        <w:t>p</w:t>
      </w:r>
      <w:r w:rsidRPr="00203EB0">
        <w:rPr>
          <w:rFonts w:cs="Times New Roman"/>
        </w:rPr>
        <w:t xml:space="preserve"> &gt; 0.05).</w:t>
      </w:r>
    </w:p>
    <w:p w14:paraId="23B09061" w14:textId="11C572EB" w:rsidR="000C6796" w:rsidRPr="00203EB0" w:rsidRDefault="000C6796" w:rsidP="000C6796">
      <w:pPr>
        <w:tabs>
          <w:tab w:val="left" w:pos="2206"/>
        </w:tabs>
        <w:spacing w:line="480" w:lineRule="auto"/>
        <w:rPr>
          <w:rFonts w:cs="Times New Roman"/>
        </w:rPr>
      </w:pPr>
      <w:r w:rsidRPr="00203EB0">
        <w:rPr>
          <w:rFonts w:cs="Times New Roman"/>
        </w:rPr>
        <w:t>The temporal variability of N</w:t>
      </w:r>
      <w:r w:rsidRPr="00203EB0">
        <w:rPr>
          <w:rFonts w:cs="Times New Roman"/>
          <w:vertAlign w:val="subscript"/>
        </w:rPr>
        <w:t>2</w:t>
      </w:r>
      <w:r w:rsidRPr="00203EB0">
        <w:rPr>
          <w:rFonts w:cs="Times New Roman"/>
        </w:rPr>
        <w:t>O fluxes derived from N fertilizer showed different patterns across WFPS and cover crop treatments that were consistent with the temporal N</w:t>
      </w:r>
      <w:r w:rsidRPr="00203EB0">
        <w:rPr>
          <w:rFonts w:cs="Times New Roman"/>
          <w:vertAlign w:val="subscript"/>
        </w:rPr>
        <w:t>2</w:t>
      </w:r>
      <w:r w:rsidRPr="00203EB0">
        <w:rPr>
          <w:rFonts w:cs="Times New Roman"/>
        </w:rPr>
        <w:t>O emission trends (</w:t>
      </w:r>
      <w:r w:rsidRPr="00203EB0">
        <w:rPr>
          <w:rFonts w:cs="Times New Roman"/>
          <w:b/>
        </w:rPr>
        <w:t>Figure 4.2c</w:t>
      </w:r>
      <w:r w:rsidRPr="00203EB0">
        <w:rPr>
          <w:rFonts w:cs="Times New Roman"/>
        </w:rPr>
        <w:t xml:space="preserve"> and </w:t>
      </w:r>
      <w:r w:rsidRPr="00203EB0">
        <w:rPr>
          <w:rFonts w:cs="Times New Roman"/>
          <w:b/>
        </w:rPr>
        <w:t>Figure 4.2d</w:t>
      </w:r>
      <w:r w:rsidRPr="00203EB0">
        <w:rPr>
          <w:rFonts w:cs="Times New Roman"/>
        </w:rPr>
        <w:t>). Firstly, in the cover crops treatments under 80% WFPS, a high proportion of N</w:t>
      </w:r>
      <w:r w:rsidRPr="00203EB0">
        <w:rPr>
          <w:rFonts w:cs="Times New Roman"/>
          <w:vertAlign w:val="subscript"/>
        </w:rPr>
        <w:t>2</w:t>
      </w:r>
      <w:r w:rsidRPr="00203EB0">
        <w:rPr>
          <w:rFonts w:cs="Times New Roman"/>
        </w:rPr>
        <w:t>O fluxes was derived from N fertilizer, ranging from 89 to 97% during day 0 to 4, coinciding with peak N</w:t>
      </w:r>
      <w:r w:rsidRPr="00203EB0">
        <w:rPr>
          <w:rFonts w:cs="Times New Roman"/>
          <w:vertAlign w:val="subscript"/>
        </w:rPr>
        <w:t>2</w:t>
      </w:r>
      <w:r w:rsidRPr="00203EB0">
        <w:rPr>
          <w:rFonts w:cs="Times New Roman"/>
        </w:rPr>
        <w:t>O emissions. However, the contribution sharply decreased after day 5, concomitant with the decline in N</w:t>
      </w:r>
      <w:r w:rsidRPr="00203EB0">
        <w:rPr>
          <w:rFonts w:cs="Times New Roman"/>
          <w:vertAlign w:val="subscript"/>
        </w:rPr>
        <w:t>2</w:t>
      </w:r>
      <w:r w:rsidRPr="00203EB0">
        <w:rPr>
          <w:rFonts w:cs="Times New Roman"/>
        </w:rPr>
        <w:t>O fluxes. Similarly, in the same treatments under 50% WFPS, N</w:t>
      </w:r>
      <w:r w:rsidRPr="00203EB0">
        <w:rPr>
          <w:rFonts w:cs="Times New Roman"/>
          <w:vertAlign w:val="subscript"/>
        </w:rPr>
        <w:t>2</w:t>
      </w:r>
      <w:r w:rsidRPr="00203EB0">
        <w:rPr>
          <w:rFonts w:cs="Times New Roman"/>
        </w:rPr>
        <w:t>O emissions derived from N fertilizer closely followed the daily N</w:t>
      </w:r>
      <w:r w:rsidRPr="00203EB0">
        <w:rPr>
          <w:rFonts w:cs="Times New Roman"/>
          <w:vertAlign w:val="subscript"/>
        </w:rPr>
        <w:t>2</w:t>
      </w:r>
      <w:r w:rsidRPr="00203EB0">
        <w:rPr>
          <w:rFonts w:cs="Times New Roman"/>
        </w:rPr>
        <w:t>O flux pattern, accounting for 79 to 91% of total N</w:t>
      </w:r>
      <w:r w:rsidRPr="00203EB0">
        <w:rPr>
          <w:rFonts w:cs="Times New Roman"/>
          <w:vertAlign w:val="subscript"/>
        </w:rPr>
        <w:t>2</w:t>
      </w:r>
      <w:r w:rsidRPr="00203EB0">
        <w:rPr>
          <w:rFonts w:cs="Times New Roman"/>
        </w:rPr>
        <w:t xml:space="preserve">O emissions during day 2 to </w:t>
      </w:r>
      <w:proofErr w:type="gramStart"/>
      <w:r w:rsidRPr="00203EB0">
        <w:rPr>
          <w:rFonts w:cs="Times New Roman"/>
        </w:rPr>
        <w:t>5, and</w:t>
      </w:r>
      <w:proofErr w:type="gramEnd"/>
      <w:r w:rsidRPr="00203EB0">
        <w:rPr>
          <w:rFonts w:cs="Times New Roman"/>
        </w:rPr>
        <w:t xml:space="preserve"> gradually decreased to 33% by the end of the incubation experiment. Secondly, in the absence of cover crop residues under 50% WFPS, around one-third of the total N</w:t>
      </w:r>
      <w:r w:rsidRPr="00203EB0">
        <w:rPr>
          <w:rFonts w:cs="Times New Roman"/>
          <w:vertAlign w:val="subscript"/>
        </w:rPr>
        <w:t>2</w:t>
      </w:r>
      <w:r w:rsidRPr="00203EB0">
        <w:rPr>
          <w:rFonts w:cs="Times New Roman"/>
        </w:rPr>
        <w:t>O emissions was derived from N fertilizer after day 2, and it remained relatively constant until the end of the experiment. Nitrogen fertilizer derived N</w:t>
      </w:r>
      <w:r w:rsidRPr="00203EB0">
        <w:rPr>
          <w:rFonts w:cs="Times New Roman"/>
          <w:vertAlign w:val="subscript"/>
        </w:rPr>
        <w:t>2</w:t>
      </w:r>
      <w:r w:rsidRPr="00203EB0">
        <w:rPr>
          <w:rFonts w:cs="Times New Roman"/>
        </w:rPr>
        <w:t xml:space="preserve">O under 80% WFPS from only N fertilized treatment comprised a much greater proportion (50-80%) to the total emission from day 1 to 16. </w:t>
      </w:r>
    </w:p>
    <w:p w14:paraId="5ED652E6" w14:textId="0257C1DD" w:rsidR="000C6796" w:rsidRPr="00203EB0" w:rsidRDefault="00E95AE0" w:rsidP="000C6796">
      <w:pPr>
        <w:tabs>
          <w:tab w:val="left" w:pos="2206"/>
        </w:tabs>
        <w:spacing w:line="480" w:lineRule="auto"/>
        <w:rPr>
          <w:rFonts w:cs="Times New Roman"/>
        </w:rPr>
      </w:pPr>
      <w:r w:rsidRPr="00203EB0">
        <w:rPr>
          <w:rFonts w:cs="Times New Roman"/>
          <w:noProof/>
        </w:rPr>
        <w:lastRenderedPageBreak/>
        <w:drawing>
          <wp:inline distT="0" distB="0" distL="0" distR="0" wp14:anchorId="0508DF30" wp14:editId="49F620DE">
            <wp:extent cx="5614670" cy="5084445"/>
            <wp:effectExtent l="0" t="0" r="508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4670" cy="5084445"/>
                    </a:xfrm>
                    <a:prstGeom prst="rect">
                      <a:avLst/>
                    </a:prstGeom>
                    <a:noFill/>
                  </pic:spPr>
                </pic:pic>
              </a:graphicData>
            </a:graphic>
          </wp:inline>
        </w:drawing>
      </w:r>
    </w:p>
    <w:p w14:paraId="4EEE15F7" w14:textId="1D834AEC" w:rsidR="003B5CF0" w:rsidRPr="00203EB0" w:rsidRDefault="00E95AE0" w:rsidP="00001ABC">
      <w:pPr>
        <w:pStyle w:val="Caption"/>
      </w:pPr>
      <w:bookmarkStart w:id="60" w:name="_Toc206669267"/>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4</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2</w:t>
      </w:r>
      <w:r w:rsidR="00BD46F8" w:rsidRPr="00203EB0">
        <w:rPr>
          <w:b/>
          <w:bCs/>
        </w:rPr>
        <w:fldChar w:fldCharType="end"/>
      </w:r>
      <w:r w:rsidRPr="00203EB0">
        <w:rPr>
          <w:b/>
          <w:bCs/>
        </w:rPr>
        <w:t>:</w:t>
      </w:r>
      <w:r w:rsidRPr="00203EB0">
        <w:t xml:space="preserve"> Daily nitrous oxide (N</w:t>
      </w:r>
      <w:r w:rsidRPr="00203EB0">
        <w:rPr>
          <w:vertAlign w:val="subscript"/>
        </w:rPr>
        <w:t>2</w:t>
      </w:r>
      <w:r w:rsidRPr="00203EB0">
        <w:t>O) emissions (a, b) and N</w:t>
      </w:r>
      <w:r w:rsidRPr="00203EB0">
        <w:rPr>
          <w:vertAlign w:val="subscript"/>
        </w:rPr>
        <w:t>2</w:t>
      </w:r>
      <w:r w:rsidRPr="00203EB0">
        <w:t>O emissions derived from N fertilizer (c, d) over the incubation period from four cover crops treatments at 50% WFPS (a, c), and 80% WFPS (b, d). Nitrogen fertilizer was added at the beginning of the incubation experiment as indicated by black arrow in panels (a) and (b). Bars in panels (a) and (b) indicate mean standard error. HV, Hairy vetch; WW, Winter wheat; No cover, No cover crop; No cover+0 N, Control.</w:t>
      </w:r>
      <w:bookmarkEnd w:id="60"/>
    </w:p>
    <w:p w14:paraId="13166740" w14:textId="77777777" w:rsidR="003B5CF0" w:rsidRDefault="003B5CF0" w:rsidP="003B5CF0">
      <w:pPr>
        <w:spacing w:line="480" w:lineRule="auto"/>
        <w:rPr>
          <w:rFonts w:cs="Times New Roman"/>
        </w:rPr>
      </w:pPr>
    </w:p>
    <w:p w14:paraId="7CEA295F" w14:textId="77777777" w:rsidR="0033090A" w:rsidRDefault="0033090A" w:rsidP="003B5CF0">
      <w:pPr>
        <w:spacing w:line="480" w:lineRule="auto"/>
        <w:rPr>
          <w:rFonts w:cs="Times New Roman"/>
        </w:rPr>
      </w:pPr>
    </w:p>
    <w:p w14:paraId="1995E716" w14:textId="77777777" w:rsidR="0033090A" w:rsidRPr="00203EB0" w:rsidRDefault="0033090A" w:rsidP="003B5CF0">
      <w:pPr>
        <w:spacing w:line="480" w:lineRule="auto"/>
        <w:rPr>
          <w:rFonts w:cs="Times New Roman"/>
        </w:rPr>
      </w:pPr>
    </w:p>
    <w:p w14:paraId="7B6E4926" w14:textId="383E05DE" w:rsidR="003B5CF0" w:rsidRPr="00203EB0" w:rsidRDefault="003B5CF0" w:rsidP="003B5CF0">
      <w:pPr>
        <w:spacing w:line="480" w:lineRule="auto"/>
        <w:rPr>
          <w:rFonts w:cs="Times New Roman"/>
        </w:rPr>
      </w:pPr>
      <w:r w:rsidRPr="00203EB0">
        <w:rPr>
          <w:rFonts w:cs="Times New Roman"/>
        </w:rPr>
        <w:lastRenderedPageBreak/>
        <w:t>Soil CO</w:t>
      </w:r>
      <w:r w:rsidRPr="00203EB0">
        <w:rPr>
          <w:rFonts w:cs="Times New Roman"/>
          <w:vertAlign w:val="subscript"/>
        </w:rPr>
        <w:t>2</w:t>
      </w:r>
      <w:r w:rsidRPr="00203EB0">
        <w:rPr>
          <w:rFonts w:cs="Times New Roman"/>
        </w:rPr>
        <w:t xml:space="preserve"> emissions were higher under cover cr</w:t>
      </w:r>
      <w:r w:rsidR="001C08B2" w:rsidRPr="00203EB0">
        <w:rPr>
          <w:rFonts w:cs="Times New Roman"/>
        </w:rPr>
        <w:t>op treatments at 50% WFPS (</w:t>
      </w:r>
      <w:r w:rsidR="001C08B2" w:rsidRPr="00203EB0">
        <w:rPr>
          <w:rFonts w:cs="Times New Roman"/>
          <w:b/>
        </w:rPr>
        <w:t xml:space="preserve">Figure </w:t>
      </w:r>
      <w:r w:rsidRPr="00203EB0">
        <w:rPr>
          <w:rFonts w:cs="Times New Roman"/>
          <w:b/>
        </w:rPr>
        <w:t>4.3</w:t>
      </w:r>
      <w:r w:rsidRPr="00203EB0">
        <w:rPr>
          <w:rFonts w:cs="Times New Roman"/>
        </w:rPr>
        <w:t xml:space="preserve">), especially until day 4 (ranging from 17541 to 58734 </w:t>
      </w:r>
      <w:proofErr w:type="gramStart"/>
      <w:r w:rsidRPr="00203EB0">
        <w:rPr>
          <w:rFonts w:cs="Times New Roman"/>
        </w:rPr>
        <w:t>µg</w:t>
      </w:r>
      <w:proofErr w:type="gramEnd"/>
      <w:r w:rsidRPr="00203EB0">
        <w:rPr>
          <w:rFonts w:cs="Times New Roman"/>
        </w:rPr>
        <w:t xml:space="preserve"> CO</w:t>
      </w:r>
      <w:r w:rsidRPr="00203EB0">
        <w:rPr>
          <w:rFonts w:cs="Times New Roman"/>
          <w:vertAlign w:val="subscript"/>
        </w:rPr>
        <w:t>2</w:t>
      </w:r>
      <w:r w:rsidRPr="00203EB0">
        <w:rPr>
          <w:rFonts w:cs="Times New Roman"/>
        </w:rPr>
        <w:t>-C kg soil</w:t>
      </w:r>
      <w:r w:rsidRPr="00203EB0">
        <w:rPr>
          <w:rFonts w:cs="Times New Roman"/>
          <w:vertAlign w:val="superscript"/>
        </w:rPr>
        <w:t>-1</w:t>
      </w:r>
      <w:r w:rsidRPr="00203EB0">
        <w:rPr>
          <w:rFonts w:cs="Times New Roman"/>
        </w:rPr>
        <w:t xml:space="preserve"> day</w:t>
      </w:r>
      <w:r w:rsidRPr="00203EB0">
        <w:rPr>
          <w:rFonts w:cs="Times New Roman"/>
          <w:vertAlign w:val="superscript"/>
        </w:rPr>
        <w:t>-1</w:t>
      </w:r>
      <w:r w:rsidRPr="00203EB0">
        <w:rPr>
          <w:rFonts w:cs="Times New Roman"/>
        </w:rPr>
        <w:t>), than the non-cover crop treatments (N fertilizer and control). Treatments under 80% WFPS exhibited lower CO</w:t>
      </w:r>
      <w:r w:rsidRPr="00203EB0">
        <w:rPr>
          <w:rFonts w:cs="Times New Roman"/>
          <w:vertAlign w:val="subscript"/>
        </w:rPr>
        <w:t xml:space="preserve">2 </w:t>
      </w:r>
      <w:r w:rsidRPr="00203EB0">
        <w:rPr>
          <w:rFonts w:cs="Times New Roman"/>
        </w:rPr>
        <w:t xml:space="preserve">emissions (764 to 16329 </w:t>
      </w:r>
      <w:proofErr w:type="gramStart"/>
      <w:r w:rsidRPr="00203EB0">
        <w:rPr>
          <w:rFonts w:cs="Times New Roman"/>
        </w:rPr>
        <w:t>µg</w:t>
      </w:r>
      <w:proofErr w:type="gramEnd"/>
      <w:r w:rsidRPr="00203EB0">
        <w:rPr>
          <w:rFonts w:cs="Times New Roman"/>
        </w:rPr>
        <w:t xml:space="preserve"> CO</w:t>
      </w:r>
      <w:r w:rsidRPr="00203EB0">
        <w:rPr>
          <w:rFonts w:cs="Times New Roman"/>
          <w:vertAlign w:val="subscript"/>
        </w:rPr>
        <w:t>2</w:t>
      </w:r>
      <w:r w:rsidRPr="00203EB0">
        <w:rPr>
          <w:rFonts w:cs="Times New Roman"/>
        </w:rPr>
        <w:t>-C kg soil</w:t>
      </w:r>
      <w:r w:rsidRPr="00203EB0">
        <w:rPr>
          <w:rFonts w:cs="Times New Roman"/>
          <w:vertAlign w:val="superscript"/>
        </w:rPr>
        <w:t>-1</w:t>
      </w:r>
      <w:r w:rsidRPr="00203EB0">
        <w:rPr>
          <w:rFonts w:cs="Times New Roman"/>
        </w:rPr>
        <w:t xml:space="preserve"> day</w:t>
      </w:r>
      <w:r w:rsidRPr="00203EB0">
        <w:rPr>
          <w:rFonts w:cs="Times New Roman"/>
          <w:vertAlign w:val="superscript"/>
        </w:rPr>
        <w:t>-1</w:t>
      </w:r>
      <w:r w:rsidRPr="00203EB0">
        <w:rPr>
          <w:rFonts w:cs="Times New Roman"/>
        </w:rPr>
        <w:t xml:space="preserve">) than under 50% WFPS and did not differ among the treatments. </w:t>
      </w:r>
    </w:p>
    <w:p w14:paraId="5C01C611" w14:textId="77777777" w:rsidR="00D56363" w:rsidRPr="00203EB0" w:rsidRDefault="00D56363" w:rsidP="003B5CF0">
      <w:pPr>
        <w:spacing w:line="480" w:lineRule="auto"/>
        <w:rPr>
          <w:rFonts w:cs="Times New Roman"/>
        </w:rPr>
      </w:pPr>
    </w:p>
    <w:p w14:paraId="038D22CA" w14:textId="77777777" w:rsidR="003B5CF0" w:rsidRPr="00203EB0" w:rsidRDefault="003B5CF0" w:rsidP="003B5CF0">
      <w:r w:rsidRPr="00203EB0">
        <w:rPr>
          <w:noProof/>
        </w:rPr>
        <w:drawing>
          <wp:inline distT="0" distB="0" distL="0" distR="0" wp14:anchorId="087D612D" wp14:editId="12768804">
            <wp:extent cx="5471160" cy="2588866"/>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81926" cy="2593960"/>
                    </a:xfrm>
                    <a:prstGeom prst="rect">
                      <a:avLst/>
                    </a:prstGeom>
                  </pic:spPr>
                </pic:pic>
              </a:graphicData>
            </a:graphic>
          </wp:inline>
        </w:drawing>
      </w:r>
    </w:p>
    <w:p w14:paraId="6C996299" w14:textId="77777777" w:rsidR="003B5CF0" w:rsidRPr="00203EB0" w:rsidRDefault="003B5CF0" w:rsidP="003B5CF0"/>
    <w:p w14:paraId="3B9FBE82" w14:textId="6AF4D05B" w:rsidR="003B5CF0" w:rsidRPr="00203EB0" w:rsidRDefault="003B5CF0" w:rsidP="00001ABC">
      <w:pPr>
        <w:pStyle w:val="Caption"/>
      </w:pPr>
      <w:bookmarkStart w:id="61" w:name="_Toc206669268"/>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4</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3</w:t>
      </w:r>
      <w:r w:rsidR="00BD46F8" w:rsidRPr="00203EB0">
        <w:rPr>
          <w:b/>
          <w:bCs/>
        </w:rPr>
        <w:fldChar w:fldCharType="end"/>
      </w:r>
      <w:r w:rsidRPr="00203EB0">
        <w:rPr>
          <w:b/>
          <w:bCs/>
        </w:rPr>
        <w:t>:</w:t>
      </w:r>
      <w:r w:rsidRPr="00203EB0">
        <w:t xml:space="preserve">  Daily carbon dioxide (CO</w:t>
      </w:r>
      <w:r w:rsidRPr="00203EB0">
        <w:rPr>
          <w:vertAlign w:val="subscript"/>
        </w:rPr>
        <w:t>2</w:t>
      </w:r>
      <w:r w:rsidRPr="00203EB0">
        <w:t xml:space="preserve">) emissions over the incubation period from four cover crops treatments at (a) 50% WFPS, and (b) 80% WFPS. Bars </w:t>
      </w:r>
      <w:proofErr w:type="gramStart"/>
      <w:r w:rsidRPr="00203EB0">
        <w:t>represents</w:t>
      </w:r>
      <w:proofErr w:type="gramEnd"/>
      <w:r w:rsidRPr="00203EB0">
        <w:t xml:space="preserve"> mean standard error. HV, Hairy vetch; WW, Winter wheat; No cover, No cover crop; No cover + 0 N, Control.</w:t>
      </w:r>
      <w:bookmarkEnd w:id="61"/>
    </w:p>
    <w:p w14:paraId="53BAD96A" w14:textId="77777777" w:rsidR="003B5CF0" w:rsidRDefault="003B5CF0" w:rsidP="00001ABC">
      <w:pPr>
        <w:pStyle w:val="Caption"/>
      </w:pPr>
    </w:p>
    <w:p w14:paraId="6D83F28E" w14:textId="77777777" w:rsidR="0033090A" w:rsidRDefault="0033090A" w:rsidP="0033090A"/>
    <w:p w14:paraId="7C7B1D08" w14:textId="77777777" w:rsidR="0033090A" w:rsidRDefault="0033090A" w:rsidP="0033090A"/>
    <w:p w14:paraId="46377601" w14:textId="77777777" w:rsidR="0033090A" w:rsidRDefault="0033090A" w:rsidP="0033090A"/>
    <w:p w14:paraId="68F630D6" w14:textId="77777777" w:rsidR="0033090A" w:rsidRDefault="0033090A" w:rsidP="0033090A"/>
    <w:p w14:paraId="4D6B73A4" w14:textId="77777777" w:rsidR="0033090A" w:rsidRPr="0033090A" w:rsidRDefault="0033090A" w:rsidP="0033090A"/>
    <w:p w14:paraId="7693E8E3" w14:textId="44335069" w:rsidR="003B5CF0" w:rsidRPr="00203EB0" w:rsidRDefault="003B5CF0" w:rsidP="00BE089A">
      <w:pPr>
        <w:pStyle w:val="Heading3"/>
        <w:spacing w:line="480" w:lineRule="auto"/>
      </w:pPr>
      <w:bookmarkStart w:id="62" w:name="_Toc206669130"/>
      <w:r w:rsidRPr="00203EB0">
        <w:lastRenderedPageBreak/>
        <w:t>Cumulative N</w:t>
      </w:r>
      <w:r w:rsidRPr="00203EB0">
        <w:rPr>
          <w:vertAlign w:val="subscript"/>
        </w:rPr>
        <w:t>2</w:t>
      </w:r>
      <w:r w:rsidRPr="00203EB0">
        <w:t>O and CO</w:t>
      </w:r>
      <w:r w:rsidRPr="00203EB0">
        <w:rPr>
          <w:vertAlign w:val="subscript"/>
        </w:rPr>
        <w:t>2</w:t>
      </w:r>
      <w:r w:rsidRPr="00203EB0">
        <w:t xml:space="preserve"> emissions</w:t>
      </w:r>
      <w:bookmarkEnd w:id="62"/>
    </w:p>
    <w:p w14:paraId="5D351783" w14:textId="74DF8F24" w:rsidR="003B5CF0" w:rsidRPr="00203EB0" w:rsidRDefault="003B5CF0" w:rsidP="00BE089A">
      <w:pPr>
        <w:spacing w:line="480" w:lineRule="auto"/>
        <w:rPr>
          <w:rFonts w:cs="Times New Roman"/>
        </w:rPr>
      </w:pPr>
      <w:r w:rsidRPr="00203EB0">
        <w:rPr>
          <w:rFonts w:cs="Times New Roman"/>
        </w:rPr>
        <w:t>Cumulative N</w:t>
      </w:r>
      <w:r w:rsidRPr="00203EB0">
        <w:rPr>
          <w:rFonts w:cs="Times New Roman"/>
          <w:vertAlign w:val="subscript"/>
        </w:rPr>
        <w:t>2</w:t>
      </w:r>
      <w:r w:rsidRPr="00203EB0">
        <w:rPr>
          <w:rFonts w:cs="Times New Roman"/>
        </w:rPr>
        <w:t>O and CO</w:t>
      </w:r>
      <w:r w:rsidRPr="00203EB0">
        <w:rPr>
          <w:rFonts w:cs="Times New Roman"/>
          <w:vertAlign w:val="subscript"/>
        </w:rPr>
        <w:t>2</w:t>
      </w:r>
      <w:r w:rsidRPr="00203EB0">
        <w:rPr>
          <w:rFonts w:cs="Times New Roman"/>
        </w:rPr>
        <w:t xml:space="preserve"> emissions reflected their daily flux patterns (</w:t>
      </w:r>
      <w:r w:rsidRPr="00203EB0">
        <w:rPr>
          <w:rFonts w:cs="Times New Roman"/>
          <w:b/>
        </w:rPr>
        <w:t>Figure 4.4</w:t>
      </w:r>
      <w:r w:rsidRPr="00203EB0">
        <w:rPr>
          <w:rFonts w:cs="Times New Roman"/>
        </w:rPr>
        <w:t xml:space="preserve"> and </w:t>
      </w:r>
      <w:r w:rsidRPr="00203EB0">
        <w:rPr>
          <w:rFonts w:cs="Times New Roman"/>
          <w:b/>
        </w:rPr>
        <w:t>Table 4.1</w:t>
      </w:r>
      <w:r w:rsidRPr="00203EB0">
        <w:rPr>
          <w:rFonts w:cs="Times New Roman"/>
        </w:rPr>
        <w:t>). Irrespective of cover crop type, residue addition with N fertilizer under 50% WFPS produced statistically similar N</w:t>
      </w:r>
      <w:r w:rsidRPr="00203EB0">
        <w:rPr>
          <w:rFonts w:cs="Times New Roman"/>
          <w:vertAlign w:val="subscript"/>
        </w:rPr>
        <w:t>2</w:t>
      </w:r>
      <w:r w:rsidRPr="00203EB0">
        <w:rPr>
          <w:rFonts w:cs="Times New Roman"/>
        </w:rPr>
        <w:t xml:space="preserve">O emissions to 80% WFPS (Fig. 3, </w:t>
      </w:r>
      <w:r w:rsidRPr="00203EB0">
        <w:rPr>
          <w:rFonts w:cs="Times New Roman"/>
          <w:i/>
          <w:iCs/>
        </w:rPr>
        <w:t>p</w:t>
      </w:r>
      <w:r w:rsidRPr="00203EB0">
        <w:rPr>
          <w:rFonts w:cs="Times New Roman"/>
        </w:rPr>
        <w:t xml:space="preserve"> &gt; 0.05), known to facilitate large N</w:t>
      </w:r>
      <w:r w:rsidRPr="00203EB0">
        <w:rPr>
          <w:rFonts w:cs="Times New Roman"/>
          <w:vertAlign w:val="subscript"/>
        </w:rPr>
        <w:t>2</w:t>
      </w:r>
      <w:r w:rsidRPr="00203EB0">
        <w:rPr>
          <w:rFonts w:cs="Times New Roman"/>
        </w:rPr>
        <w:t xml:space="preserve">O emissions. However, 50% </w:t>
      </w:r>
      <w:proofErr w:type="gramStart"/>
      <w:r w:rsidRPr="00203EB0">
        <w:rPr>
          <w:rFonts w:cs="Times New Roman"/>
        </w:rPr>
        <w:t>WFPS</w:t>
      </w:r>
      <w:proofErr w:type="gramEnd"/>
      <w:r w:rsidRPr="00203EB0">
        <w:rPr>
          <w:rFonts w:cs="Times New Roman"/>
        </w:rPr>
        <w:t xml:space="preserve"> treatments with cover </w:t>
      </w:r>
      <w:proofErr w:type="gramStart"/>
      <w:r w:rsidRPr="00203EB0">
        <w:rPr>
          <w:rFonts w:cs="Times New Roman"/>
        </w:rPr>
        <w:t>crop</w:t>
      </w:r>
      <w:proofErr w:type="gramEnd"/>
      <w:r w:rsidRPr="00203EB0">
        <w:rPr>
          <w:rFonts w:cs="Times New Roman"/>
        </w:rPr>
        <w:t xml:space="preserve"> exhibited a greater variability of total N</w:t>
      </w:r>
      <w:r w:rsidRPr="00203EB0">
        <w:rPr>
          <w:rFonts w:cs="Times New Roman"/>
          <w:vertAlign w:val="subscript"/>
        </w:rPr>
        <w:t>2</w:t>
      </w:r>
      <w:r w:rsidRPr="00203EB0">
        <w:rPr>
          <w:rFonts w:cs="Times New Roman"/>
        </w:rPr>
        <w:t>O emissions compared to the corresponding treatments under 80% WFPS. Contrastingly, sole N fertilizer application increased N</w:t>
      </w:r>
      <w:r w:rsidRPr="00203EB0">
        <w:rPr>
          <w:rFonts w:cs="Times New Roman"/>
          <w:vertAlign w:val="subscript"/>
        </w:rPr>
        <w:t>2</w:t>
      </w:r>
      <w:r w:rsidRPr="00203EB0">
        <w:rPr>
          <w:rFonts w:cs="Times New Roman"/>
        </w:rPr>
        <w:t xml:space="preserve">O emissions only under 80% WFPS, the total emission being </w:t>
      </w:r>
      <w:proofErr w:type="gramStart"/>
      <w:r w:rsidRPr="00203EB0">
        <w:rPr>
          <w:rFonts w:cs="Times New Roman"/>
        </w:rPr>
        <w:t>similar to</w:t>
      </w:r>
      <w:proofErr w:type="gramEnd"/>
      <w:r w:rsidRPr="00203EB0">
        <w:rPr>
          <w:rFonts w:cs="Times New Roman"/>
        </w:rPr>
        <w:t xml:space="preserve"> the cover crop treatments (</w:t>
      </w:r>
      <w:r w:rsidRPr="00203EB0">
        <w:rPr>
          <w:rFonts w:cs="Times New Roman"/>
          <w:i/>
          <w:iCs/>
        </w:rPr>
        <w:t>p</w:t>
      </w:r>
      <w:r w:rsidRPr="00203EB0">
        <w:rPr>
          <w:rFonts w:cs="Times New Roman"/>
        </w:rPr>
        <w:t xml:space="preserve"> &gt; 0.05). Whereas N fertilization alone under 50% WFPS resulted in cumulative N</w:t>
      </w:r>
      <w:r w:rsidRPr="00203EB0">
        <w:rPr>
          <w:rFonts w:cs="Times New Roman"/>
          <w:vertAlign w:val="subscript"/>
        </w:rPr>
        <w:t>2</w:t>
      </w:r>
      <w:r w:rsidRPr="00203EB0">
        <w:rPr>
          <w:rFonts w:cs="Times New Roman"/>
        </w:rPr>
        <w:t>O emissions comparable to the control treatment (</w:t>
      </w:r>
      <w:r w:rsidRPr="00203EB0">
        <w:rPr>
          <w:rFonts w:cs="Times New Roman"/>
          <w:i/>
          <w:iCs/>
        </w:rPr>
        <w:t>p</w:t>
      </w:r>
      <w:r w:rsidRPr="00203EB0">
        <w:rPr>
          <w:rFonts w:cs="Times New Roman"/>
        </w:rPr>
        <w:t xml:space="preserve"> &gt; 0.05) and six times less than that in 80% WFPS (</w:t>
      </w:r>
      <w:r w:rsidRPr="00203EB0">
        <w:rPr>
          <w:rFonts w:cs="Times New Roman"/>
          <w:i/>
          <w:iCs/>
        </w:rPr>
        <w:t>p</w:t>
      </w:r>
      <w:r w:rsidRPr="00203EB0">
        <w:rPr>
          <w:rFonts w:cs="Times New Roman"/>
        </w:rPr>
        <w:t xml:space="preserve"> &lt; 0.05). Cover crop residue addition effect on CO</w:t>
      </w:r>
      <w:r w:rsidRPr="00203EB0">
        <w:rPr>
          <w:rFonts w:cs="Times New Roman"/>
          <w:vertAlign w:val="subscript"/>
        </w:rPr>
        <w:t xml:space="preserve">2 </w:t>
      </w:r>
      <w:r w:rsidRPr="00203EB0">
        <w:rPr>
          <w:rFonts w:cs="Times New Roman"/>
        </w:rPr>
        <w:t>emissions was more pronounced under 50% WFPS content and exhibited approximately twice as high cumulative CO</w:t>
      </w:r>
      <w:r w:rsidRPr="00203EB0">
        <w:rPr>
          <w:rFonts w:cs="Times New Roman"/>
          <w:vertAlign w:val="subscript"/>
        </w:rPr>
        <w:t>2</w:t>
      </w:r>
      <w:r w:rsidRPr="00203EB0">
        <w:rPr>
          <w:rFonts w:cs="Times New Roman"/>
        </w:rPr>
        <w:t xml:space="preserve"> emissions compared to the only N fertilizer and control treatments (</w:t>
      </w:r>
      <w:r w:rsidRPr="00203EB0">
        <w:rPr>
          <w:rFonts w:cs="Times New Roman"/>
          <w:i/>
          <w:iCs/>
        </w:rPr>
        <w:t>p</w:t>
      </w:r>
      <w:r w:rsidRPr="00203EB0">
        <w:rPr>
          <w:rFonts w:cs="Times New Roman"/>
        </w:rPr>
        <w:t xml:space="preserve"> &lt; 0.05) (</w:t>
      </w:r>
      <w:r w:rsidRPr="00203EB0">
        <w:rPr>
          <w:rFonts w:cs="Times New Roman"/>
          <w:b/>
        </w:rPr>
        <w:t>Table 4.1</w:t>
      </w:r>
      <w:r w:rsidRPr="00203EB0">
        <w:rPr>
          <w:rFonts w:cs="Times New Roman"/>
        </w:rPr>
        <w:t>). CO</w:t>
      </w:r>
      <w:r w:rsidRPr="00203EB0">
        <w:rPr>
          <w:rFonts w:cs="Times New Roman"/>
          <w:vertAlign w:val="subscript"/>
        </w:rPr>
        <w:t>2</w:t>
      </w:r>
      <w:r w:rsidRPr="00203EB0">
        <w:rPr>
          <w:rFonts w:cs="Times New Roman"/>
        </w:rPr>
        <w:t xml:space="preserve"> emissions were suppressed in </w:t>
      </w:r>
      <w:proofErr w:type="gramStart"/>
      <w:r w:rsidRPr="00203EB0">
        <w:rPr>
          <w:rFonts w:cs="Times New Roman"/>
        </w:rPr>
        <w:t>all the</w:t>
      </w:r>
      <w:proofErr w:type="gramEnd"/>
      <w:r w:rsidRPr="00203EB0">
        <w:rPr>
          <w:rFonts w:cs="Times New Roman"/>
        </w:rPr>
        <w:t xml:space="preserve"> treatments under 80% WFPS (</w:t>
      </w:r>
      <w:r w:rsidRPr="00203EB0">
        <w:rPr>
          <w:rFonts w:cs="Times New Roman"/>
          <w:i/>
          <w:iCs/>
        </w:rPr>
        <w:t>p</w:t>
      </w:r>
      <w:r w:rsidRPr="00203EB0">
        <w:rPr>
          <w:rFonts w:cs="Times New Roman"/>
        </w:rPr>
        <w:t xml:space="preserve"> &gt; 0.05). </w:t>
      </w:r>
    </w:p>
    <w:p w14:paraId="7FA09A84" w14:textId="77777777" w:rsidR="003B5CF0" w:rsidRPr="00203EB0" w:rsidRDefault="003B5CF0" w:rsidP="003B5CF0"/>
    <w:p w14:paraId="7EFC331E" w14:textId="77777777" w:rsidR="00932EDE" w:rsidRPr="00203EB0" w:rsidRDefault="00932EDE" w:rsidP="003B5CF0">
      <w:r w:rsidRPr="00203EB0">
        <w:rPr>
          <w:noProof/>
        </w:rPr>
        <w:lastRenderedPageBreak/>
        <w:drawing>
          <wp:inline distT="0" distB="0" distL="0" distR="0" wp14:anchorId="707C7ADC" wp14:editId="2D9BC3DD">
            <wp:extent cx="5486400" cy="421815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86400" cy="4218159"/>
                    </a:xfrm>
                    <a:prstGeom prst="rect">
                      <a:avLst/>
                    </a:prstGeom>
                  </pic:spPr>
                </pic:pic>
              </a:graphicData>
            </a:graphic>
          </wp:inline>
        </w:drawing>
      </w:r>
    </w:p>
    <w:p w14:paraId="0A77C2B7" w14:textId="77777777" w:rsidR="00932EDE" w:rsidRPr="00203EB0" w:rsidRDefault="00932EDE" w:rsidP="003B5CF0"/>
    <w:p w14:paraId="0D81780A" w14:textId="47938F8F" w:rsidR="00932EDE" w:rsidRPr="00203EB0" w:rsidRDefault="00932EDE" w:rsidP="00932EDE">
      <w:pPr>
        <w:rPr>
          <w:rFonts w:cs="Times New Roman"/>
        </w:rPr>
      </w:pPr>
      <w:bookmarkStart w:id="63" w:name="_Toc206669269"/>
      <w:r w:rsidRPr="00203EB0">
        <w:rPr>
          <w:b/>
        </w:rPr>
        <w:t xml:space="preserve">Figure </w:t>
      </w:r>
      <w:r w:rsidR="00BD46F8" w:rsidRPr="00203EB0">
        <w:rPr>
          <w:b/>
        </w:rPr>
        <w:fldChar w:fldCharType="begin"/>
      </w:r>
      <w:r w:rsidR="00BD46F8" w:rsidRPr="00203EB0">
        <w:rPr>
          <w:b/>
        </w:rPr>
        <w:instrText xml:space="preserve"> STYLEREF 1 \s </w:instrText>
      </w:r>
      <w:r w:rsidR="00BD46F8" w:rsidRPr="00203EB0">
        <w:rPr>
          <w:b/>
        </w:rPr>
        <w:fldChar w:fldCharType="separate"/>
      </w:r>
      <w:r w:rsidR="00D56363" w:rsidRPr="00203EB0">
        <w:rPr>
          <w:b/>
        </w:rPr>
        <w:t>4</w:t>
      </w:r>
      <w:r w:rsidR="00BD46F8" w:rsidRPr="00203EB0">
        <w:rPr>
          <w:b/>
        </w:rPr>
        <w:fldChar w:fldCharType="end"/>
      </w:r>
      <w:r w:rsidR="00BD46F8" w:rsidRPr="00203EB0">
        <w:rPr>
          <w:b/>
        </w:rPr>
        <w:t>.</w:t>
      </w:r>
      <w:r w:rsidR="00BD46F8" w:rsidRPr="00203EB0">
        <w:rPr>
          <w:b/>
        </w:rPr>
        <w:fldChar w:fldCharType="begin"/>
      </w:r>
      <w:r w:rsidR="00BD46F8" w:rsidRPr="00203EB0">
        <w:rPr>
          <w:b/>
        </w:rPr>
        <w:instrText xml:space="preserve"> SEQ Figure \* ARABIC \s 1 </w:instrText>
      </w:r>
      <w:r w:rsidR="00BD46F8" w:rsidRPr="00203EB0">
        <w:rPr>
          <w:b/>
        </w:rPr>
        <w:fldChar w:fldCharType="separate"/>
      </w:r>
      <w:r w:rsidR="00D56363" w:rsidRPr="00203EB0">
        <w:rPr>
          <w:b/>
        </w:rPr>
        <w:t>4</w:t>
      </w:r>
      <w:r w:rsidR="00BD46F8" w:rsidRPr="00203EB0">
        <w:rPr>
          <w:b/>
        </w:rPr>
        <w:fldChar w:fldCharType="end"/>
      </w:r>
      <w:r w:rsidRPr="00203EB0">
        <w:rPr>
          <w:b/>
        </w:rPr>
        <w:t>:</w:t>
      </w:r>
      <w:r w:rsidRPr="00203EB0">
        <w:t xml:space="preserve"> </w:t>
      </w:r>
      <w:r w:rsidRPr="00203EB0">
        <w:rPr>
          <w:rFonts w:cs="Times New Roman"/>
        </w:rPr>
        <w:t>Cumulative N</w:t>
      </w:r>
      <w:r w:rsidRPr="00203EB0">
        <w:rPr>
          <w:rFonts w:cs="Times New Roman"/>
          <w:vertAlign w:val="subscript"/>
        </w:rPr>
        <w:t>2</w:t>
      </w:r>
      <w:r w:rsidRPr="00203EB0">
        <w:rPr>
          <w:rFonts w:cs="Times New Roman"/>
        </w:rPr>
        <w:t>O emissions over the experiment incubation period derived from the fertilizer (yellow) and soil organic matter and/or cover crops (brown) for four cover crops treatments at 50% and 80% WFPS. The error bars represent the mean standard errors for the total N</w:t>
      </w:r>
      <w:r w:rsidRPr="00203EB0">
        <w:rPr>
          <w:rFonts w:cs="Times New Roman"/>
          <w:vertAlign w:val="subscript"/>
        </w:rPr>
        <w:t>2</w:t>
      </w:r>
      <w:r w:rsidRPr="00203EB0">
        <w:rPr>
          <w:rFonts w:cs="Times New Roman"/>
        </w:rPr>
        <w:t>O emissions, and the percentage shown in the columns represents the proportion of cumulative total N</w:t>
      </w:r>
      <w:r w:rsidRPr="00203EB0">
        <w:rPr>
          <w:rFonts w:cs="Times New Roman"/>
          <w:vertAlign w:val="subscript"/>
        </w:rPr>
        <w:t>2</w:t>
      </w:r>
      <w:r w:rsidRPr="00203EB0">
        <w:rPr>
          <w:rFonts w:cs="Times New Roman"/>
        </w:rPr>
        <w:t>O emissions from each source. Uppercase letters indicate significant differences (</w:t>
      </w:r>
      <w:r w:rsidRPr="00203EB0">
        <w:rPr>
          <w:rFonts w:cs="Times New Roman"/>
          <w:i/>
        </w:rPr>
        <w:t>p</w:t>
      </w:r>
      <w:r w:rsidRPr="00203EB0">
        <w:rPr>
          <w:rFonts w:cs="Times New Roman"/>
        </w:rPr>
        <w:t xml:space="preserve"> &lt; 0.05) in cumulative N</w:t>
      </w:r>
      <w:r w:rsidRPr="00203EB0">
        <w:rPr>
          <w:rFonts w:cs="Times New Roman"/>
          <w:vertAlign w:val="subscript"/>
        </w:rPr>
        <w:t>2</w:t>
      </w:r>
      <w:r w:rsidRPr="00203EB0">
        <w:rPr>
          <w:rFonts w:cs="Times New Roman"/>
        </w:rPr>
        <w:t>O emissions and N</w:t>
      </w:r>
      <w:r w:rsidRPr="00203EB0">
        <w:rPr>
          <w:rFonts w:cs="Times New Roman"/>
          <w:vertAlign w:val="subscript"/>
        </w:rPr>
        <w:t>2</w:t>
      </w:r>
      <w:r w:rsidRPr="00203EB0">
        <w:rPr>
          <w:rFonts w:cs="Times New Roman"/>
        </w:rPr>
        <w:t>O emissions derived from N fertilizer among the treatments, while lowercase letters indicate differences in N</w:t>
      </w:r>
      <w:r w:rsidRPr="00203EB0">
        <w:rPr>
          <w:rFonts w:cs="Times New Roman"/>
          <w:vertAlign w:val="subscript"/>
        </w:rPr>
        <w:t>2</w:t>
      </w:r>
      <w:r w:rsidRPr="00203EB0">
        <w:rPr>
          <w:rFonts w:cs="Times New Roman"/>
        </w:rPr>
        <w:t>O emissions derived from SOM and/or cover crops among the treatments. HV: Hairy vetch, WW: Winter wheat, NC: No cover crop, NC + 0 N: Control.</w:t>
      </w:r>
      <w:bookmarkEnd w:id="63"/>
    </w:p>
    <w:p w14:paraId="4A798902" w14:textId="76A6F09D" w:rsidR="00932EDE" w:rsidRDefault="00932EDE" w:rsidP="00932EDE">
      <w:pPr>
        <w:rPr>
          <w:rFonts w:cs="Times New Roman"/>
        </w:rPr>
      </w:pPr>
    </w:p>
    <w:p w14:paraId="1590C95D" w14:textId="77777777" w:rsidR="0033090A" w:rsidRDefault="0033090A" w:rsidP="00932EDE">
      <w:pPr>
        <w:rPr>
          <w:rFonts w:cs="Times New Roman"/>
        </w:rPr>
      </w:pPr>
    </w:p>
    <w:p w14:paraId="3457C4A9" w14:textId="77777777" w:rsidR="0033090A" w:rsidRDefault="0033090A" w:rsidP="00932EDE">
      <w:pPr>
        <w:rPr>
          <w:rFonts w:cs="Times New Roman"/>
        </w:rPr>
      </w:pPr>
    </w:p>
    <w:p w14:paraId="7A97CD60" w14:textId="77777777" w:rsidR="0033090A" w:rsidRDefault="0033090A" w:rsidP="00932EDE">
      <w:pPr>
        <w:rPr>
          <w:rFonts w:cs="Times New Roman"/>
        </w:rPr>
      </w:pPr>
    </w:p>
    <w:p w14:paraId="26A2E362" w14:textId="77777777" w:rsidR="0033090A" w:rsidRDefault="0033090A" w:rsidP="00932EDE">
      <w:pPr>
        <w:rPr>
          <w:rFonts w:cs="Times New Roman"/>
        </w:rPr>
      </w:pPr>
    </w:p>
    <w:p w14:paraId="4DF6B6C0" w14:textId="77777777" w:rsidR="0033090A" w:rsidRDefault="0033090A" w:rsidP="00932EDE">
      <w:pPr>
        <w:rPr>
          <w:rFonts w:cs="Times New Roman"/>
        </w:rPr>
      </w:pPr>
    </w:p>
    <w:p w14:paraId="244ABC6A" w14:textId="77777777" w:rsidR="0033090A" w:rsidRPr="00203EB0" w:rsidRDefault="0033090A" w:rsidP="00932EDE">
      <w:pPr>
        <w:rPr>
          <w:rFonts w:cs="Times New Roman"/>
        </w:rPr>
      </w:pPr>
    </w:p>
    <w:p w14:paraId="7D69AC4B" w14:textId="2596ADE7" w:rsidR="00932EDE" w:rsidRPr="00203EB0" w:rsidRDefault="00932EDE" w:rsidP="00001ABC">
      <w:pPr>
        <w:pStyle w:val="Caption"/>
      </w:pPr>
      <w:bookmarkStart w:id="64" w:name="_Toc206669220"/>
      <w:r w:rsidRPr="00203EB0">
        <w:rPr>
          <w:b/>
          <w:bCs/>
        </w:rPr>
        <w:lastRenderedPageBreak/>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4</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1</w:t>
      </w:r>
      <w:r w:rsidR="00775F57" w:rsidRPr="00203EB0">
        <w:rPr>
          <w:b/>
          <w:bCs/>
        </w:rPr>
        <w:fldChar w:fldCharType="end"/>
      </w:r>
      <w:r w:rsidRPr="00203EB0">
        <w:rPr>
          <w:b/>
          <w:bCs/>
        </w:rPr>
        <w:t>:</w:t>
      </w:r>
      <w:r w:rsidRPr="00203EB0">
        <w:t xml:space="preserve"> Cumulative CO</w:t>
      </w:r>
      <w:r w:rsidRPr="00203EB0">
        <w:rPr>
          <w:vertAlign w:val="subscript"/>
        </w:rPr>
        <w:t>2</w:t>
      </w:r>
      <w:r w:rsidRPr="00203EB0">
        <w:t xml:space="preserve"> emissions from all eight treatments after 21-day incubation.</w:t>
      </w:r>
      <w:bookmarkEnd w:id="64"/>
    </w:p>
    <w:tbl>
      <w:tblPr>
        <w:tblStyle w:val="Tablaconcuadrcula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8"/>
        <w:gridCol w:w="1408"/>
        <w:gridCol w:w="4944"/>
      </w:tblGrid>
      <w:tr w:rsidR="00932EDE" w:rsidRPr="00203EB0" w14:paraId="2EB1AE14" w14:textId="77777777" w:rsidTr="00652800">
        <w:trPr>
          <w:trHeight w:val="516"/>
        </w:trPr>
        <w:tc>
          <w:tcPr>
            <w:tcW w:w="1324" w:type="pct"/>
            <w:tcBorders>
              <w:top w:val="single" w:sz="12" w:space="0" w:color="auto"/>
              <w:bottom w:val="single" w:sz="12" w:space="0" w:color="auto"/>
            </w:tcBorders>
            <w:vAlign w:val="center"/>
          </w:tcPr>
          <w:p w14:paraId="0B5B8480" w14:textId="77777777" w:rsidR="00932EDE" w:rsidRPr="00203EB0" w:rsidRDefault="00932EDE" w:rsidP="00652800">
            <w:pPr>
              <w:jc w:val="center"/>
              <w:rPr>
                <w:rFonts w:ascii="Times New Roman" w:hAnsi="Times New Roman" w:cs="Times New Roman"/>
                <w:b/>
              </w:rPr>
            </w:pPr>
            <w:r w:rsidRPr="00203EB0">
              <w:rPr>
                <w:rFonts w:ascii="Times New Roman" w:hAnsi="Times New Roman" w:cs="Times New Roman"/>
                <w:b/>
              </w:rPr>
              <w:t>Cover crop</w:t>
            </w:r>
          </w:p>
        </w:tc>
        <w:tc>
          <w:tcPr>
            <w:tcW w:w="815" w:type="pct"/>
            <w:tcBorders>
              <w:top w:val="single" w:sz="12" w:space="0" w:color="auto"/>
              <w:bottom w:val="single" w:sz="12" w:space="0" w:color="auto"/>
            </w:tcBorders>
            <w:vAlign w:val="center"/>
          </w:tcPr>
          <w:p w14:paraId="50F6E51C" w14:textId="77777777" w:rsidR="00932EDE" w:rsidRPr="00203EB0" w:rsidRDefault="00932EDE" w:rsidP="00652800">
            <w:pPr>
              <w:jc w:val="center"/>
              <w:rPr>
                <w:rFonts w:ascii="Times New Roman" w:hAnsi="Times New Roman" w:cs="Times New Roman"/>
                <w:b/>
              </w:rPr>
            </w:pPr>
            <w:r w:rsidRPr="00203EB0">
              <w:rPr>
                <w:rFonts w:ascii="Times New Roman" w:hAnsi="Times New Roman" w:cs="Times New Roman"/>
                <w:b/>
              </w:rPr>
              <w:t>WFPS</w:t>
            </w:r>
          </w:p>
        </w:tc>
        <w:tc>
          <w:tcPr>
            <w:tcW w:w="2861" w:type="pct"/>
            <w:tcBorders>
              <w:top w:val="single" w:sz="12" w:space="0" w:color="auto"/>
              <w:bottom w:val="single" w:sz="12" w:space="0" w:color="auto"/>
            </w:tcBorders>
            <w:vAlign w:val="center"/>
          </w:tcPr>
          <w:p w14:paraId="2AC04F5F" w14:textId="77777777" w:rsidR="00932EDE" w:rsidRPr="00203EB0" w:rsidRDefault="00932EDE" w:rsidP="00652800">
            <w:pPr>
              <w:jc w:val="center"/>
              <w:rPr>
                <w:rFonts w:ascii="Times New Roman" w:hAnsi="Times New Roman" w:cs="Times New Roman"/>
                <w:b/>
              </w:rPr>
            </w:pPr>
            <w:r w:rsidRPr="00203EB0">
              <w:rPr>
                <w:rFonts w:ascii="Times New Roman" w:hAnsi="Times New Roman" w:cs="Times New Roman"/>
                <w:b/>
              </w:rPr>
              <w:t>Cumulative CO</w:t>
            </w:r>
            <w:r w:rsidRPr="00203EB0">
              <w:rPr>
                <w:rFonts w:ascii="Times New Roman" w:hAnsi="Times New Roman" w:cs="Times New Roman"/>
                <w:b/>
                <w:vertAlign w:val="subscript"/>
              </w:rPr>
              <w:t xml:space="preserve">2 </w:t>
            </w:r>
            <w:r w:rsidRPr="00203EB0">
              <w:rPr>
                <w:rFonts w:ascii="Times New Roman" w:hAnsi="Times New Roman" w:cs="Times New Roman"/>
                <w:b/>
              </w:rPr>
              <w:t>emissions (mg C-CO</w:t>
            </w:r>
            <w:r w:rsidRPr="00203EB0">
              <w:rPr>
                <w:rFonts w:ascii="Times New Roman" w:hAnsi="Times New Roman" w:cs="Times New Roman"/>
                <w:b/>
                <w:vertAlign w:val="subscript"/>
              </w:rPr>
              <w:t>2</w:t>
            </w:r>
            <w:r w:rsidRPr="00203EB0">
              <w:rPr>
                <w:rFonts w:ascii="Times New Roman" w:hAnsi="Times New Roman" w:cs="Times New Roman"/>
                <w:b/>
              </w:rPr>
              <w:t xml:space="preserve"> kg soil</w:t>
            </w:r>
            <w:r w:rsidRPr="00203EB0">
              <w:rPr>
                <w:rFonts w:ascii="Times New Roman" w:hAnsi="Times New Roman" w:cs="Times New Roman"/>
                <w:b/>
                <w:vertAlign w:val="superscript"/>
              </w:rPr>
              <w:t>-1</w:t>
            </w:r>
            <w:r w:rsidRPr="00203EB0">
              <w:rPr>
                <w:rFonts w:ascii="Times New Roman" w:hAnsi="Times New Roman" w:cs="Times New Roman"/>
                <w:b/>
              </w:rPr>
              <w:t>)</w:t>
            </w:r>
          </w:p>
        </w:tc>
      </w:tr>
      <w:tr w:rsidR="00932EDE" w:rsidRPr="00203EB0" w14:paraId="230D8CCF" w14:textId="77777777" w:rsidTr="00652800">
        <w:tc>
          <w:tcPr>
            <w:tcW w:w="1324" w:type="pct"/>
            <w:tcBorders>
              <w:top w:val="single" w:sz="12" w:space="0" w:color="auto"/>
            </w:tcBorders>
          </w:tcPr>
          <w:p w14:paraId="71700270" w14:textId="77777777" w:rsidR="00932EDE" w:rsidRPr="00203EB0" w:rsidRDefault="00932EDE" w:rsidP="00652800">
            <w:pPr>
              <w:rPr>
                <w:rFonts w:ascii="Times New Roman" w:hAnsi="Times New Roman" w:cs="Times New Roman"/>
              </w:rPr>
            </w:pPr>
            <w:r w:rsidRPr="00203EB0">
              <w:rPr>
                <w:rFonts w:ascii="Times New Roman" w:hAnsi="Times New Roman" w:cs="Times New Roman"/>
              </w:rPr>
              <w:t>Hairy vetch + 160 N</w:t>
            </w:r>
          </w:p>
        </w:tc>
        <w:tc>
          <w:tcPr>
            <w:tcW w:w="815" w:type="pct"/>
            <w:tcBorders>
              <w:top w:val="single" w:sz="12" w:space="0" w:color="auto"/>
            </w:tcBorders>
          </w:tcPr>
          <w:p w14:paraId="711A8655"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50%</w:t>
            </w:r>
          </w:p>
        </w:tc>
        <w:tc>
          <w:tcPr>
            <w:tcW w:w="2861" w:type="pct"/>
            <w:tcBorders>
              <w:top w:val="single" w:sz="12" w:space="0" w:color="auto"/>
            </w:tcBorders>
          </w:tcPr>
          <w:p w14:paraId="21A070A1"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 xml:space="preserve">382.8 (44.2) </w:t>
            </w:r>
            <w:r w:rsidRPr="00203EB0">
              <w:rPr>
                <w:rFonts w:ascii="Times New Roman" w:hAnsi="Times New Roman" w:cs="Times New Roman"/>
                <w:vertAlign w:val="superscript"/>
              </w:rPr>
              <w:t>ab</w:t>
            </w:r>
          </w:p>
        </w:tc>
      </w:tr>
      <w:tr w:rsidR="00932EDE" w:rsidRPr="00203EB0" w14:paraId="5EF8B20A" w14:textId="77777777" w:rsidTr="00652800">
        <w:tc>
          <w:tcPr>
            <w:tcW w:w="1324" w:type="pct"/>
          </w:tcPr>
          <w:p w14:paraId="59DF9D24" w14:textId="77777777" w:rsidR="00932EDE" w:rsidRPr="00203EB0" w:rsidRDefault="00932EDE" w:rsidP="00652800">
            <w:pPr>
              <w:rPr>
                <w:rFonts w:ascii="Times New Roman" w:hAnsi="Times New Roman" w:cs="Times New Roman"/>
              </w:rPr>
            </w:pPr>
            <w:r w:rsidRPr="00203EB0">
              <w:rPr>
                <w:rFonts w:ascii="Times New Roman" w:hAnsi="Times New Roman" w:cs="Times New Roman"/>
              </w:rPr>
              <w:t>Hairy vetch + 160 N</w:t>
            </w:r>
          </w:p>
        </w:tc>
        <w:tc>
          <w:tcPr>
            <w:tcW w:w="815" w:type="pct"/>
          </w:tcPr>
          <w:p w14:paraId="729C53E7"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80%</w:t>
            </w:r>
          </w:p>
        </w:tc>
        <w:tc>
          <w:tcPr>
            <w:tcW w:w="2861" w:type="pct"/>
          </w:tcPr>
          <w:p w14:paraId="724BBF59"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 xml:space="preserve">95.1 (13.1) </w:t>
            </w:r>
            <w:r w:rsidRPr="00203EB0">
              <w:rPr>
                <w:rFonts w:ascii="Times New Roman" w:hAnsi="Times New Roman" w:cs="Times New Roman"/>
                <w:vertAlign w:val="superscript"/>
              </w:rPr>
              <w:t>e</w:t>
            </w:r>
          </w:p>
        </w:tc>
      </w:tr>
      <w:tr w:rsidR="00932EDE" w:rsidRPr="00203EB0" w14:paraId="762215D8" w14:textId="77777777" w:rsidTr="00652800">
        <w:tc>
          <w:tcPr>
            <w:tcW w:w="1324" w:type="pct"/>
          </w:tcPr>
          <w:p w14:paraId="05D31B74" w14:textId="77777777" w:rsidR="00932EDE" w:rsidRPr="00203EB0" w:rsidRDefault="00932EDE" w:rsidP="00652800">
            <w:pPr>
              <w:rPr>
                <w:rFonts w:ascii="Times New Roman" w:hAnsi="Times New Roman" w:cs="Times New Roman"/>
              </w:rPr>
            </w:pPr>
          </w:p>
        </w:tc>
        <w:tc>
          <w:tcPr>
            <w:tcW w:w="815" w:type="pct"/>
          </w:tcPr>
          <w:p w14:paraId="0ED0E13F" w14:textId="77777777" w:rsidR="00932EDE" w:rsidRPr="00203EB0" w:rsidRDefault="00932EDE" w:rsidP="00652800">
            <w:pPr>
              <w:jc w:val="center"/>
              <w:rPr>
                <w:rFonts w:ascii="Times New Roman" w:hAnsi="Times New Roman" w:cs="Times New Roman"/>
              </w:rPr>
            </w:pPr>
          </w:p>
        </w:tc>
        <w:tc>
          <w:tcPr>
            <w:tcW w:w="2861" w:type="pct"/>
          </w:tcPr>
          <w:p w14:paraId="7E5DF8E3" w14:textId="77777777" w:rsidR="00932EDE" w:rsidRPr="00203EB0" w:rsidRDefault="00932EDE" w:rsidP="00652800">
            <w:pPr>
              <w:jc w:val="center"/>
              <w:rPr>
                <w:rFonts w:ascii="Times New Roman" w:hAnsi="Times New Roman" w:cs="Times New Roman"/>
              </w:rPr>
            </w:pPr>
          </w:p>
        </w:tc>
      </w:tr>
      <w:tr w:rsidR="00932EDE" w:rsidRPr="00203EB0" w14:paraId="51B05E9D" w14:textId="77777777" w:rsidTr="00652800">
        <w:tc>
          <w:tcPr>
            <w:tcW w:w="1324" w:type="pct"/>
          </w:tcPr>
          <w:p w14:paraId="14AD0991" w14:textId="77777777" w:rsidR="00932EDE" w:rsidRPr="00203EB0" w:rsidRDefault="00932EDE" w:rsidP="00652800">
            <w:pPr>
              <w:rPr>
                <w:rFonts w:ascii="Times New Roman" w:hAnsi="Times New Roman" w:cs="Times New Roman"/>
              </w:rPr>
            </w:pPr>
            <w:r w:rsidRPr="00203EB0">
              <w:rPr>
                <w:rFonts w:ascii="Times New Roman" w:hAnsi="Times New Roman" w:cs="Times New Roman"/>
              </w:rPr>
              <w:t>Winter wheat + 160 N</w:t>
            </w:r>
          </w:p>
        </w:tc>
        <w:tc>
          <w:tcPr>
            <w:tcW w:w="815" w:type="pct"/>
          </w:tcPr>
          <w:p w14:paraId="4D54AA29"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50%</w:t>
            </w:r>
          </w:p>
        </w:tc>
        <w:tc>
          <w:tcPr>
            <w:tcW w:w="2861" w:type="pct"/>
          </w:tcPr>
          <w:p w14:paraId="4410C05C"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 xml:space="preserve">472.4 (26.0) </w:t>
            </w:r>
            <w:r w:rsidRPr="00203EB0">
              <w:rPr>
                <w:rFonts w:ascii="Times New Roman" w:hAnsi="Times New Roman" w:cs="Times New Roman"/>
                <w:vertAlign w:val="superscript"/>
              </w:rPr>
              <w:t>a</w:t>
            </w:r>
          </w:p>
        </w:tc>
      </w:tr>
      <w:tr w:rsidR="00932EDE" w:rsidRPr="00203EB0" w14:paraId="00340465" w14:textId="77777777" w:rsidTr="00652800">
        <w:tc>
          <w:tcPr>
            <w:tcW w:w="1324" w:type="pct"/>
          </w:tcPr>
          <w:p w14:paraId="762A9B07" w14:textId="77777777" w:rsidR="00932EDE" w:rsidRPr="00203EB0" w:rsidRDefault="00932EDE" w:rsidP="00652800">
            <w:pPr>
              <w:rPr>
                <w:rFonts w:ascii="Times New Roman" w:hAnsi="Times New Roman" w:cs="Times New Roman"/>
              </w:rPr>
            </w:pPr>
            <w:r w:rsidRPr="00203EB0">
              <w:rPr>
                <w:rFonts w:ascii="Times New Roman" w:hAnsi="Times New Roman" w:cs="Times New Roman"/>
              </w:rPr>
              <w:t>Winter wheat + 160 N</w:t>
            </w:r>
          </w:p>
        </w:tc>
        <w:tc>
          <w:tcPr>
            <w:tcW w:w="815" w:type="pct"/>
          </w:tcPr>
          <w:p w14:paraId="5B8A4E42"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80%</w:t>
            </w:r>
          </w:p>
        </w:tc>
        <w:tc>
          <w:tcPr>
            <w:tcW w:w="2861" w:type="pct"/>
          </w:tcPr>
          <w:p w14:paraId="63E91769"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 xml:space="preserve">177.4 (17.7) </w:t>
            </w:r>
            <w:proofErr w:type="spellStart"/>
            <w:r w:rsidRPr="00203EB0">
              <w:rPr>
                <w:rFonts w:ascii="Times New Roman" w:hAnsi="Times New Roman" w:cs="Times New Roman"/>
                <w:vertAlign w:val="superscript"/>
              </w:rPr>
              <w:t>ce</w:t>
            </w:r>
            <w:proofErr w:type="spellEnd"/>
          </w:p>
        </w:tc>
      </w:tr>
      <w:tr w:rsidR="00932EDE" w:rsidRPr="00203EB0" w14:paraId="25133C2C" w14:textId="77777777" w:rsidTr="00652800">
        <w:tc>
          <w:tcPr>
            <w:tcW w:w="1324" w:type="pct"/>
          </w:tcPr>
          <w:p w14:paraId="669943B9" w14:textId="77777777" w:rsidR="00932EDE" w:rsidRPr="00203EB0" w:rsidRDefault="00932EDE" w:rsidP="00652800">
            <w:pPr>
              <w:rPr>
                <w:rFonts w:ascii="Times New Roman" w:hAnsi="Times New Roman" w:cs="Times New Roman"/>
              </w:rPr>
            </w:pPr>
          </w:p>
        </w:tc>
        <w:tc>
          <w:tcPr>
            <w:tcW w:w="815" w:type="pct"/>
          </w:tcPr>
          <w:p w14:paraId="20C7F06B" w14:textId="77777777" w:rsidR="00932EDE" w:rsidRPr="00203EB0" w:rsidRDefault="00932EDE" w:rsidP="00652800">
            <w:pPr>
              <w:jc w:val="center"/>
              <w:rPr>
                <w:rFonts w:ascii="Times New Roman" w:hAnsi="Times New Roman" w:cs="Times New Roman"/>
              </w:rPr>
            </w:pPr>
          </w:p>
        </w:tc>
        <w:tc>
          <w:tcPr>
            <w:tcW w:w="2861" w:type="pct"/>
          </w:tcPr>
          <w:p w14:paraId="315F036D" w14:textId="77777777" w:rsidR="00932EDE" w:rsidRPr="00203EB0" w:rsidRDefault="00932EDE" w:rsidP="00652800">
            <w:pPr>
              <w:jc w:val="center"/>
              <w:rPr>
                <w:rFonts w:ascii="Times New Roman" w:hAnsi="Times New Roman" w:cs="Times New Roman"/>
              </w:rPr>
            </w:pPr>
          </w:p>
        </w:tc>
      </w:tr>
      <w:tr w:rsidR="00932EDE" w:rsidRPr="00203EB0" w14:paraId="20549E96" w14:textId="77777777" w:rsidTr="00652800">
        <w:tc>
          <w:tcPr>
            <w:tcW w:w="1324" w:type="pct"/>
          </w:tcPr>
          <w:p w14:paraId="6DF83A13" w14:textId="77777777" w:rsidR="00932EDE" w:rsidRPr="00203EB0" w:rsidRDefault="00932EDE" w:rsidP="00652800">
            <w:pPr>
              <w:rPr>
                <w:rFonts w:ascii="Times New Roman" w:hAnsi="Times New Roman" w:cs="Times New Roman"/>
              </w:rPr>
            </w:pPr>
            <w:r w:rsidRPr="00203EB0">
              <w:rPr>
                <w:rFonts w:ascii="Times New Roman" w:hAnsi="Times New Roman" w:cs="Times New Roman"/>
              </w:rPr>
              <w:t>No cover crop + 160 N</w:t>
            </w:r>
          </w:p>
        </w:tc>
        <w:tc>
          <w:tcPr>
            <w:tcW w:w="815" w:type="pct"/>
          </w:tcPr>
          <w:p w14:paraId="66D8DFCA"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50%</w:t>
            </w:r>
          </w:p>
        </w:tc>
        <w:tc>
          <w:tcPr>
            <w:tcW w:w="2861" w:type="pct"/>
          </w:tcPr>
          <w:p w14:paraId="290E3003"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 xml:space="preserve">207.9 (33.2) </w:t>
            </w:r>
            <w:proofErr w:type="spellStart"/>
            <w:r w:rsidRPr="00203EB0">
              <w:rPr>
                <w:rFonts w:ascii="Times New Roman" w:hAnsi="Times New Roman" w:cs="Times New Roman"/>
                <w:vertAlign w:val="superscript"/>
              </w:rPr>
              <w:t>bc</w:t>
            </w:r>
            <w:proofErr w:type="spellEnd"/>
          </w:p>
        </w:tc>
      </w:tr>
      <w:tr w:rsidR="00932EDE" w:rsidRPr="00203EB0" w14:paraId="05D196A3" w14:textId="77777777" w:rsidTr="00652800">
        <w:tc>
          <w:tcPr>
            <w:tcW w:w="1324" w:type="pct"/>
          </w:tcPr>
          <w:p w14:paraId="69549C82" w14:textId="77777777" w:rsidR="00932EDE" w:rsidRPr="00203EB0" w:rsidRDefault="00932EDE" w:rsidP="00652800">
            <w:pPr>
              <w:rPr>
                <w:rFonts w:ascii="Times New Roman" w:hAnsi="Times New Roman" w:cs="Times New Roman"/>
              </w:rPr>
            </w:pPr>
            <w:r w:rsidRPr="00203EB0">
              <w:rPr>
                <w:rFonts w:ascii="Times New Roman" w:hAnsi="Times New Roman" w:cs="Times New Roman"/>
              </w:rPr>
              <w:t>No cover crop + 160 N</w:t>
            </w:r>
          </w:p>
        </w:tc>
        <w:tc>
          <w:tcPr>
            <w:tcW w:w="815" w:type="pct"/>
          </w:tcPr>
          <w:p w14:paraId="6E051405"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80%</w:t>
            </w:r>
          </w:p>
        </w:tc>
        <w:tc>
          <w:tcPr>
            <w:tcW w:w="2861" w:type="pct"/>
          </w:tcPr>
          <w:p w14:paraId="53DDFA21"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 xml:space="preserve">133.1 (24.9) </w:t>
            </w:r>
            <w:proofErr w:type="spellStart"/>
            <w:r w:rsidRPr="00203EB0">
              <w:rPr>
                <w:rFonts w:ascii="Times New Roman" w:hAnsi="Times New Roman" w:cs="Times New Roman"/>
                <w:vertAlign w:val="superscript"/>
              </w:rPr>
              <w:t>ce</w:t>
            </w:r>
            <w:proofErr w:type="spellEnd"/>
          </w:p>
        </w:tc>
      </w:tr>
      <w:tr w:rsidR="00932EDE" w:rsidRPr="00203EB0" w14:paraId="3F25B15A" w14:textId="77777777" w:rsidTr="00652800">
        <w:tc>
          <w:tcPr>
            <w:tcW w:w="1324" w:type="pct"/>
          </w:tcPr>
          <w:p w14:paraId="548CAC1A" w14:textId="77777777" w:rsidR="00932EDE" w:rsidRPr="00203EB0" w:rsidRDefault="00932EDE" w:rsidP="00652800">
            <w:pPr>
              <w:rPr>
                <w:rFonts w:ascii="Times New Roman" w:hAnsi="Times New Roman" w:cs="Times New Roman"/>
              </w:rPr>
            </w:pPr>
          </w:p>
        </w:tc>
        <w:tc>
          <w:tcPr>
            <w:tcW w:w="815" w:type="pct"/>
          </w:tcPr>
          <w:p w14:paraId="33B346D3" w14:textId="77777777" w:rsidR="00932EDE" w:rsidRPr="00203EB0" w:rsidRDefault="00932EDE" w:rsidP="00652800">
            <w:pPr>
              <w:jc w:val="center"/>
              <w:rPr>
                <w:rFonts w:ascii="Times New Roman" w:hAnsi="Times New Roman" w:cs="Times New Roman"/>
              </w:rPr>
            </w:pPr>
          </w:p>
        </w:tc>
        <w:tc>
          <w:tcPr>
            <w:tcW w:w="2861" w:type="pct"/>
          </w:tcPr>
          <w:p w14:paraId="7FB0DD46" w14:textId="77777777" w:rsidR="00932EDE" w:rsidRPr="00203EB0" w:rsidRDefault="00932EDE" w:rsidP="00652800">
            <w:pPr>
              <w:jc w:val="center"/>
              <w:rPr>
                <w:rFonts w:ascii="Times New Roman" w:hAnsi="Times New Roman" w:cs="Times New Roman"/>
              </w:rPr>
            </w:pPr>
          </w:p>
        </w:tc>
      </w:tr>
      <w:tr w:rsidR="00932EDE" w:rsidRPr="00203EB0" w14:paraId="5F340A5D" w14:textId="77777777" w:rsidTr="00652800">
        <w:tc>
          <w:tcPr>
            <w:tcW w:w="1324" w:type="pct"/>
          </w:tcPr>
          <w:p w14:paraId="2411AB54" w14:textId="77777777" w:rsidR="00932EDE" w:rsidRPr="00203EB0" w:rsidRDefault="00932EDE" w:rsidP="00652800">
            <w:pPr>
              <w:rPr>
                <w:rFonts w:ascii="Times New Roman" w:hAnsi="Times New Roman" w:cs="Times New Roman"/>
              </w:rPr>
            </w:pPr>
            <w:r w:rsidRPr="00203EB0">
              <w:rPr>
                <w:rFonts w:ascii="Times New Roman" w:hAnsi="Times New Roman" w:cs="Times New Roman"/>
              </w:rPr>
              <w:t>No cover crop + 0 N</w:t>
            </w:r>
          </w:p>
        </w:tc>
        <w:tc>
          <w:tcPr>
            <w:tcW w:w="815" w:type="pct"/>
          </w:tcPr>
          <w:p w14:paraId="54E682FE"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50%</w:t>
            </w:r>
          </w:p>
        </w:tc>
        <w:tc>
          <w:tcPr>
            <w:tcW w:w="2861" w:type="pct"/>
          </w:tcPr>
          <w:p w14:paraId="2A3C1D12"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 xml:space="preserve">199.8 (49.9) </w:t>
            </w:r>
            <w:r w:rsidRPr="00203EB0">
              <w:rPr>
                <w:rFonts w:ascii="Times New Roman" w:hAnsi="Times New Roman" w:cs="Times New Roman"/>
                <w:vertAlign w:val="superscript"/>
              </w:rPr>
              <w:t>cd</w:t>
            </w:r>
          </w:p>
        </w:tc>
      </w:tr>
      <w:tr w:rsidR="00932EDE" w:rsidRPr="00203EB0" w14:paraId="74B81EA5" w14:textId="77777777" w:rsidTr="00652800">
        <w:tc>
          <w:tcPr>
            <w:tcW w:w="1324" w:type="pct"/>
            <w:tcBorders>
              <w:bottom w:val="single" w:sz="12" w:space="0" w:color="auto"/>
            </w:tcBorders>
          </w:tcPr>
          <w:p w14:paraId="6A7E6EEB" w14:textId="77777777" w:rsidR="00932EDE" w:rsidRPr="00203EB0" w:rsidRDefault="00932EDE" w:rsidP="00652800">
            <w:pPr>
              <w:rPr>
                <w:rFonts w:ascii="Times New Roman" w:hAnsi="Times New Roman" w:cs="Times New Roman"/>
              </w:rPr>
            </w:pPr>
            <w:r w:rsidRPr="00203EB0">
              <w:rPr>
                <w:rFonts w:ascii="Times New Roman" w:hAnsi="Times New Roman" w:cs="Times New Roman"/>
              </w:rPr>
              <w:t>No cover crop + 0 N</w:t>
            </w:r>
          </w:p>
        </w:tc>
        <w:tc>
          <w:tcPr>
            <w:tcW w:w="815" w:type="pct"/>
            <w:tcBorders>
              <w:bottom w:val="single" w:sz="12" w:space="0" w:color="auto"/>
            </w:tcBorders>
          </w:tcPr>
          <w:p w14:paraId="0F72251C"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80%</w:t>
            </w:r>
          </w:p>
        </w:tc>
        <w:tc>
          <w:tcPr>
            <w:tcW w:w="2861" w:type="pct"/>
            <w:tcBorders>
              <w:bottom w:val="single" w:sz="12" w:space="0" w:color="auto"/>
            </w:tcBorders>
          </w:tcPr>
          <w:p w14:paraId="290660B1" w14:textId="77777777" w:rsidR="00932EDE" w:rsidRPr="00203EB0" w:rsidRDefault="00932EDE" w:rsidP="00652800">
            <w:pPr>
              <w:jc w:val="center"/>
              <w:rPr>
                <w:rFonts w:ascii="Times New Roman" w:hAnsi="Times New Roman" w:cs="Times New Roman"/>
              </w:rPr>
            </w:pPr>
            <w:r w:rsidRPr="00203EB0">
              <w:rPr>
                <w:rFonts w:ascii="Times New Roman" w:hAnsi="Times New Roman" w:cs="Times New Roman"/>
              </w:rPr>
              <w:t xml:space="preserve">113.6 (45.1) </w:t>
            </w:r>
            <w:r w:rsidRPr="00203EB0">
              <w:rPr>
                <w:rFonts w:ascii="Times New Roman" w:hAnsi="Times New Roman" w:cs="Times New Roman"/>
                <w:vertAlign w:val="superscript"/>
              </w:rPr>
              <w:t>de</w:t>
            </w:r>
          </w:p>
        </w:tc>
      </w:tr>
    </w:tbl>
    <w:p w14:paraId="567C908F" w14:textId="7A883315" w:rsidR="00932EDE" w:rsidRPr="00203EB0" w:rsidRDefault="00932EDE" w:rsidP="00932EDE">
      <w:pPr>
        <w:rPr>
          <w:rFonts w:cs="Times New Roman"/>
        </w:rPr>
      </w:pPr>
      <w:r w:rsidRPr="00203EB0">
        <w:rPr>
          <w:rFonts w:cs="Times New Roman"/>
        </w:rPr>
        <w:t>*Values are means and standard errors in parenthesis. Lowercase letters indicate significant differences among the treatments (</w:t>
      </w:r>
      <w:r w:rsidRPr="00203EB0">
        <w:rPr>
          <w:rFonts w:cs="Times New Roman"/>
          <w:i/>
        </w:rPr>
        <w:t>p</w:t>
      </w:r>
      <w:r w:rsidRPr="00203EB0">
        <w:rPr>
          <w:rFonts w:cs="Times New Roman"/>
        </w:rPr>
        <w:t xml:space="preserve"> &lt; 0.05). No cover crop + 0 N: Control</w:t>
      </w:r>
    </w:p>
    <w:p w14:paraId="0A6A4FC7" w14:textId="77777777" w:rsidR="00932EDE" w:rsidRPr="00203EB0" w:rsidRDefault="00932EDE" w:rsidP="00932EDE">
      <w:r w:rsidRPr="00203EB0">
        <w:t xml:space="preserve"> </w:t>
      </w:r>
    </w:p>
    <w:p w14:paraId="2B4B8776" w14:textId="77777777" w:rsidR="00932EDE" w:rsidRPr="00203EB0" w:rsidRDefault="00932EDE" w:rsidP="00932EDE"/>
    <w:p w14:paraId="0058E3C0" w14:textId="6D25DE64" w:rsidR="00D56363" w:rsidRPr="00203EB0" w:rsidRDefault="0046749D" w:rsidP="0046749D">
      <w:pPr>
        <w:tabs>
          <w:tab w:val="left" w:pos="2206"/>
        </w:tabs>
        <w:spacing w:line="480" w:lineRule="auto"/>
        <w:rPr>
          <w:rFonts w:cs="Times New Roman"/>
        </w:rPr>
      </w:pPr>
      <w:r w:rsidRPr="00203EB0">
        <w:rPr>
          <w:rFonts w:cs="Times New Roman"/>
        </w:rPr>
        <w:t>Fertilizer N was the main source of N</w:t>
      </w:r>
      <w:r w:rsidRPr="00203EB0">
        <w:rPr>
          <w:rFonts w:cs="Times New Roman"/>
          <w:vertAlign w:val="subscript"/>
        </w:rPr>
        <w:t>2</w:t>
      </w:r>
      <w:r w:rsidRPr="00203EB0">
        <w:rPr>
          <w:rFonts w:cs="Times New Roman"/>
        </w:rPr>
        <w:t>O across WFPS conditions, except for the only N fertilized treatment under 50% WFPS (</w:t>
      </w:r>
      <w:r w:rsidRPr="00203EB0">
        <w:rPr>
          <w:rFonts w:cs="Times New Roman"/>
          <w:b/>
        </w:rPr>
        <w:t>Figure 4.4</w:t>
      </w:r>
      <w:r w:rsidRPr="00203EB0">
        <w:rPr>
          <w:rFonts w:cs="Times New Roman"/>
        </w:rPr>
        <w:t>). Under 80% WFPS, cover crop addition had little or no effect on N</w:t>
      </w:r>
      <w:r w:rsidRPr="00203EB0">
        <w:rPr>
          <w:rFonts w:cs="Times New Roman"/>
          <w:vertAlign w:val="subscript"/>
        </w:rPr>
        <w:t>2</w:t>
      </w:r>
      <w:r w:rsidRPr="00203EB0">
        <w:rPr>
          <w:rFonts w:cs="Times New Roman"/>
        </w:rPr>
        <w:t>O emissions derived from non-fertilizer sources such as soil organic matter (SOM) and/or cover crop. Cover crop treatments exhibited around 1.7 times higher fertilizer derived N</w:t>
      </w:r>
      <w:r w:rsidRPr="00203EB0">
        <w:rPr>
          <w:rFonts w:cs="Times New Roman"/>
          <w:vertAlign w:val="subscript"/>
        </w:rPr>
        <w:t>2</w:t>
      </w:r>
      <w:r w:rsidRPr="00203EB0">
        <w:rPr>
          <w:rFonts w:cs="Times New Roman"/>
        </w:rPr>
        <w:t>O emissions compared to the only N fertilized treatments under 80% WFPS. Cover crop addition had significantly (</w:t>
      </w:r>
      <w:r w:rsidRPr="00203EB0">
        <w:rPr>
          <w:rFonts w:cs="Times New Roman"/>
          <w:i/>
          <w:iCs/>
        </w:rPr>
        <w:t>p &lt; 0.05</w:t>
      </w:r>
      <w:r w:rsidRPr="00203EB0">
        <w:rPr>
          <w:rFonts w:cs="Times New Roman"/>
        </w:rPr>
        <w:t>) greater N</w:t>
      </w:r>
      <w:r w:rsidRPr="00203EB0">
        <w:rPr>
          <w:rFonts w:cs="Times New Roman"/>
          <w:vertAlign w:val="subscript"/>
        </w:rPr>
        <w:t>2</w:t>
      </w:r>
      <w:r w:rsidRPr="00203EB0">
        <w:rPr>
          <w:rFonts w:cs="Times New Roman"/>
        </w:rPr>
        <w:t>O emission contribution from non-fertilizer (SOM and/or cover crop) sources under 50% than 80% WFPS. Under 50% WFPS, cover crop addition resulted in 23x and 3x higher N</w:t>
      </w:r>
      <w:r w:rsidRPr="00203EB0">
        <w:rPr>
          <w:rFonts w:cs="Times New Roman"/>
          <w:vertAlign w:val="subscript"/>
        </w:rPr>
        <w:t>2</w:t>
      </w:r>
      <w:r w:rsidRPr="00203EB0">
        <w:rPr>
          <w:rFonts w:cs="Times New Roman"/>
        </w:rPr>
        <w:t xml:space="preserve">O emissions derived from fertilizer and SOM and/or cover crop, respectively, than the N fertilized treatments. In presence of cover </w:t>
      </w:r>
      <w:proofErr w:type="gramStart"/>
      <w:r w:rsidRPr="00203EB0">
        <w:rPr>
          <w:rFonts w:cs="Times New Roman"/>
        </w:rPr>
        <w:t>crop</w:t>
      </w:r>
      <w:proofErr w:type="gramEnd"/>
      <w:r w:rsidRPr="00203EB0">
        <w:rPr>
          <w:rFonts w:cs="Times New Roman"/>
        </w:rPr>
        <w:t>, N</w:t>
      </w:r>
      <w:r w:rsidRPr="00203EB0">
        <w:rPr>
          <w:rFonts w:cs="Times New Roman"/>
          <w:vertAlign w:val="subscript"/>
        </w:rPr>
        <w:t>2</w:t>
      </w:r>
      <w:r w:rsidRPr="00203EB0">
        <w:rPr>
          <w:rFonts w:cs="Times New Roman"/>
        </w:rPr>
        <w:t xml:space="preserve">O emissions derived from SOM and/or cover crop </w:t>
      </w:r>
      <w:proofErr w:type="gramStart"/>
      <w:r w:rsidRPr="00203EB0">
        <w:rPr>
          <w:rFonts w:cs="Times New Roman"/>
        </w:rPr>
        <w:t>was</w:t>
      </w:r>
      <w:proofErr w:type="gramEnd"/>
      <w:r w:rsidRPr="00203EB0">
        <w:rPr>
          <w:rFonts w:cs="Times New Roman"/>
        </w:rPr>
        <w:t xml:space="preserve"> 2x higher than that in the control treatment under 50% WFPS. </w:t>
      </w:r>
    </w:p>
    <w:p w14:paraId="3CF1E708" w14:textId="32D9CEC4" w:rsidR="00FC02B2" w:rsidRPr="00203EB0" w:rsidRDefault="00FC02B2" w:rsidP="00CA48D8">
      <w:pPr>
        <w:pStyle w:val="Heading3"/>
        <w:spacing w:line="480" w:lineRule="auto"/>
      </w:pPr>
      <w:bookmarkStart w:id="65" w:name="_Toc206669131"/>
      <w:r w:rsidRPr="00203EB0">
        <w:lastRenderedPageBreak/>
        <w:t>Soil O</w:t>
      </w:r>
      <w:r w:rsidRPr="00203EB0">
        <w:rPr>
          <w:vertAlign w:val="subscript"/>
        </w:rPr>
        <w:t>2</w:t>
      </w:r>
      <w:r w:rsidRPr="00203EB0">
        <w:t>, C, and N availability</w:t>
      </w:r>
      <w:bookmarkEnd w:id="65"/>
      <w:r w:rsidRPr="00203EB0">
        <w:t xml:space="preserve"> </w:t>
      </w:r>
    </w:p>
    <w:p w14:paraId="001B6BF0" w14:textId="52157966" w:rsidR="00D56363" w:rsidRPr="00203EB0" w:rsidRDefault="00FC02B2" w:rsidP="00CA48D8">
      <w:pPr>
        <w:spacing w:line="480" w:lineRule="auto"/>
        <w:rPr>
          <w:rFonts w:cs="Times New Roman"/>
        </w:rPr>
      </w:pPr>
      <w:r w:rsidRPr="00203EB0">
        <w:rPr>
          <w:rFonts w:cs="Times New Roman"/>
        </w:rPr>
        <w:t>Soil O</w:t>
      </w:r>
      <w:r w:rsidRPr="00203EB0">
        <w:rPr>
          <w:rFonts w:cs="Times New Roman"/>
          <w:vertAlign w:val="subscript"/>
        </w:rPr>
        <w:t xml:space="preserve">2 </w:t>
      </w:r>
      <w:r w:rsidRPr="00203EB0">
        <w:rPr>
          <w:rFonts w:cs="Times New Roman"/>
        </w:rPr>
        <w:t>concentration in the top 3-cm soil layer remained at anoxic levels during the whole incubation period for 80% WFPS treatments (</w:t>
      </w:r>
      <w:r w:rsidRPr="00203EB0">
        <w:rPr>
          <w:rFonts w:cs="Times New Roman"/>
          <w:b/>
        </w:rPr>
        <w:t>Figure 4.5b</w:t>
      </w:r>
      <w:r w:rsidR="008C40E5" w:rsidRPr="00203EB0">
        <w:rPr>
          <w:rFonts w:cs="Times New Roman"/>
        </w:rPr>
        <w:t xml:space="preserve"> and </w:t>
      </w:r>
      <w:r w:rsidR="008C40E5" w:rsidRPr="00203EB0">
        <w:rPr>
          <w:rFonts w:cs="Times New Roman"/>
          <w:b/>
        </w:rPr>
        <w:t>Figure 4.6</w:t>
      </w:r>
      <w:r w:rsidRPr="00203EB0">
        <w:rPr>
          <w:rFonts w:cs="Times New Roman"/>
          <w:b/>
        </w:rPr>
        <w:t>c</w:t>
      </w:r>
      <w:r w:rsidRPr="00203EB0">
        <w:rPr>
          <w:rFonts w:cs="Times New Roman"/>
        </w:rPr>
        <w:t>).  The 50% WFPS treatments with hairy vetch and winter wheat residues exhibited a sharp drop in O</w:t>
      </w:r>
      <w:r w:rsidRPr="00203EB0">
        <w:rPr>
          <w:rFonts w:cs="Times New Roman"/>
          <w:vertAlign w:val="subscript"/>
        </w:rPr>
        <w:t>2</w:t>
      </w:r>
      <w:r w:rsidRPr="00203EB0">
        <w:rPr>
          <w:rFonts w:cs="Times New Roman"/>
        </w:rPr>
        <w:t xml:space="preserve"> concentration by day 1 (mean air saturation of 20% and 27%, respectively), reaching anoxic soil O</w:t>
      </w:r>
      <w:r w:rsidRPr="00203EB0">
        <w:rPr>
          <w:rFonts w:cs="Times New Roman"/>
          <w:vertAlign w:val="subscript"/>
        </w:rPr>
        <w:t>2</w:t>
      </w:r>
      <w:r w:rsidRPr="00203EB0">
        <w:rPr>
          <w:rFonts w:cs="Times New Roman"/>
        </w:rPr>
        <w:t xml:space="preserve"> levels in some replicates</w:t>
      </w:r>
      <w:r w:rsidR="008060CA" w:rsidRPr="00203EB0">
        <w:rPr>
          <w:rFonts w:cs="Times New Roman"/>
        </w:rPr>
        <w:t xml:space="preserve"> (</w:t>
      </w:r>
      <w:r w:rsidR="008060CA" w:rsidRPr="00203EB0">
        <w:rPr>
          <w:rFonts w:cs="Times New Roman"/>
          <w:b/>
        </w:rPr>
        <w:t>Figure 4.7</w:t>
      </w:r>
      <w:r w:rsidR="008C40E5" w:rsidRPr="00203EB0">
        <w:rPr>
          <w:rFonts w:cs="Times New Roman"/>
          <w:b/>
        </w:rPr>
        <w:t>a</w:t>
      </w:r>
      <w:r w:rsidR="008C40E5" w:rsidRPr="00203EB0">
        <w:rPr>
          <w:rFonts w:cs="Times New Roman"/>
        </w:rPr>
        <w:t xml:space="preserve"> and </w:t>
      </w:r>
      <w:r w:rsidR="008C40E5" w:rsidRPr="00203EB0">
        <w:rPr>
          <w:rFonts w:cs="Times New Roman"/>
          <w:b/>
        </w:rPr>
        <w:t>Figure 4.6</w:t>
      </w:r>
      <w:r w:rsidRPr="00203EB0">
        <w:rPr>
          <w:rFonts w:cs="Times New Roman"/>
          <w:b/>
        </w:rPr>
        <w:t>a</w:t>
      </w:r>
      <w:r w:rsidRPr="00203EB0">
        <w:rPr>
          <w:rFonts w:cs="Times New Roman"/>
        </w:rPr>
        <w:t>). Such a drop in soil O</w:t>
      </w:r>
      <w:r w:rsidRPr="00203EB0">
        <w:rPr>
          <w:rFonts w:cs="Times New Roman"/>
          <w:vertAlign w:val="subscript"/>
        </w:rPr>
        <w:t>2</w:t>
      </w:r>
      <w:r w:rsidRPr="00203EB0">
        <w:rPr>
          <w:rFonts w:cs="Times New Roman"/>
        </w:rPr>
        <w:t xml:space="preserve"> following cover crop residue incorporation under 50% WFPS also coincided with high CO</w:t>
      </w:r>
      <w:r w:rsidRPr="00203EB0">
        <w:rPr>
          <w:rFonts w:cs="Times New Roman"/>
          <w:vertAlign w:val="subscript"/>
        </w:rPr>
        <w:t>2</w:t>
      </w:r>
      <w:r w:rsidRPr="00203EB0">
        <w:rPr>
          <w:rFonts w:cs="Times New Roman"/>
        </w:rPr>
        <w:t xml:space="preserve"> emissions and concomitant onset of peak N</w:t>
      </w:r>
      <w:r w:rsidRPr="00203EB0">
        <w:rPr>
          <w:rFonts w:cs="Times New Roman"/>
          <w:vertAlign w:val="subscript"/>
        </w:rPr>
        <w:t>2</w:t>
      </w:r>
      <w:r w:rsidR="008060CA" w:rsidRPr="00203EB0">
        <w:rPr>
          <w:rFonts w:cs="Times New Roman"/>
        </w:rPr>
        <w:t>O emissions (</w:t>
      </w:r>
      <w:r w:rsidR="008060CA" w:rsidRPr="00203EB0">
        <w:rPr>
          <w:rFonts w:cs="Times New Roman"/>
          <w:b/>
        </w:rPr>
        <w:t>Figure 4.3a</w:t>
      </w:r>
      <w:r w:rsidR="008060CA" w:rsidRPr="00203EB0">
        <w:rPr>
          <w:rFonts w:cs="Times New Roman"/>
        </w:rPr>
        <w:t xml:space="preserve"> and </w:t>
      </w:r>
      <w:r w:rsidR="008060CA" w:rsidRPr="00203EB0">
        <w:rPr>
          <w:rFonts w:cs="Times New Roman"/>
          <w:b/>
        </w:rPr>
        <w:t>Figure</w:t>
      </w:r>
      <w:r w:rsidRPr="00203EB0">
        <w:rPr>
          <w:rFonts w:cs="Times New Roman"/>
          <w:b/>
        </w:rPr>
        <w:t xml:space="preserve"> </w:t>
      </w:r>
      <w:r w:rsidR="008060CA" w:rsidRPr="00203EB0">
        <w:rPr>
          <w:rFonts w:cs="Times New Roman"/>
          <w:b/>
        </w:rPr>
        <w:t>4.2</w:t>
      </w:r>
      <w:r w:rsidRPr="00203EB0">
        <w:rPr>
          <w:rFonts w:cs="Times New Roman"/>
          <w:b/>
        </w:rPr>
        <w:t>a</w:t>
      </w:r>
      <w:r w:rsidRPr="00203EB0">
        <w:rPr>
          <w:rFonts w:cs="Times New Roman"/>
        </w:rPr>
        <w:t xml:space="preserve">).  Soil remained </w:t>
      </w:r>
      <w:proofErr w:type="spellStart"/>
      <w:r w:rsidRPr="00203EB0">
        <w:rPr>
          <w:rFonts w:cs="Times New Roman"/>
        </w:rPr>
        <w:t>oxic</w:t>
      </w:r>
      <w:proofErr w:type="spellEnd"/>
      <w:r w:rsidRPr="00203EB0">
        <w:rPr>
          <w:rFonts w:cs="Times New Roman"/>
        </w:rPr>
        <w:t xml:space="preserve"> throughout the incubation period under the N fertilized treatment without</w:t>
      </w:r>
      <w:r w:rsidR="008060CA" w:rsidRPr="00203EB0">
        <w:rPr>
          <w:rFonts w:cs="Times New Roman"/>
        </w:rPr>
        <w:t xml:space="preserve"> cover </w:t>
      </w:r>
      <w:proofErr w:type="gramStart"/>
      <w:r w:rsidR="008060CA" w:rsidRPr="00203EB0">
        <w:rPr>
          <w:rFonts w:cs="Times New Roman"/>
        </w:rPr>
        <w:t>crop</w:t>
      </w:r>
      <w:proofErr w:type="gramEnd"/>
      <w:r w:rsidR="008060CA" w:rsidRPr="00203EB0">
        <w:rPr>
          <w:rFonts w:cs="Times New Roman"/>
        </w:rPr>
        <w:t xml:space="preserve"> under 50% WFPS (</w:t>
      </w:r>
      <w:r w:rsidR="008060CA" w:rsidRPr="00203EB0">
        <w:rPr>
          <w:rFonts w:cs="Times New Roman"/>
          <w:b/>
        </w:rPr>
        <w:t>Figure</w:t>
      </w:r>
      <w:r w:rsidRPr="00203EB0">
        <w:rPr>
          <w:rFonts w:cs="Times New Roman"/>
          <w:b/>
        </w:rPr>
        <w:t xml:space="preserve"> 4</w:t>
      </w:r>
      <w:r w:rsidR="008060CA" w:rsidRPr="00203EB0">
        <w:rPr>
          <w:rFonts w:cs="Times New Roman"/>
          <w:b/>
        </w:rPr>
        <w:t>.5</w:t>
      </w:r>
      <w:r w:rsidRPr="00203EB0">
        <w:rPr>
          <w:rFonts w:cs="Times New Roman"/>
          <w:b/>
        </w:rPr>
        <w:t>a</w:t>
      </w:r>
      <w:r w:rsidRPr="00203EB0">
        <w:rPr>
          <w:rFonts w:cs="Times New Roman"/>
        </w:rPr>
        <w:t xml:space="preserve"> and </w:t>
      </w:r>
      <w:r w:rsidRPr="00203EB0">
        <w:rPr>
          <w:rFonts w:cs="Times New Roman"/>
          <w:b/>
        </w:rPr>
        <w:t>Fi</w:t>
      </w:r>
      <w:r w:rsidR="008060CA" w:rsidRPr="00203EB0">
        <w:rPr>
          <w:rFonts w:cs="Times New Roman"/>
          <w:b/>
        </w:rPr>
        <w:t>gure 4.7</w:t>
      </w:r>
      <w:r w:rsidRPr="00203EB0">
        <w:rPr>
          <w:rFonts w:cs="Times New Roman"/>
          <w:b/>
        </w:rPr>
        <w:t>b</w:t>
      </w:r>
      <w:r w:rsidRPr="00203EB0">
        <w:rPr>
          <w:rFonts w:cs="Times New Roman"/>
        </w:rPr>
        <w:t>). Divergence in soil O</w:t>
      </w:r>
      <w:r w:rsidRPr="00203EB0">
        <w:rPr>
          <w:rFonts w:cs="Times New Roman"/>
          <w:vertAlign w:val="subscript"/>
        </w:rPr>
        <w:t>2</w:t>
      </w:r>
      <w:r w:rsidRPr="00203EB0">
        <w:rPr>
          <w:rFonts w:cs="Times New Roman"/>
        </w:rPr>
        <w:t xml:space="preserve"> between the 50% WFPS treatments with and without cover crops remained noticeable until around day 11 of the incubation experiment, and thereafter became comparable, with a much shorter duration for hairy vetch than winter whea</w:t>
      </w:r>
      <w:r w:rsidR="008060CA" w:rsidRPr="00203EB0">
        <w:rPr>
          <w:rFonts w:cs="Times New Roman"/>
        </w:rPr>
        <w:t>t (</w:t>
      </w:r>
      <w:r w:rsidR="008060CA" w:rsidRPr="00203EB0">
        <w:rPr>
          <w:rFonts w:cs="Times New Roman"/>
          <w:b/>
        </w:rPr>
        <w:t>Figure</w:t>
      </w:r>
      <w:r w:rsidRPr="00203EB0">
        <w:rPr>
          <w:rFonts w:cs="Times New Roman"/>
          <w:b/>
        </w:rPr>
        <w:t xml:space="preserve"> 4</w:t>
      </w:r>
      <w:r w:rsidR="008060CA" w:rsidRPr="00203EB0">
        <w:rPr>
          <w:rFonts w:cs="Times New Roman"/>
          <w:b/>
        </w:rPr>
        <w:t>.5a, 4.6a, 4.6b, 4.7</w:t>
      </w:r>
      <w:r w:rsidRPr="00203EB0">
        <w:rPr>
          <w:rFonts w:cs="Times New Roman"/>
        </w:rPr>
        <w:t xml:space="preserve">). </w:t>
      </w:r>
    </w:p>
    <w:p w14:paraId="3F5ABEBA" w14:textId="72855BE7" w:rsidR="00FC02B2" w:rsidRPr="00203EB0" w:rsidRDefault="00FC02B2" w:rsidP="00D56363">
      <w:r w:rsidRPr="00203EB0">
        <w:rPr>
          <w:noProof/>
        </w:rPr>
        <w:drawing>
          <wp:inline distT="0" distB="0" distL="0" distR="0" wp14:anchorId="7672B837" wp14:editId="46693A95">
            <wp:extent cx="5486400" cy="2180779"/>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86400" cy="2180779"/>
                    </a:xfrm>
                    <a:prstGeom prst="rect">
                      <a:avLst/>
                    </a:prstGeom>
                  </pic:spPr>
                </pic:pic>
              </a:graphicData>
            </a:graphic>
          </wp:inline>
        </w:drawing>
      </w:r>
    </w:p>
    <w:p w14:paraId="762D9E2D" w14:textId="4A2B6B9C" w:rsidR="00FC02B2" w:rsidRPr="00203EB0" w:rsidRDefault="00FC02B2" w:rsidP="00001ABC">
      <w:pPr>
        <w:pStyle w:val="Caption"/>
      </w:pPr>
      <w:bookmarkStart w:id="66" w:name="_Toc206669270"/>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4</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5</w:t>
      </w:r>
      <w:r w:rsidR="00BD46F8" w:rsidRPr="00203EB0">
        <w:rPr>
          <w:b/>
          <w:bCs/>
        </w:rPr>
        <w:fldChar w:fldCharType="end"/>
      </w:r>
      <w:r w:rsidRPr="00203EB0">
        <w:rPr>
          <w:b/>
          <w:bCs/>
        </w:rPr>
        <w:t>:</w:t>
      </w:r>
      <w:r w:rsidRPr="00203EB0">
        <w:t xml:space="preserve">  Average soil O</w:t>
      </w:r>
      <w:r w:rsidRPr="00203EB0">
        <w:rPr>
          <w:vertAlign w:val="subscript"/>
        </w:rPr>
        <w:t>2</w:t>
      </w:r>
      <w:r w:rsidRPr="00203EB0">
        <w:t xml:space="preserve"> content expressed as percentage of air saturation at 0 to 3 cm depth over the incubation period from four cover crops treatments at (a) 50% WFPS and</w:t>
      </w:r>
      <w:r w:rsidR="00E7658C" w:rsidRPr="00203EB0">
        <w:t xml:space="preserve"> </w:t>
      </w:r>
      <w:r w:rsidRPr="00203EB0">
        <w:t>(b) 80% WFPS. Bars represent the mean standard error. HV, Hairy vetch; WW, Winter wheat; No Cover, No cover crop; No cover+0 N, Control.</w:t>
      </w:r>
      <w:bookmarkEnd w:id="66"/>
    </w:p>
    <w:p w14:paraId="75CDB5D7" w14:textId="77777777" w:rsidR="00E7658C" w:rsidRPr="00203EB0" w:rsidRDefault="00E7658C" w:rsidP="00E7658C"/>
    <w:p w14:paraId="19AE226C" w14:textId="77777777" w:rsidR="008C40E5" w:rsidRPr="00203EB0" w:rsidRDefault="008C40E5" w:rsidP="002167E3">
      <w:pPr>
        <w:pStyle w:val="Caption"/>
        <w:jc w:val="center"/>
      </w:pPr>
      <w:r w:rsidRPr="00203EB0">
        <w:rPr>
          <w:noProof/>
        </w:rPr>
        <w:lastRenderedPageBreak/>
        <w:drawing>
          <wp:inline distT="0" distB="0" distL="0" distR="0" wp14:anchorId="432BCD5A" wp14:editId="56B21BC3">
            <wp:extent cx="5318760" cy="3480243"/>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26153" cy="3485081"/>
                    </a:xfrm>
                    <a:prstGeom prst="rect">
                      <a:avLst/>
                    </a:prstGeom>
                  </pic:spPr>
                </pic:pic>
              </a:graphicData>
            </a:graphic>
          </wp:inline>
        </w:drawing>
      </w:r>
    </w:p>
    <w:p w14:paraId="513D9E5F" w14:textId="77777777" w:rsidR="008C40E5" w:rsidRPr="00203EB0" w:rsidRDefault="008C40E5" w:rsidP="002167E3">
      <w:pPr>
        <w:pStyle w:val="Caption"/>
        <w:jc w:val="center"/>
      </w:pPr>
      <w:r w:rsidRPr="00203EB0">
        <w:rPr>
          <w:noProof/>
        </w:rPr>
        <w:drawing>
          <wp:inline distT="0" distB="0" distL="0" distR="0" wp14:anchorId="39955B50" wp14:editId="117C2C8C">
            <wp:extent cx="5288280" cy="3272416"/>
            <wp:effectExtent l="0" t="0" r="762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03494" cy="3281831"/>
                    </a:xfrm>
                    <a:prstGeom prst="rect">
                      <a:avLst/>
                    </a:prstGeom>
                  </pic:spPr>
                </pic:pic>
              </a:graphicData>
            </a:graphic>
          </wp:inline>
        </w:drawing>
      </w:r>
    </w:p>
    <w:p w14:paraId="24E06C6F" w14:textId="77777777" w:rsidR="008C40E5" w:rsidRPr="00203EB0" w:rsidRDefault="008C40E5" w:rsidP="002167E3">
      <w:pPr>
        <w:pStyle w:val="Caption"/>
        <w:jc w:val="center"/>
      </w:pPr>
      <w:r w:rsidRPr="00203EB0">
        <w:rPr>
          <w:noProof/>
        </w:rPr>
        <w:lastRenderedPageBreak/>
        <w:drawing>
          <wp:inline distT="0" distB="0" distL="0" distR="0" wp14:anchorId="32F7D79B" wp14:editId="402B5189">
            <wp:extent cx="5349240" cy="3206638"/>
            <wp:effectExtent l="0" t="0" r="381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55118" cy="3210162"/>
                    </a:xfrm>
                    <a:prstGeom prst="rect">
                      <a:avLst/>
                    </a:prstGeom>
                  </pic:spPr>
                </pic:pic>
              </a:graphicData>
            </a:graphic>
          </wp:inline>
        </w:drawing>
      </w:r>
    </w:p>
    <w:p w14:paraId="0D3B878B" w14:textId="127F4D5F" w:rsidR="00B61113" w:rsidRPr="00203EB0" w:rsidRDefault="008C40E5" w:rsidP="00001ABC">
      <w:pPr>
        <w:pStyle w:val="Caption"/>
      </w:pPr>
      <w:bookmarkStart w:id="67" w:name="_Toc206669271"/>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4</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6</w:t>
      </w:r>
      <w:r w:rsidR="00BD46F8" w:rsidRPr="00203EB0">
        <w:rPr>
          <w:b/>
          <w:bCs/>
        </w:rPr>
        <w:fldChar w:fldCharType="end"/>
      </w:r>
      <w:r w:rsidRPr="00203EB0">
        <w:rPr>
          <w:b/>
          <w:bCs/>
        </w:rPr>
        <w:t>:</w:t>
      </w:r>
      <w:r w:rsidRPr="00203EB0">
        <w:t xml:space="preserve"> Selected images of O</w:t>
      </w:r>
      <w:r w:rsidRPr="00203EB0">
        <w:rPr>
          <w:vertAlign w:val="subscript"/>
        </w:rPr>
        <w:t>2</w:t>
      </w:r>
      <w:r w:rsidRPr="00203EB0">
        <w:t xml:space="preserve"> content expressed as percentage of air saturation in 0 to 3 cm soil depth over the incubation period from different treatments: A) 50% WFPS with hairy vetch, B) 50% WFPS control, and C) all 80% WFPS treatments. Images (one of the four replicates) are an example of the effect of the different treatments.</w:t>
      </w:r>
      <w:bookmarkEnd w:id="67"/>
      <w:r w:rsidRPr="00203EB0">
        <w:t xml:space="preserve"> </w:t>
      </w:r>
    </w:p>
    <w:p w14:paraId="24DF44C5" w14:textId="77777777" w:rsidR="002742F6" w:rsidRDefault="002742F6" w:rsidP="002742F6"/>
    <w:p w14:paraId="1FF66680" w14:textId="77777777" w:rsidR="0033090A" w:rsidRDefault="0033090A" w:rsidP="002742F6"/>
    <w:p w14:paraId="3004E7A6" w14:textId="77777777" w:rsidR="0033090A" w:rsidRDefault="0033090A" w:rsidP="002742F6"/>
    <w:p w14:paraId="3AAAE66D" w14:textId="77777777" w:rsidR="0033090A" w:rsidRDefault="0033090A" w:rsidP="002742F6"/>
    <w:p w14:paraId="20BC7734" w14:textId="77777777" w:rsidR="0033090A" w:rsidRDefault="0033090A" w:rsidP="002742F6"/>
    <w:p w14:paraId="2233E1DA" w14:textId="77777777" w:rsidR="0033090A" w:rsidRDefault="0033090A" w:rsidP="002742F6"/>
    <w:p w14:paraId="3D79E6A4" w14:textId="77777777" w:rsidR="0033090A" w:rsidRDefault="0033090A" w:rsidP="002742F6"/>
    <w:p w14:paraId="60DD66C5" w14:textId="77777777" w:rsidR="0033090A" w:rsidRDefault="0033090A" w:rsidP="002742F6"/>
    <w:p w14:paraId="6144EEDD" w14:textId="77777777" w:rsidR="0033090A" w:rsidRDefault="0033090A" w:rsidP="002742F6"/>
    <w:p w14:paraId="24973A36" w14:textId="77777777" w:rsidR="0033090A" w:rsidRDefault="0033090A" w:rsidP="002742F6"/>
    <w:p w14:paraId="2F292990" w14:textId="77777777" w:rsidR="0033090A" w:rsidRDefault="0033090A" w:rsidP="002742F6"/>
    <w:p w14:paraId="137C1C7B" w14:textId="77777777" w:rsidR="0033090A" w:rsidRDefault="0033090A" w:rsidP="002742F6"/>
    <w:p w14:paraId="6952211C" w14:textId="77777777" w:rsidR="0033090A" w:rsidRDefault="0033090A" w:rsidP="002742F6"/>
    <w:p w14:paraId="70040E87" w14:textId="77777777" w:rsidR="0033090A" w:rsidRDefault="0033090A" w:rsidP="002742F6"/>
    <w:p w14:paraId="47393D9A" w14:textId="77777777" w:rsidR="0033090A" w:rsidRDefault="0033090A" w:rsidP="002742F6"/>
    <w:p w14:paraId="7C0F9DD2" w14:textId="77777777" w:rsidR="0033090A" w:rsidRDefault="0033090A" w:rsidP="002742F6"/>
    <w:p w14:paraId="23B8EDC0" w14:textId="77777777" w:rsidR="0033090A" w:rsidRDefault="0033090A" w:rsidP="002742F6"/>
    <w:p w14:paraId="09DCAF00" w14:textId="77777777" w:rsidR="0033090A" w:rsidRDefault="0033090A" w:rsidP="002742F6"/>
    <w:p w14:paraId="0F64755F" w14:textId="77777777" w:rsidR="0033090A" w:rsidRPr="00203EB0" w:rsidRDefault="0033090A" w:rsidP="002742F6"/>
    <w:p w14:paraId="54D66A96" w14:textId="12165E79" w:rsidR="00B61113" w:rsidRDefault="00B61113" w:rsidP="00B61113">
      <w:pPr>
        <w:spacing w:line="480" w:lineRule="auto"/>
        <w:rPr>
          <w:rFonts w:cs="Times New Roman"/>
        </w:rPr>
      </w:pPr>
      <w:r w:rsidRPr="00203EB0">
        <w:rPr>
          <w:rFonts w:cs="Times New Roman"/>
        </w:rPr>
        <w:lastRenderedPageBreak/>
        <w:t xml:space="preserve">Prior to </w:t>
      </w:r>
      <w:proofErr w:type="gramStart"/>
      <w:r w:rsidRPr="00203EB0">
        <w:rPr>
          <w:rFonts w:cs="Times New Roman"/>
        </w:rPr>
        <w:t>N fertilizer addition</w:t>
      </w:r>
      <w:proofErr w:type="gramEnd"/>
      <w:r w:rsidRPr="00203EB0">
        <w:rPr>
          <w:rFonts w:cs="Times New Roman"/>
        </w:rPr>
        <w:t>, all treatments had very low initial soil</w:t>
      </w:r>
      <w:r w:rsidRPr="00203EB0">
        <w:rPr>
          <w:rFonts w:cs="Times New Roman"/>
          <w:vertAlign w:val="superscript"/>
        </w:rPr>
        <w:t xml:space="preserve">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and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cs="Times New Roman"/>
        </w:rPr>
        <w:t xml:space="preserve"> concentrations (0.76 and 7.02 mg N kg</w:t>
      </w:r>
      <w:r w:rsidRPr="00203EB0">
        <w:rPr>
          <w:rFonts w:cs="Times New Roman"/>
          <w:vertAlign w:val="superscript"/>
        </w:rPr>
        <w:t>-1</w:t>
      </w:r>
      <w:r w:rsidRPr="00203EB0">
        <w:rPr>
          <w:rFonts w:cs="Times New Roman"/>
        </w:rPr>
        <w:t xml:space="preserve">, respectively). As expected, on day 2 after N addition, all N fertilized treatments showed significantly higher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r>
          <w:rPr>
            <w:rFonts w:ascii="Cambria Math" w:hAnsi="Cambria Math" w:cs="Times New Roman"/>
          </w:rPr>
          <m:t xml:space="preserve"> </m:t>
        </m:r>
      </m:oMath>
      <w:r w:rsidRPr="00203EB0">
        <w:rPr>
          <w:rFonts w:cs="Times New Roman"/>
        </w:rPr>
        <w:t>levels than the controls under each WFPS (</w:t>
      </w:r>
      <w:r w:rsidRPr="00203EB0">
        <w:rPr>
          <w:rFonts w:cs="Times New Roman"/>
          <w:i/>
          <w:iCs/>
        </w:rPr>
        <w:t>p</w:t>
      </w:r>
      <w:r w:rsidRPr="00203EB0">
        <w:rPr>
          <w:rFonts w:cs="Times New Roman"/>
        </w:rPr>
        <w:t xml:space="preserve"> &lt; 0.05), except for the 50% WFPS treatment with vetch (</w:t>
      </w:r>
      <w:r w:rsidRPr="00203EB0">
        <w:rPr>
          <w:rFonts w:cs="Times New Roman"/>
          <w:b/>
        </w:rPr>
        <w:t xml:space="preserve">Table </w:t>
      </w:r>
      <w:r w:rsidR="00B214FC" w:rsidRPr="00203EB0">
        <w:rPr>
          <w:rFonts w:cs="Times New Roman"/>
          <w:b/>
        </w:rPr>
        <w:t>4.</w:t>
      </w:r>
      <w:r w:rsidRPr="00203EB0">
        <w:rPr>
          <w:rFonts w:cs="Times New Roman"/>
          <w:b/>
        </w:rPr>
        <w:t>2</w:t>
      </w:r>
      <w:r w:rsidRPr="00203EB0">
        <w:rPr>
          <w:rFonts w:cs="Times New Roman"/>
        </w:rPr>
        <w:t xml:space="preserve">). In general,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vertAlign w:val="superscript"/>
        </w:rPr>
        <w:t xml:space="preserve"> </w:t>
      </w:r>
      <w:r w:rsidRPr="00203EB0">
        <w:rPr>
          <w:rFonts w:cs="Times New Roman"/>
        </w:rPr>
        <w:t xml:space="preserve">concentrations consistently decreased over time in all fertilized treatments under 80% WFPS, with only N fertilization maintained slightly higher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eastAsiaTheme="minorEastAsia" w:cs="Times New Roman"/>
          <w:iCs/>
        </w:rPr>
        <w:t xml:space="preserve"> levels for most of the sampling days</w:t>
      </w:r>
      <w:r w:rsidRPr="00203EB0">
        <w:rPr>
          <w:rFonts w:cs="Times New Roman"/>
        </w:rPr>
        <w:t xml:space="preserve">. By day 7, 80% WFPS treatments with cover crop addition had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vertAlign w:val="superscript"/>
        </w:rPr>
        <w:t xml:space="preserve"> </w:t>
      </w:r>
      <w:r w:rsidRPr="00203EB0">
        <w:rPr>
          <w:rFonts w:cs="Times New Roman"/>
        </w:rPr>
        <w:t xml:space="preserve">concentrations comparable to the 80% WFPS control. </w:t>
      </w:r>
      <w:r w:rsidRPr="00203EB0">
        <w:rPr>
          <w:rFonts w:eastAsiaTheme="minorEastAsia" w:cs="Times New Roman"/>
          <w:iCs/>
        </w:rPr>
        <w:t xml:space="preserve"> </w:t>
      </w:r>
      <w:r w:rsidRPr="00203EB0">
        <w:rPr>
          <w:rFonts w:cs="Times New Roman"/>
        </w:rPr>
        <w:t xml:space="preserve">In contrast,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vertAlign w:val="superscript"/>
        </w:rPr>
        <w:t xml:space="preserve"> </w:t>
      </w:r>
      <w:r w:rsidRPr="00203EB0">
        <w:rPr>
          <w:rFonts w:cs="Times New Roman"/>
        </w:rPr>
        <w:t xml:space="preserve">concentrations under 50% WFPS treatments with N addition either remained constant or slightly decreased over time and remained substantially higher than that under 80% WFPS. Unlike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eastAsiaTheme="minorEastAsia" w:cs="Times New Roman"/>
          <w:iCs/>
        </w:rPr>
        <w:t xml:space="preserve">, soil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eastAsiaTheme="minorEastAsia" w:cs="Times New Roman"/>
          <w:iCs/>
        </w:rPr>
        <w:t xml:space="preserve"> concentrations decreased over time under 50% WFPS and the </w:t>
      </w:r>
      <w:r w:rsidRPr="00203EB0">
        <w:rPr>
          <w:rFonts w:cs="Times New Roman"/>
        </w:rPr>
        <w:t xml:space="preserve">hairy vetch treatment had notably higher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eastAsiaTheme="minorEastAsia" w:cs="Times New Roman"/>
          <w:iCs/>
        </w:rPr>
        <w:t xml:space="preserve"> </w:t>
      </w:r>
      <w:r w:rsidRPr="00203EB0">
        <w:rPr>
          <w:rFonts w:cs="Times New Roman"/>
        </w:rPr>
        <w:t>concentrations than the other treatments.</w:t>
      </w:r>
    </w:p>
    <w:p w14:paraId="04901974" w14:textId="77777777" w:rsidR="0033090A" w:rsidRPr="00203EB0" w:rsidRDefault="0033090A" w:rsidP="0033090A">
      <w:pPr>
        <w:spacing w:line="480" w:lineRule="auto"/>
        <w:rPr>
          <w:rFonts w:cs="Times New Roman"/>
        </w:rPr>
      </w:pPr>
      <w:r w:rsidRPr="00203EB0">
        <w:rPr>
          <w:rFonts w:cs="Times New Roman"/>
        </w:rPr>
        <w:t xml:space="preserve">In general, soil POXC concentrations were higher in the 80% WFPS than the 50% WFPS treatments (mean value: 735 vs 677 </w:t>
      </w:r>
      <w:proofErr w:type="gramStart"/>
      <w:r w:rsidRPr="00203EB0">
        <w:rPr>
          <w:rFonts w:cs="Times New Roman"/>
        </w:rPr>
        <w:t>mg kg</w:t>
      </w:r>
      <w:proofErr w:type="gramEnd"/>
      <w:r w:rsidRPr="00203EB0">
        <w:rPr>
          <w:rFonts w:cs="Times New Roman"/>
        </w:rPr>
        <w:t xml:space="preserve"> soil</w:t>
      </w:r>
      <w:r w:rsidRPr="00203EB0">
        <w:rPr>
          <w:rFonts w:cs="Times New Roman"/>
          <w:vertAlign w:val="superscript"/>
        </w:rPr>
        <w:t>-1</w:t>
      </w:r>
      <w:r w:rsidRPr="00203EB0">
        <w:rPr>
          <w:rFonts w:cs="Times New Roman"/>
        </w:rPr>
        <w:t>), and the differences were only significant under the cover crop treatments on days 7, 11 and 21, and on day 2 in the hairy vetch treatment (</w:t>
      </w:r>
      <w:r w:rsidRPr="00203EB0">
        <w:rPr>
          <w:rFonts w:cs="Times New Roman"/>
          <w:b/>
        </w:rPr>
        <w:t>Table 4.3</w:t>
      </w:r>
      <w:r w:rsidRPr="00203EB0">
        <w:rPr>
          <w:rFonts w:cs="Times New Roman"/>
        </w:rPr>
        <w:t>). Cover crop residue addition had no significant effect on POXC concentrations when compared to the only N fertilized and control treatments under each WFPS condition.</w:t>
      </w:r>
    </w:p>
    <w:p w14:paraId="104A118D" w14:textId="77777777" w:rsidR="0033090A" w:rsidRPr="00203EB0" w:rsidRDefault="0033090A" w:rsidP="00B61113">
      <w:pPr>
        <w:spacing w:line="480" w:lineRule="auto"/>
        <w:rPr>
          <w:rFonts w:cs="Times New Roman"/>
        </w:rPr>
      </w:pPr>
    </w:p>
    <w:p w14:paraId="0028EE93" w14:textId="764A2191" w:rsidR="00B61113" w:rsidRPr="00203EB0" w:rsidRDefault="00B61113" w:rsidP="00521DA9">
      <w:pPr>
        <w:pStyle w:val="Caption"/>
        <w:jc w:val="center"/>
      </w:pPr>
      <w:r w:rsidRPr="00203EB0">
        <w:rPr>
          <w:noProof/>
        </w:rPr>
        <w:lastRenderedPageBreak/>
        <w:drawing>
          <wp:inline distT="0" distB="0" distL="0" distR="0" wp14:anchorId="064453D7" wp14:editId="478FA5FE">
            <wp:extent cx="4564380" cy="3131747"/>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96588" cy="3153846"/>
                    </a:xfrm>
                    <a:prstGeom prst="rect">
                      <a:avLst/>
                    </a:prstGeom>
                  </pic:spPr>
                </pic:pic>
              </a:graphicData>
            </a:graphic>
          </wp:inline>
        </w:drawing>
      </w:r>
    </w:p>
    <w:p w14:paraId="6A78C5DE" w14:textId="77777777" w:rsidR="00B61113" w:rsidRPr="00203EB0" w:rsidRDefault="00B61113" w:rsidP="00521DA9">
      <w:pPr>
        <w:pStyle w:val="Caption"/>
        <w:jc w:val="center"/>
      </w:pPr>
      <w:r w:rsidRPr="00203EB0">
        <w:rPr>
          <w:noProof/>
        </w:rPr>
        <w:drawing>
          <wp:inline distT="0" distB="0" distL="0" distR="0" wp14:anchorId="7B5D4140" wp14:editId="69E65D0D">
            <wp:extent cx="4533900" cy="3161625"/>
            <wp:effectExtent l="0" t="0" r="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75704" cy="3190776"/>
                    </a:xfrm>
                    <a:prstGeom prst="rect">
                      <a:avLst/>
                    </a:prstGeom>
                  </pic:spPr>
                </pic:pic>
              </a:graphicData>
            </a:graphic>
          </wp:inline>
        </w:drawing>
      </w:r>
    </w:p>
    <w:p w14:paraId="10584F09" w14:textId="466DD000" w:rsidR="00B61113" w:rsidRPr="00203EB0" w:rsidRDefault="00B61113" w:rsidP="00001ABC">
      <w:pPr>
        <w:pStyle w:val="Caption"/>
      </w:pPr>
      <w:bookmarkStart w:id="68" w:name="_Toc206669272"/>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4</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7</w:t>
      </w:r>
      <w:r w:rsidR="00BD46F8" w:rsidRPr="00203EB0">
        <w:rPr>
          <w:b/>
          <w:bCs/>
        </w:rPr>
        <w:fldChar w:fldCharType="end"/>
      </w:r>
      <w:r w:rsidRPr="00203EB0">
        <w:rPr>
          <w:b/>
          <w:bCs/>
        </w:rPr>
        <w:t>:</w:t>
      </w:r>
      <w:r w:rsidRPr="00203EB0">
        <w:t xml:space="preserve"> Selected images of O</w:t>
      </w:r>
      <w:r w:rsidRPr="00203EB0">
        <w:rPr>
          <w:vertAlign w:val="subscript"/>
        </w:rPr>
        <w:t>2</w:t>
      </w:r>
      <w:r w:rsidRPr="00203EB0">
        <w:t xml:space="preserve"> content expressed as percentage of air saturation in 0–3 cm soil depth over the incubation period from two treatments: (A) 50% WFPS with winter wheat+160 N, (B) 50% WFPS with no cover crop+160 N. Images (one of the four replicates) illustrate the maximum achieved O</w:t>
      </w:r>
      <w:r w:rsidRPr="00203EB0">
        <w:rPr>
          <w:vertAlign w:val="subscript"/>
        </w:rPr>
        <w:t xml:space="preserve">2 </w:t>
      </w:r>
      <w:r w:rsidRPr="00203EB0">
        <w:t>depletion effect resulting from cover crop addition.</w:t>
      </w:r>
      <w:bookmarkEnd w:id="68"/>
    </w:p>
    <w:p w14:paraId="738D0E86" w14:textId="77777777" w:rsidR="00B61113" w:rsidRPr="00203EB0" w:rsidRDefault="00B61113" w:rsidP="00001ABC">
      <w:pPr>
        <w:pStyle w:val="Caption"/>
      </w:pPr>
    </w:p>
    <w:p w14:paraId="34E4C020" w14:textId="77777777" w:rsidR="0033090A" w:rsidRPr="00203EB0" w:rsidRDefault="0033090A" w:rsidP="00F32F41">
      <w:pPr>
        <w:spacing w:line="480" w:lineRule="auto"/>
        <w:rPr>
          <w:rFonts w:cs="Times New Roman"/>
        </w:rPr>
      </w:pPr>
    </w:p>
    <w:p w14:paraId="46336CB4" w14:textId="3655572A" w:rsidR="00F32F41" w:rsidRPr="00203EB0" w:rsidRDefault="00F32F41" w:rsidP="00001ABC">
      <w:pPr>
        <w:pStyle w:val="Caption"/>
      </w:pPr>
      <w:bookmarkStart w:id="69" w:name="_Toc206669221"/>
      <w:r w:rsidRPr="00203EB0">
        <w:rPr>
          <w:b/>
          <w:bCs/>
        </w:rPr>
        <w:lastRenderedPageBreak/>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4</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2</w:t>
      </w:r>
      <w:r w:rsidR="00775F57" w:rsidRPr="00203EB0">
        <w:rPr>
          <w:b/>
          <w:bCs/>
        </w:rPr>
        <w:fldChar w:fldCharType="end"/>
      </w:r>
      <w:r w:rsidRPr="00203EB0">
        <w:rPr>
          <w:b/>
          <w:bCs/>
        </w:rPr>
        <w:t>:</w:t>
      </w:r>
      <w:r w:rsidRPr="00203EB0">
        <w:t xml:space="preserve"> Nitrate (</w:t>
      </w:r>
      <m:oMath>
        <m:sSubSup>
          <m:sSubSupPr>
            <m:ctrlPr>
              <w:rPr>
                <w:rFonts w:ascii="Cambria Math" w:hAnsi="Cambria Math"/>
              </w:rPr>
            </m:ctrlPr>
          </m:sSubSupPr>
          <m:e>
            <m:r>
              <m:rPr>
                <m:sty m:val="p"/>
              </m:rPr>
              <w:rPr>
                <w:rFonts w:ascii="Cambria Math" w:hAnsi="Cambria Math"/>
              </w:rPr>
              <m:t>NO</m:t>
            </m:r>
          </m:e>
          <m:sub>
            <m:r>
              <m:rPr>
                <m:sty m:val="p"/>
              </m:rPr>
              <w:rPr>
                <w:rFonts w:ascii="Cambria Math" w:hAnsi="Cambria Math"/>
              </w:rPr>
              <m:t>3</m:t>
            </m:r>
          </m:sub>
          <m:sup>
            <m:r>
              <m:rPr>
                <m:sty m:val="p"/>
              </m:rPr>
              <w:rPr>
                <w:rFonts w:ascii="Cambria Math" w:hAnsi="Cambria Math"/>
              </w:rPr>
              <m:t>-</m:t>
            </m:r>
          </m:sup>
        </m:sSubSup>
      </m:oMath>
      <w:r w:rsidRPr="00203EB0">
        <w:t>) and ammonium (</w:t>
      </w:r>
      <m:oMath>
        <m:sSubSup>
          <m:sSubSupPr>
            <m:ctrlPr>
              <w:rPr>
                <w:rFonts w:ascii="Cambria Math" w:hAnsi="Cambria Math"/>
              </w:rPr>
            </m:ctrlPr>
          </m:sSubSupPr>
          <m:e>
            <m:r>
              <m:rPr>
                <m:sty m:val="p"/>
              </m:rPr>
              <w:rPr>
                <w:rFonts w:ascii="Cambria Math" w:hAnsi="Cambria Math"/>
              </w:rPr>
              <m:t>NH</m:t>
            </m:r>
          </m:e>
          <m:sub>
            <m:r>
              <m:rPr>
                <m:sty m:val="p"/>
              </m:rPr>
              <w:rPr>
                <w:rFonts w:ascii="Cambria Math" w:hAnsi="Cambria Math"/>
              </w:rPr>
              <m:t>4</m:t>
            </m:r>
          </m:sub>
          <m:sup>
            <m:r>
              <m:rPr>
                <m:sty m:val="p"/>
              </m:rPr>
              <w:rPr>
                <w:rFonts w:ascii="Cambria Math" w:hAnsi="Cambria Math"/>
              </w:rPr>
              <m:t>+</m:t>
            </m:r>
          </m:sup>
        </m:sSubSup>
      </m:oMath>
      <w:r w:rsidRPr="00203EB0">
        <w:t>) concentration over the incubation period for four cover crop treatments at 50% and 80% WFPS.</w:t>
      </w:r>
      <w:bookmarkEnd w:id="69"/>
    </w:p>
    <w:tbl>
      <w:tblPr>
        <w:tblStyle w:val="TableGrid"/>
        <w:tblW w:w="0" w:type="auto"/>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5"/>
        <w:gridCol w:w="1156"/>
        <w:gridCol w:w="1321"/>
        <w:gridCol w:w="1233"/>
        <w:gridCol w:w="1233"/>
        <w:gridCol w:w="1233"/>
        <w:gridCol w:w="1234"/>
      </w:tblGrid>
      <w:tr w:rsidR="00F32F41" w:rsidRPr="00203EB0" w14:paraId="2B0D1B10" w14:textId="77777777" w:rsidTr="00652800">
        <w:tc>
          <w:tcPr>
            <w:tcW w:w="1536" w:type="dxa"/>
            <w:vMerge w:val="restart"/>
            <w:tcBorders>
              <w:top w:val="single" w:sz="12" w:space="0" w:color="auto"/>
            </w:tcBorders>
            <w:vAlign w:val="center"/>
          </w:tcPr>
          <w:p w14:paraId="60227886" w14:textId="77777777" w:rsidR="00F32F41" w:rsidRPr="00203EB0" w:rsidRDefault="00F32F41" w:rsidP="00652800">
            <w:pPr>
              <w:jc w:val="center"/>
              <w:rPr>
                <w:rFonts w:cs="Times New Roman"/>
                <w:b/>
              </w:rPr>
            </w:pPr>
            <w:r w:rsidRPr="00203EB0">
              <w:rPr>
                <w:rFonts w:cs="Times New Roman"/>
                <w:b/>
              </w:rPr>
              <w:t>Cover Crop</w:t>
            </w:r>
          </w:p>
        </w:tc>
        <w:tc>
          <w:tcPr>
            <w:tcW w:w="1169" w:type="dxa"/>
            <w:vMerge w:val="restart"/>
            <w:tcBorders>
              <w:top w:val="single" w:sz="12" w:space="0" w:color="auto"/>
            </w:tcBorders>
            <w:vAlign w:val="center"/>
          </w:tcPr>
          <w:p w14:paraId="25769D4D" w14:textId="77777777" w:rsidR="00F32F41" w:rsidRPr="00203EB0" w:rsidRDefault="00F32F41" w:rsidP="00652800">
            <w:pPr>
              <w:jc w:val="center"/>
              <w:rPr>
                <w:rFonts w:cs="Times New Roman"/>
                <w:b/>
              </w:rPr>
            </w:pPr>
            <w:r w:rsidRPr="00203EB0">
              <w:rPr>
                <w:rFonts w:cs="Times New Roman"/>
                <w:b/>
              </w:rPr>
              <w:t>WFPS</w:t>
            </w:r>
          </w:p>
        </w:tc>
        <w:tc>
          <w:tcPr>
            <w:tcW w:w="6398" w:type="dxa"/>
            <w:gridSpan w:val="5"/>
            <w:tcBorders>
              <w:top w:val="single" w:sz="12" w:space="0" w:color="auto"/>
            </w:tcBorders>
          </w:tcPr>
          <w:p w14:paraId="527D46AC" w14:textId="77777777" w:rsidR="00F32F41" w:rsidRPr="00203EB0" w:rsidRDefault="00F32F41" w:rsidP="00652800">
            <w:pPr>
              <w:jc w:val="center"/>
              <w:rPr>
                <w:rFonts w:cs="Times New Roman"/>
                <w:b/>
              </w:rPr>
            </w:pPr>
            <w:r w:rsidRPr="00203EB0">
              <w:rPr>
                <w:rFonts w:cs="Times New Roman"/>
                <w:b/>
              </w:rPr>
              <w:t>NO</w:t>
            </w:r>
            <w:r w:rsidRPr="00203EB0">
              <w:rPr>
                <w:rFonts w:cs="Times New Roman"/>
                <w:b/>
                <w:vertAlign w:val="subscript"/>
              </w:rPr>
              <w:t>3</w:t>
            </w:r>
            <w:r w:rsidRPr="00203EB0">
              <w:rPr>
                <w:rFonts w:cs="Times New Roman"/>
                <w:b/>
              </w:rPr>
              <w:t>-N (mg N kg</w:t>
            </w:r>
            <w:r w:rsidRPr="00203EB0">
              <w:rPr>
                <w:rFonts w:cs="Times New Roman"/>
                <w:b/>
                <w:vertAlign w:val="superscript"/>
              </w:rPr>
              <w:t>-1</w:t>
            </w:r>
            <w:r w:rsidRPr="00203EB0">
              <w:rPr>
                <w:rFonts w:cs="Times New Roman"/>
                <w:b/>
              </w:rPr>
              <w:t xml:space="preserve"> soil)</w:t>
            </w:r>
          </w:p>
        </w:tc>
      </w:tr>
      <w:tr w:rsidR="00F32F41" w:rsidRPr="00203EB0" w14:paraId="3AE26841" w14:textId="77777777" w:rsidTr="00652800">
        <w:tc>
          <w:tcPr>
            <w:tcW w:w="1536" w:type="dxa"/>
            <w:vMerge/>
            <w:tcBorders>
              <w:bottom w:val="single" w:sz="12" w:space="0" w:color="auto"/>
            </w:tcBorders>
          </w:tcPr>
          <w:p w14:paraId="30D401D7" w14:textId="77777777" w:rsidR="00F32F41" w:rsidRPr="00203EB0" w:rsidRDefault="00F32F41" w:rsidP="00652800">
            <w:pPr>
              <w:rPr>
                <w:rFonts w:cs="Times New Roman"/>
              </w:rPr>
            </w:pPr>
          </w:p>
        </w:tc>
        <w:tc>
          <w:tcPr>
            <w:tcW w:w="1169" w:type="dxa"/>
            <w:vMerge/>
            <w:tcBorders>
              <w:bottom w:val="single" w:sz="12" w:space="0" w:color="auto"/>
            </w:tcBorders>
          </w:tcPr>
          <w:p w14:paraId="50576474" w14:textId="77777777" w:rsidR="00F32F41" w:rsidRPr="00203EB0" w:rsidRDefault="00F32F41" w:rsidP="00652800">
            <w:pPr>
              <w:rPr>
                <w:rFonts w:cs="Times New Roman"/>
              </w:rPr>
            </w:pPr>
          </w:p>
        </w:tc>
        <w:tc>
          <w:tcPr>
            <w:tcW w:w="1353" w:type="dxa"/>
            <w:tcBorders>
              <w:bottom w:val="single" w:sz="12" w:space="0" w:color="auto"/>
            </w:tcBorders>
          </w:tcPr>
          <w:p w14:paraId="43B59DB1" w14:textId="77777777" w:rsidR="00F32F41" w:rsidRPr="00203EB0" w:rsidRDefault="00F32F41" w:rsidP="00652800">
            <w:pPr>
              <w:jc w:val="center"/>
              <w:rPr>
                <w:rFonts w:cs="Times New Roman"/>
                <w:b/>
              </w:rPr>
            </w:pPr>
            <w:r w:rsidRPr="00203EB0">
              <w:rPr>
                <w:rFonts w:cs="Times New Roman"/>
                <w:b/>
              </w:rPr>
              <w:t>Day 2</w:t>
            </w:r>
          </w:p>
        </w:tc>
        <w:tc>
          <w:tcPr>
            <w:tcW w:w="1261" w:type="dxa"/>
            <w:tcBorders>
              <w:bottom w:val="single" w:sz="12" w:space="0" w:color="auto"/>
            </w:tcBorders>
          </w:tcPr>
          <w:p w14:paraId="296F6A31" w14:textId="77777777" w:rsidR="00F32F41" w:rsidRPr="00203EB0" w:rsidRDefault="00F32F41" w:rsidP="00652800">
            <w:pPr>
              <w:jc w:val="center"/>
              <w:rPr>
                <w:rFonts w:cs="Times New Roman"/>
                <w:b/>
              </w:rPr>
            </w:pPr>
            <w:r w:rsidRPr="00203EB0">
              <w:rPr>
                <w:rFonts w:cs="Times New Roman"/>
                <w:b/>
              </w:rPr>
              <w:t>Day 7</w:t>
            </w:r>
          </w:p>
        </w:tc>
        <w:tc>
          <w:tcPr>
            <w:tcW w:w="1261" w:type="dxa"/>
            <w:tcBorders>
              <w:bottom w:val="single" w:sz="12" w:space="0" w:color="auto"/>
            </w:tcBorders>
          </w:tcPr>
          <w:p w14:paraId="324999F1" w14:textId="77777777" w:rsidR="00F32F41" w:rsidRPr="00203EB0" w:rsidRDefault="00F32F41" w:rsidP="00652800">
            <w:pPr>
              <w:jc w:val="center"/>
              <w:rPr>
                <w:rFonts w:cs="Times New Roman"/>
                <w:b/>
              </w:rPr>
            </w:pPr>
            <w:r w:rsidRPr="00203EB0">
              <w:rPr>
                <w:rFonts w:cs="Times New Roman"/>
                <w:b/>
              </w:rPr>
              <w:t>Day 11</w:t>
            </w:r>
          </w:p>
        </w:tc>
        <w:tc>
          <w:tcPr>
            <w:tcW w:w="1261" w:type="dxa"/>
            <w:tcBorders>
              <w:bottom w:val="single" w:sz="12" w:space="0" w:color="auto"/>
            </w:tcBorders>
          </w:tcPr>
          <w:p w14:paraId="4CA3789C" w14:textId="77777777" w:rsidR="00F32F41" w:rsidRPr="00203EB0" w:rsidRDefault="00F32F41" w:rsidP="00652800">
            <w:pPr>
              <w:jc w:val="center"/>
              <w:rPr>
                <w:rFonts w:cs="Times New Roman"/>
                <w:b/>
              </w:rPr>
            </w:pPr>
            <w:r w:rsidRPr="00203EB0">
              <w:rPr>
                <w:rFonts w:cs="Times New Roman"/>
                <w:b/>
              </w:rPr>
              <w:t>Day 16</w:t>
            </w:r>
          </w:p>
        </w:tc>
        <w:tc>
          <w:tcPr>
            <w:tcW w:w="1262" w:type="dxa"/>
            <w:tcBorders>
              <w:bottom w:val="single" w:sz="12" w:space="0" w:color="auto"/>
            </w:tcBorders>
          </w:tcPr>
          <w:p w14:paraId="3656CC25" w14:textId="77777777" w:rsidR="00F32F41" w:rsidRPr="00203EB0" w:rsidRDefault="00F32F41" w:rsidP="00652800">
            <w:pPr>
              <w:jc w:val="center"/>
              <w:rPr>
                <w:rFonts w:cs="Times New Roman"/>
                <w:b/>
              </w:rPr>
            </w:pPr>
            <w:r w:rsidRPr="00203EB0">
              <w:rPr>
                <w:rFonts w:cs="Times New Roman"/>
                <w:b/>
              </w:rPr>
              <w:t>Day 21</w:t>
            </w:r>
          </w:p>
        </w:tc>
      </w:tr>
      <w:tr w:rsidR="00F32F41" w:rsidRPr="00203EB0" w14:paraId="7467023A" w14:textId="77777777" w:rsidTr="00652800">
        <w:tc>
          <w:tcPr>
            <w:tcW w:w="1536" w:type="dxa"/>
            <w:tcBorders>
              <w:top w:val="single" w:sz="12" w:space="0" w:color="auto"/>
            </w:tcBorders>
          </w:tcPr>
          <w:p w14:paraId="1AC66407" w14:textId="77777777" w:rsidR="00F32F41" w:rsidRPr="00203EB0" w:rsidRDefault="00F32F41" w:rsidP="00652800">
            <w:pPr>
              <w:rPr>
                <w:rFonts w:cs="Times New Roman"/>
              </w:rPr>
            </w:pPr>
            <w:r w:rsidRPr="00203EB0">
              <w:rPr>
                <w:rFonts w:cs="Times New Roman"/>
              </w:rPr>
              <w:t>HV + 160 N</w:t>
            </w:r>
          </w:p>
        </w:tc>
        <w:tc>
          <w:tcPr>
            <w:tcW w:w="1169" w:type="dxa"/>
            <w:tcBorders>
              <w:top w:val="single" w:sz="12" w:space="0" w:color="auto"/>
            </w:tcBorders>
            <w:vAlign w:val="center"/>
          </w:tcPr>
          <w:p w14:paraId="47F80EEC" w14:textId="77777777" w:rsidR="00F32F41" w:rsidRPr="00203EB0" w:rsidRDefault="00F32F41" w:rsidP="00652800">
            <w:pPr>
              <w:jc w:val="center"/>
              <w:rPr>
                <w:rFonts w:cs="Times New Roman"/>
              </w:rPr>
            </w:pPr>
            <w:r w:rsidRPr="00203EB0">
              <w:rPr>
                <w:rFonts w:cs="Times New Roman"/>
              </w:rPr>
              <w:t xml:space="preserve">50% </w:t>
            </w:r>
          </w:p>
        </w:tc>
        <w:tc>
          <w:tcPr>
            <w:tcW w:w="1353" w:type="dxa"/>
            <w:tcBorders>
              <w:top w:val="single" w:sz="12" w:space="0" w:color="auto"/>
            </w:tcBorders>
          </w:tcPr>
          <w:p w14:paraId="12615E49" w14:textId="77777777" w:rsidR="00F32F41" w:rsidRPr="00203EB0" w:rsidRDefault="00F32F41" w:rsidP="00652800">
            <w:pPr>
              <w:rPr>
                <w:rFonts w:cs="Times New Roman"/>
              </w:rPr>
            </w:pPr>
            <w:r w:rsidRPr="00203EB0">
              <w:rPr>
                <w:rFonts w:cs="Times New Roman"/>
              </w:rPr>
              <w:t xml:space="preserve">83 (17) </w:t>
            </w:r>
            <w:r w:rsidRPr="00203EB0">
              <w:rPr>
                <w:rFonts w:cs="Times New Roman"/>
                <w:vertAlign w:val="superscript"/>
              </w:rPr>
              <w:t>bd</w:t>
            </w:r>
          </w:p>
        </w:tc>
        <w:tc>
          <w:tcPr>
            <w:tcW w:w="1261" w:type="dxa"/>
            <w:tcBorders>
              <w:top w:val="single" w:sz="12" w:space="0" w:color="auto"/>
            </w:tcBorders>
          </w:tcPr>
          <w:p w14:paraId="3C6AD53C" w14:textId="77777777" w:rsidR="00F32F41" w:rsidRPr="00203EB0" w:rsidRDefault="00F32F41" w:rsidP="00652800">
            <w:pPr>
              <w:rPr>
                <w:rFonts w:cs="Times New Roman"/>
              </w:rPr>
            </w:pPr>
            <w:r w:rsidRPr="00203EB0">
              <w:rPr>
                <w:rFonts w:cs="Times New Roman"/>
              </w:rPr>
              <w:t xml:space="preserve">163 (26) </w:t>
            </w:r>
            <w:r w:rsidRPr="00203EB0">
              <w:rPr>
                <w:rFonts w:cs="Times New Roman"/>
                <w:vertAlign w:val="superscript"/>
              </w:rPr>
              <w:t>a</w:t>
            </w:r>
          </w:p>
        </w:tc>
        <w:tc>
          <w:tcPr>
            <w:tcW w:w="1261" w:type="dxa"/>
            <w:tcBorders>
              <w:top w:val="single" w:sz="12" w:space="0" w:color="auto"/>
            </w:tcBorders>
          </w:tcPr>
          <w:p w14:paraId="698339E8" w14:textId="77777777" w:rsidR="00F32F41" w:rsidRPr="00203EB0" w:rsidRDefault="00F32F41" w:rsidP="00652800">
            <w:pPr>
              <w:rPr>
                <w:rFonts w:cs="Times New Roman"/>
              </w:rPr>
            </w:pPr>
            <w:r w:rsidRPr="00203EB0">
              <w:rPr>
                <w:rFonts w:cs="Times New Roman"/>
              </w:rPr>
              <w:t xml:space="preserve">133 (11) </w:t>
            </w:r>
            <w:r w:rsidRPr="00203EB0">
              <w:rPr>
                <w:rFonts w:cs="Times New Roman"/>
                <w:vertAlign w:val="superscript"/>
              </w:rPr>
              <w:t>a</w:t>
            </w:r>
          </w:p>
        </w:tc>
        <w:tc>
          <w:tcPr>
            <w:tcW w:w="1261" w:type="dxa"/>
            <w:tcBorders>
              <w:top w:val="single" w:sz="12" w:space="0" w:color="auto"/>
            </w:tcBorders>
          </w:tcPr>
          <w:p w14:paraId="6A5174B0" w14:textId="77777777" w:rsidR="00F32F41" w:rsidRPr="00203EB0" w:rsidRDefault="00F32F41" w:rsidP="00652800">
            <w:pPr>
              <w:rPr>
                <w:rFonts w:cs="Times New Roman"/>
              </w:rPr>
            </w:pPr>
            <w:r w:rsidRPr="00203EB0">
              <w:rPr>
                <w:rFonts w:cs="Times New Roman"/>
              </w:rPr>
              <w:t xml:space="preserve">154 (30) </w:t>
            </w:r>
            <w:r w:rsidRPr="00203EB0">
              <w:rPr>
                <w:rFonts w:cs="Times New Roman"/>
                <w:vertAlign w:val="superscript"/>
              </w:rPr>
              <w:t>a</w:t>
            </w:r>
          </w:p>
        </w:tc>
        <w:tc>
          <w:tcPr>
            <w:tcW w:w="1262" w:type="dxa"/>
            <w:tcBorders>
              <w:top w:val="single" w:sz="12" w:space="0" w:color="auto"/>
            </w:tcBorders>
          </w:tcPr>
          <w:p w14:paraId="51F663FF" w14:textId="77777777" w:rsidR="00F32F41" w:rsidRPr="00203EB0" w:rsidRDefault="00F32F41" w:rsidP="00652800">
            <w:pPr>
              <w:rPr>
                <w:rFonts w:cs="Times New Roman"/>
              </w:rPr>
            </w:pPr>
            <w:r w:rsidRPr="00203EB0">
              <w:rPr>
                <w:rFonts w:cs="Times New Roman"/>
              </w:rPr>
              <w:t xml:space="preserve">147 (14) </w:t>
            </w:r>
            <w:r w:rsidRPr="00203EB0">
              <w:rPr>
                <w:rFonts w:cs="Times New Roman"/>
                <w:vertAlign w:val="superscript"/>
              </w:rPr>
              <w:t>a</w:t>
            </w:r>
          </w:p>
        </w:tc>
      </w:tr>
      <w:tr w:rsidR="00F32F41" w:rsidRPr="00203EB0" w14:paraId="4728924E" w14:textId="77777777" w:rsidTr="00652800">
        <w:tc>
          <w:tcPr>
            <w:tcW w:w="1536" w:type="dxa"/>
          </w:tcPr>
          <w:p w14:paraId="2ECD6E0C" w14:textId="77777777" w:rsidR="00F32F41" w:rsidRPr="00203EB0" w:rsidRDefault="00F32F41" w:rsidP="00652800">
            <w:pPr>
              <w:rPr>
                <w:rFonts w:cs="Times New Roman"/>
              </w:rPr>
            </w:pPr>
            <w:r w:rsidRPr="00203EB0">
              <w:rPr>
                <w:rFonts w:cs="Times New Roman"/>
              </w:rPr>
              <w:t>HV + 160 N</w:t>
            </w:r>
          </w:p>
        </w:tc>
        <w:tc>
          <w:tcPr>
            <w:tcW w:w="1169" w:type="dxa"/>
            <w:vAlign w:val="center"/>
          </w:tcPr>
          <w:p w14:paraId="1A038952" w14:textId="77777777" w:rsidR="00F32F41" w:rsidRPr="00203EB0" w:rsidRDefault="00F32F41" w:rsidP="00652800">
            <w:pPr>
              <w:jc w:val="center"/>
              <w:rPr>
                <w:rFonts w:cs="Times New Roman"/>
              </w:rPr>
            </w:pPr>
            <w:r w:rsidRPr="00203EB0">
              <w:rPr>
                <w:rFonts w:cs="Times New Roman"/>
              </w:rPr>
              <w:t xml:space="preserve">80% </w:t>
            </w:r>
          </w:p>
        </w:tc>
        <w:tc>
          <w:tcPr>
            <w:tcW w:w="1353" w:type="dxa"/>
          </w:tcPr>
          <w:p w14:paraId="14B7C2CB" w14:textId="77777777" w:rsidR="00F32F41" w:rsidRPr="00203EB0" w:rsidRDefault="00F32F41" w:rsidP="00652800">
            <w:pPr>
              <w:rPr>
                <w:rFonts w:cs="Times New Roman"/>
              </w:rPr>
            </w:pPr>
            <w:r w:rsidRPr="00203EB0">
              <w:rPr>
                <w:rFonts w:cs="Times New Roman"/>
              </w:rPr>
              <w:t xml:space="preserve">106 (34) </w:t>
            </w:r>
            <w:proofErr w:type="spellStart"/>
            <w:r w:rsidRPr="00203EB0">
              <w:rPr>
                <w:rFonts w:cs="Times New Roman"/>
                <w:vertAlign w:val="superscript"/>
              </w:rPr>
              <w:t>abc</w:t>
            </w:r>
            <w:proofErr w:type="spellEnd"/>
          </w:p>
        </w:tc>
        <w:tc>
          <w:tcPr>
            <w:tcW w:w="1261" w:type="dxa"/>
          </w:tcPr>
          <w:p w14:paraId="68B89B78" w14:textId="77777777" w:rsidR="00F32F41" w:rsidRPr="00203EB0" w:rsidRDefault="00F32F41" w:rsidP="00652800">
            <w:pPr>
              <w:rPr>
                <w:rFonts w:cs="Times New Roman"/>
              </w:rPr>
            </w:pPr>
            <w:r w:rsidRPr="00203EB0">
              <w:rPr>
                <w:rFonts w:cs="Times New Roman"/>
              </w:rPr>
              <w:t>23 (7</w:t>
            </w:r>
            <w:proofErr w:type="gramStart"/>
            <w:r w:rsidRPr="00203EB0">
              <w:rPr>
                <w:rFonts w:cs="Times New Roman"/>
              </w:rPr>
              <w:t xml:space="preserve">)  </w:t>
            </w:r>
            <w:r w:rsidRPr="00203EB0">
              <w:rPr>
                <w:rFonts w:cs="Times New Roman"/>
                <w:vertAlign w:val="superscript"/>
              </w:rPr>
              <w:t>de</w:t>
            </w:r>
            <w:proofErr w:type="gramEnd"/>
          </w:p>
        </w:tc>
        <w:tc>
          <w:tcPr>
            <w:tcW w:w="1261" w:type="dxa"/>
          </w:tcPr>
          <w:p w14:paraId="0D312D81" w14:textId="77777777" w:rsidR="00F32F41" w:rsidRPr="00203EB0" w:rsidRDefault="00F32F41" w:rsidP="00652800">
            <w:pPr>
              <w:rPr>
                <w:rFonts w:cs="Times New Roman"/>
              </w:rPr>
            </w:pPr>
            <w:r w:rsidRPr="00203EB0">
              <w:rPr>
                <w:rFonts w:cs="Times New Roman"/>
              </w:rPr>
              <w:t xml:space="preserve">5 (3) </w:t>
            </w:r>
            <w:r w:rsidRPr="00203EB0">
              <w:rPr>
                <w:rFonts w:cs="Times New Roman"/>
                <w:vertAlign w:val="superscript"/>
              </w:rPr>
              <w:t>c</w:t>
            </w:r>
          </w:p>
        </w:tc>
        <w:tc>
          <w:tcPr>
            <w:tcW w:w="1261" w:type="dxa"/>
          </w:tcPr>
          <w:p w14:paraId="32AB5859" w14:textId="77777777" w:rsidR="00F32F41" w:rsidRPr="00203EB0" w:rsidRDefault="00F32F41" w:rsidP="00652800">
            <w:pPr>
              <w:rPr>
                <w:rFonts w:cs="Times New Roman"/>
              </w:rPr>
            </w:pPr>
            <w:r w:rsidRPr="00203EB0">
              <w:rPr>
                <w:rFonts w:cs="Times New Roman"/>
              </w:rPr>
              <w:t xml:space="preserve">4 (2) </w:t>
            </w:r>
            <w:r w:rsidRPr="00203EB0">
              <w:rPr>
                <w:rFonts w:cs="Times New Roman"/>
                <w:vertAlign w:val="superscript"/>
              </w:rPr>
              <w:t>b</w:t>
            </w:r>
          </w:p>
        </w:tc>
        <w:tc>
          <w:tcPr>
            <w:tcW w:w="1262" w:type="dxa"/>
          </w:tcPr>
          <w:p w14:paraId="726927CB" w14:textId="77777777" w:rsidR="00F32F41" w:rsidRPr="00203EB0" w:rsidRDefault="00F32F41" w:rsidP="00652800">
            <w:pPr>
              <w:rPr>
                <w:rFonts w:cs="Times New Roman"/>
              </w:rPr>
            </w:pPr>
            <w:r w:rsidRPr="00203EB0">
              <w:rPr>
                <w:rFonts w:cs="Times New Roman"/>
              </w:rPr>
              <w:t xml:space="preserve">1 (0) </w:t>
            </w:r>
            <w:r w:rsidRPr="00203EB0">
              <w:rPr>
                <w:rFonts w:cs="Times New Roman"/>
                <w:vertAlign w:val="superscript"/>
              </w:rPr>
              <w:t>d</w:t>
            </w:r>
          </w:p>
        </w:tc>
      </w:tr>
      <w:tr w:rsidR="00F32F41" w:rsidRPr="00203EB0" w14:paraId="39F9C0B5" w14:textId="77777777" w:rsidTr="00652800">
        <w:tc>
          <w:tcPr>
            <w:tcW w:w="1536" w:type="dxa"/>
          </w:tcPr>
          <w:p w14:paraId="7A81820A" w14:textId="77777777" w:rsidR="00F32F41" w:rsidRPr="00203EB0" w:rsidRDefault="00F32F41" w:rsidP="00652800">
            <w:pPr>
              <w:rPr>
                <w:rFonts w:cs="Times New Roman"/>
              </w:rPr>
            </w:pPr>
          </w:p>
        </w:tc>
        <w:tc>
          <w:tcPr>
            <w:tcW w:w="1169" w:type="dxa"/>
          </w:tcPr>
          <w:p w14:paraId="5566B351" w14:textId="77777777" w:rsidR="00F32F41" w:rsidRPr="00203EB0" w:rsidRDefault="00F32F41" w:rsidP="00652800">
            <w:pPr>
              <w:rPr>
                <w:rFonts w:cs="Times New Roman"/>
              </w:rPr>
            </w:pPr>
          </w:p>
        </w:tc>
        <w:tc>
          <w:tcPr>
            <w:tcW w:w="1353" w:type="dxa"/>
          </w:tcPr>
          <w:p w14:paraId="5FFA03AA" w14:textId="77777777" w:rsidR="00F32F41" w:rsidRPr="00203EB0" w:rsidRDefault="00F32F41" w:rsidP="00652800">
            <w:pPr>
              <w:rPr>
                <w:rFonts w:cs="Times New Roman"/>
              </w:rPr>
            </w:pPr>
          </w:p>
        </w:tc>
        <w:tc>
          <w:tcPr>
            <w:tcW w:w="1261" w:type="dxa"/>
          </w:tcPr>
          <w:p w14:paraId="156B776A" w14:textId="77777777" w:rsidR="00F32F41" w:rsidRPr="00203EB0" w:rsidRDefault="00F32F41" w:rsidP="00652800">
            <w:pPr>
              <w:rPr>
                <w:rFonts w:cs="Times New Roman"/>
              </w:rPr>
            </w:pPr>
          </w:p>
        </w:tc>
        <w:tc>
          <w:tcPr>
            <w:tcW w:w="1261" w:type="dxa"/>
          </w:tcPr>
          <w:p w14:paraId="56D0CB23" w14:textId="77777777" w:rsidR="00F32F41" w:rsidRPr="00203EB0" w:rsidRDefault="00F32F41" w:rsidP="00652800">
            <w:pPr>
              <w:rPr>
                <w:rFonts w:cs="Times New Roman"/>
              </w:rPr>
            </w:pPr>
          </w:p>
        </w:tc>
        <w:tc>
          <w:tcPr>
            <w:tcW w:w="1261" w:type="dxa"/>
          </w:tcPr>
          <w:p w14:paraId="230DEF4F" w14:textId="77777777" w:rsidR="00F32F41" w:rsidRPr="00203EB0" w:rsidRDefault="00F32F41" w:rsidP="00652800">
            <w:pPr>
              <w:rPr>
                <w:rFonts w:cs="Times New Roman"/>
              </w:rPr>
            </w:pPr>
          </w:p>
        </w:tc>
        <w:tc>
          <w:tcPr>
            <w:tcW w:w="1262" w:type="dxa"/>
          </w:tcPr>
          <w:p w14:paraId="68A26B42" w14:textId="77777777" w:rsidR="00F32F41" w:rsidRPr="00203EB0" w:rsidRDefault="00F32F41" w:rsidP="00652800">
            <w:pPr>
              <w:rPr>
                <w:rFonts w:cs="Times New Roman"/>
              </w:rPr>
            </w:pPr>
          </w:p>
        </w:tc>
      </w:tr>
      <w:tr w:rsidR="00F32F41" w:rsidRPr="00203EB0" w14:paraId="69D1B519" w14:textId="77777777" w:rsidTr="00652800">
        <w:tc>
          <w:tcPr>
            <w:tcW w:w="1536" w:type="dxa"/>
          </w:tcPr>
          <w:p w14:paraId="3D62B1A7" w14:textId="77777777" w:rsidR="00F32F41" w:rsidRPr="00203EB0" w:rsidRDefault="00F32F41" w:rsidP="00652800">
            <w:pPr>
              <w:rPr>
                <w:rFonts w:cs="Times New Roman"/>
              </w:rPr>
            </w:pPr>
            <w:r w:rsidRPr="00203EB0">
              <w:rPr>
                <w:rFonts w:cs="Times New Roman"/>
              </w:rPr>
              <w:t xml:space="preserve">WW + 160 N </w:t>
            </w:r>
          </w:p>
        </w:tc>
        <w:tc>
          <w:tcPr>
            <w:tcW w:w="1169" w:type="dxa"/>
            <w:vAlign w:val="center"/>
          </w:tcPr>
          <w:p w14:paraId="0E461B9A" w14:textId="77777777" w:rsidR="00F32F41" w:rsidRPr="00203EB0" w:rsidRDefault="00F32F41" w:rsidP="00652800">
            <w:pPr>
              <w:jc w:val="center"/>
              <w:rPr>
                <w:rFonts w:cs="Times New Roman"/>
              </w:rPr>
            </w:pPr>
            <w:r w:rsidRPr="00203EB0">
              <w:rPr>
                <w:rFonts w:cs="Times New Roman"/>
              </w:rPr>
              <w:t xml:space="preserve">50% </w:t>
            </w:r>
          </w:p>
        </w:tc>
        <w:tc>
          <w:tcPr>
            <w:tcW w:w="1353" w:type="dxa"/>
          </w:tcPr>
          <w:p w14:paraId="329DA4CF" w14:textId="77777777" w:rsidR="00F32F41" w:rsidRPr="00203EB0" w:rsidRDefault="00F32F41" w:rsidP="00652800">
            <w:pPr>
              <w:rPr>
                <w:rFonts w:cs="Times New Roman"/>
              </w:rPr>
            </w:pPr>
            <w:r w:rsidRPr="00203EB0">
              <w:rPr>
                <w:rFonts w:cs="Times New Roman"/>
              </w:rPr>
              <w:t xml:space="preserve">126 (18) </w:t>
            </w:r>
            <w:r w:rsidRPr="00203EB0">
              <w:rPr>
                <w:rFonts w:cs="Times New Roman"/>
                <w:vertAlign w:val="superscript"/>
              </w:rPr>
              <w:t>ab</w:t>
            </w:r>
          </w:p>
        </w:tc>
        <w:tc>
          <w:tcPr>
            <w:tcW w:w="1261" w:type="dxa"/>
          </w:tcPr>
          <w:p w14:paraId="64C86613" w14:textId="77777777" w:rsidR="00F32F41" w:rsidRPr="00203EB0" w:rsidRDefault="00F32F41" w:rsidP="00652800">
            <w:pPr>
              <w:rPr>
                <w:rFonts w:cs="Times New Roman"/>
              </w:rPr>
            </w:pPr>
            <w:r w:rsidRPr="00203EB0">
              <w:rPr>
                <w:rFonts w:cs="Times New Roman"/>
              </w:rPr>
              <w:t xml:space="preserve">115 (13) </w:t>
            </w:r>
            <w:r w:rsidRPr="00203EB0">
              <w:rPr>
                <w:rFonts w:cs="Times New Roman"/>
                <w:vertAlign w:val="superscript"/>
              </w:rPr>
              <w:t>ac</w:t>
            </w:r>
          </w:p>
        </w:tc>
        <w:tc>
          <w:tcPr>
            <w:tcW w:w="1261" w:type="dxa"/>
          </w:tcPr>
          <w:p w14:paraId="7700CEAD" w14:textId="77777777" w:rsidR="00F32F41" w:rsidRPr="00203EB0" w:rsidRDefault="00F32F41" w:rsidP="00652800">
            <w:pPr>
              <w:rPr>
                <w:rFonts w:cs="Times New Roman"/>
              </w:rPr>
            </w:pPr>
            <w:r w:rsidRPr="00203EB0">
              <w:rPr>
                <w:rFonts w:cs="Times New Roman"/>
              </w:rPr>
              <w:t xml:space="preserve">126 (19) </w:t>
            </w:r>
            <w:r w:rsidRPr="00203EB0">
              <w:rPr>
                <w:rFonts w:cs="Times New Roman"/>
                <w:vertAlign w:val="superscript"/>
              </w:rPr>
              <w:t>a</w:t>
            </w:r>
          </w:p>
        </w:tc>
        <w:tc>
          <w:tcPr>
            <w:tcW w:w="1261" w:type="dxa"/>
          </w:tcPr>
          <w:p w14:paraId="7505B2A3" w14:textId="77777777" w:rsidR="00F32F41" w:rsidRPr="00203EB0" w:rsidRDefault="00F32F41" w:rsidP="00652800">
            <w:pPr>
              <w:rPr>
                <w:rFonts w:cs="Times New Roman"/>
              </w:rPr>
            </w:pPr>
            <w:r w:rsidRPr="00203EB0">
              <w:rPr>
                <w:rFonts w:cs="Times New Roman"/>
              </w:rPr>
              <w:t xml:space="preserve">114 (24) </w:t>
            </w:r>
            <w:r w:rsidRPr="00203EB0">
              <w:rPr>
                <w:rFonts w:cs="Times New Roman"/>
                <w:vertAlign w:val="superscript"/>
              </w:rPr>
              <w:t>a</w:t>
            </w:r>
          </w:p>
        </w:tc>
        <w:tc>
          <w:tcPr>
            <w:tcW w:w="1262" w:type="dxa"/>
          </w:tcPr>
          <w:p w14:paraId="76A317B7" w14:textId="77777777" w:rsidR="00F32F41" w:rsidRPr="00203EB0" w:rsidRDefault="00F32F41" w:rsidP="00652800">
            <w:pPr>
              <w:rPr>
                <w:rFonts w:cs="Times New Roman"/>
              </w:rPr>
            </w:pPr>
            <w:r w:rsidRPr="00203EB0">
              <w:rPr>
                <w:rFonts w:cs="Times New Roman"/>
              </w:rPr>
              <w:t xml:space="preserve">124 (9) </w:t>
            </w:r>
            <w:r w:rsidRPr="00203EB0">
              <w:rPr>
                <w:rFonts w:cs="Times New Roman"/>
                <w:vertAlign w:val="superscript"/>
              </w:rPr>
              <w:t>ab</w:t>
            </w:r>
          </w:p>
        </w:tc>
      </w:tr>
      <w:tr w:rsidR="00F32F41" w:rsidRPr="00203EB0" w14:paraId="4962D049" w14:textId="77777777" w:rsidTr="00652800">
        <w:tc>
          <w:tcPr>
            <w:tcW w:w="1536" w:type="dxa"/>
          </w:tcPr>
          <w:p w14:paraId="2D1D7665" w14:textId="77777777" w:rsidR="00F32F41" w:rsidRPr="00203EB0" w:rsidRDefault="00F32F41" w:rsidP="00652800">
            <w:pPr>
              <w:rPr>
                <w:rFonts w:cs="Times New Roman"/>
              </w:rPr>
            </w:pPr>
            <w:r w:rsidRPr="00203EB0">
              <w:rPr>
                <w:rFonts w:cs="Times New Roman"/>
              </w:rPr>
              <w:t>WW + 160 N</w:t>
            </w:r>
          </w:p>
        </w:tc>
        <w:tc>
          <w:tcPr>
            <w:tcW w:w="1169" w:type="dxa"/>
            <w:vAlign w:val="center"/>
          </w:tcPr>
          <w:p w14:paraId="5E53D343" w14:textId="77777777" w:rsidR="00F32F41" w:rsidRPr="00203EB0" w:rsidRDefault="00F32F41" w:rsidP="00652800">
            <w:pPr>
              <w:jc w:val="center"/>
              <w:rPr>
                <w:rFonts w:cs="Times New Roman"/>
              </w:rPr>
            </w:pPr>
            <w:r w:rsidRPr="00203EB0">
              <w:rPr>
                <w:rFonts w:cs="Times New Roman"/>
              </w:rPr>
              <w:t xml:space="preserve">80% </w:t>
            </w:r>
          </w:p>
        </w:tc>
        <w:tc>
          <w:tcPr>
            <w:tcW w:w="1353" w:type="dxa"/>
          </w:tcPr>
          <w:p w14:paraId="50DC919F" w14:textId="77777777" w:rsidR="00F32F41" w:rsidRPr="00203EB0" w:rsidRDefault="00F32F41" w:rsidP="00652800">
            <w:pPr>
              <w:rPr>
                <w:rFonts w:cs="Times New Roman"/>
              </w:rPr>
            </w:pPr>
            <w:r w:rsidRPr="00203EB0">
              <w:rPr>
                <w:rFonts w:cs="Times New Roman"/>
              </w:rPr>
              <w:t xml:space="preserve">168 (24) </w:t>
            </w:r>
            <w:r w:rsidRPr="00203EB0">
              <w:rPr>
                <w:rFonts w:cs="Times New Roman"/>
                <w:vertAlign w:val="superscript"/>
              </w:rPr>
              <w:t>ab</w:t>
            </w:r>
          </w:p>
        </w:tc>
        <w:tc>
          <w:tcPr>
            <w:tcW w:w="1261" w:type="dxa"/>
          </w:tcPr>
          <w:p w14:paraId="38CB6A43" w14:textId="77777777" w:rsidR="00F32F41" w:rsidRPr="00203EB0" w:rsidRDefault="00F32F41" w:rsidP="00652800">
            <w:pPr>
              <w:rPr>
                <w:rFonts w:cs="Times New Roman"/>
              </w:rPr>
            </w:pPr>
            <w:r w:rsidRPr="00203EB0">
              <w:rPr>
                <w:rFonts w:cs="Times New Roman"/>
              </w:rPr>
              <w:t xml:space="preserve">47 (19) </w:t>
            </w:r>
            <w:proofErr w:type="spellStart"/>
            <w:r w:rsidRPr="00203EB0">
              <w:rPr>
                <w:rFonts w:cs="Times New Roman"/>
                <w:vertAlign w:val="superscript"/>
              </w:rPr>
              <w:t>ce</w:t>
            </w:r>
            <w:proofErr w:type="spellEnd"/>
          </w:p>
        </w:tc>
        <w:tc>
          <w:tcPr>
            <w:tcW w:w="1261" w:type="dxa"/>
          </w:tcPr>
          <w:p w14:paraId="6EB85C96" w14:textId="77777777" w:rsidR="00F32F41" w:rsidRPr="00203EB0" w:rsidRDefault="00F32F41" w:rsidP="00652800">
            <w:pPr>
              <w:rPr>
                <w:rFonts w:cs="Times New Roman"/>
              </w:rPr>
            </w:pPr>
            <w:r w:rsidRPr="00203EB0">
              <w:rPr>
                <w:rFonts w:cs="Times New Roman"/>
              </w:rPr>
              <w:t xml:space="preserve">9 (1) </w:t>
            </w:r>
            <w:r w:rsidRPr="00203EB0">
              <w:rPr>
                <w:rFonts w:cs="Times New Roman"/>
                <w:vertAlign w:val="superscript"/>
              </w:rPr>
              <w:t>c</w:t>
            </w:r>
          </w:p>
        </w:tc>
        <w:tc>
          <w:tcPr>
            <w:tcW w:w="1261" w:type="dxa"/>
          </w:tcPr>
          <w:p w14:paraId="31C4D4F0" w14:textId="77777777" w:rsidR="00F32F41" w:rsidRPr="00203EB0" w:rsidRDefault="00F32F41" w:rsidP="00652800">
            <w:pPr>
              <w:rPr>
                <w:rFonts w:cs="Times New Roman"/>
              </w:rPr>
            </w:pPr>
            <w:r w:rsidRPr="00203EB0">
              <w:rPr>
                <w:rFonts w:cs="Times New Roman"/>
              </w:rPr>
              <w:t xml:space="preserve">8 (4) </w:t>
            </w:r>
            <w:r w:rsidRPr="00203EB0">
              <w:rPr>
                <w:rFonts w:cs="Times New Roman"/>
                <w:vertAlign w:val="superscript"/>
              </w:rPr>
              <w:t>b</w:t>
            </w:r>
          </w:p>
        </w:tc>
        <w:tc>
          <w:tcPr>
            <w:tcW w:w="1262" w:type="dxa"/>
          </w:tcPr>
          <w:p w14:paraId="6729CB22" w14:textId="77777777" w:rsidR="00F32F41" w:rsidRPr="00203EB0" w:rsidRDefault="00F32F41" w:rsidP="00652800">
            <w:pPr>
              <w:rPr>
                <w:rFonts w:cs="Times New Roman"/>
              </w:rPr>
            </w:pPr>
            <w:r w:rsidRPr="00203EB0">
              <w:rPr>
                <w:rFonts w:cs="Times New Roman"/>
              </w:rPr>
              <w:t xml:space="preserve">2 (0) </w:t>
            </w:r>
            <w:r w:rsidRPr="00203EB0">
              <w:rPr>
                <w:rFonts w:cs="Times New Roman"/>
                <w:vertAlign w:val="superscript"/>
              </w:rPr>
              <w:t>d</w:t>
            </w:r>
          </w:p>
        </w:tc>
      </w:tr>
      <w:tr w:rsidR="00F32F41" w:rsidRPr="00203EB0" w14:paraId="623F1256" w14:textId="77777777" w:rsidTr="00652800">
        <w:tc>
          <w:tcPr>
            <w:tcW w:w="1536" w:type="dxa"/>
          </w:tcPr>
          <w:p w14:paraId="6EDD60CD" w14:textId="77777777" w:rsidR="00F32F41" w:rsidRPr="00203EB0" w:rsidRDefault="00F32F41" w:rsidP="00652800">
            <w:pPr>
              <w:rPr>
                <w:rFonts w:cs="Times New Roman"/>
              </w:rPr>
            </w:pPr>
          </w:p>
        </w:tc>
        <w:tc>
          <w:tcPr>
            <w:tcW w:w="1169" w:type="dxa"/>
          </w:tcPr>
          <w:p w14:paraId="3DD781F9" w14:textId="77777777" w:rsidR="00F32F41" w:rsidRPr="00203EB0" w:rsidRDefault="00F32F41" w:rsidP="00652800">
            <w:pPr>
              <w:rPr>
                <w:rFonts w:cs="Times New Roman"/>
              </w:rPr>
            </w:pPr>
          </w:p>
        </w:tc>
        <w:tc>
          <w:tcPr>
            <w:tcW w:w="1353" w:type="dxa"/>
          </w:tcPr>
          <w:p w14:paraId="0FA1FDB5" w14:textId="77777777" w:rsidR="00F32F41" w:rsidRPr="00203EB0" w:rsidRDefault="00F32F41" w:rsidP="00652800">
            <w:pPr>
              <w:rPr>
                <w:rFonts w:cs="Times New Roman"/>
              </w:rPr>
            </w:pPr>
          </w:p>
        </w:tc>
        <w:tc>
          <w:tcPr>
            <w:tcW w:w="1261" w:type="dxa"/>
          </w:tcPr>
          <w:p w14:paraId="548ED0D6" w14:textId="77777777" w:rsidR="00F32F41" w:rsidRPr="00203EB0" w:rsidRDefault="00F32F41" w:rsidP="00652800">
            <w:pPr>
              <w:rPr>
                <w:rFonts w:cs="Times New Roman"/>
              </w:rPr>
            </w:pPr>
          </w:p>
        </w:tc>
        <w:tc>
          <w:tcPr>
            <w:tcW w:w="1261" w:type="dxa"/>
          </w:tcPr>
          <w:p w14:paraId="05EE718B" w14:textId="77777777" w:rsidR="00F32F41" w:rsidRPr="00203EB0" w:rsidRDefault="00F32F41" w:rsidP="00652800">
            <w:pPr>
              <w:rPr>
                <w:rFonts w:cs="Times New Roman"/>
              </w:rPr>
            </w:pPr>
          </w:p>
        </w:tc>
        <w:tc>
          <w:tcPr>
            <w:tcW w:w="1261" w:type="dxa"/>
          </w:tcPr>
          <w:p w14:paraId="2786A622" w14:textId="77777777" w:rsidR="00F32F41" w:rsidRPr="00203EB0" w:rsidRDefault="00F32F41" w:rsidP="00652800">
            <w:pPr>
              <w:rPr>
                <w:rFonts w:cs="Times New Roman"/>
              </w:rPr>
            </w:pPr>
          </w:p>
        </w:tc>
        <w:tc>
          <w:tcPr>
            <w:tcW w:w="1262" w:type="dxa"/>
          </w:tcPr>
          <w:p w14:paraId="73A02883" w14:textId="77777777" w:rsidR="00F32F41" w:rsidRPr="00203EB0" w:rsidRDefault="00F32F41" w:rsidP="00652800">
            <w:pPr>
              <w:rPr>
                <w:rFonts w:cs="Times New Roman"/>
              </w:rPr>
            </w:pPr>
          </w:p>
        </w:tc>
      </w:tr>
      <w:tr w:rsidR="00F32F41" w:rsidRPr="00203EB0" w14:paraId="72C58F96" w14:textId="77777777" w:rsidTr="00652800">
        <w:tc>
          <w:tcPr>
            <w:tcW w:w="1536" w:type="dxa"/>
          </w:tcPr>
          <w:p w14:paraId="28AF6B0C" w14:textId="77777777" w:rsidR="00F32F41" w:rsidRPr="00203EB0" w:rsidRDefault="00F32F41" w:rsidP="00652800">
            <w:pPr>
              <w:rPr>
                <w:rFonts w:cs="Times New Roman"/>
              </w:rPr>
            </w:pPr>
            <w:r w:rsidRPr="00203EB0">
              <w:rPr>
                <w:rFonts w:cs="Times New Roman"/>
              </w:rPr>
              <w:t>NC + 160 N</w:t>
            </w:r>
          </w:p>
        </w:tc>
        <w:tc>
          <w:tcPr>
            <w:tcW w:w="1169" w:type="dxa"/>
            <w:vAlign w:val="center"/>
          </w:tcPr>
          <w:p w14:paraId="6CAA8439" w14:textId="77777777" w:rsidR="00F32F41" w:rsidRPr="00203EB0" w:rsidRDefault="00F32F41" w:rsidP="00652800">
            <w:pPr>
              <w:jc w:val="center"/>
              <w:rPr>
                <w:rFonts w:cs="Times New Roman"/>
              </w:rPr>
            </w:pPr>
            <w:r w:rsidRPr="00203EB0">
              <w:rPr>
                <w:rFonts w:cs="Times New Roman"/>
              </w:rPr>
              <w:t xml:space="preserve">50% </w:t>
            </w:r>
          </w:p>
        </w:tc>
        <w:tc>
          <w:tcPr>
            <w:tcW w:w="1353" w:type="dxa"/>
          </w:tcPr>
          <w:p w14:paraId="649F68E1" w14:textId="77777777" w:rsidR="00F32F41" w:rsidRPr="00203EB0" w:rsidRDefault="00F32F41" w:rsidP="00652800">
            <w:pPr>
              <w:rPr>
                <w:rFonts w:cs="Times New Roman"/>
              </w:rPr>
            </w:pPr>
            <w:r w:rsidRPr="00203EB0">
              <w:rPr>
                <w:rFonts w:cs="Times New Roman"/>
              </w:rPr>
              <w:t xml:space="preserve">179 (35) </w:t>
            </w:r>
            <w:r w:rsidRPr="00203EB0">
              <w:rPr>
                <w:rFonts w:cs="Times New Roman"/>
                <w:vertAlign w:val="superscript"/>
              </w:rPr>
              <w:t>a</w:t>
            </w:r>
          </w:p>
        </w:tc>
        <w:tc>
          <w:tcPr>
            <w:tcW w:w="1261" w:type="dxa"/>
          </w:tcPr>
          <w:p w14:paraId="5287686A" w14:textId="77777777" w:rsidR="00F32F41" w:rsidRPr="00203EB0" w:rsidRDefault="00F32F41" w:rsidP="00652800">
            <w:pPr>
              <w:rPr>
                <w:rFonts w:cs="Times New Roman"/>
              </w:rPr>
            </w:pPr>
            <w:r w:rsidRPr="00203EB0">
              <w:rPr>
                <w:rFonts w:cs="Times New Roman"/>
              </w:rPr>
              <w:t xml:space="preserve">135 (27) </w:t>
            </w:r>
            <w:r w:rsidRPr="00203EB0">
              <w:rPr>
                <w:rFonts w:cs="Times New Roman"/>
                <w:vertAlign w:val="superscript"/>
              </w:rPr>
              <w:t>ab</w:t>
            </w:r>
          </w:p>
        </w:tc>
        <w:tc>
          <w:tcPr>
            <w:tcW w:w="1261" w:type="dxa"/>
          </w:tcPr>
          <w:p w14:paraId="2FBD7AD5" w14:textId="77777777" w:rsidR="00F32F41" w:rsidRPr="00203EB0" w:rsidRDefault="00F32F41" w:rsidP="00652800">
            <w:pPr>
              <w:rPr>
                <w:rFonts w:cs="Times New Roman"/>
              </w:rPr>
            </w:pPr>
            <w:r w:rsidRPr="00203EB0">
              <w:rPr>
                <w:rFonts w:cs="Times New Roman"/>
              </w:rPr>
              <w:t xml:space="preserve">160 (9) </w:t>
            </w:r>
            <w:r w:rsidRPr="00203EB0">
              <w:rPr>
                <w:rFonts w:cs="Times New Roman"/>
                <w:vertAlign w:val="superscript"/>
              </w:rPr>
              <w:t>a</w:t>
            </w:r>
          </w:p>
        </w:tc>
        <w:tc>
          <w:tcPr>
            <w:tcW w:w="1261" w:type="dxa"/>
          </w:tcPr>
          <w:p w14:paraId="131E0C6E" w14:textId="77777777" w:rsidR="00F32F41" w:rsidRPr="00203EB0" w:rsidRDefault="00F32F41" w:rsidP="00652800">
            <w:pPr>
              <w:rPr>
                <w:rFonts w:cs="Times New Roman"/>
              </w:rPr>
            </w:pPr>
            <w:r w:rsidRPr="00203EB0">
              <w:rPr>
                <w:rFonts w:cs="Times New Roman"/>
              </w:rPr>
              <w:t>124 (17)</w:t>
            </w:r>
            <w:r w:rsidRPr="00203EB0">
              <w:rPr>
                <w:rFonts w:cs="Times New Roman"/>
                <w:vertAlign w:val="superscript"/>
              </w:rPr>
              <w:t xml:space="preserve"> a</w:t>
            </w:r>
          </w:p>
        </w:tc>
        <w:tc>
          <w:tcPr>
            <w:tcW w:w="1262" w:type="dxa"/>
          </w:tcPr>
          <w:p w14:paraId="02CFA3A4" w14:textId="77777777" w:rsidR="00F32F41" w:rsidRPr="00203EB0" w:rsidRDefault="00F32F41" w:rsidP="00652800">
            <w:pPr>
              <w:rPr>
                <w:rFonts w:cs="Times New Roman"/>
              </w:rPr>
            </w:pPr>
            <w:r w:rsidRPr="00203EB0">
              <w:rPr>
                <w:rFonts w:cs="Times New Roman"/>
              </w:rPr>
              <w:t>107 (5)</w:t>
            </w:r>
            <w:r w:rsidRPr="00203EB0">
              <w:rPr>
                <w:rFonts w:cs="Times New Roman"/>
                <w:vertAlign w:val="superscript"/>
              </w:rPr>
              <w:t xml:space="preserve"> b</w:t>
            </w:r>
          </w:p>
        </w:tc>
      </w:tr>
      <w:tr w:rsidR="00F32F41" w:rsidRPr="00203EB0" w14:paraId="20A667C6" w14:textId="77777777" w:rsidTr="00652800">
        <w:tc>
          <w:tcPr>
            <w:tcW w:w="1536" w:type="dxa"/>
          </w:tcPr>
          <w:p w14:paraId="20225280" w14:textId="77777777" w:rsidR="00F32F41" w:rsidRPr="00203EB0" w:rsidRDefault="00F32F41" w:rsidP="00652800">
            <w:pPr>
              <w:rPr>
                <w:rFonts w:cs="Times New Roman"/>
              </w:rPr>
            </w:pPr>
            <w:r w:rsidRPr="00203EB0">
              <w:rPr>
                <w:rFonts w:cs="Times New Roman"/>
              </w:rPr>
              <w:t>NC + 160 N</w:t>
            </w:r>
          </w:p>
        </w:tc>
        <w:tc>
          <w:tcPr>
            <w:tcW w:w="1169" w:type="dxa"/>
            <w:vAlign w:val="center"/>
          </w:tcPr>
          <w:p w14:paraId="5FC3BD5C" w14:textId="77777777" w:rsidR="00F32F41" w:rsidRPr="00203EB0" w:rsidRDefault="00F32F41" w:rsidP="00652800">
            <w:pPr>
              <w:jc w:val="center"/>
              <w:rPr>
                <w:rFonts w:cs="Times New Roman"/>
              </w:rPr>
            </w:pPr>
            <w:r w:rsidRPr="00203EB0">
              <w:rPr>
                <w:rFonts w:cs="Times New Roman"/>
              </w:rPr>
              <w:t xml:space="preserve">80% </w:t>
            </w:r>
          </w:p>
        </w:tc>
        <w:tc>
          <w:tcPr>
            <w:tcW w:w="1353" w:type="dxa"/>
          </w:tcPr>
          <w:p w14:paraId="7344497C" w14:textId="77777777" w:rsidR="00F32F41" w:rsidRPr="00203EB0" w:rsidRDefault="00F32F41" w:rsidP="00652800">
            <w:pPr>
              <w:rPr>
                <w:rFonts w:cs="Times New Roman"/>
              </w:rPr>
            </w:pPr>
            <w:r w:rsidRPr="00203EB0">
              <w:rPr>
                <w:rFonts w:cs="Times New Roman"/>
              </w:rPr>
              <w:t xml:space="preserve">166 (21) </w:t>
            </w:r>
            <w:r w:rsidRPr="00203EB0">
              <w:rPr>
                <w:rFonts w:cs="Times New Roman"/>
                <w:vertAlign w:val="superscript"/>
              </w:rPr>
              <w:t>ab</w:t>
            </w:r>
          </w:p>
        </w:tc>
        <w:tc>
          <w:tcPr>
            <w:tcW w:w="1261" w:type="dxa"/>
          </w:tcPr>
          <w:p w14:paraId="1DC41CCD" w14:textId="77777777" w:rsidR="00F32F41" w:rsidRPr="00203EB0" w:rsidRDefault="00F32F41" w:rsidP="00652800">
            <w:pPr>
              <w:rPr>
                <w:rFonts w:cs="Times New Roman"/>
              </w:rPr>
            </w:pPr>
            <w:r w:rsidRPr="00203EB0">
              <w:rPr>
                <w:rFonts w:cs="Times New Roman"/>
              </w:rPr>
              <w:t xml:space="preserve">80 (27) </w:t>
            </w:r>
            <w:proofErr w:type="spellStart"/>
            <w:r w:rsidRPr="00203EB0">
              <w:rPr>
                <w:rFonts w:cs="Times New Roman"/>
                <w:vertAlign w:val="superscript"/>
              </w:rPr>
              <w:t>bcd</w:t>
            </w:r>
            <w:proofErr w:type="spellEnd"/>
          </w:p>
        </w:tc>
        <w:tc>
          <w:tcPr>
            <w:tcW w:w="1261" w:type="dxa"/>
          </w:tcPr>
          <w:p w14:paraId="0791969A" w14:textId="77777777" w:rsidR="00F32F41" w:rsidRPr="00203EB0" w:rsidRDefault="00F32F41" w:rsidP="00652800">
            <w:pPr>
              <w:rPr>
                <w:rFonts w:cs="Times New Roman"/>
              </w:rPr>
            </w:pPr>
            <w:r w:rsidRPr="00203EB0">
              <w:rPr>
                <w:rFonts w:cs="Times New Roman"/>
              </w:rPr>
              <w:t xml:space="preserve">68 (22) </w:t>
            </w:r>
            <w:r w:rsidRPr="00203EB0">
              <w:rPr>
                <w:rFonts w:cs="Times New Roman"/>
                <w:vertAlign w:val="superscript"/>
              </w:rPr>
              <w:t>b</w:t>
            </w:r>
          </w:p>
        </w:tc>
        <w:tc>
          <w:tcPr>
            <w:tcW w:w="1261" w:type="dxa"/>
          </w:tcPr>
          <w:p w14:paraId="774B5946" w14:textId="77777777" w:rsidR="00F32F41" w:rsidRPr="00203EB0" w:rsidRDefault="00F32F41" w:rsidP="00652800">
            <w:pPr>
              <w:rPr>
                <w:rFonts w:cs="Times New Roman"/>
              </w:rPr>
            </w:pPr>
            <w:r w:rsidRPr="00203EB0">
              <w:rPr>
                <w:rFonts w:cs="Times New Roman"/>
              </w:rPr>
              <w:t xml:space="preserve">32 (8) </w:t>
            </w:r>
            <w:r w:rsidRPr="00203EB0">
              <w:rPr>
                <w:rFonts w:cs="Times New Roman"/>
                <w:vertAlign w:val="superscript"/>
              </w:rPr>
              <w:t>b</w:t>
            </w:r>
          </w:p>
        </w:tc>
        <w:tc>
          <w:tcPr>
            <w:tcW w:w="1262" w:type="dxa"/>
          </w:tcPr>
          <w:p w14:paraId="20ACCFA3" w14:textId="77777777" w:rsidR="00F32F41" w:rsidRPr="00203EB0" w:rsidRDefault="00F32F41" w:rsidP="00652800">
            <w:pPr>
              <w:rPr>
                <w:rFonts w:cs="Times New Roman"/>
              </w:rPr>
            </w:pPr>
            <w:r w:rsidRPr="00203EB0">
              <w:rPr>
                <w:rFonts w:cs="Times New Roman"/>
              </w:rPr>
              <w:t xml:space="preserve">2 (1) </w:t>
            </w:r>
            <w:r w:rsidRPr="00203EB0">
              <w:rPr>
                <w:rFonts w:cs="Times New Roman"/>
                <w:vertAlign w:val="superscript"/>
              </w:rPr>
              <w:t>cd</w:t>
            </w:r>
          </w:p>
        </w:tc>
      </w:tr>
      <w:tr w:rsidR="00F32F41" w:rsidRPr="00203EB0" w14:paraId="560C508F" w14:textId="77777777" w:rsidTr="00652800">
        <w:tc>
          <w:tcPr>
            <w:tcW w:w="1536" w:type="dxa"/>
          </w:tcPr>
          <w:p w14:paraId="2AE7DC51" w14:textId="77777777" w:rsidR="00F32F41" w:rsidRPr="00203EB0" w:rsidRDefault="00F32F41" w:rsidP="00652800">
            <w:pPr>
              <w:rPr>
                <w:rFonts w:cs="Times New Roman"/>
              </w:rPr>
            </w:pPr>
          </w:p>
        </w:tc>
        <w:tc>
          <w:tcPr>
            <w:tcW w:w="1169" w:type="dxa"/>
          </w:tcPr>
          <w:p w14:paraId="1BFBCA8C" w14:textId="77777777" w:rsidR="00F32F41" w:rsidRPr="00203EB0" w:rsidRDefault="00F32F41" w:rsidP="00652800">
            <w:pPr>
              <w:rPr>
                <w:rFonts w:cs="Times New Roman"/>
              </w:rPr>
            </w:pPr>
          </w:p>
        </w:tc>
        <w:tc>
          <w:tcPr>
            <w:tcW w:w="1353" w:type="dxa"/>
          </w:tcPr>
          <w:p w14:paraId="25961C67" w14:textId="77777777" w:rsidR="00F32F41" w:rsidRPr="00203EB0" w:rsidRDefault="00F32F41" w:rsidP="00652800">
            <w:pPr>
              <w:rPr>
                <w:rFonts w:cs="Times New Roman"/>
              </w:rPr>
            </w:pPr>
          </w:p>
        </w:tc>
        <w:tc>
          <w:tcPr>
            <w:tcW w:w="1261" w:type="dxa"/>
          </w:tcPr>
          <w:p w14:paraId="0ACC5019" w14:textId="77777777" w:rsidR="00F32F41" w:rsidRPr="00203EB0" w:rsidRDefault="00F32F41" w:rsidP="00652800">
            <w:pPr>
              <w:rPr>
                <w:rFonts w:cs="Times New Roman"/>
              </w:rPr>
            </w:pPr>
          </w:p>
        </w:tc>
        <w:tc>
          <w:tcPr>
            <w:tcW w:w="1261" w:type="dxa"/>
          </w:tcPr>
          <w:p w14:paraId="5B2976CB" w14:textId="77777777" w:rsidR="00F32F41" w:rsidRPr="00203EB0" w:rsidRDefault="00F32F41" w:rsidP="00652800">
            <w:pPr>
              <w:rPr>
                <w:rFonts w:cs="Times New Roman"/>
              </w:rPr>
            </w:pPr>
          </w:p>
        </w:tc>
        <w:tc>
          <w:tcPr>
            <w:tcW w:w="1261" w:type="dxa"/>
          </w:tcPr>
          <w:p w14:paraId="60BF2DEC" w14:textId="77777777" w:rsidR="00F32F41" w:rsidRPr="00203EB0" w:rsidRDefault="00F32F41" w:rsidP="00652800">
            <w:pPr>
              <w:rPr>
                <w:rFonts w:cs="Times New Roman"/>
              </w:rPr>
            </w:pPr>
          </w:p>
        </w:tc>
        <w:tc>
          <w:tcPr>
            <w:tcW w:w="1262" w:type="dxa"/>
          </w:tcPr>
          <w:p w14:paraId="2151B152" w14:textId="77777777" w:rsidR="00F32F41" w:rsidRPr="00203EB0" w:rsidRDefault="00F32F41" w:rsidP="00652800">
            <w:pPr>
              <w:rPr>
                <w:rFonts w:cs="Times New Roman"/>
              </w:rPr>
            </w:pPr>
          </w:p>
        </w:tc>
      </w:tr>
      <w:tr w:rsidR="00F32F41" w:rsidRPr="00203EB0" w14:paraId="768E4034" w14:textId="77777777" w:rsidTr="00652800">
        <w:tc>
          <w:tcPr>
            <w:tcW w:w="1536" w:type="dxa"/>
          </w:tcPr>
          <w:p w14:paraId="317B5983" w14:textId="77777777" w:rsidR="00F32F41" w:rsidRPr="00203EB0" w:rsidRDefault="00F32F41" w:rsidP="00652800">
            <w:pPr>
              <w:rPr>
                <w:rFonts w:cs="Times New Roman"/>
              </w:rPr>
            </w:pPr>
            <w:r w:rsidRPr="00203EB0">
              <w:rPr>
                <w:rFonts w:cs="Times New Roman"/>
              </w:rPr>
              <w:t>NC + 0 N</w:t>
            </w:r>
          </w:p>
        </w:tc>
        <w:tc>
          <w:tcPr>
            <w:tcW w:w="1169" w:type="dxa"/>
            <w:vAlign w:val="center"/>
          </w:tcPr>
          <w:p w14:paraId="6425CF14" w14:textId="77777777" w:rsidR="00F32F41" w:rsidRPr="00203EB0" w:rsidRDefault="00F32F41" w:rsidP="00652800">
            <w:pPr>
              <w:jc w:val="center"/>
              <w:rPr>
                <w:rFonts w:cs="Times New Roman"/>
              </w:rPr>
            </w:pPr>
            <w:r w:rsidRPr="00203EB0">
              <w:rPr>
                <w:rFonts w:cs="Times New Roman"/>
              </w:rPr>
              <w:t xml:space="preserve">50% </w:t>
            </w:r>
          </w:p>
        </w:tc>
        <w:tc>
          <w:tcPr>
            <w:tcW w:w="1353" w:type="dxa"/>
          </w:tcPr>
          <w:p w14:paraId="19861FF7" w14:textId="77777777" w:rsidR="00F32F41" w:rsidRPr="00203EB0" w:rsidRDefault="00F32F41" w:rsidP="00652800">
            <w:pPr>
              <w:rPr>
                <w:rFonts w:cs="Times New Roman"/>
              </w:rPr>
            </w:pPr>
            <w:r w:rsidRPr="00203EB0">
              <w:rPr>
                <w:rFonts w:cs="Times New Roman"/>
              </w:rPr>
              <w:t xml:space="preserve">17 (1) </w:t>
            </w:r>
            <w:r w:rsidRPr="00203EB0">
              <w:rPr>
                <w:rFonts w:cs="Times New Roman"/>
                <w:vertAlign w:val="superscript"/>
              </w:rPr>
              <w:t>cd</w:t>
            </w:r>
          </w:p>
        </w:tc>
        <w:tc>
          <w:tcPr>
            <w:tcW w:w="1261" w:type="dxa"/>
          </w:tcPr>
          <w:p w14:paraId="4984F735" w14:textId="77777777" w:rsidR="00F32F41" w:rsidRPr="00203EB0" w:rsidRDefault="00F32F41" w:rsidP="00652800">
            <w:pPr>
              <w:rPr>
                <w:rFonts w:cs="Times New Roman"/>
              </w:rPr>
            </w:pPr>
            <w:r w:rsidRPr="00203EB0">
              <w:rPr>
                <w:rFonts w:cs="Times New Roman"/>
              </w:rPr>
              <w:t xml:space="preserve">12 (1) </w:t>
            </w:r>
            <w:r w:rsidRPr="00203EB0">
              <w:rPr>
                <w:rFonts w:cs="Times New Roman"/>
                <w:vertAlign w:val="superscript"/>
              </w:rPr>
              <w:t>de</w:t>
            </w:r>
          </w:p>
        </w:tc>
        <w:tc>
          <w:tcPr>
            <w:tcW w:w="1261" w:type="dxa"/>
          </w:tcPr>
          <w:p w14:paraId="0D0C9A1A" w14:textId="77777777" w:rsidR="00F32F41" w:rsidRPr="00203EB0" w:rsidRDefault="00F32F41" w:rsidP="00652800">
            <w:pPr>
              <w:rPr>
                <w:rFonts w:cs="Times New Roman"/>
              </w:rPr>
            </w:pPr>
            <w:r w:rsidRPr="00203EB0">
              <w:rPr>
                <w:rFonts w:cs="Times New Roman"/>
              </w:rPr>
              <w:t xml:space="preserve">10 (2) </w:t>
            </w:r>
            <w:r w:rsidRPr="00203EB0">
              <w:rPr>
                <w:rFonts w:cs="Times New Roman"/>
                <w:vertAlign w:val="superscript"/>
              </w:rPr>
              <w:t>c</w:t>
            </w:r>
          </w:p>
        </w:tc>
        <w:tc>
          <w:tcPr>
            <w:tcW w:w="1261" w:type="dxa"/>
          </w:tcPr>
          <w:p w14:paraId="378095DD" w14:textId="77777777" w:rsidR="00F32F41" w:rsidRPr="00203EB0" w:rsidRDefault="00F32F41" w:rsidP="00652800">
            <w:pPr>
              <w:rPr>
                <w:rFonts w:cs="Times New Roman"/>
              </w:rPr>
            </w:pPr>
            <w:r w:rsidRPr="00203EB0">
              <w:rPr>
                <w:rFonts w:cs="Times New Roman"/>
              </w:rPr>
              <w:t xml:space="preserve">11 (2) </w:t>
            </w:r>
            <w:r w:rsidRPr="00203EB0">
              <w:rPr>
                <w:rFonts w:cs="Times New Roman"/>
                <w:vertAlign w:val="superscript"/>
              </w:rPr>
              <w:t>b</w:t>
            </w:r>
          </w:p>
        </w:tc>
        <w:tc>
          <w:tcPr>
            <w:tcW w:w="1262" w:type="dxa"/>
          </w:tcPr>
          <w:p w14:paraId="5B01FE86" w14:textId="77777777" w:rsidR="00F32F41" w:rsidRPr="00203EB0" w:rsidRDefault="00F32F41" w:rsidP="00652800">
            <w:pPr>
              <w:rPr>
                <w:rFonts w:cs="Times New Roman"/>
              </w:rPr>
            </w:pPr>
            <w:r w:rsidRPr="00203EB0">
              <w:rPr>
                <w:rFonts w:cs="Times New Roman"/>
              </w:rPr>
              <w:t xml:space="preserve">26 (2) </w:t>
            </w:r>
            <w:r w:rsidRPr="00203EB0">
              <w:rPr>
                <w:rFonts w:cs="Times New Roman"/>
                <w:vertAlign w:val="superscript"/>
              </w:rPr>
              <w:t>c</w:t>
            </w:r>
          </w:p>
        </w:tc>
      </w:tr>
      <w:tr w:rsidR="00F32F41" w:rsidRPr="00203EB0" w14:paraId="25CC8CD7" w14:textId="77777777" w:rsidTr="00652800">
        <w:tc>
          <w:tcPr>
            <w:tcW w:w="1536" w:type="dxa"/>
            <w:tcBorders>
              <w:bottom w:val="single" w:sz="18" w:space="0" w:color="auto"/>
            </w:tcBorders>
          </w:tcPr>
          <w:p w14:paraId="4A420FD0" w14:textId="77777777" w:rsidR="00F32F41" w:rsidRPr="00203EB0" w:rsidRDefault="00F32F41" w:rsidP="00652800">
            <w:pPr>
              <w:rPr>
                <w:rFonts w:cs="Times New Roman"/>
              </w:rPr>
            </w:pPr>
            <w:r w:rsidRPr="00203EB0">
              <w:rPr>
                <w:rFonts w:cs="Times New Roman"/>
              </w:rPr>
              <w:t>NC + 0 N</w:t>
            </w:r>
          </w:p>
        </w:tc>
        <w:tc>
          <w:tcPr>
            <w:tcW w:w="1169" w:type="dxa"/>
            <w:tcBorders>
              <w:bottom w:val="single" w:sz="18" w:space="0" w:color="auto"/>
            </w:tcBorders>
            <w:vAlign w:val="center"/>
          </w:tcPr>
          <w:p w14:paraId="63658164" w14:textId="77777777" w:rsidR="00F32F41" w:rsidRPr="00203EB0" w:rsidRDefault="00F32F41" w:rsidP="00652800">
            <w:pPr>
              <w:jc w:val="center"/>
              <w:rPr>
                <w:rFonts w:cs="Times New Roman"/>
              </w:rPr>
            </w:pPr>
            <w:r w:rsidRPr="00203EB0">
              <w:rPr>
                <w:rFonts w:cs="Times New Roman"/>
              </w:rPr>
              <w:t xml:space="preserve">80% </w:t>
            </w:r>
          </w:p>
        </w:tc>
        <w:tc>
          <w:tcPr>
            <w:tcW w:w="1353" w:type="dxa"/>
            <w:tcBorders>
              <w:bottom w:val="single" w:sz="18" w:space="0" w:color="auto"/>
            </w:tcBorders>
          </w:tcPr>
          <w:p w14:paraId="4821C992" w14:textId="77777777" w:rsidR="00F32F41" w:rsidRPr="00203EB0" w:rsidRDefault="00F32F41" w:rsidP="00652800">
            <w:pPr>
              <w:rPr>
                <w:rFonts w:cs="Times New Roman"/>
              </w:rPr>
            </w:pPr>
            <w:r w:rsidRPr="00203EB0">
              <w:rPr>
                <w:rFonts w:cs="Times New Roman"/>
              </w:rPr>
              <w:t xml:space="preserve">1 (0) </w:t>
            </w:r>
            <w:r w:rsidRPr="00203EB0">
              <w:rPr>
                <w:rFonts w:cs="Times New Roman"/>
                <w:vertAlign w:val="superscript"/>
              </w:rPr>
              <w:t>d</w:t>
            </w:r>
          </w:p>
        </w:tc>
        <w:tc>
          <w:tcPr>
            <w:tcW w:w="1261" w:type="dxa"/>
            <w:tcBorders>
              <w:bottom w:val="single" w:sz="18" w:space="0" w:color="auto"/>
            </w:tcBorders>
          </w:tcPr>
          <w:p w14:paraId="533EC3A0" w14:textId="77777777" w:rsidR="00F32F41" w:rsidRPr="00203EB0" w:rsidRDefault="00F32F41" w:rsidP="00652800">
            <w:pPr>
              <w:rPr>
                <w:rFonts w:cs="Times New Roman"/>
              </w:rPr>
            </w:pPr>
            <w:r w:rsidRPr="00203EB0">
              <w:rPr>
                <w:rFonts w:cs="Times New Roman"/>
              </w:rPr>
              <w:t xml:space="preserve">2 (0) </w:t>
            </w:r>
            <w:r w:rsidRPr="00203EB0">
              <w:rPr>
                <w:rFonts w:cs="Times New Roman"/>
                <w:vertAlign w:val="superscript"/>
              </w:rPr>
              <w:t>e</w:t>
            </w:r>
          </w:p>
        </w:tc>
        <w:tc>
          <w:tcPr>
            <w:tcW w:w="1261" w:type="dxa"/>
            <w:tcBorders>
              <w:bottom w:val="single" w:sz="18" w:space="0" w:color="auto"/>
            </w:tcBorders>
          </w:tcPr>
          <w:p w14:paraId="29E3A5F2" w14:textId="77777777" w:rsidR="00F32F41" w:rsidRPr="00203EB0" w:rsidRDefault="00F32F41" w:rsidP="00652800">
            <w:pPr>
              <w:rPr>
                <w:rFonts w:cs="Times New Roman"/>
              </w:rPr>
            </w:pPr>
            <w:r w:rsidRPr="00203EB0">
              <w:rPr>
                <w:rFonts w:cs="Times New Roman"/>
              </w:rPr>
              <w:t xml:space="preserve">3 (1) </w:t>
            </w:r>
            <w:r w:rsidRPr="00203EB0">
              <w:rPr>
                <w:rFonts w:cs="Times New Roman"/>
                <w:vertAlign w:val="superscript"/>
              </w:rPr>
              <w:t>c</w:t>
            </w:r>
          </w:p>
        </w:tc>
        <w:tc>
          <w:tcPr>
            <w:tcW w:w="1261" w:type="dxa"/>
            <w:tcBorders>
              <w:bottom w:val="single" w:sz="18" w:space="0" w:color="auto"/>
            </w:tcBorders>
          </w:tcPr>
          <w:p w14:paraId="1D620012" w14:textId="77777777" w:rsidR="00F32F41" w:rsidRPr="00203EB0" w:rsidRDefault="00F32F41" w:rsidP="00652800">
            <w:pPr>
              <w:rPr>
                <w:rFonts w:cs="Times New Roman"/>
              </w:rPr>
            </w:pPr>
            <w:r w:rsidRPr="00203EB0">
              <w:rPr>
                <w:rFonts w:cs="Times New Roman"/>
              </w:rPr>
              <w:t xml:space="preserve">2 (0) </w:t>
            </w:r>
            <w:r w:rsidRPr="00203EB0">
              <w:rPr>
                <w:rFonts w:cs="Times New Roman"/>
                <w:vertAlign w:val="superscript"/>
              </w:rPr>
              <w:t>b</w:t>
            </w:r>
          </w:p>
        </w:tc>
        <w:tc>
          <w:tcPr>
            <w:tcW w:w="1262" w:type="dxa"/>
            <w:tcBorders>
              <w:bottom w:val="single" w:sz="18" w:space="0" w:color="auto"/>
            </w:tcBorders>
          </w:tcPr>
          <w:p w14:paraId="53A96D22" w14:textId="77777777" w:rsidR="00F32F41" w:rsidRPr="00203EB0" w:rsidRDefault="00F32F41" w:rsidP="00652800">
            <w:pPr>
              <w:rPr>
                <w:rFonts w:cs="Times New Roman"/>
              </w:rPr>
            </w:pPr>
            <w:r w:rsidRPr="00203EB0">
              <w:rPr>
                <w:rFonts w:cs="Times New Roman"/>
              </w:rPr>
              <w:t xml:space="preserve">1 (0) </w:t>
            </w:r>
            <w:r w:rsidRPr="00203EB0">
              <w:rPr>
                <w:rFonts w:cs="Times New Roman"/>
                <w:vertAlign w:val="superscript"/>
              </w:rPr>
              <w:t>d</w:t>
            </w:r>
          </w:p>
        </w:tc>
      </w:tr>
    </w:tbl>
    <w:p w14:paraId="54F20DB1" w14:textId="77777777" w:rsidR="00F32F41" w:rsidRPr="00203EB0" w:rsidRDefault="00F32F41" w:rsidP="00001ABC">
      <w:pPr>
        <w:pStyle w:val="Caption"/>
      </w:pPr>
    </w:p>
    <w:tbl>
      <w:tblPr>
        <w:tblStyle w:val="TableGrid"/>
        <w:tblW w:w="0" w:type="auto"/>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5"/>
        <w:gridCol w:w="1244"/>
        <w:gridCol w:w="1233"/>
        <w:gridCol w:w="1233"/>
        <w:gridCol w:w="1233"/>
        <w:gridCol w:w="1233"/>
        <w:gridCol w:w="1234"/>
      </w:tblGrid>
      <w:tr w:rsidR="00F32F41" w:rsidRPr="00203EB0" w14:paraId="3DE07C9B" w14:textId="77777777" w:rsidTr="00F32F41">
        <w:tc>
          <w:tcPr>
            <w:tcW w:w="1505" w:type="dxa"/>
            <w:vMerge w:val="restart"/>
            <w:tcBorders>
              <w:top w:val="single" w:sz="12" w:space="0" w:color="auto"/>
            </w:tcBorders>
            <w:vAlign w:val="center"/>
          </w:tcPr>
          <w:p w14:paraId="30ABE7D2" w14:textId="77777777" w:rsidR="00F32F41" w:rsidRPr="00203EB0" w:rsidRDefault="00F32F41" w:rsidP="00652800">
            <w:pPr>
              <w:jc w:val="center"/>
              <w:rPr>
                <w:rFonts w:cs="Times New Roman"/>
                <w:b/>
              </w:rPr>
            </w:pPr>
            <w:r w:rsidRPr="00203EB0">
              <w:rPr>
                <w:rFonts w:cs="Times New Roman"/>
                <w:b/>
              </w:rPr>
              <w:t>Cover Crop</w:t>
            </w:r>
          </w:p>
        </w:tc>
        <w:tc>
          <w:tcPr>
            <w:tcW w:w="1244" w:type="dxa"/>
            <w:vMerge w:val="restart"/>
            <w:tcBorders>
              <w:top w:val="single" w:sz="12" w:space="0" w:color="auto"/>
            </w:tcBorders>
            <w:vAlign w:val="center"/>
          </w:tcPr>
          <w:p w14:paraId="4DE930EA" w14:textId="77777777" w:rsidR="00F32F41" w:rsidRPr="00203EB0" w:rsidRDefault="00F32F41" w:rsidP="00652800">
            <w:pPr>
              <w:jc w:val="center"/>
              <w:rPr>
                <w:rFonts w:cs="Times New Roman"/>
                <w:b/>
              </w:rPr>
            </w:pPr>
            <w:r w:rsidRPr="00203EB0">
              <w:rPr>
                <w:rFonts w:cs="Times New Roman"/>
                <w:b/>
              </w:rPr>
              <w:t>WFPS</w:t>
            </w:r>
          </w:p>
        </w:tc>
        <w:tc>
          <w:tcPr>
            <w:tcW w:w="6166" w:type="dxa"/>
            <w:gridSpan w:val="5"/>
            <w:tcBorders>
              <w:top w:val="single" w:sz="12" w:space="0" w:color="auto"/>
            </w:tcBorders>
          </w:tcPr>
          <w:p w14:paraId="060661BE" w14:textId="77777777" w:rsidR="00F32F41" w:rsidRPr="00203EB0" w:rsidRDefault="00F32F41" w:rsidP="00652800">
            <w:pPr>
              <w:jc w:val="center"/>
              <w:rPr>
                <w:rFonts w:cs="Times New Roman"/>
                <w:b/>
              </w:rPr>
            </w:pPr>
            <w:r w:rsidRPr="00203EB0">
              <w:rPr>
                <w:rFonts w:cs="Times New Roman"/>
                <w:b/>
              </w:rPr>
              <w:t>NH</w:t>
            </w:r>
            <w:r w:rsidRPr="00203EB0">
              <w:rPr>
                <w:rFonts w:cs="Times New Roman"/>
                <w:b/>
                <w:vertAlign w:val="subscript"/>
              </w:rPr>
              <w:t>4</w:t>
            </w:r>
            <w:r w:rsidRPr="00203EB0">
              <w:rPr>
                <w:rFonts w:cs="Times New Roman"/>
                <w:b/>
              </w:rPr>
              <w:t xml:space="preserve"> –N (mg N kg</w:t>
            </w:r>
            <w:r w:rsidRPr="00203EB0">
              <w:rPr>
                <w:rFonts w:cs="Times New Roman"/>
                <w:b/>
                <w:vertAlign w:val="superscript"/>
              </w:rPr>
              <w:t>-1</w:t>
            </w:r>
            <w:r w:rsidRPr="00203EB0">
              <w:rPr>
                <w:rFonts w:cs="Times New Roman"/>
                <w:b/>
              </w:rPr>
              <w:t xml:space="preserve"> soil)</w:t>
            </w:r>
          </w:p>
        </w:tc>
      </w:tr>
      <w:tr w:rsidR="00F32F41" w:rsidRPr="00203EB0" w14:paraId="11806E44" w14:textId="77777777" w:rsidTr="00F32F41">
        <w:tc>
          <w:tcPr>
            <w:tcW w:w="1505" w:type="dxa"/>
            <w:vMerge/>
            <w:tcBorders>
              <w:bottom w:val="single" w:sz="12" w:space="0" w:color="auto"/>
            </w:tcBorders>
          </w:tcPr>
          <w:p w14:paraId="68192431" w14:textId="77777777" w:rsidR="00F32F41" w:rsidRPr="00203EB0" w:rsidRDefault="00F32F41" w:rsidP="00652800">
            <w:pPr>
              <w:rPr>
                <w:rFonts w:cs="Times New Roman"/>
              </w:rPr>
            </w:pPr>
          </w:p>
        </w:tc>
        <w:tc>
          <w:tcPr>
            <w:tcW w:w="1244" w:type="dxa"/>
            <w:vMerge/>
            <w:tcBorders>
              <w:bottom w:val="single" w:sz="12" w:space="0" w:color="auto"/>
            </w:tcBorders>
          </w:tcPr>
          <w:p w14:paraId="278E5C7F" w14:textId="77777777" w:rsidR="00F32F41" w:rsidRPr="00203EB0" w:rsidRDefault="00F32F41" w:rsidP="00652800">
            <w:pPr>
              <w:rPr>
                <w:rFonts w:cs="Times New Roman"/>
              </w:rPr>
            </w:pPr>
          </w:p>
        </w:tc>
        <w:tc>
          <w:tcPr>
            <w:tcW w:w="1233" w:type="dxa"/>
            <w:tcBorders>
              <w:bottom w:val="single" w:sz="12" w:space="0" w:color="auto"/>
            </w:tcBorders>
          </w:tcPr>
          <w:p w14:paraId="1B7F2ECF" w14:textId="77777777" w:rsidR="00F32F41" w:rsidRPr="00203EB0" w:rsidRDefault="00F32F41" w:rsidP="00652800">
            <w:pPr>
              <w:jc w:val="center"/>
              <w:rPr>
                <w:rFonts w:cs="Times New Roman"/>
                <w:b/>
              </w:rPr>
            </w:pPr>
            <w:r w:rsidRPr="00203EB0">
              <w:rPr>
                <w:rFonts w:cs="Times New Roman"/>
                <w:b/>
              </w:rPr>
              <w:t>Day 2</w:t>
            </w:r>
          </w:p>
        </w:tc>
        <w:tc>
          <w:tcPr>
            <w:tcW w:w="1233" w:type="dxa"/>
            <w:tcBorders>
              <w:bottom w:val="single" w:sz="12" w:space="0" w:color="auto"/>
            </w:tcBorders>
          </w:tcPr>
          <w:p w14:paraId="7933774A" w14:textId="77777777" w:rsidR="00F32F41" w:rsidRPr="00203EB0" w:rsidRDefault="00F32F41" w:rsidP="00652800">
            <w:pPr>
              <w:jc w:val="center"/>
              <w:rPr>
                <w:rFonts w:cs="Times New Roman"/>
                <w:b/>
              </w:rPr>
            </w:pPr>
            <w:r w:rsidRPr="00203EB0">
              <w:rPr>
                <w:rFonts w:cs="Times New Roman"/>
                <w:b/>
              </w:rPr>
              <w:t>Day 7</w:t>
            </w:r>
          </w:p>
        </w:tc>
        <w:tc>
          <w:tcPr>
            <w:tcW w:w="1233" w:type="dxa"/>
            <w:tcBorders>
              <w:bottom w:val="single" w:sz="12" w:space="0" w:color="auto"/>
            </w:tcBorders>
          </w:tcPr>
          <w:p w14:paraId="467445A6" w14:textId="77777777" w:rsidR="00F32F41" w:rsidRPr="00203EB0" w:rsidRDefault="00F32F41" w:rsidP="00652800">
            <w:pPr>
              <w:jc w:val="center"/>
              <w:rPr>
                <w:rFonts w:cs="Times New Roman"/>
                <w:b/>
              </w:rPr>
            </w:pPr>
            <w:r w:rsidRPr="00203EB0">
              <w:rPr>
                <w:rFonts w:cs="Times New Roman"/>
                <w:b/>
              </w:rPr>
              <w:t>Day 11</w:t>
            </w:r>
          </w:p>
        </w:tc>
        <w:tc>
          <w:tcPr>
            <w:tcW w:w="1233" w:type="dxa"/>
            <w:tcBorders>
              <w:bottom w:val="single" w:sz="12" w:space="0" w:color="auto"/>
            </w:tcBorders>
          </w:tcPr>
          <w:p w14:paraId="75A0BD34" w14:textId="77777777" w:rsidR="00F32F41" w:rsidRPr="00203EB0" w:rsidRDefault="00F32F41" w:rsidP="00652800">
            <w:pPr>
              <w:jc w:val="center"/>
              <w:rPr>
                <w:rFonts w:cs="Times New Roman"/>
                <w:b/>
              </w:rPr>
            </w:pPr>
            <w:r w:rsidRPr="00203EB0">
              <w:rPr>
                <w:rFonts w:cs="Times New Roman"/>
                <w:b/>
              </w:rPr>
              <w:t>Day 16</w:t>
            </w:r>
          </w:p>
        </w:tc>
        <w:tc>
          <w:tcPr>
            <w:tcW w:w="1234" w:type="dxa"/>
            <w:tcBorders>
              <w:bottom w:val="single" w:sz="12" w:space="0" w:color="auto"/>
            </w:tcBorders>
          </w:tcPr>
          <w:p w14:paraId="3287742B" w14:textId="77777777" w:rsidR="00F32F41" w:rsidRPr="00203EB0" w:rsidRDefault="00F32F41" w:rsidP="00652800">
            <w:pPr>
              <w:jc w:val="center"/>
              <w:rPr>
                <w:rFonts w:cs="Times New Roman"/>
                <w:b/>
              </w:rPr>
            </w:pPr>
            <w:r w:rsidRPr="00203EB0">
              <w:rPr>
                <w:rFonts w:cs="Times New Roman"/>
                <w:b/>
              </w:rPr>
              <w:t>Day 21</w:t>
            </w:r>
          </w:p>
        </w:tc>
      </w:tr>
      <w:tr w:rsidR="00F32F41" w:rsidRPr="00203EB0" w14:paraId="521410DF" w14:textId="77777777" w:rsidTr="00F32F41">
        <w:tc>
          <w:tcPr>
            <w:tcW w:w="1505" w:type="dxa"/>
            <w:tcBorders>
              <w:top w:val="single" w:sz="12" w:space="0" w:color="auto"/>
            </w:tcBorders>
          </w:tcPr>
          <w:p w14:paraId="0712D59D" w14:textId="77777777" w:rsidR="00F32F41" w:rsidRPr="00203EB0" w:rsidRDefault="00F32F41" w:rsidP="00652800">
            <w:pPr>
              <w:rPr>
                <w:rFonts w:cs="Times New Roman"/>
              </w:rPr>
            </w:pPr>
            <w:r w:rsidRPr="00203EB0">
              <w:rPr>
                <w:rFonts w:cs="Times New Roman"/>
              </w:rPr>
              <w:t>HV + 160 N</w:t>
            </w:r>
          </w:p>
        </w:tc>
        <w:tc>
          <w:tcPr>
            <w:tcW w:w="1244" w:type="dxa"/>
            <w:tcBorders>
              <w:top w:val="single" w:sz="12" w:space="0" w:color="auto"/>
            </w:tcBorders>
            <w:vAlign w:val="center"/>
          </w:tcPr>
          <w:p w14:paraId="78999045" w14:textId="77777777" w:rsidR="00F32F41" w:rsidRPr="00203EB0" w:rsidRDefault="00F32F41" w:rsidP="00652800">
            <w:pPr>
              <w:jc w:val="center"/>
              <w:rPr>
                <w:rFonts w:cs="Times New Roman"/>
              </w:rPr>
            </w:pPr>
            <w:r w:rsidRPr="00203EB0">
              <w:rPr>
                <w:rFonts w:cs="Times New Roman"/>
              </w:rPr>
              <w:t xml:space="preserve">50% </w:t>
            </w:r>
          </w:p>
        </w:tc>
        <w:tc>
          <w:tcPr>
            <w:tcW w:w="1233" w:type="dxa"/>
            <w:tcBorders>
              <w:top w:val="single" w:sz="12" w:space="0" w:color="auto"/>
            </w:tcBorders>
          </w:tcPr>
          <w:p w14:paraId="364095A9" w14:textId="77777777" w:rsidR="00F32F41" w:rsidRPr="00203EB0" w:rsidRDefault="00F32F41" w:rsidP="00652800">
            <w:pPr>
              <w:rPr>
                <w:rFonts w:cs="Times New Roman"/>
              </w:rPr>
            </w:pPr>
            <w:r w:rsidRPr="00203EB0">
              <w:rPr>
                <w:rFonts w:cs="Times New Roman"/>
              </w:rPr>
              <w:t xml:space="preserve">89 (3) </w:t>
            </w:r>
            <w:r w:rsidRPr="00203EB0">
              <w:rPr>
                <w:rFonts w:cs="Times New Roman"/>
                <w:vertAlign w:val="superscript"/>
              </w:rPr>
              <w:t>b</w:t>
            </w:r>
          </w:p>
        </w:tc>
        <w:tc>
          <w:tcPr>
            <w:tcW w:w="1233" w:type="dxa"/>
            <w:tcBorders>
              <w:top w:val="single" w:sz="12" w:space="0" w:color="auto"/>
            </w:tcBorders>
          </w:tcPr>
          <w:p w14:paraId="66BA5221" w14:textId="77777777" w:rsidR="00F32F41" w:rsidRPr="00203EB0" w:rsidRDefault="00F32F41" w:rsidP="00652800">
            <w:pPr>
              <w:rPr>
                <w:rFonts w:cs="Times New Roman"/>
              </w:rPr>
            </w:pPr>
            <w:r w:rsidRPr="00203EB0">
              <w:rPr>
                <w:rFonts w:cs="Times New Roman"/>
              </w:rPr>
              <w:t xml:space="preserve">31 (8) </w:t>
            </w:r>
            <w:r w:rsidRPr="00203EB0">
              <w:rPr>
                <w:rFonts w:cs="Times New Roman"/>
                <w:vertAlign w:val="superscript"/>
              </w:rPr>
              <w:t>b</w:t>
            </w:r>
          </w:p>
        </w:tc>
        <w:tc>
          <w:tcPr>
            <w:tcW w:w="1233" w:type="dxa"/>
            <w:tcBorders>
              <w:top w:val="single" w:sz="12" w:space="0" w:color="auto"/>
            </w:tcBorders>
          </w:tcPr>
          <w:p w14:paraId="14ED9EBF" w14:textId="77777777" w:rsidR="00F32F41" w:rsidRPr="00203EB0" w:rsidRDefault="00F32F41" w:rsidP="00652800">
            <w:pPr>
              <w:rPr>
                <w:rFonts w:cs="Times New Roman"/>
              </w:rPr>
            </w:pPr>
            <w:r w:rsidRPr="00203EB0">
              <w:rPr>
                <w:rFonts w:cs="Times New Roman"/>
              </w:rPr>
              <w:t xml:space="preserve">20 (3) </w:t>
            </w:r>
            <w:r w:rsidRPr="00203EB0">
              <w:rPr>
                <w:rFonts w:cs="Times New Roman"/>
                <w:vertAlign w:val="superscript"/>
              </w:rPr>
              <w:t>cd</w:t>
            </w:r>
          </w:p>
        </w:tc>
        <w:tc>
          <w:tcPr>
            <w:tcW w:w="1233" w:type="dxa"/>
            <w:tcBorders>
              <w:top w:val="single" w:sz="12" w:space="0" w:color="auto"/>
            </w:tcBorders>
          </w:tcPr>
          <w:p w14:paraId="7AEFC84B" w14:textId="77777777" w:rsidR="00F32F41" w:rsidRPr="00203EB0" w:rsidRDefault="00F32F41" w:rsidP="00652800">
            <w:pPr>
              <w:rPr>
                <w:rFonts w:cs="Times New Roman"/>
              </w:rPr>
            </w:pPr>
            <w:r w:rsidRPr="00203EB0">
              <w:rPr>
                <w:rFonts w:cs="Times New Roman"/>
              </w:rPr>
              <w:t xml:space="preserve">14 (5) </w:t>
            </w:r>
            <w:r w:rsidRPr="00203EB0">
              <w:rPr>
                <w:rFonts w:cs="Times New Roman"/>
                <w:vertAlign w:val="superscript"/>
              </w:rPr>
              <w:t>b</w:t>
            </w:r>
          </w:p>
        </w:tc>
        <w:tc>
          <w:tcPr>
            <w:tcW w:w="1234" w:type="dxa"/>
            <w:tcBorders>
              <w:top w:val="single" w:sz="12" w:space="0" w:color="auto"/>
            </w:tcBorders>
          </w:tcPr>
          <w:p w14:paraId="5BE3ED51" w14:textId="77777777" w:rsidR="00F32F41" w:rsidRPr="00203EB0" w:rsidRDefault="00F32F41" w:rsidP="00652800">
            <w:pPr>
              <w:rPr>
                <w:rFonts w:cs="Times New Roman"/>
              </w:rPr>
            </w:pPr>
            <w:r w:rsidRPr="00203EB0">
              <w:rPr>
                <w:rFonts w:cs="Times New Roman"/>
              </w:rPr>
              <w:t xml:space="preserve">6 (2) </w:t>
            </w:r>
            <w:r w:rsidRPr="00203EB0">
              <w:rPr>
                <w:rFonts w:cs="Times New Roman"/>
                <w:vertAlign w:val="superscript"/>
              </w:rPr>
              <w:t>c</w:t>
            </w:r>
          </w:p>
        </w:tc>
      </w:tr>
      <w:tr w:rsidR="00F32F41" w:rsidRPr="00203EB0" w14:paraId="1EF983C0" w14:textId="77777777" w:rsidTr="00F32F41">
        <w:tc>
          <w:tcPr>
            <w:tcW w:w="1505" w:type="dxa"/>
          </w:tcPr>
          <w:p w14:paraId="66D809AF" w14:textId="77777777" w:rsidR="00F32F41" w:rsidRPr="00203EB0" w:rsidRDefault="00F32F41" w:rsidP="00652800">
            <w:pPr>
              <w:rPr>
                <w:rFonts w:cs="Times New Roman"/>
              </w:rPr>
            </w:pPr>
            <w:r w:rsidRPr="00203EB0">
              <w:rPr>
                <w:rFonts w:cs="Times New Roman"/>
              </w:rPr>
              <w:t>HV + 160 N</w:t>
            </w:r>
          </w:p>
        </w:tc>
        <w:tc>
          <w:tcPr>
            <w:tcW w:w="1244" w:type="dxa"/>
            <w:vAlign w:val="center"/>
          </w:tcPr>
          <w:p w14:paraId="08F87424" w14:textId="77777777" w:rsidR="00F32F41" w:rsidRPr="00203EB0" w:rsidRDefault="00F32F41" w:rsidP="00652800">
            <w:pPr>
              <w:jc w:val="center"/>
              <w:rPr>
                <w:rFonts w:cs="Times New Roman"/>
              </w:rPr>
            </w:pPr>
            <w:r w:rsidRPr="00203EB0">
              <w:rPr>
                <w:rFonts w:cs="Times New Roman"/>
              </w:rPr>
              <w:t xml:space="preserve">80% </w:t>
            </w:r>
          </w:p>
        </w:tc>
        <w:tc>
          <w:tcPr>
            <w:tcW w:w="1233" w:type="dxa"/>
          </w:tcPr>
          <w:p w14:paraId="3E8C3C54" w14:textId="77777777" w:rsidR="00F32F41" w:rsidRPr="00203EB0" w:rsidRDefault="00F32F41" w:rsidP="00652800">
            <w:pPr>
              <w:rPr>
                <w:rFonts w:cs="Times New Roman"/>
              </w:rPr>
            </w:pPr>
            <w:r w:rsidRPr="00203EB0">
              <w:rPr>
                <w:rFonts w:cs="Times New Roman"/>
              </w:rPr>
              <w:t xml:space="preserve">107 (6) </w:t>
            </w:r>
            <w:r w:rsidRPr="00203EB0">
              <w:rPr>
                <w:rFonts w:cs="Times New Roman"/>
                <w:vertAlign w:val="superscript"/>
              </w:rPr>
              <w:t>a</w:t>
            </w:r>
          </w:p>
        </w:tc>
        <w:tc>
          <w:tcPr>
            <w:tcW w:w="1233" w:type="dxa"/>
          </w:tcPr>
          <w:p w14:paraId="24F345A6" w14:textId="77777777" w:rsidR="00F32F41" w:rsidRPr="00203EB0" w:rsidRDefault="00F32F41" w:rsidP="00652800">
            <w:pPr>
              <w:rPr>
                <w:rFonts w:cs="Times New Roman"/>
              </w:rPr>
            </w:pPr>
            <w:r w:rsidRPr="00203EB0">
              <w:rPr>
                <w:rFonts w:cs="Times New Roman"/>
              </w:rPr>
              <w:t xml:space="preserve">86 (3) </w:t>
            </w:r>
            <w:r w:rsidRPr="00203EB0">
              <w:rPr>
                <w:rFonts w:cs="Times New Roman"/>
                <w:vertAlign w:val="superscript"/>
              </w:rPr>
              <w:t>a</w:t>
            </w:r>
          </w:p>
        </w:tc>
        <w:tc>
          <w:tcPr>
            <w:tcW w:w="1233" w:type="dxa"/>
          </w:tcPr>
          <w:p w14:paraId="23C3B0B2" w14:textId="77777777" w:rsidR="00F32F41" w:rsidRPr="00203EB0" w:rsidRDefault="00F32F41" w:rsidP="00652800">
            <w:pPr>
              <w:rPr>
                <w:rFonts w:cs="Times New Roman"/>
              </w:rPr>
            </w:pPr>
            <w:r w:rsidRPr="00203EB0">
              <w:rPr>
                <w:rFonts w:cs="Times New Roman"/>
              </w:rPr>
              <w:t xml:space="preserve">116 (5) </w:t>
            </w:r>
            <w:r w:rsidRPr="00203EB0">
              <w:rPr>
                <w:rFonts w:cs="Times New Roman"/>
                <w:vertAlign w:val="superscript"/>
              </w:rPr>
              <w:t>a</w:t>
            </w:r>
          </w:p>
        </w:tc>
        <w:tc>
          <w:tcPr>
            <w:tcW w:w="1233" w:type="dxa"/>
          </w:tcPr>
          <w:p w14:paraId="255E69C4" w14:textId="77777777" w:rsidR="00F32F41" w:rsidRPr="00203EB0" w:rsidRDefault="00F32F41" w:rsidP="00652800">
            <w:pPr>
              <w:rPr>
                <w:rFonts w:cs="Times New Roman"/>
              </w:rPr>
            </w:pPr>
            <w:r w:rsidRPr="00203EB0">
              <w:rPr>
                <w:rFonts w:cs="Times New Roman"/>
              </w:rPr>
              <w:t xml:space="preserve">93 (12) </w:t>
            </w:r>
            <w:r w:rsidRPr="00203EB0">
              <w:rPr>
                <w:rFonts w:cs="Times New Roman"/>
                <w:vertAlign w:val="superscript"/>
              </w:rPr>
              <w:t>a</w:t>
            </w:r>
          </w:p>
        </w:tc>
        <w:tc>
          <w:tcPr>
            <w:tcW w:w="1234" w:type="dxa"/>
          </w:tcPr>
          <w:p w14:paraId="320C5A86" w14:textId="77777777" w:rsidR="00F32F41" w:rsidRPr="00203EB0" w:rsidRDefault="00F32F41" w:rsidP="00652800">
            <w:pPr>
              <w:rPr>
                <w:rFonts w:cs="Times New Roman"/>
              </w:rPr>
            </w:pPr>
            <w:r w:rsidRPr="00203EB0">
              <w:rPr>
                <w:rFonts w:cs="Times New Roman"/>
              </w:rPr>
              <w:t xml:space="preserve">107 (9) </w:t>
            </w:r>
            <w:r w:rsidRPr="00203EB0">
              <w:rPr>
                <w:rFonts w:cs="Times New Roman"/>
                <w:vertAlign w:val="superscript"/>
              </w:rPr>
              <w:t>a</w:t>
            </w:r>
          </w:p>
        </w:tc>
      </w:tr>
      <w:tr w:rsidR="00F32F41" w:rsidRPr="00203EB0" w14:paraId="665D3DB3" w14:textId="77777777" w:rsidTr="00F32F41">
        <w:tc>
          <w:tcPr>
            <w:tcW w:w="1505" w:type="dxa"/>
          </w:tcPr>
          <w:p w14:paraId="654011A6" w14:textId="77777777" w:rsidR="00F32F41" w:rsidRPr="00203EB0" w:rsidRDefault="00F32F41" w:rsidP="00652800">
            <w:pPr>
              <w:rPr>
                <w:rFonts w:cs="Times New Roman"/>
              </w:rPr>
            </w:pPr>
          </w:p>
        </w:tc>
        <w:tc>
          <w:tcPr>
            <w:tcW w:w="1244" w:type="dxa"/>
          </w:tcPr>
          <w:p w14:paraId="65F1F048" w14:textId="77777777" w:rsidR="00F32F41" w:rsidRPr="00203EB0" w:rsidRDefault="00F32F41" w:rsidP="00652800">
            <w:pPr>
              <w:rPr>
                <w:rFonts w:cs="Times New Roman"/>
              </w:rPr>
            </w:pPr>
          </w:p>
        </w:tc>
        <w:tc>
          <w:tcPr>
            <w:tcW w:w="1233" w:type="dxa"/>
          </w:tcPr>
          <w:p w14:paraId="0D9BF857" w14:textId="77777777" w:rsidR="00F32F41" w:rsidRPr="00203EB0" w:rsidRDefault="00F32F41" w:rsidP="00652800">
            <w:pPr>
              <w:rPr>
                <w:rFonts w:cs="Times New Roman"/>
              </w:rPr>
            </w:pPr>
          </w:p>
        </w:tc>
        <w:tc>
          <w:tcPr>
            <w:tcW w:w="1233" w:type="dxa"/>
          </w:tcPr>
          <w:p w14:paraId="3392D096" w14:textId="77777777" w:rsidR="00F32F41" w:rsidRPr="00203EB0" w:rsidRDefault="00F32F41" w:rsidP="00652800">
            <w:pPr>
              <w:rPr>
                <w:rFonts w:cs="Times New Roman"/>
              </w:rPr>
            </w:pPr>
          </w:p>
        </w:tc>
        <w:tc>
          <w:tcPr>
            <w:tcW w:w="1233" w:type="dxa"/>
          </w:tcPr>
          <w:p w14:paraId="2258E010" w14:textId="77777777" w:rsidR="00F32F41" w:rsidRPr="00203EB0" w:rsidRDefault="00F32F41" w:rsidP="00652800">
            <w:pPr>
              <w:rPr>
                <w:rFonts w:cs="Times New Roman"/>
              </w:rPr>
            </w:pPr>
          </w:p>
        </w:tc>
        <w:tc>
          <w:tcPr>
            <w:tcW w:w="1233" w:type="dxa"/>
          </w:tcPr>
          <w:p w14:paraId="469889EC" w14:textId="77777777" w:rsidR="00F32F41" w:rsidRPr="00203EB0" w:rsidRDefault="00F32F41" w:rsidP="00652800">
            <w:pPr>
              <w:rPr>
                <w:rFonts w:cs="Times New Roman"/>
              </w:rPr>
            </w:pPr>
          </w:p>
        </w:tc>
        <w:tc>
          <w:tcPr>
            <w:tcW w:w="1234" w:type="dxa"/>
          </w:tcPr>
          <w:p w14:paraId="64F000D8" w14:textId="77777777" w:rsidR="00F32F41" w:rsidRPr="00203EB0" w:rsidRDefault="00F32F41" w:rsidP="00652800">
            <w:pPr>
              <w:rPr>
                <w:rFonts w:cs="Times New Roman"/>
              </w:rPr>
            </w:pPr>
          </w:p>
        </w:tc>
      </w:tr>
      <w:tr w:rsidR="00F32F41" w:rsidRPr="00203EB0" w14:paraId="74C5778C" w14:textId="77777777" w:rsidTr="00F32F41">
        <w:tc>
          <w:tcPr>
            <w:tcW w:w="1505" w:type="dxa"/>
          </w:tcPr>
          <w:p w14:paraId="2214F710" w14:textId="77777777" w:rsidR="00F32F41" w:rsidRPr="00203EB0" w:rsidRDefault="00F32F41" w:rsidP="00652800">
            <w:pPr>
              <w:rPr>
                <w:rFonts w:cs="Times New Roman"/>
              </w:rPr>
            </w:pPr>
            <w:r w:rsidRPr="00203EB0">
              <w:rPr>
                <w:rFonts w:cs="Times New Roman"/>
              </w:rPr>
              <w:t>WW + 160 N</w:t>
            </w:r>
          </w:p>
        </w:tc>
        <w:tc>
          <w:tcPr>
            <w:tcW w:w="1244" w:type="dxa"/>
            <w:vAlign w:val="center"/>
          </w:tcPr>
          <w:p w14:paraId="1956DE08" w14:textId="77777777" w:rsidR="00F32F41" w:rsidRPr="00203EB0" w:rsidRDefault="00F32F41" w:rsidP="00652800">
            <w:pPr>
              <w:jc w:val="center"/>
              <w:rPr>
                <w:rFonts w:cs="Times New Roman"/>
              </w:rPr>
            </w:pPr>
            <w:r w:rsidRPr="00203EB0">
              <w:rPr>
                <w:rFonts w:cs="Times New Roman"/>
              </w:rPr>
              <w:t>50%</w:t>
            </w:r>
          </w:p>
        </w:tc>
        <w:tc>
          <w:tcPr>
            <w:tcW w:w="1233" w:type="dxa"/>
          </w:tcPr>
          <w:p w14:paraId="34909BBE" w14:textId="77777777" w:rsidR="00F32F41" w:rsidRPr="00203EB0" w:rsidRDefault="00F32F41" w:rsidP="00652800">
            <w:pPr>
              <w:rPr>
                <w:rFonts w:cs="Times New Roman"/>
              </w:rPr>
            </w:pPr>
            <w:r w:rsidRPr="00203EB0">
              <w:rPr>
                <w:rFonts w:cs="Times New Roman"/>
              </w:rPr>
              <w:t xml:space="preserve">14 (2) </w:t>
            </w:r>
            <w:r w:rsidRPr="00203EB0">
              <w:rPr>
                <w:rFonts w:cs="Times New Roman"/>
                <w:vertAlign w:val="superscript"/>
              </w:rPr>
              <w:t>e</w:t>
            </w:r>
          </w:p>
        </w:tc>
        <w:tc>
          <w:tcPr>
            <w:tcW w:w="1233" w:type="dxa"/>
          </w:tcPr>
          <w:p w14:paraId="2AB3A2C3" w14:textId="77777777" w:rsidR="00F32F41" w:rsidRPr="00203EB0" w:rsidRDefault="00F32F41" w:rsidP="00652800">
            <w:pPr>
              <w:rPr>
                <w:rFonts w:cs="Times New Roman"/>
              </w:rPr>
            </w:pPr>
            <w:r w:rsidRPr="00203EB0">
              <w:rPr>
                <w:rFonts w:cs="Times New Roman"/>
              </w:rPr>
              <w:t xml:space="preserve">6 (1) </w:t>
            </w:r>
            <w:r w:rsidRPr="00203EB0">
              <w:rPr>
                <w:rFonts w:cs="Times New Roman"/>
                <w:vertAlign w:val="superscript"/>
              </w:rPr>
              <w:t>cd</w:t>
            </w:r>
          </w:p>
        </w:tc>
        <w:tc>
          <w:tcPr>
            <w:tcW w:w="1233" w:type="dxa"/>
          </w:tcPr>
          <w:p w14:paraId="4877EB68" w14:textId="77777777" w:rsidR="00F32F41" w:rsidRPr="00203EB0" w:rsidRDefault="00F32F41" w:rsidP="00652800">
            <w:pPr>
              <w:rPr>
                <w:rFonts w:cs="Times New Roman"/>
              </w:rPr>
            </w:pPr>
            <w:r w:rsidRPr="00203EB0">
              <w:rPr>
                <w:rFonts w:cs="Times New Roman"/>
              </w:rPr>
              <w:t xml:space="preserve">11 (2) </w:t>
            </w:r>
            <w:r w:rsidRPr="00203EB0">
              <w:rPr>
                <w:rFonts w:cs="Times New Roman"/>
                <w:vertAlign w:val="superscript"/>
              </w:rPr>
              <w:t>de</w:t>
            </w:r>
          </w:p>
        </w:tc>
        <w:tc>
          <w:tcPr>
            <w:tcW w:w="1233" w:type="dxa"/>
          </w:tcPr>
          <w:p w14:paraId="3B8EC315" w14:textId="77777777" w:rsidR="00F32F41" w:rsidRPr="00203EB0" w:rsidRDefault="00F32F41" w:rsidP="00652800">
            <w:pPr>
              <w:rPr>
                <w:rFonts w:cs="Times New Roman"/>
              </w:rPr>
            </w:pPr>
            <w:r w:rsidRPr="00203EB0">
              <w:rPr>
                <w:rFonts w:cs="Times New Roman"/>
              </w:rPr>
              <w:t xml:space="preserve">5 (2) </w:t>
            </w:r>
            <w:r w:rsidRPr="00203EB0">
              <w:rPr>
                <w:rFonts w:cs="Times New Roman"/>
                <w:vertAlign w:val="superscript"/>
              </w:rPr>
              <w:t>b</w:t>
            </w:r>
          </w:p>
        </w:tc>
        <w:tc>
          <w:tcPr>
            <w:tcW w:w="1234" w:type="dxa"/>
          </w:tcPr>
          <w:p w14:paraId="6EDECF59" w14:textId="77777777" w:rsidR="00F32F41" w:rsidRPr="00203EB0" w:rsidRDefault="00F32F41" w:rsidP="00652800">
            <w:pPr>
              <w:rPr>
                <w:rFonts w:cs="Times New Roman"/>
              </w:rPr>
            </w:pPr>
            <w:r w:rsidRPr="00203EB0">
              <w:rPr>
                <w:rFonts w:cs="Times New Roman"/>
              </w:rPr>
              <w:t xml:space="preserve">5 (1) </w:t>
            </w:r>
            <w:r w:rsidRPr="00203EB0">
              <w:rPr>
                <w:rFonts w:cs="Times New Roman"/>
                <w:vertAlign w:val="superscript"/>
              </w:rPr>
              <w:t>c</w:t>
            </w:r>
          </w:p>
        </w:tc>
      </w:tr>
      <w:tr w:rsidR="00F32F41" w:rsidRPr="00203EB0" w14:paraId="6102B90D" w14:textId="77777777" w:rsidTr="00F32F41">
        <w:tc>
          <w:tcPr>
            <w:tcW w:w="1505" w:type="dxa"/>
          </w:tcPr>
          <w:p w14:paraId="56883D8E" w14:textId="77777777" w:rsidR="00F32F41" w:rsidRPr="00203EB0" w:rsidRDefault="00F32F41" w:rsidP="00652800">
            <w:pPr>
              <w:rPr>
                <w:rFonts w:cs="Times New Roman"/>
              </w:rPr>
            </w:pPr>
            <w:r w:rsidRPr="00203EB0">
              <w:rPr>
                <w:rFonts w:cs="Times New Roman"/>
              </w:rPr>
              <w:t>WW + 160 N</w:t>
            </w:r>
          </w:p>
        </w:tc>
        <w:tc>
          <w:tcPr>
            <w:tcW w:w="1244" w:type="dxa"/>
            <w:vAlign w:val="center"/>
          </w:tcPr>
          <w:p w14:paraId="43AE48A0" w14:textId="77777777" w:rsidR="00F32F41" w:rsidRPr="00203EB0" w:rsidRDefault="00F32F41" w:rsidP="00652800">
            <w:pPr>
              <w:jc w:val="center"/>
              <w:rPr>
                <w:rFonts w:cs="Times New Roman"/>
              </w:rPr>
            </w:pPr>
            <w:r w:rsidRPr="00203EB0">
              <w:rPr>
                <w:rFonts w:cs="Times New Roman"/>
              </w:rPr>
              <w:t>80%</w:t>
            </w:r>
          </w:p>
        </w:tc>
        <w:tc>
          <w:tcPr>
            <w:tcW w:w="1233" w:type="dxa"/>
          </w:tcPr>
          <w:p w14:paraId="10250C60" w14:textId="77777777" w:rsidR="00F32F41" w:rsidRPr="00203EB0" w:rsidRDefault="00F32F41" w:rsidP="00652800">
            <w:pPr>
              <w:rPr>
                <w:rFonts w:cs="Times New Roman"/>
              </w:rPr>
            </w:pPr>
            <w:r w:rsidRPr="00203EB0">
              <w:rPr>
                <w:rFonts w:cs="Times New Roman"/>
              </w:rPr>
              <w:t xml:space="preserve">36 (4) </w:t>
            </w:r>
            <w:r w:rsidRPr="00203EB0">
              <w:rPr>
                <w:rFonts w:cs="Times New Roman"/>
                <w:vertAlign w:val="superscript"/>
              </w:rPr>
              <w:t>c</w:t>
            </w:r>
          </w:p>
        </w:tc>
        <w:tc>
          <w:tcPr>
            <w:tcW w:w="1233" w:type="dxa"/>
          </w:tcPr>
          <w:p w14:paraId="78588814" w14:textId="77777777" w:rsidR="00F32F41" w:rsidRPr="00203EB0" w:rsidRDefault="00F32F41" w:rsidP="00652800">
            <w:pPr>
              <w:rPr>
                <w:rFonts w:cs="Times New Roman"/>
              </w:rPr>
            </w:pPr>
            <w:r w:rsidRPr="00203EB0">
              <w:rPr>
                <w:rFonts w:cs="Times New Roman"/>
              </w:rPr>
              <w:t xml:space="preserve">26 (6) </w:t>
            </w:r>
            <w:r w:rsidRPr="00203EB0">
              <w:rPr>
                <w:rFonts w:cs="Times New Roman"/>
                <w:vertAlign w:val="superscript"/>
              </w:rPr>
              <w:t>bd</w:t>
            </w:r>
          </w:p>
        </w:tc>
        <w:tc>
          <w:tcPr>
            <w:tcW w:w="1233" w:type="dxa"/>
          </w:tcPr>
          <w:p w14:paraId="776952DC" w14:textId="77777777" w:rsidR="00F32F41" w:rsidRPr="00203EB0" w:rsidRDefault="00F32F41" w:rsidP="00652800">
            <w:pPr>
              <w:rPr>
                <w:rFonts w:cs="Times New Roman"/>
              </w:rPr>
            </w:pPr>
            <w:r w:rsidRPr="00203EB0">
              <w:rPr>
                <w:rFonts w:cs="Times New Roman"/>
              </w:rPr>
              <w:t xml:space="preserve">30 (2) </w:t>
            </w:r>
            <w:r w:rsidRPr="00203EB0">
              <w:rPr>
                <w:rFonts w:cs="Times New Roman"/>
                <w:vertAlign w:val="superscript"/>
              </w:rPr>
              <w:t>b</w:t>
            </w:r>
          </w:p>
        </w:tc>
        <w:tc>
          <w:tcPr>
            <w:tcW w:w="1233" w:type="dxa"/>
          </w:tcPr>
          <w:p w14:paraId="1E9CBBD5" w14:textId="77777777" w:rsidR="00F32F41" w:rsidRPr="00203EB0" w:rsidRDefault="00F32F41" w:rsidP="00652800">
            <w:pPr>
              <w:rPr>
                <w:rFonts w:cs="Times New Roman"/>
              </w:rPr>
            </w:pPr>
            <w:r w:rsidRPr="00203EB0">
              <w:rPr>
                <w:rFonts w:cs="Times New Roman"/>
              </w:rPr>
              <w:t xml:space="preserve">11 (5) </w:t>
            </w:r>
            <w:r w:rsidRPr="00203EB0">
              <w:rPr>
                <w:rFonts w:cs="Times New Roman"/>
                <w:vertAlign w:val="superscript"/>
              </w:rPr>
              <w:t>b</w:t>
            </w:r>
          </w:p>
        </w:tc>
        <w:tc>
          <w:tcPr>
            <w:tcW w:w="1234" w:type="dxa"/>
          </w:tcPr>
          <w:p w14:paraId="7DDEA23B" w14:textId="77777777" w:rsidR="00F32F41" w:rsidRPr="00203EB0" w:rsidRDefault="00F32F41" w:rsidP="00652800">
            <w:pPr>
              <w:rPr>
                <w:rFonts w:cs="Times New Roman"/>
              </w:rPr>
            </w:pPr>
            <w:r w:rsidRPr="00203EB0">
              <w:rPr>
                <w:rFonts w:cs="Times New Roman"/>
              </w:rPr>
              <w:t xml:space="preserve">51 (4) </w:t>
            </w:r>
            <w:r w:rsidRPr="00203EB0">
              <w:rPr>
                <w:rFonts w:cs="Times New Roman"/>
                <w:vertAlign w:val="superscript"/>
              </w:rPr>
              <w:t>b</w:t>
            </w:r>
          </w:p>
        </w:tc>
      </w:tr>
      <w:tr w:rsidR="00F32F41" w:rsidRPr="00203EB0" w14:paraId="37553BC5" w14:textId="77777777" w:rsidTr="00F32F41">
        <w:tc>
          <w:tcPr>
            <w:tcW w:w="1505" w:type="dxa"/>
          </w:tcPr>
          <w:p w14:paraId="40821F3C" w14:textId="77777777" w:rsidR="00F32F41" w:rsidRPr="00203EB0" w:rsidRDefault="00F32F41" w:rsidP="00652800">
            <w:pPr>
              <w:rPr>
                <w:rFonts w:cs="Times New Roman"/>
              </w:rPr>
            </w:pPr>
          </w:p>
        </w:tc>
        <w:tc>
          <w:tcPr>
            <w:tcW w:w="1244" w:type="dxa"/>
          </w:tcPr>
          <w:p w14:paraId="5AF50FC5" w14:textId="77777777" w:rsidR="00F32F41" w:rsidRPr="00203EB0" w:rsidRDefault="00F32F41" w:rsidP="00652800">
            <w:pPr>
              <w:rPr>
                <w:rFonts w:cs="Times New Roman"/>
              </w:rPr>
            </w:pPr>
          </w:p>
        </w:tc>
        <w:tc>
          <w:tcPr>
            <w:tcW w:w="1233" w:type="dxa"/>
          </w:tcPr>
          <w:p w14:paraId="066AE3A5" w14:textId="77777777" w:rsidR="00F32F41" w:rsidRPr="00203EB0" w:rsidRDefault="00F32F41" w:rsidP="00652800">
            <w:pPr>
              <w:rPr>
                <w:rFonts w:cs="Times New Roman"/>
              </w:rPr>
            </w:pPr>
          </w:p>
        </w:tc>
        <w:tc>
          <w:tcPr>
            <w:tcW w:w="1233" w:type="dxa"/>
          </w:tcPr>
          <w:p w14:paraId="4DABD3B5" w14:textId="77777777" w:rsidR="00F32F41" w:rsidRPr="00203EB0" w:rsidRDefault="00F32F41" w:rsidP="00652800">
            <w:pPr>
              <w:rPr>
                <w:rFonts w:cs="Times New Roman"/>
              </w:rPr>
            </w:pPr>
          </w:p>
        </w:tc>
        <w:tc>
          <w:tcPr>
            <w:tcW w:w="1233" w:type="dxa"/>
          </w:tcPr>
          <w:p w14:paraId="53E5AB62" w14:textId="77777777" w:rsidR="00F32F41" w:rsidRPr="00203EB0" w:rsidRDefault="00F32F41" w:rsidP="00652800">
            <w:pPr>
              <w:rPr>
                <w:rFonts w:cs="Times New Roman"/>
              </w:rPr>
            </w:pPr>
          </w:p>
        </w:tc>
        <w:tc>
          <w:tcPr>
            <w:tcW w:w="1233" w:type="dxa"/>
          </w:tcPr>
          <w:p w14:paraId="2CECA645" w14:textId="77777777" w:rsidR="00F32F41" w:rsidRPr="00203EB0" w:rsidRDefault="00F32F41" w:rsidP="00652800">
            <w:pPr>
              <w:rPr>
                <w:rFonts w:cs="Times New Roman"/>
              </w:rPr>
            </w:pPr>
          </w:p>
        </w:tc>
        <w:tc>
          <w:tcPr>
            <w:tcW w:w="1234" w:type="dxa"/>
          </w:tcPr>
          <w:p w14:paraId="0DB36C7A" w14:textId="77777777" w:rsidR="00F32F41" w:rsidRPr="00203EB0" w:rsidRDefault="00F32F41" w:rsidP="00652800">
            <w:pPr>
              <w:rPr>
                <w:rFonts w:cs="Times New Roman"/>
              </w:rPr>
            </w:pPr>
          </w:p>
        </w:tc>
      </w:tr>
      <w:tr w:rsidR="00F32F41" w:rsidRPr="00203EB0" w14:paraId="3524F8E6" w14:textId="77777777" w:rsidTr="00F32F41">
        <w:tc>
          <w:tcPr>
            <w:tcW w:w="1505" w:type="dxa"/>
          </w:tcPr>
          <w:p w14:paraId="5BE2B7ED" w14:textId="77777777" w:rsidR="00F32F41" w:rsidRPr="00203EB0" w:rsidRDefault="00F32F41" w:rsidP="00652800">
            <w:pPr>
              <w:rPr>
                <w:rFonts w:cs="Times New Roman"/>
              </w:rPr>
            </w:pPr>
            <w:r w:rsidRPr="00203EB0">
              <w:rPr>
                <w:rFonts w:cs="Times New Roman"/>
              </w:rPr>
              <w:t>NC + 160 N</w:t>
            </w:r>
          </w:p>
        </w:tc>
        <w:tc>
          <w:tcPr>
            <w:tcW w:w="1244" w:type="dxa"/>
            <w:vAlign w:val="center"/>
          </w:tcPr>
          <w:p w14:paraId="23B6E441" w14:textId="77777777" w:rsidR="00F32F41" w:rsidRPr="00203EB0" w:rsidRDefault="00F32F41" w:rsidP="00652800">
            <w:pPr>
              <w:jc w:val="center"/>
              <w:rPr>
                <w:rFonts w:cs="Times New Roman"/>
              </w:rPr>
            </w:pPr>
            <w:r w:rsidRPr="00203EB0">
              <w:rPr>
                <w:rFonts w:cs="Times New Roman"/>
              </w:rPr>
              <w:t>50%</w:t>
            </w:r>
          </w:p>
        </w:tc>
        <w:tc>
          <w:tcPr>
            <w:tcW w:w="1233" w:type="dxa"/>
          </w:tcPr>
          <w:p w14:paraId="3A5F4D55" w14:textId="77777777" w:rsidR="00F32F41" w:rsidRPr="00203EB0" w:rsidRDefault="00F32F41" w:rsidP="00652800">
            <w:pPr>
              <w:rPr>
                <w:rFonts w:cs="Times New Roman"/>
              </w:rPr>
            </w:pPr>
            <w:r w:rsidRPr="00203EB0">
              <w:rPr>
                <w:rFonts w:cs="Times New Roman"/>
              </w:rPr>
              <w:t xml:space="preserve">18 (2) </w:t>
            </w:r>
            <w:r w:rsidRPr="00203EB0">
              <w:rPr>
                <w:rFonts w:cs="Times New Roman"/>
                <w:vertAlign w:val="superscript"/>
              </w:rPr>
              <w:t>de</w:t>
            </w:r>
          </w:p>
        </w:tc>
        <w:tc>
          <w:tcPr>
            <w:tcW w:w="1233" w:type="dxa"/>
          </w:tcPr>
          <w:p w14:paraId="752686CC" w14:textId="77777777" w:rsidR="00F32F41" w:rsidRPr="00203EB0" w:rsidRDefault="00F32F41" w:rsidP="00652800">
            <w:pPr>
              <w:rPr>
                <w:rFonts w:cs="Times New Roman"/>
              </w:rPr>
            </w:pPr>
            <w:r w:rsidRPr="00203EB0">
              <w:rPr>
                <w:rFonts w:cs="Times New Roman"/>
              </w:rPr>
              <w:t xml:space="preserve">7 (1) </w:t>
            </w:r>
            <w:r w:rsidRPr="00203EB0">
              <w:rPr>
                <w:rFonts w:cs="Times New Roman"/>
                <w:vertAlign w:val="superscript"/>
              </w:rPr>
              <w:t>bd</w:t>
            </w:r>
          </w:p>
        </w:tc>
        <w:tc>
          <w:tcPr>
            <w:tcW w:w="1233" w:type="dxa"/>
          </w:tcPr>
          <w:p w14:paraId="620E46E7" w14:textId="77777777" w:rsidR="00F32F41" w:rsidRPr="00203EB0" w:rsidRDefault="00F32F41" w:rsidP="00652800">
            <w:pPr>
              <w:rPr>
                <w:rFonts w:cs="Times New Roman"/>
              </w:rPr>
            </w:pPr>
            <w:r w:rsidRPr="00203EB0">
              <w:rPr>
                <w:rFonts w:cs="Times New Roman"/>
              </w:rPr>
              <w:t xml:space="preserve">12 (1) </w:t>
            </w:r>
            <w:r w:rsidRPr="00203EB0">
              <w:rPr>
                <w:rFonts w:cs="Times New Roman"/>
                <w:vertAlign w:val="superscript"/>
              </w:rPr>
              <w:t>de</w:t>
            </w:r>
          </w:p>
        </w:tc>
        <w:tc>
          <w:tcPr>
            <w:tcW w:w="1233" w:type="dxa"/>
          </w:tcPr>
          <w:p w14:paraId="58C3036D" w14:textId="77777777" w:rsidR="00F32F41" w:rsidRPr="00203EB0" w:rsidRDefault="00F32F41" w:rsidP="00652800">
            <w:pPr>
              <w:rPr>
                <w:rFonts w:cs="Times New Roman"/>
              </w:rPr>
            </w:pPr>
            <w:r w:rsidRPr="00203EB0">
              <w:rPr>
                <w:rFonts w:cs="Times New Roman"/>
              </w:rPr>
              <w:t xml:space="preserve">3 (1) </w:t>
            </w:r>
            <w:r w:rsidRPr="00203EB0">
              <w:rPr>
                <w:rFonts w:cs="Times New Roman"/>
                <w:vertAlign w:val="superscript"/>
              </w:rPr>
              <w:t>b</w:t>
            </w:r>
          </w:p>
        </w:tc>
        <w:tc>
          <w:tcPr>
            <w:tcW w:w="1234" w:type="dxa"/>
          </w:tcPr>
          <w:p w14:paraId="4C6761EF" w14:textId="77777777" w:rsidR="00F32F41" w:rsidRPr="00203EB0" w:rsidRDefault="00F32F41" w:rsidP="00652800">
            <w:pPr>
              <w:rPr>
                <w:rFonts w:cs="Times New Roman"/>
              </w:rPr>
            </w:pPr>
            <w:r w:rsidRPr="00203EB0">
              <w:rPr>
                <w:rFonts w:cs="Times New Roman"/>
              </w:rPr>
              <w:t xml:space="preserve">5 (1) </w:t>
            </w:r>
            <w:r w:rsidRPr="00203EB0">
              <w:rPr>
                <w:rFonts w:cs="Times New Roman"/>
                <w:vertAlign w:val="superscript"/>
              </w:rPr>
              <w:t>c</w:t>
            </w:r>
          </w:p>
        </w:tc>
      </w:tr>
      <w:tr w:rsidR="00F32F41" w:rsidRPr="00203EB0" w14:paraId="01485BD8" w14:textId="77777777" w:rsidTr="00F32F41">
        <w:tc>
          <w:tcPr>
            <w:tcW w:w="1505" w:type="dxa"/>
          </w:tcPr>
          <w:p w14:paraId="666D58AF" w14:textId="77777777" w:rsidR="00F32F41" w:rsidRPr="00203EB0" w:rsidRDefault="00F32F41" w:rsidP="00652800">
            <w:pPr>
              <w:rPr>
                <w:rFonts w:cs="Times New Roman"/>
              </w:rPr>
            </w:pPr>
            <w:r w:rsidRPr="00203EB0">
              <w:rPr>
                <w:rFonts w:cs="Times New Roman"/>
              </w:rPr>
              <w:t>NC + 160 N</w:t>
            </w:r>
          </w:p>
        </w:tc>
        <w:tc>
          <w:tcPr>
            <w:tcW w:w="1244" w:type="dxa"/>
            <w:vAlign w:val="center"/>
          </w:tcPr>
          <w:p w14:paraId="0BF01635" w14:textId="77777777" w:rsidR="00F32F41" w:rsidRPr="00203EB0" w:rsidRDefault="00F32F41" w:rsidP="00652800">
            <w:pPr>
              <w:jc w:val="center"/>
              <w:rPr>
                <w:rFonts w:cs="Times New Roman"/>
              </w:rPr>
            </w:pPr>
            <w:r w:rsidRPr="00203EB0">
              <w:rPr>
                <w:rFonts w:cs="Times New Roman"/>
              </w:rPr>
              <w:t>80%</w:t>
            </w:r>
          </w:p>
        </w:tc>
        <w:tc>
          <w:tcPr>
            <w:tcW w:w="1233" w:type="dxa"/>
          </w:tcPr>
          <w:p w14:paraId="1490A08F" w14:textId="77777777" w:rsidR="00F32F41" w:rsidRPr="00203EB0" w:rsidRDefault="00F32F41" w:rsidP="00652800">
            <w:pPr>
              <w:rPr>
                <w:rFonts w:cs="Times New Roman"/>
              </w:rPr>
            </w:pPr>
            <w:r w:rsidRPr="00203EB0">
              <w:rPr>
                <w:rFonts w:cs="Times New Roman"/>
              </w:rPr>
              <w:t xml:space="preserve">31 (3) </w:t>
            </w:r>
            <w:r w:rsidRPr="00203EB0">
              <w:rPr>
                <w:rFonts w:cs="Times New Roman"/>
                <w:vertAlign w:val="superscript"/>
              </w:rPr>
              <w:t>cd</w:t>
            </w:r>
          </w:p>
        </w:tc>
        <w:tc>
          <w:tcPr>
            <w:tcW w:w="1233" w:type="dxa"/>
          </w:tcPr>
          <w:p w14:paraId="0B6C555C" w14:textId="77777777" w:rsidR="00F32F41" w:rsidRPr="00203EB0" w:rsidRDefault="00F32F41" w:rsidP="00652800">
            <w:pPr>
              <w:rPr>
                <w:rFonts w:cs="Times New Roman"/>
              </w:rPr>
            </w:pPr>
            <w:r w:rsidRPr="00203EB0">
              <w:rPr>
                <w:rFonts w:cs="Times New Roman"/>
              </w:rPr>
              <w:t xml:space="preserve">28 (7) </w:t>
            </w:r>
            <w:r w:rsidRPr="00203EB0">
              <w:rPr>
                <w:rFonts w:cs="Times New Roman"/>
                <w:vertAlign w:val="superscript"/>
              </w:rPr>
              <w:t>bd</w:t>
            </w:r>
          </w:p>
        </w:tc>
        <w:tc>
          <w:tcPr>
            <w:tcW w:w="1233" w:type="dxa"/>
          </w:tcPr>
          <w:p w14:paraId="561361DE" w14:textId="77777777" w:rsidR="00F32F41" w:rsidRPr="00203EB0" w:rsidRDefault="00F32F41" w:rsidP="00652800">
            <w:pPr>
              <w:rPr>
                <w:rFonts w:cs="Times New Roman"/>
              </w:rPr>
            </w:pPr>
            <w:r w:rsidRPr="00203EB0">
              <w:rPr>
                <w:rFonts w:cs="Times New Roman"/>
              </w:rPr>
              <w:t>26 (2)</w:t>
            </w:r>
            <w:r w:rsidRPr="00203EB0">
              <w:rPr>
                <w:rFonts w:cs="Times New Roman"/>
                <w:vertAlign w:val="superscript"/>
              </w:rPr>
              <w:t xml:space="preserve"> </w:t>
            </w:r>
            <w:proofErr w:type="spellStart"/>
            <w:r w:rsidRPr="00203EB0">
              <w:rPr>
                <w:rFonts w:cs="Times New Roman"/>
                <w:vertAlign w:val="superscript"/>
              </w:rPr>
              <w:t>bc</w:t>
            </w:r>
            <w:proofErr w:type="spellEnd"/>
          </w:p>
        </w:tc>
        <w:tc>
          <w:tcPr>
            <w:tcW w:w="1233" w:type="dxa"/>
          </w:tcPr>
          <w:p w14:paraId="409E6B5F" w14:textId="77777777" w:rsidR="00F32F41" w:rsidRPr="00203EB0" w:rsidRDefault="00F32F41" w:rsidP="00652800">
            <w:pPr>
              <w:rPr>
                <w:rFonts w:cs="Times New Roman"/>
              </w:rPr>
            </w:pPr>
            <w:r w:rsidRPr="00203EB0">
              <w:rPr>
                <w:rFonts w:cs="Times New Roman"/>
              </w:rPr>
              <w:t xml:space="preserve">12 (4) </w:t>
            </w:r>
            <w:r w:rsidRPr="00203EB0">
              <w:rPr>
                <w:rFonts w:cs="Times New Roman"/>
                <w:vertAlign w:val="superscript"/>
              </w:rPr>
              <w:t>b</w:t>
            </w:r>
          </w:p>
        </w:tc>
        <w:tc>
          <w:tcPr>
            <w:tcW w:w="1234" w:type="dxa"/>
          </w:tcPr>
          <w:p w14:paraId="188A00AB" w14:textId="77777777" w:rsidR="00F32F41" w:rsidRPr="00203EB0" w:rsidRDefault="00F32F41" w:rsidP="00652800">
            <w:pPr>
              <w:rPr>
                <w:rFonts w:cs="Times New Roman"/>
              </w:rPr>
            </w:pPr>
            <w:r w:rsidRPr="00203EB0">
              <w:rPr>
                <w:rFonts w:cs="Times New Roman"/>
              </w:rPr>
              <w:t xml:space="preserve">41 (2) </w:t>
            </w:r>
            <w:r w:rsidRPr="00203EB0">
              <w:rPr>
                <w:rFonts w:cs="Times New Roman"/>
                <w:vertAlign w:val="superscript"/>
              </w:rPr>
              <w:t>b</w:t>
            </w:r>
          </w:p>
        </w:tc>
      </w:tr>
      <w:tr w:rsidR="00F32F41" w:rsidRPr="00203EB0" w14:paraId="1DEB0177" w14:textId="77777777" w:rsidTr="00F32F41">
        <w:tc>
          <w:tcPr>
            <w:tcW w:w="1505" w:type="dxa"/>
          </w:tcPr>
          <w:p w14:paraId="4FF81807" w14:textId="77777777" w:rsidR="00F32F41" w:rsidRPr="00203EB0" w:rsidRDefault="00F32F41" w:rsidP="00652800">
            <w:pPr>
              <w:rPr>
                <w:rFonts w:cs="Times New Roman"/>
              </w:rPr>
            </w:pPr>
          </w:p>
        </w:tc>
        <w:tc>
          <w:tcPr>
            <w:tcW w:w="1244" w:type="dxa"/>
          </w:tcPr>
          <w:p w14:paraId="7BBEA4F9" w14:textId="77777777" w:rsidR="00F32F41" w:rsidRPr="00203EB0" w:rsidRDefault="00F32F41" w:rsidP="00652800">
            <w:pPr>
              <w:rPr>
                <w:rFonts w:cs="Times New Roman"/>
              </w:rPr>
            </w:pPr>
          </w:p>
        </w:tc>
        <w:tc>
          <w:tcPr>
            <w:tcW w:w="1233" w:type="dxa"/>
          </w:tcPr>
          <w:p w14:paraId="5BCBE75B" w14:textId="77777777" w:rsidR="00F32F41" w:rsidRPr="00203EB0" w:rsidRDefault="00F32F41" w:rsidP="00652800">
            <w:pPr>
              <w:rPr>
                <w:rFonts w:cs="Times New Roman"/>
              </w:rPr>
            </w:pPr>
          </w:p>
        </w:tc>
        <w:tc>
          <w:tcPr>
            <w:tcW w:w="1233" w:type="dxa"/>
          </w:tcPr>
          <w:p w14:paraId="3877747D" w14:textId="77777777" w:rsidR="00F32F41" w:rsidRPr="00203EB0" w:rsidRDefault="00F32F41" w:rsidP="00652800">
            <w:pPr>
              <w:rPr>
                <w:rFonts w:cs="Times New Roman"/>
              </w:rPr>
            </w:pPr>
          </w:p>
        </w:tc>
        <w:tc>
          <w:tcPr>
            <w:tcW w:w="1233" w:type="dxa"/>
          </w:tcPr>
          <w:p w14:paraId="59BC9E80" w14:textId="77777777" w:rsidR="00F32F41" w:rsidRPr="00203EB0" w:rsidRDefault="00F32F41" w:rsidP="00652800">
            <w:pPr>
              <w:rPr>
                <w:rFonts w:cs="Times New Roman"/>
              </w:rPr>
            </w:pPr>
          </w:p>
        </w:tc>
        <w:tc>
          <w:tcPr>
            <w:tcW w:w="1233" w:type="dxa"/>
          </w:tcPr>
          <w:p w14:paraId="34196C18" w14:textId="77777777" w:rsidR="00F32F41" w:rsidRPr="00203EB0" w:rsidRDefault="00F32F41" w:rsidP="00652800">
            <w:pPr>
              <w:rPr>
                <w:rFonts w:cs="Times New Roman"/>
              </w:rPr>
            </w:pPr>
          </w:p>
        </w:tc>
        <w:tc>
          <w:tcPr>
            <w:tcW w:w="1234" w:type="dxa"/>
          </w:tcPr>
          <w:p w14:paraId="4E549528" w14:textId="77777777" w:rsidR="00F32F41" w:rsidRPr="00203EB0" w:rsidRDefault="00F32F41" w:rsidP="00652800">
            <w:pPr>
              <w:rPr>
                <w:rFonts w:cs="Times New Roman"/>
              </w:rPr>
            </w:pPr>
          </w:p>
        </w:tc>
      </w:tr>
      <w:tr w:rsidR="00F32F41" w:rsidRPr="00203EB0" w14:paraId="7B71B355" w14:textId="77777777" w:rsidTr="00F32F41">
        <w:tc>
          <w:tcPr>
            <w:tcW w:w="1505" w:type="dxa"/>
          </w:tcPr>
          <w:p w14:paraId="5BA3F537" w14:textId="77777777" w:rsidR="00F32F41" w:rsidRPr="00203EB0" w:rsidRDefault="00F32F41" w:rsidP="00652800">
            <w:pPr>
              <w:rPr>
                <w:rFonts w:cs="Times New Roman"/>
              </w:rPr>
            </w:pPr>
            <w:r w:rsidRPr="00203EB0">
              <w:rPr>
                <w:rFonts w:cs="Times New Roman"/>
              </w:rPr>
              <w:t>NC + 0 N</w:t>
            </w:r>
          </w:p>
        </w:tc>
        <w:tc>
          <w:tcPr>
            <w:tcW w:w="1244" w:type="dxa"/>
            <w:vAlign w:val="center"/>
          </w:tcPr>
          <w:p w14:paraId="3C0327A8" w14:textId="77777777" w:rsidR="00F32F41" w:rsidRPr="00203EB0" w:rsidRDefault="00F32F41" w:rsidP="00652800">
            <w:pPr>
              <w:jc w:val="center"/>
              <w:rPr>
                <w:rFonts w:cs="Times New Roman"/>
              </w:rPr>
            </w:pPr>
            <w:r w:rsidRPr="00203EB0">
              <w:rPr>
                <w:rFonts w:cs="Times New Roman"/>
              </w:rPr>
              <w:t>50%</w:t>
            </w:r>
          </w:p>
        </w:tc>
        <w:tc>
          <w:tcPr>
            <w:tcW w:w="1233" w:type="dxa"/>
          </w:tcPr>
          <w:p w14:paraId="6015285A" w14:textId="77777777" w:rsidR="00F32F41" w:rsidRPr="00203EB0" w:rsidRDefault="00F32F41" w:rsidP="00652800">
            <w:pPr>
              <w:rPr>
                <w:rFonts w:cs="Times New Roman"/>
              </w:rPr>
            </w:pPr>
            <w:r w:rsidRPr="00203EB0">
              <w:rPr>
                <w:rFonts w:cs="Times New Roman"/>
              </w:rPr>
              <w:t xml:space="preserve">13 (1) </w:t>
            </w:r>
            <w:r w:rsidRPr="00203EB0">
              <w:rPr>
                <w:rFonts w:cs="Times New Roman"/>
                <w:vertAlign w:val="superscript"/>
              </w:rPr>
              <w:t>e</w:t>
            </w:r>
          </w:p>
        </w:tc>
        <w:tc>
          <w:tcPr>
            <w:tcW w:w="1233" w:type="dxa"/>
          </w:tcPr>
          <w:p w14:paraId="26B9FA1C" w14:textId="77777777" w:rsidR="00F32F41" w:rsidRPr="00203EB0" w:rsidRDefault="00F32F41" w:rsidP="00652800">
            <w:pPr>
              <w:rPr>
                <w:rFonts w:cs="Times New Roman"/>
              </w:rPr>
            </w:pPr>
            <w:r w:rsidRPr="00203EB0">
              <w:rPr>
                <w:rFonts w:cs="Times New Roman"/>
              </w:rPr>
              <w:t xml:space="preserve">4 (0) </w:t>
            </w:r>
            <w:r w:rsidRPr="00203EB0">
              <w:rPr>
                <w:rFonts w:cs="Times New Roman"/>
                <w:vertAlign w:val="superscript"/>
              </w:rPr>
              <w:t>d</w:t>
            </w:r>
          </w:p>
        </w:tc>
        <w:tc>
          <w:tcPr>
            <w:tcW w:w="1233" w:type="dxa"/>
          </w:tcPr>
          <w:p w14:paraId="47BCCFD9" w14:textId="77777777" w:rsidR="00F32F41" w:rsidRPr="00203EB0" w:rsidRDefault="00F32F41" w:rsidP="00652800">
            <w:pPr>
              <w:rPr>
                <w:rFonts w:cs="Times New Roman"/>
              </w:rPr>
            </w:pPr>
            <w:r w:rsidRPr="00203EB0">
              <w:rPr>
                <w:rFonts w:cs="Times New Roman"/>
              </w:rPr>
              <w:t xml:space="preserve">5 (1) </w:t>
            </w:r>
            <w:r w:rsidRPr="00203EB0">
              <w:rPr>
                <w:rFonts w:cs="Times New Roman"/>
                <w:vertAlign w:val="superscript"/>
              </w:rPr>
              <w:t>e</w:t>
            </w:r>
          </w:p>
        </w:tc>
        <w:tc>
          <w:tcPr>
            <w:tcW w:w="1233" w:type="dxa"/>
          </w:tcPr>
          <w:p w14:paraId="317EA335" w14:textId="77777777" w:rsidR="00F32F41" w:rsidRPr="00203EB0" w:rsidRDefault="00F32F41" w:rsidP="00652800">
            <w:pPr>
              <w:rPr>
                <w:rFonts w:cs="Times New Roman"/>
              </w:rPr>
            </w:pPr>
            <w:r w:rsidRPr="00203EB0">
              <w:rPr>
                <w:rFonts w:cs="Times New Roman"/>
              </w:rPr>
              <w:t xml:space="preserve">2 (1) </w:t>
            </w:r>
            <w:r w:rsidRPr="00203EB0">
              <w:rPr>
                <w:rFonts w:cs="Times New Roman"/>
                <w:vertAlign w:val="superscript"/>
              </w:rPr>
              <w:t>b</w:t>
            </w:r>
          </w:p>
        </w:tc>
        <w:tc>
          <w:tcPr>
            <w:tcW w:w="1234" w:type="dxa"/>
          </w:tcPr>
          <w:p w14:paraId="6247E6E4" w14:textId="77777777" w:rsidR="00F32F41" w:rsidRPr="00203EB0" w:rsidRDefault="00F32F41" w:rsidP="00652800">
            <w:pPr>
              <w:rPr>
                <w:rFonts w:cs="Times New Roman"/>
              </w:rPr>
            </w:pPr>
            <w:r w:rsidRPr="00203EB0">
              <w:rPr>
                <w:rFonts w:cs="Times New Roman"/>
              </w:rPr>
              <w:t xml:space="preserve">4 (1) </w:t>
            </w:r>
            <w:r w:rsidRPr="00203EB0">
              <w:rPr>
                <w:rFonts w:cs="Times New Roman"/>
                <w:vertAlign w:val="superscript"/>
              </w:rPr>
              <w:t>c</w:t>
            </w:r>
          </w:p>
        </w:tc>
      </w:tr>
      <w:tr w:rsidR="00F32F41" w:rsidRPr="00203EB0" w14:paraId="7CA1C417" w14:textId="77777777" w:rsidTr="00F32F41">
        <w:tc>
          <w:tcPr>
            <w:tcW w:w="1505" w:type="dxa"/>
            <w:tcBorders>
              <w:bottom w:val="single" w:sz="12" w:space="0" w:color="auto"/>
            </w:tcBorders>
          </w:tcPr>
          <w:p w14:paraId="53F9C368" w14:textId="77777777" w:rsidR="00F32F41" w:rsidRPr="00203EB0" w:rsidRDefault="00F32F41" w:rsidP="00652800">
            <w:pPr>
              <w:rPr>
                <w:rFonts w:cs="Times New Roman"/>
              </w:rPr>
            </w:pPr>
            <w:r w:rsidRPr="00203EB0">
              <w:rPr>
                <w:rFonts w:cs="Times New Roman"/>
              </w:rPr>
              <w:t>NC + 0 N</w:t>
            </w:r>
          </w:p>
        </w:tc>
        <w:tc>
          <w:tcPr>
            <w:tcW w:w="1244" w:type="dxa"/>
            <w:tcBorders>
              <w:bottom w:val="single" w:sz="12" w:space="0" w:color="auto"/>
            </w:tcBorders>
            <w:vAlign w:val="center"/>
          </w:tcPr>
          <w:p w14:paraId="2FCA4C9E" w14:textId="77777777" w:rsidR="00F32F41" w:rsidRPr="00203EB0" w:rsidRDefault="00F32F41" w:rsidP="00652800">
            <w:pPr>
              <w:jc w:val="center"/>
              <w:rPr>
                <w:rFonts w:cs="Times New Roman"/>
              </w:rPr>
            </w:pPr>
            <w:r w:rsidRPr="00203EB0">
              <w:rPr>
                <w:rFonts w:cs="Times New Roman"/>
              </w:rPr>
              <w:t>80%</w:t>
            </w:r>
          </w:p>
        </w:tc>
        <w:tc>
          <w:tcPr>
            <w:tcW w:w="1233" w:type="dxa"/>
            <w:tcBorders>
              <w:bottom w:val="single" w:sz="12" w:space="0" w:color="auto"/>
            </w:tcBorders>
          </w:tcPr>
          <w:p w14:paraId="7EEA0915" w14:textId="77777777" w:rsidR="00F32F41" w:rsidRPr="00203EB0" w:rsidRDefault="00F32F41" w:rsidP="00652800">
            <w:pPr>
              <w:rPr>
                <w:rFonts w:cs="Times New Roman"/>
              </w:rPr>
            </w:pPr>
            <w:r w:rsidRPr="00203EB0">
              <w:rPr>
                <w:rFonts w:cs="Times New Roman"/>
              </w:rPr>
              <w:t xml:space="preserve">35 (0) </w:t>
            </w:r>
            <w:r w:rsidRPr="00203EB0">
              <w:rPr>
                <w:rFonts w:cs="Times New Roman"/>
                <w:vertAlign w:val="superscript"/>
              </w:rPr>
              <w:t>c</w:t>
            </w:r>
          </w:p>
        </w:tc>
        <w:tc>
          <w:tcPr>
            <w:tcW w:w="1233" w:type="dxa"/>
            <w:tcBorders>
              <w:bottom w:val="single" w:sz="12" w:space="0" w:color="auto"/>
            </w:tcBorders>
          </w:tcPr>
          <w:p w14:paraId="736B79F7" w14:textId="77777777" w:rsidR="00F32F41" w:rsidRPr="00203EB0" w:rsidRDefault="00F32F41" w:rsidP="00652800">
            <w:pPr>
              <w:rPr>
                <w:rFonts w:cs="Times New Roman"/>
              </w:rPr>
            </w:pPr>
            <w:r w:rsidRPr="00203EB0">
              <w:rPr>
                <w:rFonts w:cs="Times New Roman"/>
              </w:rPr>
              <w:t xml:space="preserve">29 (13) </w:t>
            </w:r>
            <w:proofErr w:type="spellStart"/>
            <w:r w:rsidRPr="00203EB0">
              <w:rPr>
                <w:rFonts w:cs="Times New Roman"/>
                <w:vertAlign w:val="superscript"/>
              </w:rPr>
              <w:t>bc</w:t>
            </w:r>
            <w:proofErr w:type="spellEnd"/>
          </w:p>
        </w:tc>
        <w:tc>
          <w:tcPr>
            <w:tcW w:w="1233" w:type="dxa"/>
            <w:tcBorders>
              <w:bottom w:val="single" w:sz="12" w:space="0" w:color="auto"/>
            </w:tcBorders>
          </w:tcPr>
          <w:p w14:paraId="7D32E500" w14:textId="77777777" w:rsidR="00F32F41" w:rsidRPr="00203EB0" w:rsidRDefault="00F32F41" w:rsidP="00652800">
            <w:pPr>
              <w:rPr>
                <w:rFonts w:cs="Times New Roman"/>
              </w:rPr>
            </w:pPr>
            <w:r w:rsidRPr="00203EB0">
              <w:rPr>
                <w:rFonts w:cs="Times New Roman"/>
              </w:rPr>
              <w:t xml:space="preserve">22 (4) </w:t>
            </w:r>
            <w:proofErr w:type="spellStart"/>
            <w:r w:rsidRPr="00203EB0">
              <w:rPr>
                <w:rFonts w:cs="Times New Roman"/>
                <w:vertAlign w:val="superscript"/>
              </w:rPr>
              <w:t>bc</w:t>
            </w:r>
            <w:proofErr w:type="spellEnd"/>
          </w:p>
        </w:tc>
        <w:tc>
          <w:tcPr>
            <w:tcW w:w="1233" w:type="dxa"/>
            <w:tcBorders>
              <w:bottom w:val="single" w:sz="12" w:space="0" w:color="auto"/>
            </w:tcBorders>
          </w:tcPr>
          <w:p w14:paraId="24881CF9" w14:textId="77777777" w:rsidR="00F32F41" w:rsidRPr="00203EB0" w:rsidRDefault="00F32F41" w:rsidP="00652800">
            <w:pPr>
              <w:rPr>
                <w:rFonts w:cs="Times New Roman"/>
              </w:rPr>
            </w:pPr>
            <w:r w:rsidRPr="00203EB0">
              <w:rPr>
                <w:rFonts w:cs="Times New Roman"/>
              </w:rPr>
              <w:t xml:space="preserve">14 (5) </w:t>
            </w:r>
            <w:r w:rsidRPr="00203EB0">
              <w:rPr>
                <w:rFonts w:cs="Times New Roman"/>
                <w:vertAlign w:val="superscript"/>
              </w:rPr>
              <w:t>b</w:t>
            </w:r>
          </w:p>
        </w:tc>
        <w:tc>
          <w:tcPr>
            <w:tcW w:w="1234" w:type="dxa"/>
            <w:tcBorders>
              <w:bottom w:val="single" w:sz="12" w:space="0" w:color="auto"/>
            </w:tcBorders>
          </w:tcPr>
          <w:p w14:paraId="14CC4C8F" w14:textId="77777777" w:rsidR="00F32F41" w:rsidRPr="00203EB0" w:rsidRDefault="00F32F41" w:rsidP="00652800">
            <w:pPr>
              <w:rPr>
                <w:rFonts w:cs="Times New Roman"/>
              </w:rPr>
            </w:pPr>
            <w:r w:rsidRPr="00203EB0">
              <w:rPr>
                <w:rFonts w:cs="Times New Roman"/>
              </w:rPr>
              <w:t xml:space="preserve">44 (3) </w:t>
            </w:r>
            <w:r w:rsidRPr="00203EB0">
              <w:rPr>
                <w:rFonts w:cs="Times New Roman"/>
                <w:vertAlign w:val="superscript"/>
              </w:rPr>
              <w:t>b</w:t>
            </w:r>
          </w:p>
        </w:tc>
      </w:tr>
    </w:tbl>
    <w:p w14:paraId="488A33BD" w14:textId="77777777" w:rsidR="00F32F41" w:rsidRPr="00203EB0" w:rsidRDefault="00F32F41" w:rsidP="00F32F41">
      <w:pPr>
        <w:rPr>
          <w:rFonts w:cs="Times New Roman"/>
          <w:sz w:val="20"/>
          <w:szCs w:val="20"/>
        </w:rPr>
      </w:pPr>
      <w:r w:rsidRPr="00203EB0">
        <w:rPr>
          <w:rFonts w:cs="Times New Roman"/>
          <w:sz w:val="20"/>
          <w:szCs w:val="20"/>
        </w:rPr>
        <w:t>*Values are means and standard errors in parenthesis. Lowercase letters indicate significant differences among the treatments (</w:t>
      </w:r>
      <w:r w:rsidRPr="00203EB0">
        <w:rPr>
          <w:rFonts w:cs="Times New Roman"/>
          <w:i/>
          <w:sz w:val="20"/>
          <w:szCs w:val="20"/>
        </w:rPr>
        <w:t>p</w:t>
      </w:r>
      <w:r w:rsidRPr="00203EB0">
        <w:rPr>
          <w:rFonts w:cs="Times New Roman"/>
          <w:sz w:val="20"/>
          <w:szCs w:val="20"/>
        </w:rPr>
        <w:t xml:space="preserve"> &lt; 0.05) within a column. HV: Hairy vetch, WW: Winter wheat, NC: No cover crop, NC + 0 N: Control</w:t>
      </w:r>
    </w:p>
    <w:p w14:paraId="25BC926D" w14:textId="77777777" w:rsidR="00F32F41" w:rsidRDefault="00F32F41" w:rsidP="00F32F41"/>
    <w:p w14:paraId="7A536505" w14:textId="77777777" w:rsidR="00B533CB" w:rsidRDefault="00B533CB" w:rsidP="00F32F41"/>
    <w:p w14:paraId="70BD2864" w14:textId="77777777" w:rsidR="00B533CB" w:rsidRDefault="00B533CB" w:rsidP="00F32F41"/>
    <w:p w14:paraId="75231ADC" w14:textId="77777777" w:rsidR="00B533CB" w:rsidRDefault="00B533CB" w:rsidP="00F32F41"/>
    <w:p w14:paraId="5B2AEA06" w14:textId="77777777" w:rsidR="00B533CB" w:rsidRDefault="00B533CB" w:rsidP="00F32F41"/>
    <w:p w14:paraId="2DE9BFA1" w14:textId="77777777" w:rsidR="00B533CB" w:rsidRDefault="00B533CB" w:rsidP="00F32F41"/>
    <w:p w14:paraId="56836EA8" w14:textId="77777777" w:rsidR="00B533CB" w:rsidRDefault="00B533CB" w:rsidP="00F32F41"/>
    <w:p w14:paraId="3DE42A48" w14:textId="77777777" w:rsidR="00B533CB" w:rsidRPr="00203EB0" w:rsidRDefault="00B533CB" w:rsidP="00F32F41"/>
    <w:p w14:paraId="6B9DD2E6" w14:textId="23002478" w:rsidR="00F32F41" w:rsidRPr="00203EB0" w:rsidRDefault="00F32F41" w:rsidP="00001ABC">
      <w:pPr>
        <w:pStyle w:val="Caption"/>
      </w:pPr>
      <w:bookmarkStart w:id="70" w:name="_Toc206669222"/>
      <w:r w:rsidRPr="00203EB0">
        <w:rPr>
          <w:b/>
          <w:bCs/>
        </w:rPr>
        <w:lastRenderedPageBreak/>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4</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3</w:t>
      </w:r>
      <w:r w:rsidR="00775F57" w:rsidRPr="00203EB0">
        <w:rPr>
          <w:b/>
          <w:bCs/>
        </w:rPr>
        <w:fldChar w:fldCharType="end"/>
      </w:r>
      <w:r w:rsidRPr="00203EB0">
        <w:rPr>
          <w:b/>
          <w:bCs/>
        </w:rPr>
        <w:t>:</w:t>
      </w:r>
      <w:r w:rsidRPr="00203EB0">
        <w:t xml:space="preserve"> Soil permanganate oxidizable carbon (POXC) over the incubation period for four cover crop treatments at 50% and 80% WFPS.</w:t>
      </w:r>
      <w:bookmarkEnd w:id="70"/>
      <w:r w:rsidRPr="00203EB0">
        <w:t xml:space="preserve"> </w:t>
      </w:r>
    </w:p>
    <w:tbl>
      <w:tblPr>
        <w:tblStyle w:val="TableGrid"/>
        <w:tblW w:w="918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5"/>
        <w:gridCol w:w="1036"/>
        <w:gridCol w:w="1321"/>
        <w:gridCol w:w="1333"/>
        <w:gridCol w:w="1260"/>
        <w:gridCol w:w="1260"/>
        <w:gridCol w:w="1350"/>
      </w:tblGrid>
      <w:tr w:rsidR="00F32F41" w:rsidRPr="00203EB0" w14:paraId="697930A3" w14:textId="77777777" w:rsidTr="00F32F41">
        <w:tc>
          <w:tcPr>
            <w:tcW w:w="1625" w:type="dxa"/>
            <w:vMerge w:val="restart"/>
            <w:tcBorders>
              <w:top w:val="single" w:sz="12" w:space="0" w:color="auto"/>
            </w:tcBorders>
            <w:vAlign w:val="center"/>
          </w:tcPr>
          <w:p w14:paraId="419372B2" w14:textId="77777777" w:rsidR="00F32F41" w:rsidRPr="00203EB0" w:rsidRDefault="00F32F41" w:rsidP="00652800">
            <w:pPr>
              <w:jc w:val="center"/>
              <w:rPr>
                <w:rFonts w:cs="Times New Roman"/>
                <w:b/>
              </w:rPr>
            </w:pPr>
            <w:r w:rsidRPr="00203EB0">
              <w:rPr>
                <w:rFonts w:cs="Times New Roman"/>
                <w:b/>
              </w:rPr>
              <w:t>Cover Crop</w:t>
            </w:r>
          </w:p>
        </w:tc>
        <w:tc>
          <w:tcPr>
            <w:tcW w:w="1036" w:type="dxa"/>
            <w:vMerge w:val="restart"/>
            <w:tcBorders>
              <w:top w:val="single" w:sz="12" w:space="0" w:color="auto"/>
            </w:tcBorders>
            <w:vAlign w:val="center"/>
          </w:tcPr>
          <w:p w14:paraId="50A3E8A3" w14:textId="77777777" w:rsidR="00F32F41" w:rsidRPr="00203EB0" w:rsidRDefault="00F32F41" w:rsidP="00652800">
            <w:pPr>
              <w:jc w:val="center"/>
              <w:rPr>
                <w:rFonts w:cs="Times New Roman"/>
                <w:b/>
              </w:rPr>
            </w:pPr>
            <w:r w:rsidRPr="00203EB0">
              <w:rPr>
                <w:rFonts w:cs="Times New Roman"/>
                <w:b/>
              </w:rPr>
              <w:t>WFPS</w:t>
            </w:r>
          </w:p>
        </w:tc>
        <w:tc>
          <w:tcPr>
            <w:tcW w:w="6524" w:type="dxa"/>
            <w:gridSpan w:val="5"/>
            <w:tcBorders>
              <w:top w:val="single" w:sz="12" w:space="0" w:color="auto"/>
            </w:tcBorders>
          </w:tcPr>
          <w:p w14:paraId="3B20841D" w14:textId="77777777" w:rsidR="00F32F41" w:rsidRPr="00203EB0" w:rsidRDefault="00F32F41" w:rsidP="00652800">
            <w:pPr>
              <w:jc w:val="center"/>
              <w:rPr>
                <w:rFonts w:cs="Times New Roman"/>
                <w:b/>
              </w:rPr>
            </w:pPr>
            <w:r w:rsidRPr="00203EB0">
              <w:rPr>
                <w:rFonts w:cs="Times New Roman"/>
                <w:b/>
              </w:rPr>
              <w:t>POXC (mg C kg</w:t>
            </w:r>
            <w:r w:rsidRPr="00203EB0">
              <w:rPr>
                <w:rFonts w:cs="Times New Roman"/>
                <w:b/>
                <w:vertAlign w:val="superscript"/>
              </w:rPr>
              <w:t>-1</w:t>
            </w:r>
            <w:r w:rsidRPr="00203EB0">
              <w:rPr>
                <w:rFonts w:cs="Times New Roman"/>
                <w:b/>
              </w:rPr>
              <w:t xml:space="preserve"> soil)</w:t>
            </w:r>
          </w:p>
        </w:tc>
      </w:tr>
      <w:tr w:rsidR="00F32F41" w:rsidRPr="00203EB0" w14:paraId="00265967" w14:textId="77777777" w:rsidTr="00F32F41">
        <w:tc>
          <w:tcPr>
            <w:tcW w:w="1625" w:type="dxa"/>
            <w:vMerge/>
            <w:tcBorders>
              <w:bottom w:val="single" w:sz="12" w:space="0" w:color="auto"/>
            </w:tcBorders>
          </w:tcPr>
          <w:p w14:paraId="694BD0D4" w14:textId="77777777" w:rsidR="00F32F41" w:rsidRPr="00203EB0" w:rsidRDefault="00F32F41" w:rsidP="00652800">
            <w:pPr>
              <w:rPr>
                <w:rFonts w:cs="Times New Roman"/>
              </w:rPr>
            </w:pPr>
          </w:p>
        </w:tc>
        <w:tc>
          <w:tcPr>
            <w:tcW w:w="1036" w:type="dxa"/>
            <w:vMerge/>
            <w:tcBorders>
              <w:bottom w:val="single" w:sz="12" w:space="0" w:color="auto"/>
            </w:tcBorders>
          </w:tcPr>
          <w:p w14:paraId="1C973946" w14:textId="77777777" w:rsidR="00F32F41" w:rsidRPr="00203EB0" w:rsidRDefault="00F32F41" w:rsidP="00652800">
            <w:pPr>
              <w:rPr>
                <w:rFonts w:cs="Times New Roman"/>
              </w:rPr>
            </w:pPr>
          </w:p>
        </w:tc>
        <w:tc>
          <w:tcPr>
            <w:tcW w:w="1321" w:type="dxa"/>
            <w:tcBorders>
              <w:bottom w:val="single" w:sz="12" w:space="0" w:color="auto"/>
            </w:tcBorders>
          </w:tcPr>
          <w:p w14:paraId="707CE740" w14:textId="77777777" w:rsidR="00F32F41" w:rsidRPr="00203EB0" w:rsidRDefault="00F32F41" w:rsidP="00652800">
            <w:pPr>
              <w:jc w:val="center"/>
              <w:rPr>
                <w:rFonts w:cs="Times New Roman"/>
                <w:b/>
              </w:rPr>
            </w:pPr>
            <w:r w:rsidRPr="00203EB0">
              <w:rPr>
                <w:rFonts w:cs="Times New Roman"/>
                <w:b/>
              </w:rPr>
              <w:t>Day 2</w:t>
            </w:r>
          </w:p>
        </w:tc>
        <w:tc>
          <w:tcPr>
            <w:tcW w:w="1333" w:type="dxa"/>
            <w:tcBorders>
              <w:bottom w:val="single" w:sz="12" w:space="0" w:color="auto"/>
            </w:tcBorders>
          </w:tcPr>
          <w:p w14:paraId="02C084A1" w14:textId="77777777" w:rsidR="00F32F41" w:rsidRPr="00203EB0" w:rsidRDefault="00F32F41" w:rsidP="00652800">
            <w:pPr>
              <w:jc w:val="center"/>
              <w:rPr>
                <w:rFonts w:cs="Times New Roman"/>
                <w:b/>
              </w:rPr>
            </w:pPr>
            <w:r w:rsidRPr="00203EB0">
              <w:rPr>
                <w:rFonts w:cs="Times New Roman"/>
                <w:b/>
              </w:rPr>
              <w:t>Day 7</w:t>
            </w:r>
          </w:p>
        </w:tc>
        <w:tc>
          <w:tcPr>
            <w:tcW w:w="1260" w:type="dxa"/>
            <w:tcBorders>
              <w:bottom w:val="single" w:sz="12" w:space="0" w:color="auto"/>
            </w:tcBorders>
          </w:tcPr>
          <w:p w14:paraId="2EACCA10" w14:textId="77777777" w:rsidR="00F32F41" w:rsidRPr="00203EB0" w:rsidRDefault="00F32F41" w:rsidP="00652800">
            <w:pPr>
              <w:jc w:val="center"/>
              <w:rPr>
                <w:rFonts w:cs="Times New Roman"/>
                <w:b/>
              </w:rPr>
            </w:pPr>
            <w:r w:rsidRPr="00203EB0">
              <w:rPr>
                <w:rFonts w:cs="Times New Roman"/>
                <w:b/>
              </w:rPr>
              <w:t>Day 11</w:t>
            </w:r>
          </w:p>
        </w:tc>
        <w:tc>
          <w:tcPr>
            <w:tcW w:w="1260" w:type="dxa"/>
            <w:tcBorders>
              <w:bottom w:val="single" w:sz="12" w:space="0" w:color="auto"/>
            </w:tcBorders>
          </w:tcPr>
          <w:p w14:paraId="35D09CC9" w14:textId="77777777" w:rsidR="00F32F41" w:rsidRPr="00203EB0" w:rsidRDefault="00F32F41" w:rsidP="00652800">
            <w:pPr>
              <w:jc w:val="center"/>
              <w:rPr>
                <w:rFonts w:cs="Times New Roman"/>
                <w:b/>
              </w:rPr>
            </w:pPr>
            <w:r w:rsidRPr="00203EB0">
              <w:rPr>
                <w:rFonts w:cs="Times New Roman"/>
                <w:b/>
              </w:rPr>
              <w:t>Day 16</w:t>
            </w:r>
          </w:p>
        </w:tc>
        <w:tc>
          <w:tcPr>
            <w:tcW w:w="1350" w:type="dxa"/>
            <w:tcBorders>
              <w:bottom w:val="single" w:sz="12" w:space="0" w:color="auto"/>
            </w:tcBorders>
          </w:tcPr>
          <w:p w14:paraId="1F1B94C0" w14:textId="77777777" w:rsidR="00F32F41" w:rsidRPr="00203EB0" w:rsidRDefault="00F32F41" w:rsidP="00652800">
            <w:pPr>
              <w:jc w:val="center"/>
              <w:rPr>
                <w:rFonts w:cs="Times New Roman"/>
                <w:b/>
              </w:rPr>
            </w:pPr>
            <w:r w:rsidRPr="00203EB0">
              <w:rPr>
                <w:rFonts w:cs="Times New Roman"/>
                <w:b/>
              </w:rPr>
              <w:t>Day 21</w:t>
            </w:r>
          </w:p>
        </w:tc>
      </w:tr>
      <w:tr w:rsidR="00F32F41" w:rsidRPr="00203EB0" w14:paraId="2E10C7CB" w14:textId="77777777" w:rsidTr="00F32F41">
        <w:tc>
          <w:tcPr>
            <w:tcW w:w="1625" w:type="dxa"/>
            <w:tcBorders>
              <w:top w:val="single" w:sz="12" w:space="0" w:color="auto"/>
            </w:tcBorders>
          </w:tcPr>
          <w:p w14:paraId="5A407B1D" w14:textId="77777777" w:rsidR="00F32F41" w:rsidRPr="00203EB0" w:rsidRDefault="00F32F41" w:rsidP="00652800">
            <w:pPr>
              <w:rPr>
                <w:rFonts w:cs="Times New Roman"/>
              </w:rPr>
            </w:pPr>
            <w:r w:rsidRPr="00203EB0">
              <w:rPr>
                <w:rFonts w:cs="Times New Roman"/>
              </w:rPr>
              <w:t>HV + 160 N</w:t>
            </w:r>
          </w:p>
        </w:tc>
        <w:tc>
          <w:tcPr>
            <w:tcW w:w="1036" w:type="dxa"/>
            <w:tcBorders>
              <w:top w:val="single" w:sz="12" w:space="0" w:color="auto"/>
            </w:tcBorders>
            <w:vAlign w:val="center"/>
          </w:tcPr>
          <w:p w14:paraId="76BFF84D" w14:textId="77777777" w:rsidR="00F32F41" w:rsidRPr="00203EB0" w:rsidRDefault="00F32F41" w:rsidP="00652800">
            <w:pPr>
              <w:jc w:val="center"/>
              <w:rPr>
                <w:rFonts w:cs="Times New Roman"/>
              </w:rPr>
            </w:pPr>
            <w:r w:rsidRPr="00203EB0">
              <w:rPr>
                <w:rFonts w:cs="Times New Roman"/>
              </w:rPr>
              <w:t xml:space="preserve">50% </w:t>
            </w:r>
          </w:p>
        </w:tc>
        <w:tc>
          <w:tcPr>
            <w:tcW w:w="1321" w:type="dxa"/>
            <w:tcBorders>
              <w:top w:val="single" w:sz="12" w:space="0" w:color="auto"/>
            </w:tcBorders>
          </w:tcPr>
          <w:p w14:paraId="3DA5985C" w14:textId="77777777" w:rsidR="00F32F41" w:rsidRPr="00203EB0" w:rsidRDefault="00F32F41" w:rsidP="00652800">
            <w:pPr>
              <w:rPr>
                <w:rFonts w:cs="Times New Roman"/>
              </w:rPr>
            </w:pPr>
            <w:r w:rsidRPr="00203EB0">
              <w:rPr>
                <w:rFonts w:cs="Times New Roman"/>
              </w:rPr>
              <w:t xml:space="preserve">679 (24) </w:t>
            </w:r>
            <w:r w:rsidRPr="00203EB0">
              <w:rPr>
                <w:rFonts w:cs="Times New Roman"/>
                <w:vertAlign w:val="superscript"/>
              </w:rPr>
              <w:t>c</w:t>
            </w:r>
          </w:p>
        </w:tc>
        <w:tc>
          <w:tcPr>
            <w:tcW w:w="1333" w:type="dxa"/>
            <w:tcBorders>
              <w:top w:val="single" w:sz="12" w:space="0" w:color="auto"/>
            </w:tcBorders>
          </w:tcPr>
          <w:p w14:paraId="14D2DAF7" w14:textId="77777777" w:rsidR="00F32F41" w:rsidRPr="00203EB0" w:rsidRDefault="00F32F41" w:rsidP="00652800">
            <w:pPr>
              <w:rPr>
                <w:rFonts w:cs="Times New Roman"/>
              </w:rPr>
            </w:pPr>
            <w:r w:rsidRPr="00203EB0">
              <w:rPr>
                <w:rFonts w:cs="Times New Roman"/>
              </w:rPr>
              <w:t xml:space="preserve">686 (22) </w:t>
            </w:r>
            <w:r w:rsidRPr="00203EB0">
              <w:rPr>
                <w:rFonts w:cs="Times New Roman"/>
                <w:vertAlign w:val="superscript"/>
              </w:rPr>
              <w:t>c</w:t>
            </w:r>
          </w:p>
        </w:tc>
        <w:tc>
          <w:tcPr>
            <w:tcW w:w="1260" w:type="dxa"/>
            <w:tcBorders>
              <w:top w:val="single" w:sz="12" w:space="0" w:color="auto"/>
            </w:tcBorders>
          </w:tcPr>
          <w:p w14:paraId="7826EB87" w14:textId="77777777" w:rsidR="00F32F41" w:rsidRPr="00203EB0" w:rsidRDefault="00F32F41" w:rsidP="00652800">
            <w:pPr>
              <w:rPr>
                <w:rFonts w:cs="Times New Roman"/>
              </w:rPr>
            </w:pPr>
            <w:r w:rsidRPr="00203EB0">
              <w:rPr>
                <w:rFonts w:cs="Times New Roman"/>
              </w:rPr>
              <w:t xml:space="preserve">669 (11) </w:t>
            </w:r>
            <w:proofErr w:type="spellStart"/>
            <w:r w:rsidRPr="00203EB0">
              <w:rPr>
                <w:rFonts w:cs="Times New Roman"/>
                <w:vertAlign w:val="superscript"/>
              </w:rPr>
              <w:t>bc</w:t>
            </w:r>
            <w:proofErr w:type="spellEnd"/>
          </w:p>
        </w:tc>
        <w:tc>
          <w:tcPr>
            <w:tcW w:w="1260" w:type="dxa"/>
            <w:tcBorders>
              <w:top w:val="single" w:sz="12" w:space="0" w:color="auto"/>
            </w:tcBorders>
          </w:tcPr>
          <w:p w14:paraId="082683EC" w14:textId="77777777" w:rsidR="00F32F41" w:rsidRPr="00203EB0" w:rsidRDefault="00F32F41" w:rsidP="00652800">
            <w:pPr>
              <w:rPr>
                <w:rFonts w:cs="Times New Roman"/>
              </w:rPr>
            </w:pPr>
            <w:r w:rsidRPr="00203EB0">
              <w:rPr>
                <w:rFonts w:cs="Times New Roman"/>
              </w:rPr>
              <w:t xml:space="preserve">691 (15) </w:t>
            </w:r>
            <w:r w:rsidRPr="00203EB0">
              <w:rPr>
                <w:rFonts w:cs="Times New Roman"/>
                <w:vertAlign w:val="superscript"/>
              </w:rPr>
              <w:t>ab</w:t>
            </w:r>
          </w:p>
        </w:tc>
        <w:tc>
          <w:tcPr>
            <w:tcW w:w="1350" w:type="dxa"/>
            <w:tcBorders>
              <w:top w:val="single" w:sz="12" w:space="0" w:color="auto"/>
            </w:tcBorders>
          </w:tcPr>
          <w:p w14:paraId="489F9B2C" w14:textId="77777777" w:rsidR="00F32F41" w:rsidRPr="00203EB0" w:rsidRDefault="00F32F41" w:rsidP="00652800">
            <w:pPr>
              <w:rPr>
                <w:rFonts w:cs="Times New Roman"/>
              </w:rPr>
            </w:pPr>
            <w:r w:rsidRPr="00203EB0">
              <w:rPr>
                <w:rFonts w:cs="Times New Roman"/>
              </w:rPr>
              <w:t xml:space="preserve">653 (20) </w:t>
            </w:r>
            <w:r w:rsidRPr="00203EB0">
              <w:rPr>
                <w:rFonts w:cs="Times New Roman"/>
                <w:vertAlign w:val="superscript"/>
              </w:rPr>
              <w:t>c</w:t>
            </w:r>
          </w:p>
        </w:tc>
      </w:tr>
      <w:tr w:rsidR="00F32F41" w:rsidRPr="00203EB0" w14:paraId="000163B2" w14:textId="77777777" w:rsidTr="00F32F41">
        <w:tc>
          <w:tcPr>
            <w:tcW w:w="1625" w:type="dxa"/>
          </w:tcPr>
          <w:p w14:paraId="54CD844C" w14:textId="77777777" w:rsidR="00F32F41" w:rsidRPr="00203EB0" w:rsidRDefault="00F32F41" w:rsidP="00652800">
            <w:pPr>
              <w:rPr>
                <w:rFonts w:cs="Times New Roman"/>
              </w:rPr>
            </w:pPr>
            <w:r w:rsidRPr="00203EB0">
              <w:rPr>
                <w:rFonts w:cs="Times New Roman"/>
              </w:rPr>
              <w:t>HV + 160 N</w:t>
            </w:r>
          </w:p>
        </w:tc>
        <w:tc>
          <w:tcPr>
            <w:tcW w:w="1036" w:type="dxa"/>
            <w:vAlign w:val="center"/>
          </w:tcPr>
          <w:p w14:paraId="6B59315F" w14:textId="77777777" w:rsidR="00F32F41" w:rsidRPr="00203EB0" w:rsidRDefault="00F32F41" w:rsidP="00652800">
            <w:pPr>
              <w:jc w:val="center"/>
              <w:rPr>
                <w:rFonts w:cs="Times New Roman"/>
              </w:rPr>
            </w:pPr>
            <w:r w:rsidRPr="00203EB0">
              <w:rPr>
                <w:rFonts w:cs="Times New Roman"/>
              </w:rPr>
              <w:t xml:space="preserve">80% </w:t>
            </w:r>
          </w:p>
        </w:tc>
        <w:tc>
          <w:tcPr>
            <w:tcW w:w="1321" w:type="dxa"/>
          </w:tcPr>
          <w:p w14:paraId="57C7FA94" w14:textId="77777777" w:rsidR="00F32F41" w:rsidRPr="00203EB0" w:rsidRDefault="00F32F41" w:rsidP="00652800">
            <w:pPr>
              <w:rPr>
                <w:rFonts w:cs="Times New Roman"/>
              </w:rPr>
            </w:pPr>
            <w:r w:rsidRPr="00203EB0">
              <w:rPr>
                <w:rFonts w:cs="Times New Roman"/>
              </w:rPr>
              <w:t xml:space="preserve">795 (14) </w:t>
            </w:r>
            <w:r w:rsidRPr="00203EB0">
              <w:rPr>
                <w:rFonts w:cs="Times New Roman"/>
                <w:vertAlign w:val="superscript"/>
              </w:rPr>
              <w:t>a</w:t>
            </w:r>
          </w:p>
        </w:tc>
        <w:tc>
          <w:tcPr>
            <w:tcW w:w="1333" w:type="dxa"/>
          </w:tcPr>
          <w:p w14:paraId="2DE4DD5A" w14:textId="77777777" w:rsidR="00F32F41" w:rsidRPr="00203EB0" w:rsidRDefault="00F32F41" w:rsidP="00652800">
            <w:pPr>
              <w:rPr>
                <w:rFonts w:cs="Times New Roman"/>
              </w:rPr>
            </w:pPr>
            <w:r w:rsidRPr="00203EB0">
              <w:rPr>
                <w:rFonts w:cs="Times New Roman"/>
              </w:rPr>
              <w:t xml:space="preserve">803 (13) </w:t>
            </w:r>
            <w:r w:rsidRPr="00203EB0">
              <w:rPr>
                <w:rFonts w:cs="Times New Roman"/>
                <w:vertAlign w:val="superscript"/>
              </w:rPr>
              <w:t>a</w:t>
            </w:r>
          </w:p>
        </w:tc>
        <w:tc>
          <w:tcPr>
            <w:tcW w:w="1260" w:type="dxa"/>
          </w:tcPr>
          <w:p w14:paraId="400C9A84" w14:textId="77777777" w:rsidR="00F32F41" w:rsidRPr="00203EB0" w:rsidRDefault="00F32F41" w:rsidP="00652800">
            <w:pPr>
              <w:rPr>
                <w:rFonts w:cs="Times New Roman"/>
              </w:rPr>
            </w:pPr>
            <w:r w:rsidRPr="00203EB0">
              <w:rPr>
                <w:rFonts w:cs="Times New Roman"/>
              </w:rPr>
              <w:t xml:space="preserve">744 (21) </w:t>
            </w:r>
            <w:r w:rsidRPr="00203EB0">
              <w:rPr>
                <w:rFonts w:cs="Times New Roman"/>
                <w:vertAlign w:val="superscript"/>
              </w:rPr>
              <w:t>a</w:t>
            </w:r>
          </w:p>
        </w:tc>
        <w:tc>
          <w:tcPr>
            <w:tcW w:w="1260" w:type="dxa"/>
          </w:tcPr>
          <w:p w14:paraId="3E90851B" w14:textId="77777777" w:rsidR="00F32F41" w:rsidRPr="00203EB0" w:rsidRDefault="00F32F41" w:rsidP="00652800">
            <w:pPr>
              <w:rPr>
                <w:rFonts w:cs="Times New Roman"/>
              </w:rPr>
            </w:pPr>
            <w:r w:rsidRPr="00203EB0">
              <w:rPr>
                <w:rFonts w:cs="Times New Roman"/>
              </w:rPr>
              <w:t xml:space="preserve">721 (9) </w:t>
            </w:r>
            <w:r w:rsidRPr="00203EB0">
              <w:rPr>
                <w:rFonts w:cs="Times New Roman"/>
                <w:vertAlign w:val="superscript"/>
              </w:rPr>
              <w:t>a</w:t>
            </w:r>
          </w:p>
        </w:tc>
        <w:tc>
          <w:tcPr>
            <w:tcW w:w="1350" w:type="dxa"/>
          </w:tcPr>
          <w:p w14:paraId="494F3DC4" w14:textId="77777777" w:rsidR="00F32F41" w:rsidRPr="00203EB0" w:rsidRDefault="00F32F41" w:rsidP="00652800">
            <w:pPr>
              <w:rPr>
                <w:rFonts w:cs="Times New Roman"/>
              </w:rPr>
            </w:pPr>
            <w:r w:rsidRPr="00203EB0">
              <w:rPr>
                <w:rFonts w:cs="Times New Roman"/>
              </w:rPr>
              <w:t>784 (12)</w:t>
            </w:r>
            <w:r w:rsidRPr="00203EB0">
              <w:rPr>
                <w:rFonts w:cs="Times New Roman"/>
                <w:vertAlign w:val="superscript"/>
              </w:rPr>
              <w:t xml:space="preserve"> a</w:t>
            </w:r>
          </w:p>
        </w:tc>
      </w:tr>
      <w:tr w:rsidR="00F32F41" w:rsidRPr="00203EB0" w14:paraId="6E57CEA9" w14:textId="77777777" w:rsidTr="00F32F41">
        <w:tc>
          <w:tcPr>
            <w:tcW w:w="1625" w:type="dxa"/>
          </w:tcPr>
          <w:p w14:paraId="505A4ED2" w14:textId="77777777" w:rsidR="00F32F41" w:rsidRPr="00203EB0" w:rsidRDefault="00F32F41" w:rsidP="00652800">
            <w:pPr>
              <w:rPr>
                <w:rFonts w:cs="Times New Roman"/>
              </w:rPr>
            </w:pPr>
          </w:p>
        </w:tc>
        <w:tc>
          <w:tcPr>
            <w:tcW w:w="1036" w:type="dxa"/>
          </w:tcPr>
          <w:p w14:paraId="338EC01C" w14:textId="77777777" w:rsidR="00F32F41" w:rsidRPr="00203EB0" w:rsidRDefault="00F32F41" w:rsidP="00652800">
            <w:pPr>
              <w:rPr>
                <w:rFonts w:cs="Times New Roman"/>
              </w:rPr>
            </w:pPr>
          </w:p>
        </w:tc>
        <w:tc>
          <w:tcPr>
            <w:tcW w:w="1321" w:type="dxa"/>
          </w:tcPr>
          <w:p w14:paraId="066CB024" w14:textId="77777777" w:rsidR="00F32F41" w:rsidRPr="00203EB0" w:rsidRDefault="00F32F41" w:rsidP="00652800">
            <w:pPr>
              <w:rPr>
                <w:rFonts w:cs="Times New Roman"/>
              </w:rPr>
            </w:pPr>
          </w:p>
        </w:tc>
        <w:tc>
          <w:tcPr>
            <w:tcW w:w="1333" w:type="dxa"/>
          </w:tcPr>
          <w:p w14:paraId="12AE10E0" w14:textId="77777777" w:rsidR="00F32F41" w:rsidRPr="00203EB0" w:rsidRDefault="00F32F41" w:rsidP="00652800">
            <w:pPr>
              <w:rPr>
                <w:rFonts w:cs="Times New Roman"/>
              </w:rPr>
            </w:pPr>
          </w:p>
        </w:tc>
        <w:tc>
          <w:tcPr>
            <w:tcW w:w="1260" w:type="dxa"/>
          </w:tcPr>
          <w:p w14:paraId="3ACA12E7" w14:textId="77777777" w:rsidR="00F32F41" w:rsidRPr="00203EB0" w:rsidRDefault="00F32F41" w:rsidP="00652800">
            <w:pPr>
              <w:rPr>
                <w:rFonts w:cs="Times New Roman"/>
              </w:rPr>
            </w:pPr>
          </w:p>
        </w:tc>
        <w:tc>
          <w:tcPr>
            <w:tcW w:w="1260" w:type="dxa"/>
          </w:tcPr>
          <w:p w14:paraId="7544043A" w14:textId="77777777" w:rsidR="00F32F41" w:rsidRPr="00203EB0" w:rsidRDefault="00F32F41" w:rsidP="00652800">
            <w:pPr>
              <w:rPr>
                <w:rFonts w:cs="Times New Roman"/>
              </w:rPr>
            </w:pPr>
          </w:p>
        </w:tc>
        <w:tc>
          <w:tcPr>
            <w:tcW w:w="1350" w:type="dxa"/>
          </w:tcPr>
          <w:p w14:paraId="4D631CE1" w14:textId="77777777" w:rsidR="00F32F41" w:rsidRPr="00203EB0" w:rsidRDefault="00F32F41" w:rsidP="00652800">
            <w:pPr>
              <w:rPr>
                <w:rFonts w:cs="Times New Roman"/>
              </w:rPr>
            </w:pPr>
          </w:p>
        </w:tc>
      </w:tr>
      <w:tr w:rsidR="00F32F41" w:rsidRPr="00203EB0" w14:paraId="588808B7" w14:textId="77777777" w:rsidTr="00F32F41">
        <w:tc>
          <w:tcPr>
            <w:tcW w:w="1625" w:type="dxa"/>
          </w:tcPr>
          <w:p w14:paraId="39A00AF4" w14:textId="77777777" w:rsidR="00F32F41" w:rsidRPr="00203EB0" w:rsidRDefault="00F32F41" w:rsidP="00652800">
            <w:pPr>
              <w:rPr>
                <w:rFonts w:cs="Times New Roman"/>
              </w:rPr>
            </w:pPr>
            <w:r w:rsidRPr="00203EB0">
              <w:rPr>
                <w:rFonts w:cs="Times New Roman"/>
              </w:rPr>
              <w:t xml:space="preserve">WW + 160 N </w:t>
            </w:r>
          </w:p>
        </w:tc>
        <w:tc>
          <w:tcPr>
            <w:tcW w:w="1036" w:type="dxa"/>
            <w:vAlign w:val="center"/>
          </w:tcPr>
          <w:p w14:paraId="4BD0F94C" w14:textId="77777777" w:rsidR="00F32F41" w:rsidRPr="00203EB0" w:rsidRDefault="00F32F41" w:rsidP="00652800">
            <w:pPr>
              <w:jc w:val="center"/>
              <w:rPr>
                <w:rFonts w:cs="Times New Roman"/>
              </w:rPr>
            </w:pPr>
            <w:r w:rsidRPr="00203EB0">
              <w:rPr>
                <w:rFonts w:cs="Times New Roman"/>
              </w:rPr>
              <w:t xml:space="preserve">50% </w:t>
            </w:r>
          </w:p>
        </w:tc>
        <w:tc>
          <w:tcPr>
            <w:tcW w:w="1321" w:type="dxa"/>
          </w:tcPr>
          <w:p w14:paraId="2AF8BD77" w14:textId="77777777" w:rsidR="00F32F41" w:rsidRPr="00203EB0" w:rsidRDefault="00F32F41" w:rsidP="00652800">
            <w:pPr>
              <w:rPr>
                <w:rFonts w:cs="Times New Roman"/>
              </w:rPr>
            </w:pPr>
            <w:r w:rsidRPr="00203EB0">
              <w:rPr>
                <w:rFonts w:cs="Times New Roman"/>
              </w:rPr>
              <w:t xml:space="preserve">753 (15) </w:t>
            </w:r>
            <w:r w:rsidRPr="00203EB0">
              <w:rPr>
                <w:rFonts w:cs="Times New Roman"/>
                <w:vertAlign w:val="superscript"/>
              </w:rPr>
              <w:t>ac</w:t>
            </w:r>
          </w:p>
        </w:tc>
        <w:tc>
          <w:tcPr>
            <w:tcW w:w="1333" w:type="dxa"/>
          </w:tcPr>
          <w:p w14:paraId="23894471" w14:textId="77777777" w:rsidR="00F32F41" w:rsidRPr="00203EB0" w:rsidRDefault="00F32F41" w:rsidP="00652800">
            <w:pPr>
              <w:rPr>
                <w:rFonts w:cs="Times New Roman"/>
              </w:rPr>
            </w:pPr>
            <w:r w:rsidRPr="00203EB0">
              <w:rPr>
                <w:rFonts w:cs="Times New Roman"/>
              </w:rPr>
              <w:t xml:space="preserve">683 (19) </w:t>
            </w:r>
            <w:r w:rsidRPr="00203EB0">
              <w:rPr>
                <w:rFonts w:cs="Times New Roman"/>
                <w:vertAlign w:val="superscript"/>
              </w:rPr>
              <w:t>c</w:t>
            </w:r>
          </w:p>
        </w:tc>
        <w:tc>
          <w:tcPr>
            <w:tcW w:w="1260" w:type="dxa"/>
          </w:tcPr>
          <w:p w14:paraId="64135E18" w14:textId="77777777" w:rsidR="00F32F41" w:rsidRPr="00203EB0" w:rsidRDefault="00F32F41" w:rsidP="00652800">
            <w:pPr>
              <w:rPr>
                <w:rFonts w:cs="Times New Roman"/>
              </w:rPr>
            </w:pPr>
            <w:r w:rsidRPr="00203EB0">
              <w:rPr>
                <w:rFonts w:cs="Times New Roman"/>
              </w:rPr>
              <w:t xml:space="preserve">648 (7) </w:t>
            </w:r>
            <w:r w:rsidRPr="00203EB0">
              <w:rPr>
                <w:rFonts w:cs="Times New Roman"/>
                <w:vertAlign w:val="superscript"/>
              </w:rPr>
              <w:t>c</w:t>
            </w:r>
          </w:p>
        </w:tc>
        <w:tc>
          <w:tcPr>
            <w:tcW w:w="1260" w:type="dxa"/>
          </w:tcPr>
          <w:p w14:paraId="560D9DA7" w14:textId="77777777" w:rsidR="00F32F41" w:rsidRPr="00203EB0" w:rsidRDefault="00F32F41" w:rsidP="00652800">
            <w:pPr>
              <w:rPr>
                <w:rFonts w:cs="Times New Roman"/>
              </w:rPr>
            </w:pPr>
            <w:r w:rsidRPr="00203EB0">
              <w:rPr>
                <w:rFonts w:cs="Times New Roman"/>
              </w:rPr>
              <w:t xml:space="preserve">653 (20) </w:t>
            </w:r>
            <w:r w:rsidRPr="00203EB0">
              <w:rPr>
                <w:rFonts w:cs="Times New Roman"/>
                <w:vertAlign w:val="superscript"/>
              </w:rPr>
              <w:t>ab</w:t>
            </w:r>
          </w:p>
        </w:tc>
        <w:tc>
          <w:tcPr>
            <w:tcW w:w="1350" w:type="dxa"/>
          </w:tcPr>
          <w:p w14:paraId="6365EED3" w14:textId="77777777" w:rsidR="00F32F41" w:rsidRPr="00203EB0" w:rsidRDefault="00F32F41" w:rsidP="00652800">
            <w:pPr>
              <w:rPr>
                <w:rFonts w:cs="Times New Roman"/>
              </w:rPr>
            </w:pPr>
            <w:r w:rsidRPr="00203EB0">
              <w:rPr>
                <w:rFonts w:cs="Times New Roman"/>
              </w:rPr>
              <w:t xml:space="preserve">703 (31) </w:t>
            </w:r>
            <w:proofErr w:type="spellStart"/>
            <w:r w:rsidRPr="00203EB0">
              <w:rPr>
                <w:rFonts w:cs="Times New Roman"/>
                <w:vertAlign w:val="superscript"/>
              </w:rPr>
              <w:t>bc</w:t>
            </w:r>
            <w:proofErr w:type="spellEnd"/>
          </w:p>
        </w:tc>
      </w:tr>
      <w:tr w:rsidR="00F32F41" w:rsidRPr="00203EB0" w14:paraId="0FF881D1" w14:textId="77777777" w:rsidTr="00F32F41">
        <w:tc>
          <w:tcPr>
            <w:tcW w:w="1625" w:type="dxa"/>
          </w:tcPr>
          <w:p w14:paraId="75C33C2E" w14:textId="77777777" w:rsidR="00F32F41" w:rsidRPr="00203EB0" w:rsidRDefault="00F32F41" w:rsidP="00652800">
            <w:pPr>
              <w:rPr>
                <w:rFonts w:cs="Times New Roman"/>
              </w:rPr>
            </w:pPr>
            <w:r w:rsidRPr="00203EB0">
              <w:rPr>
                <w:rFonts w:cs="Times New Roman"/>
              </w:rPr>
              <w:t>WW + 160 N</w:t>
            </w:r>
          </w:p>
        </w:tc>
        <w:tc>
          <w:tcPr>
            <w:tcW w:w="1036" w:type="dxa"/>
            <w:vAlign w:val="center"/>
          </w:tcPr>
          <w:p w14:paraId="5DE89989" w14:textId="77777777" w:rsidR="00F32F41" w:rsidRPr="00203EB0" w:rsidRDefault="00F32F41" w:rsidP="00652800">
            <w:pPr>
              <w:jc w:val="center"/>
              <w:rPr>
                <w:rFonts w:cs="Times New Roman"/>
              </w:rPr>
            </w:pPr>
            <w:r w:rsidRPr="00203EB0">
              <w:rPr>
                <w:rFonts w:cs="Times New Roman"/>
              </w:rPr>
              <w:t xml:space="preserve">80% </w:t>
            </w:r>
          </w:p>
        </w:tc>
        <w:tc>
          <w:tcPr>
            <w:tcW w:w="1321" w:type="dxa"/>
          </w:tcPr>
          <w:p w14:paraId="3F56FB1B" w14:textId="77777777" w:rsidR="00F32F41" w:rsidRPr="00203EB0" w:rsidRDefault="00F32F41" w:rsidP="00652800">
            <w:pPr>
              <w:rPr>
                <w:rFonts w:cs="Times New Roman"/>
              </w:rPr>
            </w:pPr>
            <w:r w:rsidRPr="00203EB0">
              <w:rPr>
                <w:rFonts w:cs="Times New Roman"/>
              </w:rPr>
              <w:t xml:space="preserve">783 (15) </w:t>
            </w:r>
            <w:r w:rsidRPr="00203EB0">
              <w:rPr>
                <w:rFonts w:cs="Times New Roman"/>
                <w:vertAlign w:val="superscript"/>
              </w:rPr>
              <w:t>ab</w:t>
            </w:r>
          </w:p>
        </w:tc>
        <w:tc>
          <w:tcPr>
            <w:tcW w:w="1333" w:type="dxa"/>
          </w:tcPr>
          <w:p w14:paraId="06EC0897" w14:textId="77777777" w:rsidR="00F32F41" w:rsidRPr="00203EB0" w:rsidRDefault="00F32F41" w:rsidP="00652800">
            <w:pPr>
              <w:rPr>
                <w:rFonts w:cs="Times New Roman"/>
              </w:rPr>
            </w:pPr>
            <w:r w:rsidRPr="00203EB0">
              <w:rPr>
                <w:rFonts w:cs="Times New Roman"/>
              </w:rPr>
              <w:t xml:space="preserve">776 (6) </w:t>
            </w:r>
            <w:r w:rsidRPr="00203EB0">
              <w:rPr>
                <w:rFonts w:cs="Times New Roman"/>
                <w:vertAlign w:val="superscript"/>
              </w:rPr>
              <w:t>ab</w:t>
            </w:r>
          </w:p>
        </w:tc>
        <w:tc>
          <w:tcPr>
            <w:tcW w:w="1260" w:type="dxa"/>
          </w:tcPr>
          <w:p w14:paraId="28122ACD" w14:textId="77777777" w:rsidR="00F32F41" w:rsidRPr="00203EB0" w:rsidRDefault="00F32F41" w:rsidP="00652800">
            <w:pPr>
              <w:rPr>
                <w:rFonts w:cs="Times New Roman"/>
              </w:rPr>
            </w:pPr>
            <w:r w:rsidRPr="00203EB0">
              <w:rPr>
                <w:rFonts w:cs="Times New Roman"/>
              </w:rPr>
              <w:t xml:space="preserve">716 (31) </w:t>
            </w:r>
            <w:r w:rsidRPr="00203EB0">
              <w:rPr>
                <w:rFonts w:cs="Times New Roman"/>
                <w:vertAlign w:val="superscript"/>
              </w:rPr>
              <w:t>ab</w:t>
            </w:r>
          </w:p>
        </w:tc>
        <w:tc>
          <w:tcPr>
            <w:tcW w:w="1260" w:type="dxa"/>
          </w:tcPr>
          <w:p w14:paraId="5C00B8D0" w14:textId="77777777" w:rsidR="00F32F41" w:rsidRPr="00203EB0" w:rsidRDefault="00F32F41" w:rsidP="00652800">
            <w:pPr>
              <w:rPr>
                <w:rFonts w:cs="Times New Roman"/>
              </w:rPr>
            </w:pPr>
            <w:r w:rsidRPr="00203EB0">
              <w:rPr>
                <w:rFonts w:cs="Times New Roman"/>
              </w:rPr>
              <w:t xml:space="preserve">704 (21) </w:t>
            </w:r>
            <w:r w:rsidRPr="00203EB0">
              <w:rPr>
                <w:rFonts w:cs="Times New Roman"/>
                <w:vertAlign w:val="superscript"/>
              </w:rPr>
              <w:t>a</w:t>
            </w:r>
          </w:p>
        </w:tc>
        <w:tc>
          <w:tcPr>
            <w:tcW w:w="1350" w:type="dxa"/>
          </w:tcPr>
          <w:p w14:paraId="22BEE233" w14:textId="77777777" w:rsidR="00F32F41" w:rsidRPr="00203EB0" w:rsidRDefault="00F32F41" w:rsidP="00652800">
            <w:pPr>
              <w:rPr>
                <w:rFonts w:cs="Times New Roman"/>
              </w:rPr>
            </w:pPr>
            <w:r w:rsidRPr="00203EB0">
              <w:rPr>
                <w:rFonts w:cs="Times New Roman"/>
              </w:rPr>
              <w:t xml:space="preserve">791 (9) </w:t>
            </w:r>
            <w:r w:rsidRPr="00203EB0">
              <w:rPr>
                <w:rFonts w:cs="Times New Roman"/>
                <w:vertAlign w:val="superscript"/>
              </w:rPr>
              <w:t>a</w:t>
            </w:r>
          </w:p>
        </w:tc>
      </w:tr>
      <w:tr w:rsidR="00F32F41" w:rsidRPr="00203EB0" w14:paraId="6444C0B0" w14:textId="77777777" w:rsidTr="00F32F41">
        <w:tc>
          <w:tcPr>
            <w:tcW w:w="1625" w:type="dxa"/>
          </w:tcPr>
          <w:p w14:paraId="4B98E6BF" w14:textId="77777777" w:rsidR="00F32F41" w:rsidRPr="00203EB0" w:rsidRDefault="00F32F41" w:rsidP="00652800">
            <w:pPr>
              <w:rPr>
                <w:rFonts w:cs="Times New Roman"/>
              </w:rPr>
            </w:pPr>
          </w:p>
        </w:tc>
        <w:tc>
          <w:tcPr>
            <w:tcW w:w="1036" w:type="dxa"/>
          </w:tcPr>
          <w:p w14:paraId="43D91397" w14:textId="77777777" w:rsidR="00F32F41" w:rsidRPr="00203EB0" w:rsidRDefault="00F32F41" w:rsidP="00652800">
            <w:pPr>
              <w:rPr>
                <w:rFonts w:cs="Times New Roman"/>
              </w:rPr>
            </w:pPr>
          </w:p>
        </w:tc>
        <w:tc>
          <w:tcPr>
            <w:tcW w:w="1321" w:type="dxa"/>
          </w:tcPr>
          <w:p w14:paraId="79D15866" w14:textId="77777777" w:rsidR="00F32F41" w:rsidRPr="00203EB0" w:rsidRDefault="00F32F41" w:rsidP="00652800">
            <w:pPr>
              <w:rPr>
                <w:rFonts w:cs="Times New Roman"/>
              </w:rPr>
            </w:pPr>
          </w:p>
        </w:tc>
        <w:tc>
          <w:tcPr>
            <w:tcW w:w="1333" w:type="dxa"/>
          </w:tcPr>
          <w:p w14:paraId="6F394B5F" w14:textId="77777777" w:rsidR="00F32F41" w:rsidRPr="00203EB0" w:rsidRDefault="00F32F41" w:rsidP="00652800">
            <w:pPr>
              <w:rPr>
                <w:rFonts w:cs="Times New Roman"/>
              </w:rPr>
            </w:pPr>
          </w:p>
        </w:tc>
        <w:tc>
          <w:tcPr>
            <w:tcW w:w="1260" w:type="dxa"/>
          </w:tcPr>
          <w:p w14:paraId="040D6158" w14:textId="77777777" w:rsidR="00F32F41" w:rsidRPr="00203EB0" w:rsidRDefault="00F32F41" w:rsidP="00652800">
            <w:pPr>
              <w:rPr>
                <w:rFonts w:cs="Times New Roman"/>
              </w:rPr>
            </w:pPr>
          </w:p>
        </w:tc>
        <w:tc>
          <w:tcPr>
            <w:tcW w:w="1260" w:type="dxa"/>
          </w:tcPr>
          <w:p w14:paraId="105C1AC1" w14:textId="77777777" w:rsidR="00F32F41" w:rsidRPr="00203EB0" w:rsidRDefault="00F32F41" w:rsidP="00652800">
            <w:pPr>
              <w:rPr>
                <w:rFonts w:cs="Times New Roman"/>
              </w:rPr>
            </w:pPr>
          </w:p>
        </w:tc>
        <w:tc>
          <w:tcPr>
            <w:tcW w:w="1350" w:type="dxa"/>
          </w:tcPr>
          <w:p w14:paraId="387B10EA" w14:textId="77777777" w:rsidR="00F32F41" w:rsidRPr="00203EB0" w:rsidRDefault="00F32F41" w:rsidP="00652800">
            <w:pPr>
              <w:rPr>
                <w:rFonts w:cs="Times New Roman"/>
              </w:rPr>
            </w:pPr>
          </w:p>
        </w:tc>
      </w:tr>
      <w:tr w:rsidR="00F32F41" w:rsidRPr="00203EB0" w14:paraId="23AA6321" w14:textId="77777777" w:rsidTr="00F32F41">
        <w:tc>
          <w:tcPr>
            <w:tcW w:w="1625" w:type="dxa"/>
          </w:tcPr>
          <w:p w14:paraId="3CA11E6B" w14:textId="77777777" w:rsidR="00F32F41" w:rsidRPr="00203EB0" w:rsidRDefault="00F32F41" w:rsidP="00652800">
            <w:pPr>
              <w:rPr>
                <w:rFonts w:cs="Times New Roman"/>
              </w:rPr>
            </w:pPr>
            <w:r w:rsidRPr="00203EB0">
              <w:rPr>
                <w:rFonts w:cs="Times New Roman"/>
              </w:rPr>
              <w:t>NC + 160 N</w:t>
            </w:r>
          </w:p>
        </w:tc>
        <w:tc>
          <w:tcPr>
            <w:tcW w:w="1036" w:type="dxa"/>
            <w:vAlign w:val="center"/>
          </w:tcPr>
          <w:p w14:paraId="0C18B9BA" w14:textId="77777777" w:rsidR="00F32F41" w:rsidRPr="00203EB0" w:rsidRDefault="00F32F41" w:rsidP="00652800">
            <w:pPr>
              <w:jc w:val="center"/>
              <w:rPr>
                <w:rFonts w:cs="Times New Roman"/>
              </w:rPr>
            </w:pPr>
            <w:r w:rsidRPr="00203EB0">
              <w:rPr>
                <w:rFonts w:cs="Times New Roman"/>
              </w:rPr>
              <w:t xml:space="preserve">50% </w:t>
            </w:r>
          </w:p>
        </w:tc>
        <w:tc>
          <w:tcPr>
            <w:tcW w:w="1321" w:type="dxa"/>
          </w:tcPr>
          <w:p w14:paraId="2B99D9A8" w14:textId="77777777" w:rsidR="00F32F41" w:rsidRPr="00203EB0" w:rsidRDefault="00F32F41" w:rsidP="00652800">
            <w:pPr>
              <w:rPr>
                <w:rFonts w:cs="Times New Roman"/>
              </w:rPr>
            </w:pPr>
            <w:r w:rsidRPr="00203EB0">
              <w:rPr>
                <w:rFonts w:cs="Times New Roman"/>
              </w:rPr>
              <w:t xml:space="preserve">695 (9) </w:t>
            </w:r>
            <w:r w:rsidRPr="00203EB0">
              <w:rPr>
                <w:rFonts w:cs="Times New Roman"/>
                <w:vertAlign w:val="superscript"/>
              </w:rPr>
              <w:t>c</w:t>
            </w:r>
          </w:p>
        </w:tc>
        <w:tc>
          <w:tcPr>
            <w:tcW w:w="1333" w:type="dxa"/>
          </w:tcPr>
          <w:p w14:paraId="483FC7A4" w14:textId="77777777" w:rsidR="00F32F41" w:rsidRPr="00203EB0" w:rsidRDefault="00F32F41" w:rsidP="00652800">
            <w:pPr>
              <w:rPr>
                <w:rFonts w:cs="Times New Roman"/>
              </w:rPr>
            </w:pPr>
            <w:r w:rsidRPr="00203EB0">
              <w:rPr>
                <w:rFonts w:cs="Times New Roman"/>
              </w:rPr>
              <w:t xml:space="preserve">684 (18) </w:t>
            </w:r>
            <w:r w:rsidRPr="00203EB0">
              <w:rPr>
                <w:rFonts w:cs="Times New Roman"/>
                <w:vertAlign w:val="superscript"/>
              </w:rPr>
              <w:t>c</w:t>
            </w:r>
          </w:p>
        </w:tc>
        <w:tc>
          <w:tcPr>
            <w:tcW w:w="1260" w:type="dxa"/>
          </w:tcPr>
          <w:p w14:paraId="51DAAE9A" w14:textId="77777777" w:rsidR="00F32F41" w:rsidRPr="00203EB0" w:rsidRDefault="00F32F41" w:rsidP="00652800">
            <w:pPr>
              <w:rPr>
                <w:rFonts w:cs="Times New Roman"/>
              </w:rPr>
            </w:pPr>
            <w:r w:rsidRPr="00203EB0">
              <w:rPr>
                <w:rFonts w:cs="Times New Roman"/>
              </w:rPr>
              <w:t xml:space="preserve">648 (11) </w:t>
            </w:r>
            <w:r w:rsidRPr="00203EB0">
              <w:rPr>
                <w:rFonts w:cs="Times New Roman"/>
                <w:vertAlign w:val="superscript"/>
              </w:rPr>
              <w:t>c</w:t>
            </w:r>
          </w:p>
        </w:tc>
        <w:tc>
          <w:tcPr>
            <w:tcW w:w="1260" w:type="dxa"/>
          </w:tcPr>
          <w:p w14:paraId="4D69237C" w14:textId="77777777" w:rsidR="00F32F41" w:rsidRPr="00203EB0" w:rsidRDefault="00F32F41" w:rsidP="00652800">
            <w:pPr>
              <w:rPr>
                <w:rFonts w:cs="Times New Roman"/>
              </w:rPr>
            </w:pPr>
            <w:r w:rsidRPr="00203EB0">
              <w:rPr>
                <w:rFonts w:cs="Times New Roman"/>
              </w:rPr>
              <w:t xml:space="preserve">660 (15) </w:t>
            </w:r>
            <w:r w:rsidRPr="00203EB0">
              <w:rPr>
                <w:rFonts w:cs="Times New Roman"/>
                <w:vertAlign w:val="superscript"/>
              </w:rPr>
              <w:t>ab</w:t>
            </w:r>
          </w:p>
        </w:tc>
        <w:tc>
          <w:tcPr>
            <w:tcW w:w="1350" w:type="dxa"/>
          </w:tcPr>
          <w:p w14:paraId="55832835" w14:textId="77777777" w:rsidR="00F32F41" w:rsidRPr="00203EB0" w:rsidRDefault="00F32F41" w:rsidP="00652800">
            <w:pPr>
              <w:rPr>
                <w:rFonts w:cs="Times New Roman"/>
              </w:rPr>
            </w:pPr>
            <w:r w:rsidRPr="00203EB0">
              <w:rPr>
                <w:rFonts w:cs="Times New Roman"/>
              </w:rPr>
              <w:t xml:space="preserve">712 (27) </w:t>
            </w:r>
            <w:r w:rsidRPr="00203EB0">
              <w:rPr>
                <w:rFonts w:cs="Times New Roman"/>
                <w:vertAlign w:val="superscript"/>
              </w:rPr>
              <w:t>ac</w:t>
            </w:r>
          </w:p>
        </w:tc>
      </w:tr>
      <w:tr w:rsidR="00F32F41" w:rsidRPr="00203EB0" w14:paraId="2CD81959" w14:textId="77777777" w:rsidTr="00F32F41">
        <w:tc>
          <w:tcPr>
            <w:tcW w:w="1625" w:type="dxa"/>
          </w:tcPr>
          <w:p w14:paraId="5AA9B5B7" w14:textId="77777777" w:rsidR="00F32F41" w:rsidRPr="00203EB0" w:rsidRDefault="00F32F41" w:rsidP="00652800">
            <w:pPr>
              <w:rPr>
                <w:rFonts w:cs="Times New Roman"/>
              </w:rPr>
            </w:pPr>
            <w:r w:rsidRPr="00203EB0">
              <w:rPr>
                <w:rFonts w:cs="Times New Roman"/>
              </w:rPr>
              <w:t>NC + 160 N</w:t>
            </w:r>
          </w:p>
        </w:tc>
        <w:tc>
          <w:tcPr>
            <w:tcW w:w="1036" w:type="dxa"/>
            <w:vAlign w:val="center"/>
          </w:tcPr>
          <w:p w14:paraId="3BAD0752" w14:textId="77777777" w:rsidR="00F32F41" w:rsidRPr="00203EB0" w:rsidRDefault="00F32F41" w:rsidP="00652800">
            <w:pPr>
              <w:jc w:val="center"/>
              <w:rPr>
                <w:rFonts w:cs="Times New Roman"/>
              </w:rPr>
            </w:pPr>
            <w:r w:rsidRPr="00203EB0">
              <w:rPr>
                <w:rFonts w:cs="Times New Roman"/>
              </w:rPr>
              <w:t xml:space="preserve">80% </w:t>
            </w:r>
          </w:p>
        </w:tc>
        <w:tc>
          <w:tcPr>
            <w:tcW w:w="1321" w:type="dxa"/>
          </w:tcPr>
          <w:p w14:paraId="77FEA675" w14:textId="77777777" w:rsidR="00F32F41" w:rsidRPr="00203EB0" w:rsidRDefault="00F32F41" w:rsidP="00652800">
            <w:pPr>
              <w:rPr>
                <w:rFonts w:cs="Times New Roman"/>
              </w:rPr>
            </w:pPr>
            <w:r w:rsidRPr="00203EB0">
              <w:rPr>
                <w:rFonts w:cs="Times New Roman"/>
              </w:rPr>
              <w:t xml:space="preserve">743 (23) </w:t>
            </w:r>
            <w:r w:rsidRPr="00203EB0">
              <w:rPr>
                <w:rFonts w:cs="Times New Roman"/>
                <w:vertAlign w:val="superscript"/>
              </w:rPr>
              <w:t>ac</w:t>
            </w:r>
          </w:p>
        </w:tc>
        <w:tc>
          <w:tcPr>
            <w:tcW w:w="1333" w:type="dxa"/>
          </w:tcPr>
          <w:p w14:paraId="7F44D641" w14:textId="77777777" w:rsidR="00F32F41" w:rsidRPr="00203EB0" w:rsidRDefault="00F32F41" w:rsidP="00652800">
            <w:pPr>
              <w:rPr>
                <w:rFonts w:cs="Times New Roman"/>
              </w:rPr>
            </w:pPr>
            <w:r w:rsidRPr="00203EB0">
              <w:rPr>
                <w:rFonts w:cs="Times New Roman"/>
              </w:rPr>
              <w:t xml:space="preserve">702 (9) </w:t>
            </w:r>
            <w:proofErr w:type="spellStart"/>
            <w:r w:rsidRPr="00203EB0">
              <w:rPr>
                <w:rFonts w:cs="Times New Roman"/>
                <w:vertAlign w:val="superscript"/>
              </w:rPr>
              <w:t>bc</w:t>
            </w:r>
            <w:proofErr w:type="spellEnd"/>
          </w:p>
        </w:tc>
        <w:tc>
          <w:tcPr>
            <w:tcW w:w="1260" w:type="dxa"/>
          </w:tcPr>
          <w:p w14:paraId="0EDC7048" w14:textId="77777777" w:rsidR="00F32F41" w:rsidRPr="00203EB0" w:rsidRDefault="00F32F41" w:rsidP="00652800">
            <w:pPr>
              <w:rPr>
                <w:rFonts w:cs="Times New Roman"/>
              </w:rPr>
            </w:pPr>
            <w:r w:rsidRPr="00203EB0">
              <w:rPr>
                <w:rFonts w:cs="Times New Roman"/>
              </w:rPr>
              <w:t xml:space="preserve">694 (11) </w:t>
            </w:r>
            <w:r w:rsidRPr="00203EB0">
              <w:rPr>
                <w:rFonts w:cs="Times New Roman"/>
                <w:vertAlign w:val="superscript"/>
              </w:rPr>
              <w:t>ac</w:t>
            </w:r>
          </w:p>
        </w:tc>
        <w:tc>
          <w:tcPr>
            <w:tcW w:w="1260" w:type="dxa"/>
          </w:tcPr>
          <w:p w14:paraId="39CC2697" w14:textId="77777777" w:rsidR="00F32F41" w:rsidRPr="00203EB0" w:rsidRDefault="00F32F41" w:rsidP="00652800">
            <w:pPr>
              <w:rPr>
                <w:rFonts w:cs="Times New Roman"/>
              </w:rPr>
            </w:pPr>
            <w:r w:rsidRPr="00203EB0">
              <w:rPr>
                <w:rFonts w:cs="Times New Roman"/>
              </w:rPr>
              <w:t xml:space="preserve">653 (17) </w:t>
            </w:r>
            <w:r w:rsidRPr="00203EB0">
              <w:rPr>
                <w:rFonts w:cs="Times New Roman"/>
                <w:vertAlign w:val="superscript"/>
              </w:rPr>
              <w:t>ab</w:t>
            </w:r>
          </w:p>
        </w:tc>
        <w:tc>
          <w:tcPr>
            <w:tcW w:w="1350" w:type="dxa"/>
          </w:tcPr>
          <w:p w14:paraId="67F13DAE" w14:textId="77777777" w:rsidR="00F32F41" w:rsidRPr="00203EB0" w:rsidRDefault="00F32F41" w:rsidP="00652800">
            <w:pPr>
              <w:rPr>
                <w:rFonts w:cs="Times New Roman"/>
              </w:rPr>
            </w:pPr>
            <w:r w:rsidRPr="00203EB0">
              <w:rPr>
                <w:rFonts w:cs="Times New Roman"/>
              </w:rPr>
              <w:t xml:space="preserve">685 (10) </w:t>
            </w:r>
            <w:proofErr w:type="spellStart"/>
            <w:r w:rsidRPr="00203EB0">
              <w:rPr>
                <w:rFonts w:cs="Times New Roman"/>
                <w:vertAlign w:val="superscript"/>
              </w:rPr>
              <w:t>bc</w:t>
            </w:r>
            <w:proofErr w:type="spellEnd"/>
          </w:p>
        </w:tc>
      </w:tr>
      <w:tr w:rsidR="00F32F41" w:rsidRPr="00203EB0" w14:paraId="2A6E5C9D" w14:textId="77777777" w:rsidTr="00F32F41">
        <w:tc>
          <w:tcPr>
            <w:tcW w:w="1625" w:type="dxa"/>
          </w:tcPr>
          <w:p w14:paraId="79513CB3" w14:textId="77777777" w:rsidR="00F32F41" w:rsidRPr="00203EB0" w:rsidRDefault="00F32F41" w:rsidP="00652800">
            <w:pPr>
              <w:rPr>
                <w:rFonts w:cs="Times New Roman"/>
              </w:rPr>
            </w:pPr>
          </w:p>
        </w:tc>
        <w:tc>
          <w:tcPr>
            <w:tcW w:w="1036" w:type="dxa"/>
          </w:tcPr>
          <w:p w14:paraId="3C92A945" w14:textId="77777777" w:rsidR="00F32F41" w:rsidRPr="00203EB0" w:rsidRDefault="00F32F41" w:rsidP="00652800">
            <w:pPr>
              <w:rPr>
                <w:rFonts w:cs="Times New Roman"/>
              </w:rPr>
            </w:pPr>
          </w:p>
        </w:tc>
        <w:tc>
          <w:tcPr>
            <w:tcW w:w="1321" w:type="dxa"/>
          </w:tcPr>
          <w:p w14:paraId="61749AD9" w14:textId="77777777" w:rsidR="00F32F41" w:rsidRPr="00203EB0" w:rsidRDefault="00F32F41" w:rsidP="00652800">
            <w:pPr>
              <w:rPr>
                <w:rFonts w:cs="Times New Roman"/>
              </w:rPr>
            </w:pPr>
          </w:p>
        </w:tc>
        <w:tc>
          <w:tcPr>
            <w:tcW w:w="1333" w:type="dxa"/>
          </w:tcPr>
          <w:p w14:paraId="51656E6B" w14:textId="77777777" w:rsidR="00F32F41" w:rsidRPr="00203EB0" w:rsidRDefault="00F32F41" w:rsidP="00652800">
            <w:pPr>
              <w:rPr>
                <w:rFonts w:cs="Times New Roman"/>
              </w:rPr>
            </w:pPr>
          </w:p>
        </w:tc>
        <w:tc>
          <w:tcPr>
            <w:tcW w:w="1260" w:type="dxa"/>
          </w:tcPr>
          <w:p w14:paraId="3B49D4D1" w14:textId="77777777" w:rsidR="00F32F41" w:rsidRPr="00203EB0" w:rsidRDefault="00F32F41" w:rsidP="00652800">
            <w:pPr>
              <w:rPr>
                <w:rFonts w:cs="Times New Roman"/>
              </w:rPr>
            </w:pPr>
          </w:p>
        </w:tc>
        <w:tc>
          <w:tcPr>
            <w:tcW w:w="1260" w:type="dxa"/>
          </w:tcPr>
          <w:p w14:paraId="1A761684" w14:textId="77777777" w:rsidR="00F32F41" w:rsidRPr="00203EB0" w:rsidRDefault="00F32F41" w:rsidP="00652800">
            <w:pPr>
              <w:rPr>
                <w:rFonts w:cs="Times New Roman"/>
              </w:rPr>
            </w:pPr>
          </w:p>
        </w:tc>
        <w:tc>
          <w:tcPr>
            <w:tcW w:w="1350" w:type="dxa"/>
          </w:tcPr>
          <w:p w14:paraId="3F4A8F75" w14:textId="77777777" w:rsidR="00F32F41" w:rsidRPr="00203EB0" w:rsidRDefault="00F32F41" w:rsidP="00652800">
            <w:pPr>
              <w:rPr>
                <w:rFonts w:cs="Times New Roman"/>
              </w:rPr>
            </w:pPr>
          </w:p>
        </w:tc>
      </w:tr>
      <w:tr w:rsidR="00F32F41" w:rsidRPr="00203EB0" w14:paraId="444182E6" w14:textId="77777777" w:rsidTr="00F32F41">
        <w:tc>
          <w:tcPr>
            <w:tcW w:w="1625" w:type="dxa"/>
          </w:tcPr>
          <w:p w14:paraId="66E3B618" w14:textId="77777777" w:rsidR="00F32F41" w:rsidRPr="00203EB0" w:rsidRDefault="00F32F41" w:rsidP="00652800">
            <w:pPr>
              <w:rPr>
                <w:rFonts w:cs="Times New Roman"/>
              </w:rPr>
            </w:pPr>
            <w:r w:rsidRPr="00203EB0">
              <w:rPr>
                <w:rFonts w:cs="Times New Roman"/>
              </w:rPr>
              <w:t>NC + 0 N</w:t>
            </w:r>
          </w:p>
        </w:tc>
        <w:tc>
          <w:tcPr>
            <w:tcW w:w="1036" w:type="dxa"/>
            <w:vAlign w:val="center"/>
          </w:tcPr>
          <w:p w14:paraId="48CDA65D" w14:textId="77777777" w:rsidR="00F32F41" w:rsidRPr="00203EB0" w:rsidRDefault="00F32F41" w:rsidP="00652800">
            <w:pPr>
              <w:jc w:val="center"/>
              <w:rPr>
                <w:rFonts w:cs="Times New Roman"/>
              </w:rPr>
            </w:pPr>
            <w:r w:rsidRPr="00203EB0">
              <w:rPr>
                <w:rFonts w:cs="Times New Roman"/>
              </w:rPr>
              <w:t xml:space="preserve">50% </w:t>
            </w:r>
          </w:p>
        </w:tc>
        <w:tc>
          <w:tcPr>
            <w:tcW w:w="1321" w:type="dxa"/>
          </w:tcPr>
          <w:p w14:paraId="147409FD" w14:textId="77777777" w:rsidR="00F32F41" w:rsidRPr="00203EB0" w:rsidRDefault="00F32F41" w:rsidP="00652800">
            <w:pPr>
              <w:rPr>
                <w:rFonts w:cs="Times New Roman"/>
              </w:rPr>
            </w:pPr>
            <w:r w:rsidRPr="00203EB0">
              <w:rPr>
                <w:rFonts w:cs="Times New Roman"/>
              </w:rPr>
              <w:t xml:space="preserve">706 (23) </w:t>
            </w:r>
            <w:proofErr w:type="spellStart"/>
            <w:r w:rsidRPr="00203EB0">
              <w:rPr>
                <w:rFonts w:cs="Times New Roman"/>
                <w:vertAlign w:val="superscript"/>
              </w:rPr>
              <w:t>bc</w:t>
            </w:r>
            <w:proofErr w:type="spellEnd"/>
          </w:p>
        </w:tc>
        <w:tc>
          <w:tcPr>
            <w:tcW w:w="1333" w:type="dxa"/>
          </w:tcPr>
          <w:p w14:paraId="42AFFE56" w14:textId="77777777" w:rsidR="00F32F41" w:rsidRPr="00203EB0" w:rsidRDefault="00F32F41" w:rsidP="00652800">
            <w:pPr>
              <w:rPr>
                <w:rFonts w:cs="Times New Roman"/>
              </w:rPr>
            </w:pPr>
            <w:r w:rsidRPr="00203EB0">
              <w:rPr>
                <w:rFonts w:cs="Times New Roman"/>
              </w:rPr>
              <w:t xml:space="preserve">665 (29) </w:t>
            </w:r>
            <w:r w:rsidRPr="00203EB0">
              <w:rPr>
                <w:rFonts w:cs="Times New Roman"/>
                <w:vertAlign w:val="superscript"/>
              </w:rPr>
              <w:t>c</w:t>
            </w:r>
          </w:p>
        </w:tc>
        <w:tc>
          <w:tcPr>
            <w:tcW w:w="1260" w:type="dxa"/>
          </w:tcPr>
          <w:p w14:paraId="74BCF165" w14:textId="77777777" w:rsidR="00F32F41" w:rsidRPr="00203EB0" w:rsidRDefault="00F32F41" w:rsidP="00652800">
            <w:pPr>
              <w:rPr>
                <w:rFonts w:cs="Times New Roman"/>
              </w:rPr>
            </w:pPr>
            <w:r w:rsidRPr="00203EB0">
              <w:rPr>
                <w:rFonts w:cs="Times New Roman"/>
              </w:rPr>
              <w:t xml:space="preserve">651 (13) </w:t>
            </w:r>
            <w:proofErr w:type="spellStart"/>
            <w:r w:rsidRPr="00203EB0">
              <w:rPr>
                <w:rFonts w:cs="Times New Roman"/>
                <w:vertAlign w:val="superscript"/>
              </w:rPr>
              <w:t>bc</w:t>
            </w:r>
            <w:proofErr w:type="spellEnd"/>
          </w:p>
        </w:tc>
        <w:tc>
          <w:tcPr>
            <w:tcW w:w="1260" w:type="dxa"/>
          </w:tcPr>
          <w:p w14:paraId="0F85ACD3" w14:textId="77777777" w:rsidR="00F32F41" w:rsidRPr="00203EB0" w:rsidRDefault="00F32F41" w:rsidP="00652800">
            <w:pPr>
              <w:rPr>
                <w:rFonts w:cs="Times New Roman"/>
              </w:rPr>
            </w:pPr>
            <w:r w:rsidRPr="00203EB0">
              <w:rPr>
                <w:rFonts w:cs="Times New Roman"/>
              </w:rPr>
              <w:t xml:space="preserve">626 (8) </w:t>
            </w:r>
            <w:r w:rsidRPr="00203EB0">
              <w:rPr>
                <w:rFonts w:cs="Times New Roman"/>
                <w:vertAlign w:val="superscript"/>
              </w:rPr>
              <w:t>b</w:t>
            </w:r>
          </w:p>
        </w:tc>
        <w:tc>
          <w:tcPr>
            <w:tcW w:w="1350" w:type="dxa"/>
          </w:tcPr>
          <w:p w14:paraId="1643DB51" w14:textId="77777777" w:rsidR="00F32F41" w:rsidRPr="00203EB0" w:rsidRDefault="00F32F41" w:rsidP="00652800">
            <w:pPr>
              <w:rPr>
                <w:rFonts w:cs="Times New Roman"/>
              </w:rPr>
            </w:pPr>
            <w:r w:rsidRPr="00203EB0">
              <w:rPr>
                <w:rFonts w:cs="Times New Roman"/>
              </w:rPr>
              <w:t xml:space="preserve">671 (27) </w:t>
            </w:r>
            <w:r w:rsidRPr="00203EB0">
              <w:rPr>
                <w:rFonts w:cs="Times New Roman"/>
                <w:vertAlign w:val="superscript"/>
              </w:rPr>
              <w:t>c</w:t>
            </w:r>
          </w:p>
        </w:tc>
      </w:tr>
      <w:tr w:rsidR="00F32F41" w:rsidRPr="00203EB0" w14:paraId="4A88DDC7" w14:textId="77777777" w:rsidTr="00F32F41">
        <w:tc>
          <w:tcPr>
            <w:tcW w:w="1625" w:type="dxa"/>
            <w:tcBorders>
              <w:bottom w:val="single" w:sz="12" w:space="0" w:color="auto"/>
            </w:tcBorders>
          </w:tcPr>
          <w:p w14:paraId="20478E8B" w14:textId="77777777" w:rsidR="00F32F41" w:rsidRPr="00203EB0" w:rsidRDefault="00F32F41" w:rsidP="00652800">
            <w:pPr>
              <w:rPr>
                <w:rFonts w:cs="Times New Roman"/>
              </w:rPr>
            </w:pPr>
            <w:r w:rsidRPr="00203EB0">
              <w:rPr>
                <w:rFonts w:cs="Times New Roman"/>
              </w:rPr>
              <w:t>NC + 0 N</w:t>
            </w:r>
          </w:p>
        </w:tc>
        <w:tc>
          <w:tcPr>
            <w:tcW w:w="1036" w:type="dxa"/>
            <w:tcBorders>
              <w:bottom w:val="single" w:sz="12" w:space="0" w:color="auto"/>
            </w:tcBorders>
            <w:vAlign w:val="center"/>
          </w:tcPr>
          <w:p w14:paraId="74342DEE" w14:textId="77777777" w:rsidR="00F32F41" w:rsidRPr="00203EB0" w:rsidRDefault="00F32F41" w:rsidP="00652800">
            <w:pPr>
              <w:jc w:val="center"/>
              <w:rPr>
                <w:rFonts w:cs="Times New Roman"/>
              </w:rPr>
            </w:pPr>
            <w:r w:rsidRPr="00203EB0">
              <w:rPr>
                <w:rFonts w:cs="Times New Roman"/>
              </w:rPr>
              <w:t xml:space="preserve">80% </w:t>
            </w:r>
          </w:p>
        </w:tc>
        <w:tc>
          <w:tcPr>
            <w:tcW w:w="1321" w:type="dxa"/>
            <w:tcBorders>
              <w:bottom w:val="single" w:sz="12" w:space="0" w:color="auto"/>
            </w:tcBorders>
          </w:tcPr>
          <w:p w14:paraId="10D2EF96" w14:textId="77777777" w:rsidR="00F32F41" w:rsidRPr="00203EB0" w:rsidRDefault="00F32F41" w:rsidP="00652800">
            <w:pPr>
              <w:rPr>
                <w:rFonts w:cs="Times New Roman"/>
              </w:rPr>
            </w:pPr>
            <w:r w:rsidRPr="00203EB0">
              <w:rPr>
                <w:rFonts w:cs="Times New Roman"/>
              </w:rPr>
              <w:t xml:space="preserve">729 (29) </w:t>
            </w:r>
            <w:r w:rsidRPr="00203EB0">
              <w:rPr>
                <w:rFonts w:cs="Times New Roman"/>
                <w:vertAlign w:val="superscript"/>
              </w:rPr>
              <w:t>ac</w:t>
            </w:r>
          </w:p>
        </w:tc>
        <w:tc>
          <w:tcPr>
            <w:tcW w:w="1333" w:type="dxa"/>
            <w:tcBorders>
              <w:bottom w:val="single" w:sz="12" w:space="0" w:color="auto"/>
            </w:tcBorders>
          </w:tcPr>
          <w:p w14:paraId="073E052B" w14:textId="77777777" w:rsidR="00F32F41" w:rsidRPr="00203EB0" w:rsidRDefault="00F32F41" w:rsidP="00652800">
            <w:pPr>
              <w:rPr>
                <w:rFonts w:cs="Times New Roman"/>
              </w:rPr>
            </w:pPr>
            <w:r w:rsidRPr="00203EB0">
              <w:rPr>
                <w:rFonts w:cs="Times New Roman"/>
              </w:rPr>
              <w:t xml:space="preserve">711 (17) </w:t>
            </w:r>
            <w:proofErr w:type="spellStart"/>
            <w:r w:rsidRPr="00203EB0">
              <w:rPr>
                <w:rFonts w:cs="Times New Roman"/>
                <w:vertAlign w:val="superscript"/>
              </w:rPr>
              <w:t>bc</w:t>
            </w:r>
            <w:proofErr w:type="spellEnd"/>
          </w:p>
        </w:tc>
        <w:tc>
          <w:tcPr>
            <w:tcW w:w="1260" w:type="dxa"/>
            <w:tcBorders>
              <w:bottom w:val="single" w:sz="12" w:space="0" w:color="auto"/>
            </w:tcBorders>
          </w:tcPr>
          <w:p w14:paraId="7158F485" w14:textId="77777777" w:rsidR="00F32F41" w:rsidRPr="00203EB0" w:rsidRDefault="00F32F41" w:rsidP="00652800">
            <w:pPr>
              <w:rPr>
                <w:rFonts w:cs="Times New Roman"/>
              </w:rPr>
            </w:pPr>
            <w:r w:rsidRPr="00203EB0">
              <w:rPr>
                <w:rFonts w:cs="Times New Roman"/>
              </w:rPr>
              <w:t xml:space="preserve">714 (19) </w:t>
            </w:r>
            <w:r w:rsidRPr="00203EB0">
              <w:rPr>
                <w:rFonts w:cs="Times New Roman"/>
                <w:vertAlign w:val="superscript"/>
              </w:rPr>
              <w:t>ab</w:t>
            </w:r>
          </w:p>
        </w:tc>
        <w:tc>
          <w:tcPr>
            <w:tcW w:w="1260" w:type="dxa"/>
            <w:tcBorders>
              <w:bottom w:val="single" w:sz="12" w:space="0" w:color="auto"/>
            </w:tcBorders>
          </w:tcPr>
          <w:p w14:paraId="7CA99177" w14:textId="77777777" w:rsidR="00F32F41" w:rsidRPr="00203EB0" w:rsidRDefault="00F32F41" w:rsidP="00652800">
            <w:pPr>
              <w:rPr>
                <w:rFonts w:cs="Times New Roman"/>
              </w:rPr>
            </w:pPr>
            <w:r w:rsidRPr="00203EB0">
              <w:rPr>
                <w:rFonts w:cs="Times New Roman"/>
              </w:rPr>
              <w:t xml:space="preserve">684 (37) </w:t>
            </w:r>
            <w:r w:rsidRPr="00203EB0">
              <w:rPr>
                <w:rFonts w:cs="Times New Roman"/>
                <w:vertAlign w:val="superscript"/>
              </w:rPr>
              <w:t>ab</w:t>
            </w:r>
          </w:p>
        </w:tc>
        <w:tc>
          <w:tcPr>
            <w:tcW w:w="1350" w:type="dxa"/>
            <w:tcBorders>
              <w:bottom w:val="single" w:sz="12" w:space="0" w:color="auto"/>
            </w:tcBorders>
          </w:tcPr>
          <w:p w14:paraId="103E8BE1" w14:textId="77777777" w:rsidR="00F32F41" w:rsidRPr="00203EB0" w:rsidRDefault="00F32F41" w:rsidP="00652800">
            <w:pPr>
              <w:rPr>
                <w:rFonts w:cs="Times New Roman"/>
              </w:rPr>
            </w:pPr>
            <w:r w:rsidRPr="00203EB0">
              <w:rPr>
                <w:rFonts w:cs="Times New Roman"/>
              </w:rPr>
              <w:t>764 (20)</w:t>
            </w:r>
            <w:r w:rsidRPr="00203EB0">
              <w:rPr>
                <w:rFonts w:cs="Times New Roman"/>
                <w:vertAlign w:val="superscript"/>
              </w:rPr>
              <w:t xml:space="preserve"> ab</w:t>
            </w:r>
          </w:p>
        </w:tc>
      </w:tr>
    </w:tbl>
    <w:p w14:paraId="7FB0E71E" w14:textId="4B49C02F" w:rsidR="00F32F41" w:rsidRPr="00203EB0" w:rsidRDefault="00F32F41" w:rsidP="00F32F41">
      <w:pPr>
        <w:rPr>
          <w:rFonts w:cs="Times New Roman"/>
          <w:sz w:val="20"/>
          <w:szCs w:val="20"/>
        </w:rPr>
      </w:pPr>
      <w:r w:rsidRPr="00203EB0">
        <w:rPr>
          <w:rFonts w:cs="Times New Roman"/>
          <w:sz w:val="20"/>
          <w:szCs w:val="20"/>
        </w:rPr>
        <w:t>*Values are means and standard errors in parenthesis. Lowercase letters indicate significant differences among the treatments (</w:t>
      </w:r>
      <w:r w:rsidRPr="00203EB0">
        <w:rPr>
          <w:rFonts w:cs="Times New Roman"/>
          <w:i/>
          <w:sz w:val="20"/>
          <w:szCs w:val="20"/>
        </w:rPr>
        <w:t>p</w:t>
      </w:r>
      <w:r w:rsidRPr="00203EB0">
        <w:rPr>
          <w:rFonts w:cs="Times New Roman"/>
          <w:sz w:val="20"/>
          <w:szCs w:val="20"/>
        </w:rPr>
        <w:t xml:space="preserve"> &lt; 0.05) within a column. HV: Hairy vetch, WW: Winter wheat, NC: No cover crop, NC + 0 N: Control</w:t>
      </w:r>
    </w:p>
    <w:p w14:paraId="3A177035" w14:textId="77777777" w:rsidR="00F32F41" w:rsidRPr="00203EB0" w:rsidRDefault="00F32F41" w:rsidP="00652800"/>
    <w:p w14:paraId="6CFA544D" w14:textId="77777777" w:rsidR="00652800" w:rsidRPr="00203EB0" w:rsidRDefault="00652800" w:rsidP="00CA48D8">
      <w:pPr>
        <w:pStyle w:val="Heading3"/>
        <w:spacing w:line="480" w:lineRule="auto"/>
      </w:pPr>
      <w:bookmarkStart w:id="71" w:name="_Toc206669132"/>
      <w:r w:rsidRPr="00203EB0">
        <w:t>Drivers of N</w:t>
      </w:r>
      <w:r w:rsidRPr="00203EB0">
        <w:rPr>
          <w:vertAlign w:val="subscript"/>
        </w:rPr>
        <w:t>2</w:t>
      </w:r>
      <w:r w:rsidRPr="00203EB0">
        <w:t>O emissions</w:t>
      </w:r>
      <w:bookmarkEnd w:id="71"/>
      <w:r w:rsidRPr="00203EB0">
        <w:t xml:space="preserve"> </w:t>
      </w:r>
    </w:p>
    <w:p w14:paraId="5B70A642" w14:textId="2804D89C" w:rsidR="005A16EE" w:rsidRDefault="00652800" w:rsidP="00652800">
      <w:pPr>
        <w:spacing w:line="480" w:lineRule="auto"/>
        <w:rPr>
          <w:rFonts w:cs="Times New Roman"/>
        </w:rPr>
      </w:pPr>
      <w:r w:rsidRPr="00203EB0">
        <w:rPr>
          <w:rFonts w:cs="Times New Roman"/>
        </w:rPr>
        <w:t>The Random Forest model explained daily N</w:t>
      </w:r>
      <w:r w:rsidRPr="00203EB0">
        <w:rPr>
          <w:rFonts w:cs="Times New Roman"/>
          <w:vertAlign w:val="subscript"/>
        </w:rPr>
        <w:t>2</w:t>
      </w:r>
      <w:r w:rsidRPr="00203EB0">
        <w:rPr>
          <w:rFonts w:cs="Times New Roman"/>
        </w:rPr>
        <w:t>O flux variations on the test data for 50% (R</w:t>
      </w:r>
      <w:r w:rsidRPr="00203EB0">
        <w:rPr>
          <w:rFonts w:cs="Times New Roman"/>
          <w:vertAlign w:val="superscript"/>
        </w:rPr>
        <w:t>2</w:t>
      </w:r>
      <w:r w:rsidRPr="00203EB0">
        <w:rPr>
          <w:rFonts w:cs="Times New Roman"/>
        </w:rPr>
        <w:t>=0.67, RMSE=21.3) and 80% (R</w:t>
      </w:r>
      <w:r w:rsidRPr="00203EB0">
        <w:rPr>
          <w:rFonts w:cs="Times New Roman"/>
          <w:vertAlign w:val="superscript"/>
        </w:rPr>
        <w:t>2</w:t>
      </w:r>
      <w:r w:rsidRPr="00203EB0">
        <w:rPr>
          <w:rFonts w:cs="Times New Roman"/>
        </w:rPr>
        <w:t>=0.62, RMSE=19.3) WFPS conditions (</w:t>
      </w:r>
      <w:r w:rsidRPr="00203EB0">
        <w:rPr>
          <w:rFonts w:cs="Times New Roman"/>
          <w:b/>
        </w:rPr>
        <w:t>Table 4.4</w:t>
      </w:r>
      <w:r w:rsidR="00BC1CDA" w:rsidRPr="00203EB0">
        <w:rPr>
          <w:rFonts w:cs="Times New Roman"/>
        </w:rPr>
        <w:t xml:space="preserve"> and </w:t>
      </w:r>
      <w:r w:rsidR="00BC1CDA" w:rsidRPr="00203EB0">
        <w:rPr>
          <w:rFonts w:cs="Times New Roman"/>
          <w:b/>
        </w:rPr>
        <w:t>Figure 4.8</w:t>
      </w:r>
      <w:r w:rsidRPr="00203EB0">
        <w:rPr>
          <w:rFonts w:cs="Times New Roman"/>
        </w:rPr>
        <w:t xml:space="preserve">). For 50% WFPS treatments, the model identified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cs="Times New Roman"/>
        </w:rPr>
        <w:t xml:space="preserve"> and O</w:t>
      </w:r>
      <w:r w:rsidRPr="00203EB0">
        <w:rPr>
          <w:rFonts w:cs="Times New Roman"/>
          <w:vertAlign w:val="subscript"/>
        </w:rPr>
        <w:t>2</w:t>
      </w:r>
      <w:r w:rsidRPr="00203EB0">
        <w:rPr>
          <w:rFonts w:cs="Times New Roman"/>
        </w:rPr>
        <w:t xml:space="preserve"> as the most influential variables impacting N</w:t>
      </w:r>
      <w:r w:rsidRPr="00203EB0">
        <w:rPr>
          <w:rFonts w:cs="Times New Roman"/>
          <w:vertAlign w:val="subscript"/>
        </w:rPr>
        <w:t>2</w:t>
      </w:r>
      <w:r w:rsidRPr="00203EB0">
        <w:rPr>
          <w:rFonts w:cs="Times New Roman"/>
        </w:rPr>
        <w:t>O fluxes (</w:t>
      </w:r>
      <w:r w:rsidRPr="00203EB0">
        <w:rPr>
          <w:rFonts w:cs="Times New Roman"/>
          <w:b/>
        </w:rPr>
        <w:t>Table 4.4</w:t>
      </w:r>
      <w:r w:rsidRPr="00203EB0">
        <w:rPr>
          <w:rFonts w:cs="Times New Roman"/>
        </w:rPr>
        <w:t>). These variables collectively accounted for nearly 75% of the model´s performance, explaining 67% of the variance in N</w:t>
      </w:r>
      <w:r w:rsidRPr="00203EB0">
        <w:rPr>
          <w:rFonts w:cs="Times New Roman"/>
          <w:vertAlign w:val="subscript"/>
        </w:rPr>
        <w:t>2</w:t>
      </w:r>
      <w:r w:rsidRPr="00203EB0">
        <w:rPr>
          <w:rFonts w:cs="Times New Roman"/>
        </w:rPr>
        <w:t>O fluxes on the test data set (</w:t>
      </w:r>
      <w:r w:rsidRPr="00203EB0">
        <w:rPr>
          <w:rFonts w:cs="Times New Roman"/>
          <w:b/>
        </w:rPr>
        <w:t>Table 4.4</w:t>
      </w:r>
      <w:r w:rsidRPr="00203EB0">
        <w:rPr>
          <w:rFonts w:cs="Times New Roman"/>
        </w:rPr>
        <w:t xml:space="preserve">). Conversely, at 80% WFPS,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was the main driver of N</w:t>
      </w:r>
      <w:r w:rsidRPr="00203EB0">
        <w:rPr>
          <w:rFonts w:cs="Times New Roman"/>
          <w:vertAlign w:val="subscript"/>
        </w:rPr>
        <w:t>2</w:t>
      </w:r>
      <w:r w:rsidRPr="00203EB0">
        <w:rPr>
          <w:rFonts w:cs="Times New Roman"/>
        </w:rPr>
        <w:t>O fluxes, and the model accounted for 62% of the N</w:t>
      </w:r>
      <w:r w:rsidRPr="00203EB0">
        <w:rPr>
          <w:rFonts w:cs="Times New Roman"/>
          <w:vertAlign w:val="subscript"/>
        </w:rPr>
        <w:t>2</w:t>
      </w:r>
      <w:r w:rsidRPr="00203EB0">
        <w:rPr>
          <w:rFonts w:cs="Times New Roman"/>
        </w:rPr>
        <w:t xml:space="preserve">O flux variance on the test data set. </w:t>
      </w:r>
    </w:p>
    <w:p w14:paraId="1CBE54C4" w14:textId="77777777" w:rsidR="00B533CB" w:rsidRPr="00203EB0" w:rsidRDefault="00B533CB" w:rsidP="00652800">
      <w:pPr>
        <w:spacing w:line="480" w:lineRule="auto"/>
        <w:rPr>
          <w:rFonts w:cs="Times New Roman"/>
        </w:rPr>
      </w:pPr>
    </w:p>
    <w:p w14:paraId="7F3A59D0" w14:textId="68DB53F3" w:rsidR="00652800" w:rsidRPr="00203EB0" w:rsidRDefault="00652800" w:rsidP="00001ABC">
      <w:pPr>
        <w:pStyle w:val="Caption"/>
      </w:pPr>
      <w:bookmarkStart w:id="72" w:name="_Toc206669223"/>
      <w:r w:rsidRPr="00203EB0">
        <w:rPr>
          <w:b/>
          <w:bCs/>
        </w:rPr>
        <w:lastRenderedPageBreak/>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4</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4</w:t>
      </w:r>
      <w:r w:rsidR="00775F57" w:rsidRPr="00203EB0">
        <w:rPr>
          <w:b/>
          <w:bCs/>
        </w:rPr>
        <w:fldChar w:fldCharType="end"/>
      </w:r>
      <w:r w:rsidRPr="00203EB0">
        <w:rPr>
          <w:b/>
          <w:bCs/>
        </w:rPr>
        <w:t>:</w:t>
      </w:r>
      <w:r w:rsidRPr="00203EB0">
        <w:t xml:space="preserve"> Features importance to predict N</w:t>
      </w:r>
      <w:r w:rsidRPr="00203EB0">
        <w:rPr>
          <w:vertAlign w:val="subscript"/>
        </w:rPr>
        <w:t>2</w:t>
      </w:r>
      <w:r w:rsidRPr="00203EB0">
        <w:t>O emissions under 50% and 80% WFPS conditions as predicted by the Random Forest. Model R</w:t>
      </w:r>
      <w:r w:rsidRPr="00203EB0">
        <w:rPr>
          <w:vertAlign w:val="superscript"/>
        </w:rPr>
        <w:t xml:space="preserve">2 </w:t>
      </w:r>
      <w:r w:rsidRPr="00203EB0">
        <w:t>value indicates variability explained on the test data set.</w:t>
      </w:r>
      <w:bookmarkStart w:id="73" w:name="_Toc420995910"/>
      <w:bookmarkStart w:id="74" w:name="_Toc422997497"/>
      <w:bookmarkEnd w:id="7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881"/>
        <w:gridCol w:w="2879"/>
      </w:tblGrid>
      <w:tr w:rsidR="00652800" w:rsidRPr="00203EB0" w14:paraId="67422CA0" w14:textId="77777777" w:rsidTr="00652800">
        <w:trPr>
          <w:trHeight w:val="547"/>
        </w:trPr>
        <w:tc>
          <w:tcPr>
            <w:tcW w:w="1667" w:type="pct"/>
            <w:tcBorders>
              <w:top w:val="single" w:sz="4" w:space="0" w:color="auto"/>
              <w:bottom w:val="single" w:sz="4" w:space="0" w:color="auto"/>
            </w:tcBorders>
            <w:vAlign w:val="center"/>
          </w:tcPr>
          <w:p w14:paraId="7C9473F3" w14:textId="77777777" w:rsidR="00652800" w:rsidRPr="00203EB0" w:rsidRDefault="00652800" w:rsidP="00652800">
            <w:pPr>
              <w:jc w:val="center"/>
              <w:rPr>
                <w:rFonts w:cs="Times New Roman"/>
                <w:b/>
              </w:rPr>
            </w:pPr>
            <w:r w:rsidRPr="00203EB0">
              <w:rPr>
                <w:rFonts w:cs="Times New Roman"/>
                <w:b/>
              </w:rPr>
              <w:t>Model variables</w:t>
            </w:r>
          </w:p>
        </w:tc>
        <w:tc>
          <w:tcPr>
            <w:tcW w:w="1667" w:type="pct"/>
            <w:tcBorders>
              <w:top w:val="single" w:sz="4" w:space="0" w:color="auto"/>
              <w:bottom w:val="single" w:sz="4" w:space="0" w:color="auto"/>
            </w:tcBorders>
            <w:vAlign w:val="center"/>
          </w:tcPr>
          <w:p w14:paraId="663126FD" w14:textId="77777777" w:rsidR="00652800" w:rsidRPr="00203EB0" w:rsidRDefault="00652800" w:rsidP="00652800">
            <w:pPr>
              <w:jc w:val="center"/>
              <w:rPr>
                <w:rFonts w:cs="Times New Roman"/>
                <w:b/>
              </w:rPr>
            </w:pPr>
            <w:r w:rsidRPr="00203EB0">
              <w:rPr>
                <w:rFonts w:cs="Times New Roman"/>
                <w:b/>
              </w:rPr>
              <w:t>50% WFPS model</w:t>
            </w:r>
          </w:p>
        </w:tc>
        <w:tc>
          <w:tcPr>
            <w:tcW w:w="1666" w:type="pct"/>
            <w:tcBorders>
              <w:top w:val="single" w:sz="4" w:space="0" w:color="auto"/>
              <w:bottom w:val="single" w:sz="4" w:space="0" w:color="auto"/>
            </w:tcBorders>
            <w:vAlign w:val="center"/>
          </w:tcPr>
          <w:p w14:paraId="06B19F8A" w14:textId="77777777" w:rsidR="00652800" w:rsidRPr="00203EB0" w:rsidRDefault="00652800" w:rsidP="00652800">
            <w:pPr>
              <w:jc w:val="center"/>
              <w:rPr>
                <w:rFonts w:cs="Times New Roman"/>
                <w:b/>
              </w:rPr>
            </w:pPr>
            <w:r w:rsidRPr="00203EB0">
              <w:rPr>
                <w:rFonts w:cs="Times New Roman"/>
                <w:b/>
              </w:rPr>
              <w:t>80% WFPS model</w:t>
            </w:r>
          </w:p>
        </w:tc>
      </w:tr>
      <w:tr w:rsidR="00652800" w:rsidRPr="00203EB0" w14:paraId="50C8FA8A" w14:textId="77777777" w:rsidTr="00652800">
        <w:tc>
          <w:tcPr>
            <w:tcW w:w="1667" w:type="pct"/>
            <w:tcBorders>
              <w:top w:val="single" w:sz="4" w:space="0" w:color="auto"/>
            </w:tcBorders>
          </w:tcPr>
          <w:p w14:paraId="70B6D881" w14:textId="77777777" w:rsidR="00652800" w:rsidRPr="00203EB0" w:rsidRDefault="00652800" w:rsidP="00652800">
            <w:pPr>
              <w:rPr>
                <w:rFonts w:cs="Times New Roman"/>
              </w:rPr>
            </w:pPr>
          </w:p>
        </w:tc>
        <w:tc>
          <w:tcPr>
            <w:tcW w:w="1667" w:type="pct"/>
            <w:tcBorders>
              <w:top w:val="single" w:sz="4" w:space="0" w:color="auto"/>
            </w:tcBorders>
          </w:tcPr>
          <w:p w14:paraId="319CB9A9" w14:textId="77777777" w:rsidR="00652800" w:rsidRPr="00203EB0" w:rsidRDefault="00652800" w:rsidP="00652800">
            <w:pPr>
              <w:jc w:val="center"/>
              <w:rPr>
                <w:rFonts w:cs="Times New Roman"/>
              </w:rPr>
            </w:pPr>
          </w:p>
        </w:tc>
        <w:tc>
          <w:tcPr>
            <w:tcW w:w="1666" w:type="pct"/>
            <w:tcBorders>
              <w:top w:val="single" w:sz="4" w:space="0" w:color="auto"/>
            </w:tcBorders>
          </w:tcPr>
          <w:p w14:paraId="648B5857" w14:textId="77777777" w:rsidR="00652800" w:rsidRPr="00203EB0" w:rsidRDefault="00652800" w:rsidP="00652800">
            <w:pPr>
              <w:jc w:val="center"/>
              <w:rPr>
                <w:rFonts w:cs="Times New Roman"/>
              </w:rPr>
            </w:pPr>
          </w:p>
        </w:tc>
      </w:tr>
      <w:tr w:rsidR="00652800" w:rsidRPr="00203EB0" w14:paraId="7A9776E6" w14:textId="77777777" w:rsidTr="00652800">
        <w:tc>
          <w:tcPr>
            <w:tcW w:w="1667" w:type="pct"/>
          </w:tcPr>
          <w:p w14:paraId="4940606A" w14:textId="77777777" w:rsidR="00652800" w:rsidRPr="00203EB0" w:rsidRDefault="00652800" w:rsidP="00652800">
            <w:pPr>
              <w:rPr>
                <w:rFonts w:cs="Times New Roman"/>
              </w:rPr>
            </w:pPr>
            <w:r w:rsidRPr="00203EB0">
              <w:rPr>
                <w:rFonts w:cs="Times New Roman"/>
              </w:rPr>
              <w:t>Ammonium (NH</w:t>
            </w:r>
            <w:r w:rsidRPr="00203EB0">
              <w:rPr>
                <w:rFonts w:cs="Times New Roman"/>
                <w:vertAlign w:val="subscript"/>
              </w:rPr>
              <w:t>4</w:t>
            </w:r>
            <w:r w:rsidRPr="00203EB0">
              <w:rPr>
                <w:rFonts w:cs="Times New Roman"/>
                <w:vertAlign w:val="superscript"/>
              </w:rPr>
              <w:t>+</w:t>
            </w:r>
            <w:r w:rsidRPr="00203EB0">
              <w:rPr>
                <w:rFonts w:cs="Times New Roman"/>
              </w:rPr>
              <w:t>)</w:t>
            </w:r>
          </w:p>
        </w:tc>
        <w:tc>
          <w:tcPr>
            <w:tcW w:w="1667" w:type="pct"/>
          </w:tcPr>
          <w:p w14:paraId="45BFAC02" w14:textId="77777777" w:rsidR="00652800" w:rsidRPr="00203EB0" w:rsidRDefault="00652800" w:rsidP="00652800">
            <w:pPr>
              <w:jc w:val="center"/>
              <w:rPr>
                <w:rFonts w:cs="Times New Roman"/>
              </w:rPr>
            </w:pPr>
            <w:r w:rsidRPr="00203EB0">
              <w:rPr>
                <w:rFonts w:cs="Times New Roman"/>
              </w:rPr>
              <w:t>0.49</w:t>
            </w:r>
          </w:p>
        </w:tc>
        <w:tc>
          <w:tcPr>
            <w:tcW w:w="1666" w:type="pct"/>
          </w:tcPr>
          <w:p w14:paraId="653698F9" w14:textId="77777777" w:rsidR="00652800" w:rsidRPr="00203EB0" w:rsidRDefault="00652800" w:rsidP="00652800">
            <w:pPr>
              <w:jc w:val="center"/>
              <w:rPr>
                <w:rFonts w:cs="Times New Roman"/>
              </w:rPr>
            </w:pPr>
            <w:r w:rsidRPr="00203EB0">
              <w:rPr>
                <w:rFonts w:cs="Times New Roman"/>
              </w:rPr>
              <w:t>0.12</w:t>
            </w:r>
          </w:p>
        </w:tc>
      </w:tr>
      <w:tr w:rsidR="00652800" w:rsidRPr="00203EB0" w14:paraId="3B05E71C" w14:textId="77777777" w:rsidTr="00652800">
        <w:tc>
          <w:tcPr>
            <w:tcW w:w="1667" w:type="pct"/>
          </w:tcPr>
          <w:p w14:paraId="1FB94BB8" w14:textId="77777777" w:rsidR="00652800" w:rsidRPr="00203EB0" w:rsidRDefault="00652800" w:rsidP="00652800">
            <w:pPr>
              <w:rPr>
                <w:rFonts w:cs="Times New Roman"/>
              </w:rPr>
            </w:pPr>
            <w:r w:rsidRPr="00203EB0">
              <w:rPr>
                <w:rFonts w:cs="Times New Roman"/>
              </w:rPr>
              <w:t>Nitrate (NO</w:t>
            </w:r>
            <w:r w:rsidRPr="00203EB0">
              <w:rPr>
                <w:rFonts w:cs="Times New Roman"/>
                <w:vertAlign w:val="subscript"/>
              </w:rPr>
              <w:t>3</w:t>
            </w:r>
            <w:r w:rsidRPr="00203EB0">
              <w:rPr>
                <w:rFonts w:cs="Times New Roman"/>
                <w:vertAlign w:val="superscript"/>
              </w:rPr>
              <w:t>-</w:t>
            </w:r>
            <w:r w:rsidRPr="00203EB0">
              <w:rPr>
                <w:rFonts w:cs="Times New Roman"/>
              </w:rPr>
              <w:t>)</w:t>
            </w:r>
          </w:p>
        </w:tc>
        <w:tc>
          <w:tcPr>
            <w:tcW w:w="1667" w:type="pct"/>
          </w:tcPr>
          <w:p w14:paraId="229A968E" w14:textId="77777777" w:rsidR="00652800" w:rsidRPr="00203EB0" w:rsidRDefault="00652800" w:rsidP="00652800">
            <w:pPr>
              <w:jc w:val="center"/>
              <w:rPr>
                <w:rFonts w:cs="Times New Roman"/>
              </w:rPr>
            </w:pPr>
            <w:r w:rsidRPr="00203EB0">
              <w:rPr>
                <w:rFonts w:cs="Times New Roman"/>
              </w:rPr>
              <w:t>0.07</w:t>
            </w:r>
          </w:p>
        </w:tc>
        <w:tc>
          <w:tcPr>
            <w:tcW w:w="1666" w:type="pct"/>
          </w:tcPr>
          <w:p w14:paraId="1F8E8EB8" w14:textId="77777777" w:rsidR="00652800" w:rsidRPr="00203EB0" w:rsidRDefault="00652800" w:rsidP="00652800">
            <w:pPr>
              <w:jc w:val="center"/>
              <w:rPr>
                <w:rFonts w:cs="Times New Roman"/>
              </w:rPr>
            </w:pPr>
            <w:r w:rsidRPr="00203EB0">
              <w:rPr>
                <w:rFonts w:cs="Times New Roman"/>
              </w:rPr>
              <w:t>0.62</w:t>
            </w:r>
          </w:p>
        </w:tc>
      </w:tr>
      <w:tr w:rsidR="00652800" w:rsidRPr="00203EB0" w14:paraId="497E30A6" w14:textId="77777777" w:rsidTr="00652800">
        <w:tc>
          <w:tcPr>
            <w:tcW w:w="1667" w:type="pct"/>
          </w:tcPr>
          <w:p w14:paraId="6C7FF4D6" w14:textId="77777777" w:rsidR="00652800" w:rsidRPr="00203EB0" w:rsidRDefault="00652800" w:rsidP="00652800">
            <w:pPr>
              <w:rPr>
                <w:rFonts w:cs="Times New Roman"/>
              </w:rPr>
            </w:pPr>
            <w:r w:rsidRPr="00203EB0">
              <w:rPr>
                <w:rFonts w:cs="Times New Roman"/>
              </w:rPr>
              <w:t>Oxygen (O</w:t>
            </w:r>
            <w:r w:rsidRPr="00203EB0">
              <w:rPr>
                <w:rFonts w:cs="Times New Roman"/>
                <w:vertAlign w:val="subscript"/>
              </w:rPr>
              <w:t>2</w:t>
            </w:r>
            <w:r w:rsidRPr="00203EB0">
              <w:rPr>
                <w:rFonts w:cs="Times New Roman"/>
              </w:rPr>
              <w:t>)</w:t>
            </w:r>
          </w:p>
        </w:tc>
        <w:tc>
          <w:tcPr>
            <w:tcW w:w="1667" w:type="pct"/>
          </w:tcPr>
          <w:p w14:paraId="03E0A384" w14:textId="77777777" w:rsidR="00652800" w:rsidRPr="00203EB0" w:rsidRDefault="00652800" w:rsidP="00652800">
            <w:pPr>
              <w:jc w:val="center"/>
              <w:rPr>
                <w:rFonts w:cs="Times New Roman"/>
              </w:rPr>
            </w:pPr>
            <w:r w:rsidRPr="00203EB0">
              <w:rPr>
                <w:rFonts w:cs="Times New Roman"/>
              </w:rPr>
              <w:t>0.25</w:t>
            </w:r>
          </w:p>
        </w:tc>
        <w:tc>
          <w:tcPr>
            <w:tcW w:w="1666" w:type="pct"/>
          </w:tcPr>
          <w:p w14:paraId="5BEDB679" w14:textId="77777777" w:rsidR="00652800" w:rsidRPr="00203EB0" w:rsidRDefault="00652800" w:rsidP="00652800">
            <w:pPr>
              <w:jc w:val="center"/>
              <w:rPr>
                <w:rFonts w:cs="Times New Roman"/>
              </w:rPr>
            </w:pPr>
            <w:r w:rsidRPr="00203EB0">
              <w:rPr>
                <w:rFonts w:cs="Times New Roman"/>
              </w:rPr>
              <w:t>0.00</w:t>
            </w:r>
          </w:p>
        </w:tc>
      </w:tr>
      <w:tr w:rsidR="00652800" w:rsidRPr="00203EB0" w14:paraId="01C909CB" w14:textId="77777777" w:rsidTr="00652800">
        <w:tc>
          <w:tcPr>
            <w:tcW w:w="1667" w:type="pct"/>
          </w:tcPr>
          <w:p w14:paraId="091D3157" w14:textId="77777777" w:rsidR="00652800" w:rsidRPr="00203EB0" w:rsidRDefault="00652800" w:rsidP="00652800">
            <w:pPr>
              <w:rPr>
                <w:rFonts w:cs="Times New Roman"/>
              </w:rPr>
            </w:pPr>
            <w:r w:rsidRPr="00203EB0">
              <w:rPr>
                <w:rFonts w:cs="Times New Roman"/>
              </w:rPr>
              <w:t>CO</w:t>
            </w:r>
            <w:r w:rsidRPr="00203EB0">
              <w:rPr>
                <w:rFonts w:cs="Times New Roman"/>
                <w:vertAlign w:val="subscript"/>
              </w:rPr>
              <w:t>2</w:t>
            </w:r>
          </w:p>
        </w:tc>
        <w:tc>
          <w:tcPr>
            <w:tcW w:w="1667" w:type="pct"/>
          </w:tcPr>
          <w:p w14:paraId="3FFA92B3" w14:textId="77777777" w:rsidR="00652800" w:rsidRPr="00203EB0" w:rsidRDefault="00652800" w:rsidP="00652800">
            <w:pPr>
              <w:jc w:val="center"/>
              <w:rPr>
                <w:rFonts w:cs="Times New Roman"/>
              </w:rPr>
            </w:pPr>
            <w:r w:rsidRPr="00203EB0">
              <w:rPr>
                <w:rFonts w:cs="Times New Roman"/>
              </w:rPr>
              <w:t>0.13</w:t>
            </w:r>
          </w:p>
        </w:tc>
        <w:tc>
          <w:tcPr>
            <w:tcW w:w="1666" w:type="pct"/>
          </w:tcPr>
          <w:p w14:paraId="0ADAAA6F" w14:textId="77777777" w:rsidR="00652800" w:rsidRPr="00203EB0" w:rsidRDefault="00652800" w:rsidP="00652800">
            <w:pPr>
              <w:jc w:val="center"/>
              <w:rPr>
                <w:rFonts w:cs="Times New Roman"/>
              </w:rPr>
            </w:pPr>
            <w:r w:rsidRPr="00203EB0">
              <w:rPr>
                <w:rFonts w:cs="Times New Roman"/>
              </w:rPr>
              <w:t>0.16</w:t>
            </w:r>
          </w:p>
        </w:tc>
      </w:tr>
      <w:tr w:rsidR="00652800" w:rsidRPr="00203EB0" w14:paraId="42295E5B" w14:textId="77777777" w:rsidTr="00652800">
        <w:tc>
          <w:tcPr>
            <w:tcW w:w="1667" w:type="pct"/>
          </w:tcPr>
          <w:p w14:paraId="18895D55" w14:textId="77777777" w:rsidR="00652800" w:rsidRPr="00203EB0" w:rsidRDefault="00652800" w:rsidP="00652800">
            <w:pPr>
              <w:rPr>
                <w:rFonts w:cs="Times New Roman"/>
              </w:rPr>
            </w:pPr>
            <w:r w:rsidRPr="00203EB0">
              <w:rPr>
                <w:rFonts w:cs="Times New Roman"/>
              </w:rPr>
              <w:t>POXC</w:t>
            </w:r>
          </w:p>
        </w:tc>
        <w:tc>
          <w:tcPr>
            <w:tcW w:w="1667" w:type="pct"/>
          </w:tcPr>
          <w:p w14:paraId="68CE3C47" w14:textId="77777777" w:rsidR="00652800" w:rsidRPr="00203EB0" w:rsidRDefault="00652800" w:rsidP="00652800">
            <w:pPr>
              <w:jc w:val="center"/>
              <w:rPr>
                <w:rFonts w:cs="Times New Roman"/>
              </w:rPr>
            </w:pPr>
            <w:r w:rsidRPr="00203EB0">
              <w:rPr>
                <w:rFonts w:cs="Times New Roman"/>
              </w:rPr>
              <w:t>0.06</w:t>
            </w:r>
          </w:p>
        </w:tc>
        <w:tc>
          <w:tcPr>
            <w:tcW w:w="1666" w:type="pct"/>
          </w:tcPr>
          <w:p w14:paraId="4AEB5BB0" w14:textId="77777777" w:rsidR="00652800" w:rsidRPr="00203EB0" w:rsidRDefault="00652800" w:rsidP="00652800">
            <w:pPr>
              <w:jc w:val="center"/>
              <w:rPr>
                <w:rFonts w:cs="Times New Roman"/>
              </w:rPr>
            </w:pPr>
            <w:r w:rsidRPr="00203EB0">
              <w:rPr>
                <w:rFonts w:cs="Times New Roman"/>
              </w:rPr>
              <w:t>0.10</w:t>
            </w:r>
          </w:p>
        </w:tc>
      </w:tr>
      <w:tr w:rsidR="00652800" w:rsidRPr="00203EB0" w14:paraId="59A3146F" w14:textId="77777777" w:rsidTr="00652800">
        <w:tc>
          <w:tcPr>
            <w:tcW w:w="1667" w:type="pct"/>
            <w:tcBorders>
              <w:bottom w:val="single" w:sz="4" w:space="0" w:color="auto"/>
            </w:tcBorders>
          </w:tcPr>
          <w:p w14:paraId="4815A6B8" w14:textId="77777777" w:rsidR="00652800" w:rsidRPr="00203EB0" w:rsidRDefault="00652800" w:rsidP="00652800">
            <w:pPr>
              <w:rPr>
                <w:rFonts w:cs="Times New Roman"/>
              </w:rPr>
            </w:pPr>
          </w:p>
        </w:tc>
        <w:tc>
          <w:tcPr>
            <w:tcW w:w="1667" w:type="pct"/>
            <w:tcBorders>
              <w:bottom w:val="single" w:sz="4" w:space="0" w:color="auto"/>
            </w:tcBorders>
          </w:tcPr>
          <w:p w14:paraId="01A9BCA3" w14:textId="77777777" w:rsidR="00652800" w:rsidRPr="00203EB0" w:rsidRDefault="00652800" w:rsidP="00652800">
            <w:pPr>
              <w:jc w:val="center"/>
              <w:rPr>
                <w:rFonts w:cs="Times New Roman"/>
              </w:rPr>
            </w:pPr>
          </w:p>
        </w:tc>
        <w:tc>
          <w:tcPr>
            <w:tcW w:w="1666" w:type="pct"/>
            <w:tcBorders>
              <w:bottom w:val="single" w:sz="4" w:space="0" w:color="auto"/>
            </w:tcBorders>
          </w:tcPr>
          <w:p w14:paraId="67B659E2" w14:textId="77777777" w:rsidR="00652800" w:rsidRPr="00203EB0" w:rsidRDefault="00652800" w:rsidP="00652800">
            <w:pPr>
              <w:jc w:val="center"/>
              <w:rPr>
                <w:rFonts w:cs="Times New Roman"/>
              </w:rPr>
            </w:pPr>
          </w:p>
        </w:tc>
      </w:tr>
      <w:tr w:rsidR="00652800" w:rsidRPr="00203EB0" w14:paraId="26B6E660" w14:textId="77777777" w:rsidTr="00652800">
        <w:tc>
          <w:tcPr>
            <w:tcW w:w="1667" w:type="pct"/>
            <w:tcBorders>
              <w:top w:val="single" w:sz="4" w:space="0" w:color="auto"/>
              <w:bottom w:val="single" w:sz="4" w:space="0" w:color="auto"/>
            </w:tcBorders>
          </w:tcPr>
          <w:p w14:paraId="6053C9C1" w14:textId="77777777" w:rsidR="00652800" w:rsidRPr="00203EB0" w:rsidRDefault="00652800" w:rsidP="00652800">
            <w:pPr>
              <w:jc w:val="center"/>
              <w:rPr>
                <w:rFonts w:cs="Times New Roman"/>
                <w:b/>
              </w:rPr>
            </w:pPr>
            <w:r w:rsidRPr="00203EB0">
              <w:rPr>
                <w:rFonts w:cs="Times New Roman"/>
                <w:b/>
              </w:rPr>
              <w:t>Model R</w:t>
            </w:r>
            <w:r w:rsidRPr="00203EB0">
              <w:rPr>
                <w:rFonts w:cs="Times New Roman"/>
                <w:b/>
                <w:vertAlign w:val="superscript"/>
              </w:rPr>
              <w:t>2</w:t>
            </w:r>
          </w:p>
        </w:tc>
        <w:tc>
          <w:tcPr>
            <w:tcW w:w="1667" w:type="pct"/>
            <w:tcBorders>
              <w:top w:val="single" w:sz="4" w:space="0" w:color="auto"/>
              <w:bottom w:val="single" w:sz="4" w:space="0" w:color="auto"/>
            </w:tcBorders>
          </w:tcPr>
          <w:p w14:paraId="096FCC61" w14:textId="77777777" w:rsidR="00652800" w:rsidRPr="00203EB0" w:rsidRDefault="00652800" w:rsidP="00652800">
            <w:pPr>
              <w:jc w:val="center"/>
              <w:rPr>
                <w:rFonts w:cs="Times New Roman"/>
                <w:b/>
              </w:rPr>
            </w:pPr>
            <w:r w:rsidRPr="00203EB0">
              <w:rPr>
                <w:rFonts w:cs="Times New Roman"/>
                <w:b/>
              </w:rPr>
              <w:t>0.67</w:t>
            </w:r>
          </w:p>
        </w:tc>
        <w:tc>
          <w:tcPr>
            <w:tcW w:w="1666" w:type="pct"/>
            <w:tcBorders>
              <w:top w:val="single" w:sz="4" w:space="0" w:color="auto"/>
              <w:bottom w:val="single" w:sz="4" w:space="0" w:color="auto"/>
            </w:tcBorders>
          </w:tcPr>
          <w:p w14:paraId="210061DC" w14:textId="77777777" w:rsidR="00652800" w:rsidRPr="00203EB0" w:rsidRDefault="00652800" w:rsidP="00652800">
            <w:pPr>
              <w:jc w:val="center"/>
              <w:rPr>
                <w:rFonts w:cs="Times New Roman"/>
                <w:b/>
              </w:rPr>
            </w:pPr>
            <w:r w:rsidRPr="00203EB0">
              <w:rPr>
                <w:rFonts w:cs="Times New Roman"/>
                <w:b/>
              </w:rPr>
              <w:t>0.62</w:t>
            </w:r>
          </w:p>
        </w:tc>
      </w:tr>
    </w:tbl>
    <w:p w14:paraId="5FC9A982" w14:textId="77777777" w:rsidR="00BC1CDA" w:rsidRPr="00203EB0" w:rsidRDefault="00BC1CDA" w:rsidP="00BC1CDA">
      <w:pPr>
        <w:rPr>
          <w:rFonts w:cs="Times New Roman"/>
          <w:sz w:val="20"/>
          <w:szCs w:val="20"/>
        </w:rPr>
      </w:pPr>
      <w:r w:rsidRPr="00203EB0">
        <w:rPr>
          <w:rFonts w:cs="Times New Roman"/>
          <w:sz w:val="20"/>
          <w:szCs w:val="20"/>
        </w:rPr>
        <w:t>*Values in the table rank the relevance of features in the model based on the Gini importance or mean decrease impurity</w:t>
      </w:r>
    </w:p>
    <w:p w14:paraId="7B14BA4F" w14:textId="6B4B7097" w:rsidR="00BC1CDA" w:rsidRPr="00203EB0" w:rsidRDefault="00BC1CDA" w:rsidP="00652800"/>
    <w:p w14:paraId="68D0149C" w14:textId="3CBE5920" w:rsidR="00BC1CDA" w:rsidRPr="00203EB0" w:rsidRDefault="00BC1CDA" w:rsidP="00652800"/>
    <w:p w14:paraId="6D6DF7D7" w14:textId="5EF7823A" w:rsidR="00BC1CDA" w:rsidRPr="00203EB0" w:rsidRDefault="00BC1CDA" w:rsidP="00652800">
      <w:r w:rsidRPr="00203EB0">
        <w:rPr>
          <w:noProof/>
        </w:rPr>
        <w:drawing>
          <wp:inline distT="0" distB="0" distL="0" distR="0" wp14:anchorId="17B1F85F" wp14:editId="0CFFD408">
            <wp:extent cx="5557131" cy="2529683"/>
            <wp:effectExtent l="0" t="0" r="5715"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83023" cy="2541469"/>
                    </a:xfrm>
                    <a:prstGeom prst="rect">
                      <a:avLst/>
                    </a:prstGeom>
                    <a:noFill/>
                  </pic:spPr>
                </pic:pic>
              </a:graphicData>
            </a:graphic>
          </wp:inline>
        </w:drawing>
      </w:r>
    </w:p>
    <w:p w14:paraId="584BE67A" w14:textId="4C883266" w:rsidR="00BC1CDA" w:rsidRPr="00203EB0" w:rsidRDefault="00BC1CDA" w:rsidP="00652800"/>
    <w:p w14:paraId="20026446" w14:textId="71F5CB18" w:rsidR="00BC1CDA" w:rsidRDefault="00BC1CDA" w:rsidP="00001ABC">
      <w:pPr>
        <w:pStyle w:val="Caption"/>
      </w:pPr>
      <w:bookmarkStart w:id="75" w:name="_Toc206669273"/>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4</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8</w:t>
      </w:r>
      <w:r w:rsidR="00BD46F8" w:rsidRPr="00203EB0">
        <w:rPr>
          <w:b/>
          <w:bCs/>
        </w:rPr>
        <w:fldChar w:fldCharType="end"/>
      </w:r>
      <w:r w:rsidRPr="00203EB0">
        <w:rPr>
          <w:b/>
          <w:bCs/>
        </w:rPr>
        <w:t>:</w:t>
      </w:r>
      <w:r w:rsidRPr="00203EB0">
        <w:t xml:space="preserve"> Predicted vs observed N</w:t>
      </w:r>
      <w:r w:rsidRPr="00203EB0">
        <w:rPr>
          <w:vertAlign w:val="subscript"/>
        </w:rPr>
        <w:t>2</w:t>
      </w:r>
      <w:r w:rsidRPr="00203EB0">
        <w:t>O emissions from the Random Forest N</w:t>
      </w:r>
      <w:r w:rsidRPr="00203EB0">
        <w:rPr>
          <w:vertAlign w:val="subscript"/>
        </w:rPr>
        <w:t>2</w:t>
      </w:r>
      <w:r w:rsidRPr="00203EB0">
        <w:t>O flux model on the test data set: a) 50% WFPS and b) 80% WFPS. HV: Hairy vetch, WW: Winter wheat, No cover: No cover crop, No cover + 0 N: Control.</w:t>
      </w:r>
      <w:bookmarkEnd w:id="75"/>
    </w:p>
    <w:p w14:paraId="42E9D56F" w14:textId="77777777" w:rsidR="009C40C0" w:rsidRDefault="009C40C0" w:rsidP="009C40C0"/>
    <w:p w14:paraId="690248D8" w14:textId="77777777" w:rsidR="009C40C0" w:rsidRDefault="009C40C0" w:rsidP="009C40C0"/>
    <w:p w14:paraId="4B89D602" w14:textId="77777777" w:rsidR="009C40C0" w:rsidRPr="009C40C0" w:rsidRDefault="009C40C0" w:rsidP="009C40C0"/>
    <w:p w14:paraId="742B503F" w14:textId="5C83F867" w:rsidR="00BC1CDA" w:rsidRPr="00203EB0" w:rsidRDefault="00BC1CDA" w:rsidP="00A61CF4">
      <w:pPr>
        <w:pStyle w:val="Heading2"/>
      </w:pPr>
      <w:bookmarkStart w:id="76" w:name="_Toc206669133"/>
      <w:r w:rsidRPr="00203EB0">
        <w:lastRenderedPageBreak/>
        <w:t>Discussion</w:t>
      </w:r>
      <w:bookmarkEnd w:id="76"/>
    </w:p>
    <w:p w14:paraId="36B00846" w14:textId="77E311E2" w:rsidR="00BC1CDA" w:rsidRPr="00203EB0" w:rsidRDefault="00BC1CDA" w:rsidP="00BC1CDA">
      <w:pPr>
        <w:spacing w:after="300" w:line="480" w:lineRule="auto"/>
        <w:rPr>
          <w:rFonts w:cs="Times New Roman"/>
        </w:rPr>
      </w:pPr>
      <w:r w:rsidRPr="00203EB0">
        <w:rPr>
          <w:rFonts w:cs="Times New Roman"/>
        </w:rPr>
        <w:t>Our findings revealed that even under suboptimal WFPS levels for denitrification (i.e., 50% WFPS in this study), N fertilized soils with cover crop residue addition exhibited N</w:t>
      </w:r>
      <w:r w:rsidRPr="00203EB0">
        <w:rPr>
          <w:rFonts w:cs="Times New Roman"/>
          <w:vertAlign w:val="subscript"/>
        </w:rPr>
        <w:t>2</w:t>
      </w:r>
      <w:r w:rsidRPr="00203EB0">
        <w:rPr>
          <w:rFonts w:cs="Times New Roman"/>
        </w:rPr>
        <w:t>O emissions of similar or higher magnitude than soils experiencing water-induced anoxia at 80% WFPS, widely reported to promote N</w:t>
      </w:r>
      <w:r w:rsidRPr="00203EB0">
        <w:rPr>
          <w:rFonts w:cs="Times New Roman"/>
          <w:vertAlign w:val="subscript"/>
        </w:rPr>
        <w:t>2</w:t>
      </w:r>
      <w:r w:rsidRPr="00203EB0">
        <w:rPr>
          <w:rFonts w:cs="Times New Roman"/>
        </w:rPr>
        <w:t>O emissions from denitrification</w:t>
      </w:r>
      <w:r w:rsidR="00A5367F"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{"citationItems":[{"id":"ITEM-1","itemData":{"DOI":"10.1002/jpln.201400392","ISSN":"15222624","abstract":"Cover crops in rotation or intercropped with annual crops are important strategies to increase C and N input in agricultural soils. However, these practices may also enhance soil N2O emissions. The effect on N2O emissions may be dependent upon the biochemical composition of cover crop residues. A 47-d incubation study was conducted to determine soil N2O emissions following the addition of residues from three summer legume species [pigeon pea (Cajanus cajan L. Millsp.), cowpea (Vigna unguiculata L. Walp.), lablab bean (Lablab purpureus)], one winter legume [vetch (Vicia sativa L.)], one winter monocotyledon [black oat (Avena strigosa Schreb.)], and maize (Zea mays L.) under two water-filled pore space levels (40 and 70% WFPS). Short-term peaks of N2O fluxes were observed after the addition of all crop residues, but were much greater under 70 than 40% WFPS (5.2 and 5133μg N-N2O kg-1 soil for 40 and 70% WFPS, respectively). Under both WFPS, significantly higher peaks were detected after the application of N-rich legume residues (7.7 and 3,356μg N-N2O kg-1 soil under 40 and 70% WFPS, respectively) than after the application of grass residues (2.8 and 1,777μg N-N2O kg-1 soil under 40 and 70% WFPS, respectively). Cumulative soil N2O produced under 70% WFPS was approx. 110 times greater than under 40% WFPS. Soil N2O emissions increased linearly as residue N content increased. Soil N2O emissions also increased linearly as the content of the recalcitrant compounds lignin and polyphenols increased, because residues with high N content also had high lignin and polyphenols content. When the content of C and recalcitrant compounds were expressed on an N basis, soil N2O emission decreased linearly as residue C/N, lignin/N, polyphenol/N, and (lignin + polyphenols)/N ratios increased. Indices that include recalcitrant compounds on N basis may beuseful for the selection of cover-crop species withthe least impact on soil N2O emissions. However, our results show that these ratio indices had similar correlation coefficients compared to C/N ratio, indicating that C/N ratio is an efficient index to predict soil N2O emission following cover crop application.","author":[{"dropping-particle":"","family":"Pimentel","given":"Laisa Gouveia","non-dropping-particle":"","parse-names":false,"suffix":""},{"dropping-particle":"","family":"Weiler","given":"Douglas Adams","non-dropping-particle":"","parse-names":false,"suffix":""},{"dropping-particle":"","family":"Pedroso","given":"Gabriel Munhoz","non-dropping-particle":"","parse-names":false,"suffix":""},{"dropping-particle":"","family":"Bayer","given":"Cimélio","non-dropping-particle":"","parse-names":false,"suffix":""}],"container-title":"Journal of Plant Nutrition and Soil Science","id":"ITEM-1","issue":"4","issued":{"date-parts":[["2015"]]},"page":"631-640","title":"Soil N2O emissions following cover-crop residues application under two soil moisture conditions","type":"article-journal","volume":"178"},"uris":["http://www.mendeley.com/documents/?uuid=939ca8ff-8305-4dd3-abb7-af866414d685"]},{"id":"ITEM-2","itemData":{"DOI":"10.1046/j.1365-2486.2003.00563.x","ISSN":"13541013","abstract":"Measurements were made of nitrous oxide (N2O) emissions from N-fertilised ungrazed grassland and arable land at sites widely distributed across Great Britain during 1999-2001. The closed static chamber method was used throughout. Emissions varied widely throughout the year at each site, and between sites. Daily fluxes up to 1200 g N2O-N ha-1 d-1 were recorded. The highest annual flux was 27.6 kg N2O-N ha-1 at a grassland site in Wales, whereas the lowest, 1.7 kg N2O-N ha-1, occurred on a soil overlying chalk in southern England. The key factors affecting N2O emissions from agricultural soil were soil WFPS, temperature and soil NO3--N content. On grassland, rainfall (particularly around the time of N application), with its consequent effect on water-filled pore space (WFPS), was the main driving factor during the growing season. Annual emission factors (EFs), uncorrected for background emission, varied from 0.4 to 6.5% of the nitrogen (N) applied, covering a similar range for grassland to that found previously for sites restricted to Scotland. Continued monitoring at a grassland reference site near Edinburgh showed that annual EFs vary greatly from year to year, even with similar management, and that several years' data are required to produce a robust mean EF. The overall distribution of EFs in this and previous studies was log-normal. The EFs for small-grain cereals (and oilseed rape) peaked at a much lower value than those for grassland, whereas the values for leafy vegetables and potato crops fitted well into the grassland distribution. These differences in EF between various types of crop should be taken into account when compiling regional or national N2O emission inventories.","author":[{"dropping-particle":"","family":"Dobbie","given":"Karen E.","non-dropping-particle":"","parse-names":false,"suffix":""},{"dropping-particle":"","family":"Smith","given":"Keith A.","non-dropping-particle":"","parse-names":false,"suffix":""}],"container-title":"Global Change Biology","id":"ITEM-2","issue":"2","issued":{"date-parts":[["2003"]]},"page":"204-218","title":"Nitrous oxide emission factors for agricultural soils in Great Britain: The impact of soil water-filled pore space and other controlling variables","type":"article-journal","volume":"9"},"uris":["http://www.mendeley.com/documents/?uuid=56532ab7-9c25-4f02-947f-bf6f40d35b54"]},{"id":"ITEM-3","itemData":{"DOI":"10.1111/j.1365-2389.2010.01277.x","ISSN":"13510754","abstract":"In order to estimate potential greenhouse gas flux rates from soils under different land use and climate, and to particularly assess the influence of soil temperature and soil moisture, we measured fluxes of nitrous oxide (N2O), nitric oxide (NO), carbon dioxide (CO2) and methane (CH4) from intact soil cores obtained from 13 European sites under controlled laboratory conditions. The soils covered the different climates of Europe and included four different land-use types: croplands, forests, grasslands and wetlands. In a two-factorial experimental design, the soil cores were incubated under four temperatures (5-20°C) and water contents (20-80% water-filled pore space). We found a non-linear increase of N2O, NO and CO2 emissions with increasing temperature. Nitrous oxide emissions were positively correlated with soil moisture, while NO emission and CH4 oxidation rates were negatively correlated with soil moisture. Maximum CO2 emissions occurred at intermediate soil moisture. Different land-use types strongly affected greenhouse gas fluxes. Nitrous oxide and CO2 emissions were highest in grassland soils, while NO emissions were highest in forest soils. In grasslands, high soil microbial activity stimulated by high carbon (C) and nitrogen (N) contents, dense root systems and high C input from above-ground decaying biomass was the most likely cause for high N2O and CO2 emissions. High NO emissions from forest soils were mainly attributed to low pH and high soil porosity. Northern soils showed the greatest capacity to take up CH4 under warmer and dryer soil conditions. Nitric oxide emissions were positively correlated with N input. © 2010 The Authors. Journal compilation © 2010 British Society of Soil Science.","author":[{"dropping-particle":"","family":"Schaufler","given":"G.","non-dropping-particle":"","parse-names":false,"suffix":""},{"dropping-particle":"","family":"Kitzler","given":"B.","non-dropping-particle":"","parse-names":false,"suffix":""},{"dropping-particle":"","family":"Schindlbacher","given":"A.","non-dropping-particle":"","parse-names":false,"suffix":""},{"dropping-particle":"","family":"Skiba","given":"U.","non-dropping-particle":"","parse-names":false,"suffix":""},{"dropping-particle":"","family":"Sutton","given":"M. A.","non-dropping-particle":"","parse-names":false,"suffix":""},{"dropping-particle":"","family":"Zechmeister-Boltenstern","given":"S.","non-dropping-particle":"","parse-names":false,"suffix":""}],"container-title":"European Journal of Soil Science","id":"ITEM-3","issue":"5","issued":{"date-parts":[["2010"]]},"page":"683-696","title":"Greenhouse gas emissions from European soils under different land use: Effects of soil moisture and temperature","type":"article-journal","volume":"61"},"uris":["http://www.mendeley.com/documents/?uuid=c1b01a0a-6d43-4d7d-95f7-83b9ac8f94c8"]}],"mendeley":{"formattedCitation":"(Dobbie and Smith, 2003; Schaufler et al., 2010; Pimentel et al., 2015)","plainTextFormattedCitation":"(Dobbie and Smith, 2003; Schaufler et al., 2010; Pimentel et al., 2015)","previouslyFormattedCitation":"(Dobbie and Smith, 2003; Schaufler et al., 2010; Pimentel et al., 2015)"},"properties":{"noteIndex":0},"schema":"https://github.com/citation-style-language/schema/raw/master/csl-citation.json"}</w:instrText>
      </w:r>
      <w:r w:rsidRPr="00203EB0">
        <w:rPr>
          <w:rFonts w:cs="Times New Roman"/>
        </w:rPr>
        <w:fldChar w:fldCharType="separate"/>
      </w:r>
      <w:r w:rsidRPr="00203EB0">
        <w:rPr>
          <w:rFonts w:cs="Times New Roman"/>
          <w:noProof/>
        </w:rPr>
        <w:t>(Dobbie and Smith, 2003; Schaufler et al., 2010; Pimentel et al., 2015)</w:t>
      </w:r>
      <w:r w:rsidRPr="00203EB0">
        <w:rPr>
          <w:rFonts w:cs="Times New Roman"/>
        </w:rPr>
        <w:fldChar w:fldCharType="end"/>
      </w:r>
      <w:r w:rsidRPr="00203EB0">
        <w:rPr>
          <w:rFonts w:cs="Times New Roman"/>
        </w:rPr>
        <w:t>. This is in line with previous studies contradicting the conventional understanding that full pore saturation is a prerequisite for denitrification</w:t>
      </w:r>
      <w:r w:rsidR="00A5367F"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{"citationItems":[{"id":"ITEM-1","itemData":{"DOI":"10.1016/j.jhazmat.2022.130413","ISSN":"18733336","PMID":"36436452","abstract":"Despite its environmental significance, little is known about denitrification in vadose zones owing to the complexity of such environments. Here, we investigated denitrification in unsaturated soils with different pore distributions. To this end, we performed batch-type denitrification experiments and analyzed microbial community shifts before and after possible reactions with nitrates to clarify the relevant denitrifying mechanism in the microcosms. For quantitative comparison, pore distribution in the test soil samples was characterized based on the uniformity coefficient (Cu) and water saturation degree (SD). Micro-CT analysis of the soil pore distribution confirmed that the proportion of bigger-sized pores increased with decreasing Cu. However, oxygen diffusion into the system was controlled by SD rather than Cu. Within a certain SD range (51–67%), the pore condition changed abruptly from an oxic to an anoxic state. Consequently, denitrification occurred even under unsaturated soil conditions when the SD increased beyond 51–67%. High throughput sequencing revealed that the same microbial species were potentially responsible for denitrification under both partially (SD 67%), and fully saturated (SD of 100%) conditions, implying that the mechanism of denitrification in a vadose zone, if it exists, might be possibly similar under varying conditions.","author":[{"dropping-particle":"","family":"Oh","given":"Sungjik","non-dropping-particle":"","parse-names":false,"suffix":""},{"dropping-particle":"","family":"Cho","given":"Kyungjin","non-dropping-particle":"","parse-names":false,"suffix":""},{"dropping-particle":"","family":"Park","given":"Saerom","non-dropping-particle":"","parse-names":false,"suffix":""},{"dropping-particle":"","family":"Kwon","given":"Man Jae","non-dropping-particle":"","parse-names":false,"suffix":""},{"dropping-particle":"","family":"Chung","given":"Jaeshik","non-dropping-particle":"","parse-names":false,"suffix":""},{"dropping-particle":"","family":"Lee","given":"Seunghak","non-dropping-particle":"","parse-names":false,"suffix":""}],"container-title":"Journal of Hazardous Materials","id":"ITEM-1","issue":"November 2022","issued":{"date-parts":[["2023"]]},"page":"130413","publisher":"Elsevier B.V.","title":"Denitrification dynamics in unsaturated soils with different porous structures and water saturation degrees: A focus on the shift in microbial community structures","type":"article-journal","volume":"445"},"uris":["http://www.mendeley.com/documents/?uuid=53866f56-8e43-416f-be7f-ac31408aba25"]}],"mendeley":{"formattedCitation":"(Oh et al., 2023)","plainTextFormattedCitation":"(Oh et al., 2023)","previouslyFormattedCitation":"(Oh et al., 2023)"},"properties":{"noteIndex":0},"schema":"https://github.com/citation-style-language/schema/raw/master/csl-citation.json"}</w:instrText>
      </w:r>
      <w:r w:rsidRPr="00203EB0">
        <w:rPr>
          <w:rFonts w:cs="Times New Roman"/>
        </w:rPr>
        <w:fldChar w:fldCharType="separate"/>
      </w:r>
      <w:r w:rsidRPr="00203EB0">
        <w:rPr>
          <w:rFonts w:cs="Times New Roman"/>
          <w:noProof/>
        </w:rPr>
        <w:t>(Oh et al., 2023)</w:t>
      </w:r>
      <w:r w:rsidRPr="00203EB0">
        <w:rPr>
          <w:rFonts w:cs="Times New Roman"/>
        </w:rPr>
        <w:fldChar w:fldCharType="end"/>
      </w:r>
      <w:r w:rsidRPr="00203EB0">
        <w:rPr>
          <w:rFonts w:cs="Times New Roman"/>
        </w:rPr>
        <w:t>. These findings carry notable implications for managing agricultural systems incorporating cover crops in the rotation to improve soil health through soil C sequestration. While elevated N</w:t>
      </w:r>
      <w:r w:rsidRPr="00203EB0">
        <w:rPr>
          <w:rFonts w:cs="Times New Roman"/>
          <w:vertAlign w:val="subscript"/>
        </w:rPr>
        <w:t>2</w:t>
      </w:r>
      <w:r w:rsidRPr="00203EB0">
        <w:rPr>
          <w:rFonts w:cs="Times New Roman"/>
        </w:rPr>
        <w:t>O emissions can offset the soil C sequestration benefits, our study underscores the importance of understanding the fundamental mechanisms of water-independent soil anoxia and controls of N</w:t>
      </w:r>
      <w:r w:rsidRPr="00203EB0">
        <w:rPr>
          <w:rFonts w:cs="Times New Roman"/>
          <w:vertAlign w:val="subscript"/>
        </w:rPr>
        <w:t>2</w:t>
      </w:r>
      <w:r w:rsidRPr="00203EB0">
        <w:rPr>
          <w:rFonts w:cs="Times New Roman"/>
        </w:rPr>
        <w:t>O emissions in response to cover crop management practices through the lens of high-resolution soil O</w:t>
      </w:r>
      <w:r w:rsidRPr="00203EB0">
        <w:rPr>
          <w:rFonts w:cs="Times New Roman"/>
          <w:vertAlign w:val="subscript"/>
        </w:rPr>
        <w:t>2</w:t>
      </w:r>
      <w:r w:rsidRPr="00203EB0">
        <w:rPr>
          <w:rFonts w:cs="Times New Roman"/>
        </w:rPr>
        <w:t xml:space="preserve"> measurements, a proximal driver of N</w:t>
      </w:r>
      <w:r w:rsidRPr="00203EB0">
        <w:rPr>
          <w:rFonts w:cs="Times New Roman"/>
          <w:vertAlign w:val="subscript"/>
        </w:rPr>
        <w:t>2</w:t>
      </w:r>
      <w:r w:rsidRPr="00203EB0">
        <w:rPr>
          <w:rFonts w:cs="Times New Roman"/>
        </w:rPr>
        <w:t>O emissions. This understanding is critical for accurate assessment of the net GHG mitigation potential of cover crops.</w:t>
      </w:r>
    </w:p>
    <w:p w14:paraId="7BAEB72C" w14:textId="347AF7D2" w:rsidR="00E9317F" w:rsidRPr="00203EB0" w:rsidRDefault="00E9317F" w:rsidP="00CA48D8">
      <w:pPr>
        <w:pStyle w:val="Heading3"/>
        <w:spacing w:line="480" w:lineRule="auto"/>
      </w:pPr>
      <w:bookmarkStart w:id="77" w:name="_Toc206669134"/>
      <w:r w:rsidRPr="00203EB0">
        <w:t>Respiration induced anoxia during cover crop residue decomposition decouples WFPS control on N</w:t>
      </w:r>
      <w:r w:rsidRPr="00203EB0">
        <w:rPr>
          <w:vertAlign w:val="subscript"/>
        </w:rPr>
        <w:t>2</w:t>
      </w:r>
      <w:r w:rsidRPr="00203EB0">
        <w:t>O emissions</w:t>
      </w:r>
      <w:bookmarkEnd w:id="77"/>
    </w:p>
    <w:p w14:paraId="2D75CCAF" w14:textId="6EABA4E1" w:rsidR="00E9317F" w:rsidRPr="00203EB0" w:rsidRDefault="00E9317F" w:rsidP="00CA48D8">
      <w:pPr>
        <w:spacing w:line="480" w:lineRule="auto"/>
        <w:rPr>
          <w:rFonts w:cs="Times New Roman"/>
        </w:rPr>
      </w:pPr>
      <w:r w:rsidRPr="00203EB0">
        <w:rPr>
          <w:rFonts w:cs="Times New Roman"/>
        </w:rPr>
        <w:t>Mixing cover crop residues with N fertilizer created anoxia conducive for N</w:t>
      </w:r>
      <w:r w:rsidRPr="00203EB0">
        <w:rPr>
          <w:rFonts w:cs="Times New Roman"/>
          <w:vertAlign w:val="subscript"/>
        </w:rPr>
        <w:t>2</w:t>
      </w:r>
      <w:r w:rsidRPr="00203EB0">
        <w:rPr>
          <w:rFonts w:cs="Times New Roman"/>
        </w:rPr>
        <w:t>O production under 50% WFPS, which is otherwise well-aerated to limit large N</w:t>
      </w:r>
      <w:r w:rsidRPr="00203EB0">
        <w:rPr>
          <w:rFonts w:cs="Times New Roman"/>
          <w:vertAlign w:val="subscript"/>
        </w:rPr>
        <w:t>2</w:t>
      </w:r>
      <w:r w:rsidRPr="00203EB0">
        <w:rPr>
          <w:rFonts w:cs="Times New Roman"/>
        </w:rPr>
        <w:t xml:space="preserve">O emissions, especially from denitrification </w:t>
      </w:r>
      <w:r w:rsidRPr="00203EB0">
        <w:rPr>
          <w:rFonts w:cs="Times New Roman"/>
        </w:rPr>
        <w:fldChar w:fldCharType="begin" w:fldLock="1"/>
      </w:r>
      <w:r w:rsidR="00EB2F35" w:rsidRPr="00203EB0">
        <w:rPr>
          <w:rFonts w:cs="Times New Roman"/>
        </w:rPr>
        <w:instrText>ADDIN CSL_CITATION {"citationItems":[{"id":"ITEM-1","itemData":{"DOI":"10.1098/rstb.2013.0122","ISSN":"09628436","PMID":"23713120","abstract":"Although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 © 2013 The Authors.","author":[{"dropping-particle":"","family":"Butterbach-Bahl","given":"Klaus","non-dropping-particle":"","parse-names":false,"suffix":""},{"dropping-particle":"","family":"Baggs","given":"Elizabeth M.","non-dropping-particle":"","parse-names":false,"suffix":""},{"dropping-particle":"","family":"Dannenmann","given":"Michael","non-dropping-particle":"","parse-names":false,"suffix":""},{"dropping-particle":"","family":"Kiese","given":"Ralf","non-dropping-particle":"","parse-names":false,"suffix":""},{"dropping-particle":"","family":"Zechmeister-Boltenstern","given":"Sophie","non-dropping-particle":"","parse-names":false,"suffix":""}],"container-title":"Philosophical Transactions of the Royal Society B: Biological Sciences","id":"ITEM-1","issue":"1621","issued":{"date-parts":[["2013"]]},"title":"Nitrous oxide emissions from soils: How well do we understand the processes and their controls?","type":"article-journal","volume":"368"},"uris":["http://www.mendeley.com/documents/?uuid=0db8131c-aaca-494e-b70f-d876b35147f7"]}],"mendeley":{"formattedCitation":"(Butterbach-Bahl et al., 2013)","plainTextFormattedCitation":"(Butterbach-Bahl et al., 2013)","previouslyFormattedCitation":"(Butterbach-Bahl et al., 2013)"},"properties":{"noteIndex":0},"schema":"https://github.com/citation-style-language/schema/raw/master/csl-citation.json"}</w:instrText>
      </w:r>
      <w:r w:rsidRPr="00203EB0">
        <w:rPr>
          <w:rFonts w:cs="Times New Roman"/>
        </w:rPr>
        <w:fldChar w:fldCharType="separate"/>
      </w:r>
      <w:r w:rsidRPr="00203EB0">
        <w:rPr>
          <w:rFonts w:cs="Times New Roman"/>
          <w:noProof/>
        </w:rPr>
        <w:t>(Butterbach-Bahl et al., 2013)</w:t>
      </w:r>
      <w:r w:rsidRPr="00203EB0">
        <w:rPr>
          <w:rFonts w:cs="Times New Roman"/>
        </w:rPr>
        <w:fldChar w:fldCharType="end"/>
      </w:r>
      <w:r w:rsidRPr="00203EB0">
        <w:rPr>
          <w:rFonts w:cs="Times New Roman"/>
        </w:rPr>
        <w:t>. This led to high cumulative N</w:t>
      </w:r>
      <w:r w:rsidRPr="00203EB0">
        <w:rPr>
          <w:rFonts w:cs="Times New Roman"/>
          <w:vertAlign w:val="subscript"/>
        </w:rPr>
        <w:t>2</w:t>
      </w:r>
      <w:r w:rsidRPr="00203EB0">
        <w:rPr>
          <w:rFonts w:cs="Times New Roman"/>
        </w:rPr>
        <w:t>O emissions comparable with the respective treatments under 80% WFPS co</w:t>
      </w:r>
      <w:r w:rsidR="003555BA" w:rsidRPr="00203EB0">
        <w:rPr>
          <w:rFonts w:cs="Times New Roman"/>
        </w:rPr>
        <w:t>nditions (</w:t>
      </w:r>
      <w:r w:rsidR="003555BA" w:rsidRPr="00203EB0">
        <w:rPr>
          <w:rFonts w:cs="Times New Roman"/>
          <w:b/>
        </w:rPr>
        <w:t>Figure 4.4</w:t>
      </w:r>
      <w:r w:rsidRPr="00203EB0">
        <w:rPr>
          <w:rFonts w:cs="Times New Roman"/>
        </w:rPr>
        <w:t xml:space="preserve">). On the other hand, the no cover crop treatments that received only N fertilizer under </w:t>
      </w:r>
      <w:r w:rsidRPr="00203EB0">
        <w:rPr>
          <w:rFonts w:cs="Times New Roman"/>
        </w:rPr>
        <w:lastRenderedPageBreak/>
        <w:t>50% WFPS produced N</w:t>
      </w:r>
      <w:r w:rsidRPr="00203EB0">
        <w:rPr>
          <w:rFonts w:cs="Times New Roman"/>
          <w:vertAlign w:val="subscript"/>
        </w:rPr>
        <w:t>2</w:t>
      </w:r>
      <w:r w:rsidRPr="00203EB0">
        <w:rPr>
          <w:rFonts w:cs="Times New Roman"/>
        </w:rPr>
        <w:t>O emissions as low as the control treatment and six times lower than that under primarily water-induced anoxia at 80% WFPS. These findings align with our first hypothesis which postulated that respiration-induced anoxia caused by decomposing cover crop residues can promote N</w:t>
      </w:r>
      <w:r w:rsidRPr="00203EB0">
        <w:rPr>
          <w:rFonts w:cs="Times New Roman"/>
          <w:vertAlign w:val="subscript"/>
        </w:rPr>
        <w:t>2</w:t>
      </w:r>
      <w:r w:rsidRPr="00203EB0">
        <w:rPr>
          <w:rFonts w:cs="Times New Roman"/>
        </w:rPr>
        <w:t>O emissions, even under sub-optimal WFPS conditions for denitrification. There are several lines of evidence that support this hypothesis. First, under 50% WFPS condition, cover crop residue addition exhibited a two-fold increase in cumulative CO</w:t>
      </w:r>
      <w:r w:rsidRPr="00203EB0">
        <w:rPr>
          <w:rFonts w:cs="Times New Roman"/>
          <w:vertAlign w:val="subscript"/>
        </w:rPr>
        <w:t>2</w:t>
      </w:r>
      <w:r w:rsidRPr="00203EB0">
        <w:rPr>
          <w:rFonts w:cs="Times New Roman"/>
        </w:rPr>
        <w:t xml:space="preserve"> production compared to the no cover crop and control treatments (</w:t>
      </w:r>
      <w:r w:rsidRPr="00203EB0">
        <w:rPr>
          <w:rFonts w:cs="Times New Roman"/>
          <w:b/>
        </w:rPr>
        <w:t xml:space="preserve">Table </w:t>
      </w:r>
      <w:r w:rsidR="003555BA" w:rsidRPr="00203EB0">
        <w:rPr>
          <w:rFonts w:cs="Times New Roman"/>
          <w:b/>
        </w:rPr>
        <w:t>4.</w:t>
      </w:r>
      <w:r w:rsidRPr="00203EB0">
        <w:rPr>
          <w:rFonts w:cs="Times New Roman"/>
          <w:b/>
        </w:rPr>
        <w:t>1</w:t>
      </w:r>
      <w:r w:rsidRPr="00203EB0">
        <w:rPr>
          <w:rFonts w:cs="Times New Roman"/>
        </w:rPr>
        <w:t xml:space="preserve">). This indicates higher heterotrophic respiration from residue C mineralization in well-aerated conditions under moderate WFPS. Increased C availability, acting as energy source for the </w:t>
      </w:r>
      <w:proofErr w:type="spellStart"/>
      <w:r w:rsidRPr="00203EB0">
        <w:rPr>
          <w:rFonts w:cs="Times New Roman"/>
        </w:rPr>
        <w:t>denitrifiers</w:t>
      </w:r>
      <w:proofErr w:type="spellEnd"/>
      <w:r w:rsidRPr="00203EB0">
        <w:rPr>
          <w:rFonts w:cs="Times New Roman"/>
        </w:rPr>
        <w:t xml:space="preserve"> </w:t>
      </w:r>
      <w:r w:rsidRPr="00203EB0">
        <w:rPr>
          <w:rFonts w:cs="Times New Roman"/>
        </w:rPr>
        <w:fldChar w:fldCharType="begin" w:fldLock="1"/>
      </w:r>
      <w:r w:rsidR="004179E3" w:rsidRPr="00203EB0">
        <w:rPr>
          <w:rFonts w:cs="Times New Roman"/>
        </w:rPr>
        <w:instrText>ADDIN CSL_CITATION {"citationItems":[{"id":"ITEM-1","itemData":{"DOI":"10.2136/sssaj1993.03615995005700010013x","ISBN":"0361599500570","ISSN":"03615995","abstract":"Biological denitrification is affected by many environmental factors that control the amount of N-2 and N-20 entering the atmosphere. This study was conducted to measure the effect on water-filled pore space (WFPS), available C, and soil NO-3 concentration on total denitrification (N-2 + N-2O), using acetylene (C-2H-2) inhibition, and to ascertain if denitrification could be estimated from N-2O measurements in the field using an average N-2/N-2O ratio. Repacked cores of four bench-mark soils were brought to 60, 75, and 90% WFPS by applying treatments of glucose-C (0, 180, and 360 kg ha-1) and NO-3-N (0, 50, and 100 kg ha-1). The cores were incubated at 25 degree C, with and without 100 mL C-2H-2 L-1, for 5 d during which daily gas samples of the headspace were analyzed for N-2O and CO-2. Total N loss due to denitrification generally increased as soil texture became finer and WFPS increased. The only exception to this was the C-amended sand, where N losses up to 26 and 66% were recorded at 60 and 75% WFPS, respectively. Denitrification rates of high N concentrations were quite small in the absence of an available C source but increased with increasing available C (glucose). The N-2/N-2O ratio generally increased with time of incubation after the initial treatment application. The largest ratios (up to 549) were found at the highest available C rate and generally at the highest soil water content. The presence of high NO-3 concentrations apparently inhibited the conversion of N-2O to N-2, resulting in lower N-2/N-2O ratios. Using an average N-2/N-2O ratio for estimation of denitrification from N-2O field measurements cannot be recommended because of the variation in this ratio due to the many environmental factors altered by field management that influence denitrification and the relative production of N-2 and N-2O.","author":[{"dropping-particle":"","family":"Weier","given":"K. L.","non-dropping-particle":"","parse-names":false,"suffix":""},{"dropping-particle":"","family":"Doran","given":"J. W.","non-dropping-particle":"","parse-names":false,"suffix":""},{"dropping-particle":"","family":"Power","given":"J. F.","non-dropping-particle":"","parse-names":false,"suffix":""},{"dropping-particle":"","family":"Walters","given":"D. T.","non-dropping-particle":"","parse-names":false,"suffix":""}],"container-title":"Soil Science Society of America Journal","id":"ITEM-1","issue":"1","issued":{"date-parts":[["1993"]]},"page":"66-72","title":"Denitrification and the dinitrogen/nitrous oxide ratio as affected by soil water, available carbon, and nitrate","type":"article-journal","volume":"57"},"uris":["http://www.mendeley.com/documents/?uuid=88796c40-0039-4022-ab39-7a7b64039151"]}],"mendeley":{"formattedCitation":"(Weier et al., 1993)","plainTextFormattedCitation":"(Weier et al., 1993)","previouslyFormattedCitation":"(Weier et al., 1993)"},"properties":{"noteIndex":0},"schema":"https://github.com/citation-style-language/schema/raw/master/csl-citation.json"}</w:instrText>
      </w:r>
      <w:r w:rsidRPr="00203EB0">
        <w:rPr>
          <w:rFonts w:cs="Times New Roman"/>
        </w:rPr>
        <w:fldChar w:fldCharType="separate"/>
      </w:r>
      <w:r w:rsidRPr="00203EB0">
        <w:rPr>
          <w:rFonts w:cs="Times New Roman"/>
          <w:noProof/>
        </w:rPr>
        <w:t>(Weier et al., 1993)</w:t>
      </w:r>
      <w:r w:rsidRPr="00203EB0">
        <w:rPr>
          <w:rFonts w:cs="Times New Roman"/>
        </w:rPr>
        <w:fldChar w:fldCharType="end"/>
      </w:r>
      <w:r w:rsidRPr="00203EB0">
        <w:rPr>
          <w:rFonts w:cs="Times New Roman"/>
        </w:rPr>
        <w:t>, during cover crop residue decomposition was previously found to increase N</w:t>
      </w:r>
      <w:r w:rsidRPr="00203EB0">
        <w:rPr>
          <w:rFonts w:cs="Times New Roman"/>
          <w:vertAlign w:val="subscript"/>
        </w:rPr>
        <w:t>2</w:t>
      </w:r>
      <w:r w:rsidRPr="00203EB0">
        <w:rPr>
          <w:rFonts w:cs="Times New Roman"/>
        </w:rPr>
        <w:t xml:space="preserve">O emissions </w:t>
      </w:r>
      <w:r w:rsidRPr="00203EB0">
        <w:rPr>
          <w:rFonts w:cs="Times New Roman"/>
        </w:rPr>
        <w:fldChar w:fldCharType="begin" w:fldLock="1"/>
      </w:r>
      <w:r w:rsidR="00EB2F35" w:rsidRPr="00203EB0">
        <w:rPr>
          <w:rFonts w:cs="Times New Roman"/>
        </w:rPr>
        <w:instrText>ADDIN CSL_CITATION {"citationItems":[{"id":"ITEM-1","itemData":{"DOI":"10.2136/sssaj2013.02.0074","ISSN":"0361-5995","abstract":"Nitrous oxide (N2O) emission from denitrification in agricultural soils often increases with N fertilizer and soil nitrate (NO 3) concentrations. Overwintering cover crops in cereal rotations can decrease soil NO3 concentrations and may decrease N2O emissions. However, mineralizable C availability can be a more important control on N2O emission than NO3 concentration in fertilized soils, and cover crop residue provides mineralizable C input. We measured the effect of a winter rye (Secale céréale L.) cover crop on soil N2O emissions from a maize (Zea mays L.) cropping system treated with banded N fertilizer at three rates (0, 135, and 225 kg N ha-1) in Iowa. In addition, we conducted laboratory incubations to determine if potential N2O emissions were limited by mineralizable C or NO3 at these N rates. The rye cover crop decreased soil NO3 concentrations at all N rates. Although the cover crop decreased N2O emissions when no N fertilizer was applied, it increased N2O emissions at an N rate near the economic optimum. In laboratory incubations, N2O emissions from soils from fertilizer bands did not increase with added NO3, but did increase with added glucose. These results show that mineralizable C availability can control N2O emissions, indicating that C from cover crop residue increased N2O emissions from fertilizer band soils in the field. Mineralizable C availability should be considered in future evaluations of cover crop effects on N2O emissions, especially as cover crops are evaluated as a strategy to mitigate agricultural greenhouse gas emissions. © Soil Science Society of America, All rights reserved.","author":[{"dropping-particle":"","family":"Mitchell","given":"David C.","non-dropping-particle":"","parse-names":false,"suffix":""},{"dropping-particle":"","family":"Castellano","given":"Michael J.","non-dropping-particle":"","parse-names":false,"suffix":""},{"dropping-particle":"","family":"Sawyer","given":"John E.","non-dropping-particle":"","parse-names":false,"suffix":""},{"dropping-particle":"","family":"Pantoja","given":"Jose","non-dropping-particle":"","parse-names":false,"suffix":""}],"container-title":"Soil Science Society of America Journal","id":"ITEM-1","issue":"5","issued":{"date-parts":[["2013"]]},"page":"1765-1773","title":"Cover crop effects on nitrous oxide emissions: role of mineralizable carbon","type":"article-journal","volume":"77"},"uris":["http://www.mendeley.com/documents/?uuid=b2e05011-a2f8-467e-95ab-8d366c2c7949"]}],"mendeley":{"formattedCitation":"(Mitchell et al., 2013)","plainTextFormattedCitation":"(Mitchell et al., 2013)","previouslyFormattedCitation":"(Mitchell et al., 2013)"},"properties":{"noteIndex":0},"schema":"https://github.com/citation-style-language/schema/raw/master/csl-citation.json"}</w:instrText>
      </w:r>
      <w:r w:rsidRPr="00203EB0">
        <w:rPr>
          <w:rFonts w:cs="Times New Roman"/>
        </w:rPr>
        <w:fldChar w:fldCharType="separate"/>
      </w:r>
      <w:r w:rsidRPr="00203EB0">
        <w:rPr>
          <w:rFonts w:cs="Times New Roman"/>
          <w:noProof/>
        </w:rPr>
        <w:t>(Mitchell et al., 2013)</w:t>
      </w:r>
      <w:r w:rsidRPr="00203EB0">
        <w:rPr>
          <w:rFonts w:cs="Times New Roman"/>
        </w:rPr>
        <w:fldChar w:fldCharType="end"/>
      </w:r>
      <w:r w:rsidRPr="00203EB0">
        <w:rPr>
          <w:rFonts w:cs="Times New Roman"/>
        </w:rPr>
        <w:t>. However, such an effect was decreased under the water-induced anoxia environment at 80% WFPS due to decreased overall residue decomposition. The divergence in temporal N</w:t>
      </w:r>
      <w:r w:rsidRPr="00203EB0">
        <w:rPr>
          <w:rFonts w:cs="Times New Roman"/>
          <w:vertAlign w:val="subscript"/>
        </w:rPr>
        <w:t>2</w:t>
      </w:r>
      <w:r w:rsidRPr="00203EB0">
        <w:rPr>
          <w:rFonts w:cs="Times New Roman"/>
        </w:rPr>
        <w:t xml:space="preserve">O emissions from the cover crop treatments under 50% and 80% WFPS conditions was conspicuous up to </w:t>
      </w:r>
      <w:r w:rsidR="003555BA" w:rsidRPr="00203EB0">
        <w:rPr>
          <w:rFonts w:cs="Times New Roman"/>
        </w:rPr>
        <w:t>day 5 of the incubation (</w:t>
      </w:r>
      <w:r w:rsidR="003555BA" w:rsidRPr="00203EB0">
        <w:rPr>
          <w:rFonts w:cs="Times New Roman"/>
          <w:b/>
        </w:rPr>
        <w:t>Figure 4.2a</w:t>
      </w:r>
      <w:r w:rsidR="003555BA" w:rsidRPr="00203EB0">
        <w:rPr>
          <w:rFonts w:cs="Times New Roman"/>
        </w:rPr>
        <w:t xml:space="preserve">, </w:t>
      </w:r>
      <w:r w:rsidR="003555BA" w:rsidRPr="00203EB0">
        <w:rPr>
          <w:rFonts w:cs="Times New Roman"/>
          <w:b/>
        </w:rPr>
        <w:t>Figure 4.2</w:t>
      </w:r>
      <w:r w:rsidRPr="00203EB0">
        <w:rPr>
          <w:rFonts w:cs="Times New Roman"/>
          <w:b/>
        </w:rPr>
        <w:t>b</w:t>
      </w:r>
      <w:r w:rsidRPr="00203EB0">
        <w:rPr>
          <w:rFonts w:cs="Times New Roman"/>
        </w:rPr>
        <w:t>) indicating an accelerated phase of decomposition. Second, under 50% WFPS, peak N</w:t>
      </w:r>
      <w:r w:rsidRPr="00203EB0">
        <w:rPr>
          <w:rFonts w:cs="Times New Roman"/>
          <w:vertAlign w:val="subscript"/>
        </w:rPr>
        <w:t>2</w:t>
      </w:r>
      <w:r w:rsidRPr="00203EB0">
        <w:rPr>
          <w:rFonts w:cs="Times New Roman"/>
        </w:rPr>
        <w:t>O and CO</w:t>
      </w:r>
      <w:r w:rsidRPr="00203EB0">
        <w:rPr>
          <w:rFonts w:cs="Times New Roman"/>
          <w:vertAlign w:val="subscript"/>
        </w:rPr>
        <w:t xml:space="preserve">2 </w:t>
      </w:r>
      <w:r w:rsidRPr="00203EB0">
        <w:rPr>
          <w:rFonts w:cs="Times New Roman"/>
        </w:rPr>
        <w:t>emissions from the cover crop treatments coincided with depletion of soil O</w:t>
      </w:r>
      <w:r w:rsidRPr="00203EB0">
        <w:rPr>
          <w:rFonts w:cs="Times New Roman"/>
          <w:vertAlign w:val="subscript"/>
        </w:rPr>
        <w:t>2</w:t>
      </w:r>
      <w:r w:rsidRPr="00203EB0">
        <w:rPr>
          <w:rFonts w:cs="Times New Roman"/>
        </w:rPr>
        <w:t xml:space="preserve"> concentration two days</w:t>
      </w:r>
      <w:r w:rsidR="003555BA" w:rsidRPr="00203EB0">
        <w:rPr>
          <w:rFonts w:cs="Times New Roman"/>
        </w:rPr>
        <w:t xml:space="preserve"> following N fertilization (</w:t>
      </w:r>
      <w:r w:rsidR="003555BA" w:rsidRPr="00203EB0">
        <w:rPr>
          <w:rFonts w:cs="Times New Roman"/>
          <w:b/>
        </w:rPr>
        <w:t>Figure 4.2a</w:t>
      </w:r>
      <w:r w:rsidR="003555BA" w:rsidRPr="00203EB0">
        <w:rPr>
          <w:rFonts w:cs="Times New Roman"/>
        </w:rPr>
        <w:t xml:space="preserve">; </w:t>
      </w:r>
      <w:r w:rsidR="003555BA" w:rsidRPr="00203EB0">
        <w:rPr>
          <w:rFonts w:cs="Times New Roman"/>
          <w:b/>
        </w:rPr>
        <w:t>Figure 4.3a</w:t>
      </w:r>
      <w:r w:rsidR="003555BA" w:rsidRPr="00203EB0">
        <w:rPr>
          <w:rFonts w:cs="Times New Roman"/>
        </w:rPr>
        <w:t xml:space="preserve">; </w:t>
      </w:r>
      <w:r w:rsidR="003555BA" w:rsidRPr="00203EB0">
        <w:rPr>
          <w:rFonts w:cs="Times New Roman"/>
          <w:b/>
        </w:rPr>
        <w:t xml:space="preserve">Figure </w:t>
      </w:r>
      <w:r w:rsidRPr="00203EB0">
        <w:rPr>
          <w:rFonts w:cs="Times New Roman"/>
          <w:b/>
        </w:rPr>
        <w:t>4</w:t>
      </w:r>
      <w:r w:rsidR="003555BA" w:rsidRPr="00203EB0">
        <w:rPr>
          <w:rFonts w:cs="Times New Roman"/>
          <w:b/>
        </w:rPr>
        <w:t>.5</w:t>
      </w:r>
      <w:r w:rsidRPr="00203EB0">
        <w:rPr>
          <w:rFonts w:cs="Times New Roman"/>
          <w:b/>
        </w:rPr>
        <w:t>a</w:t>
      </w:r>
      <w:r w:rsidRPr="00203EB0">
        <w:rPr>
          <w:rFonts w:cs="Times New Roman"/>
        </w:rPr>
        <w:t xml:space="preserve">). As previously reported in other studies </w:t>
      </w:r>
      <w:r w:rsidRPr="00203EB0">
        <w:rPr>
          <w:rFonts w:cs="Times New Roman"/>
        </w:rPr>
        <w:fldChar w:fldCharType="begin" w:fldLock="1"/>
      </w:r>
      <w:r w:rsidR="00DA3A53">
        <w:rPr>
          <w:rFonts w:cs="Times New Roman"/>
        </w:rPr>
        <w:instrText>ADDIN CSL_CITATION {"citationItems":[{"id":"ITEM-1","itemData":{"DOI":"10.1016/j.soilbio.2015.02.012","ISSN":"00380717","abstract":"Soil oxygen (O2) availability influences nitrification and denitrification, the major biological processes responsible for nitrous oxide (N2O) production and emissions from soil. In this study O2-specific planar optodes were used to visualise O2 distribution with high spatial and temporal resolution in soils in which the same amount of solid fraction of pig manure had been distributed in three different ways (mixed, layered, single patch) and which were maintained at a water potential of-5kPa (corresponding to 91% of water-filled pore space). In parallel, the greenhouse gas emissions (N2O, CO2 and CH4) from soil at high temporal resolution were monitored. At the end of the incubations, vertical profiles of mineral nitrogen (ammonium and nitrate) in the soil matrix were quantified. The optode results revealed that anoxia rapidly developed in zones with manure addition and gradually expanded to the entire soil during the 66-hexperimental period. The anoxia in the soil developed more quickly as the heterogeneity of manure distribution decreased (from single patch to layered to mixed). The single patch distribution of manure solids delayed peak emission rates of both N2O and CO2, but stimulated the cumulative N2O emissions and reduced the cumulative CO2 fluxes. The faster the anoxia developed, the less the nitrification process appeared to contribute to N2O emissions. No treatment effects on CH4 emissions were observed. Combined high resolution imaging of O2 dynamics and measurements of N2O emission rates are essential to get a detailed understanding of how O2 availability regulates the distribution and coupling of denitrification and nitrification activity in soil. Such unique information on soil O2 dynamics could be used for further modelling and quantification of processes producing greenhouse gases from soil ecosystems.","author":[{"dropping-particle":"","family":"Zhu","given":"Kun","non-dropping-particle":"","parse-names":false,"suffix":""},{"dropping-particle":"","family":"Bruun","given":"Sander","non-dropping-particle":"","parse-names":false,"suffix":""},{"dropping-particle":"","family":"Larsen","given":"Morten","non-dropping-particle":"","parse-names":false,"suffix":""},{"dropping-particle":"","family":"Glud","given":"Ronnie N.","non-dropping-particle":"","parse-names":false,"suffix":""},{"dropping-particle":"","family":"Jensen","given":"Lars Stoumann","non-dropping-particle":"","parse-names":false,"suffix":""}],"container-title":"Soil Biology and Biochemistry","id":"ITEM-1","issued":{"date-parts":[["2015"]]},"page":"96-106","publisher":"Elsevier Ltd","title":"Heterogeneity of O2 dynamics in soil amended with animal manure and implications for greenhouse gas emissions","type":"article-journal","volume":"84"},"uris":["http://www.mendeley.com/documents/?uuid=d54fcc92-f634-41d0-95a5-247b6bf0c233"]},{"id":"ITEM-2","itemData":{"DOI":"10.1038/s41598-021-86026-3","ISBN":"4159802186026","ISSN":"2045-2322","author":[{"dropping-particle":"","family":"Wang","given":"Chen","non-dropping-particle":"","parse-names":false,"suffix":""},{"dropping-particle":"","family":"Ma","given":"Xuehong","non-dropping-particle":"","parse-names":false,"suffix":""},{"dropping-particle":"","family":"Wang","given":"Gang","non-dropping-particle":"","parse-names":false,"suffix":""},{"dropping-particle":"","family":"Li","given":"Guitong","non-dropping-particle":"","parse-names":false,"suffix":""},{"dropping-particle":"","family":"Zhu","given":"Kun","non-dropping-particle":"","parse-names":false,"suffix":""}],"container-title":"Scientific Reports","id":"ITEM-2","issue":"0123456789","issued":{"date-parts":[["2021"]]},"page":"1-13","publisher":"Nature Publishing Group UK","title":"Implication of ­ O2 dynamics CH4 emissions for both ­ N2O and ­ from soil during biological soil disinfestation","type":"article-journal"},"uris":["http://www.mendeley.com/documents/?uuid=13d17f87-b29a-445f-bf25-9ea6db30065f"]}],"mendeley":{"formattedCitation":"(Zhu et al., 2015; Wang et al., 2021b)","plainTextFormattedCitation":"(Zhu et al., 2015; Wang et al., 2021b)","previouslyFormattedCitation":"(Zhu et al., 2015; Wang et al., 2021b)"},"properties":{"noteIndex":0},"schema":"https://github.com/citation-style-language/schema/raw/master/csl-citation.json"}</w:instrText>
      </w:r>
      <w:r w:rsidRPr="00203EB0">
        <w:rPr>
          <w:rFonts w:cs="Times New Roman"/>
        </w:rPr>
        <w:fldChar w:fldCharType="separate"/>
      </w:r>
      <w:r w:rsidR="00EB2F35" w:rsidRPr="00203EB0">
        <w:rPr>
          <w:rFonts w:cs="Times New Roman"/>
          <w:noProof/>
        </w:rPr>
        <w:t>(Zhu et al., 2015; Wang et al., 2021b)</w:t>
      </w:r>
      <w:r w:rsidRPr="00203EB0">
        <w:rPr>
          <w:rFonts w:cs="Times New Roman"/>
        </w:rPr>
        <w:fldChar w:fldCharType="end"/>
      </w:r>
      <w:r w:rsidRPr="00203EB0">
        <w:rPr>
          <w:rFonts w:cs="Times New Roman"/>
        </w:rPr>
        <w:t xml:space="preserve">, the use of </w:t>
      </w:r>
      <w:proofErr w:type="spellStart"/>
      <w:r w:rsidRPr="00203EB0">
        <w:rPr>
          <w:rFonts w:cs="Times New Roman"/>
        </w:rPr>
        <w:t>optode</w:t>
      </w:r>
      <w:proofErr w:type="spellEnd"/>
      <w:r w:rsidRPr="00203EB0">
        <w:rPr>
          <w:rFonts w:cs="Times New Roman"/>
        </w:rPr>
        <w:t xml:space="preserve"> technology enables the visualization of highly-resolved spatial soil O</w:t>
      </w:r>
      <w:r w:rsidRPr="00203EB0">
        <w:rPr>
          <w:rFonts w:cs="Times New Roman"/>
          <w:vertAlign w:val="subscript"/>
        </w:rPr>
        <w:t>2</w:t>
      </w:r>
      <w:r w:rsidRPr="00203EB0">
        <w:rPr>
          <w:rFonts w:cs="Times New Roman"/>
        </w:rPr>
        <w:t xml:space="preserve"> dynamics following exogenous C incorporation. In the present study, the O</w:t>
      </w:r>
      <w:r w:rsidRPr="00203EB0">
        <w:rPr>
          <w:rFonts w:cs="Times New Roman"/>
          <w:vertAlign w:val="subscript"/>
        </w:rPr>
        <w:t>2</w:t>
      </w:r>
      <w:r w:rsidRPr="00203EB0">
        <w:rPr>
          <w:rFonts w:cs="Times New Roman"/>
        </w:rPr>
        <w:t xml:space="preserve"> images clearly demonstrated that within 24 hours following N fertilization, the top 3 cm of soil experienced significant O</w:t>
      </w:r>
      <w:r w:rsidRPr="00203EB0">
        <w:rPr>
          <w:rFonts w:cs="Times New Roman"/>
          <w:vertAlign w:val="subscript"/>
        </w:rPr>
        <w:t xml:space="preserve">2 </w:t>
      </w:r>
      <w:r w:rsidRPr="00203EB0">
        <w:rPr>
          <w:rFonts w:cs="Times New Roman"/>
        </w:rPr>
        <w:lastRenderedPageBreak/>
        <w:t>depletion in treatments with</w:t>
      </w:r>
      <w:r w:rsidR="003555BA" w:rsidRPr="00203EB0">
        <w:rPr>
          <w:rFonts w:cs="Times New Roman"/>
        </w:rPr>
        <w:t xml:space="preserve"> cover crops and 50% WFPS (</w:t>
      </w:r>
      <w:r w:rsidR="003555BA" w:rsidRPr="00203EB0">
        <w:rPr>
          <w:rFonts w:cs="Times New Roman"/>
          <w:b/>
        </w:rPr>
        <w:t xml:space="preserve">Figure </w:t>
      </w:r>
      <w:r w:rsidRPr="00203EB0">
        <w:rPr>
          <w:rFonts w:cs="Times New Roman"/>
          <w:b/>
        </w:rPr>
        <w:t>4</w:t>
      </w:r>
      <w:r w:rsidR="003555BA" w:rsidRPr="00203EB0">
        <w:rPr>
          <w:rFonts w:cs="Times New Roman"/>
          <w:b/>
        </w:rPr>
        <w:t>.5a</w:t>
      </w:r>
      <w:r w:rsidR="003555BA" w:rsidRPr="00203EB0">
        <w:rPr>
          <w:rFonts w:cs="Times New Roman"/>
        </w:rPr>
        <w:t xml:space="preserve">, </w:t>
      </w:r>
      <w:r w:rsidR="003555BA" w:rsidRPr="00203EB0">
        <w:rPr>
          <w:rFonts w:cs="Times New Roman"/>
          <w:b/>
        </w:rPr>
        <w:t>Figure 4.7</w:t>
      </w:r>
      <w:r w:rsidRPr="00203EB0">
        <w:rPr>
          <w:rFonts w:cs="Times New Roman"/>
          <w:b/>
        </w:rPr>
        <w:t>a</w:t>
      </w:r>
      <w:r w:rsidRPr="00203EB0">
        <w:rPr>
          <w:rFonts w:cs="Times New Roman"/>
        </w:rPr>
        <w:t>), leading to the development of hypoxic or even anoxic conditions in certain replicas. Such a mechanism to produce anoxia with a simultaneous increase in N</w:t>
      </w:r>
      <w:r w:rsidRPr="00203EB0">
        <w:rPr>
          <w:rFonts w:cs="Times New Roman"/>
          <w:vertAlign w:val="subscript"/>
        </w:rPr>
        <w:t>2</w:t>
      </w:r>
      <w:r w:rsidRPr="00203EB0">
        <w:rPr>
          <w:rFonts w:cs="Times New Roman"/>
        </w:rPr>
        <w:t>O will remain unexplained when WFPS alone is used as surrogate of soil O</w:t>
      </w:r>
      <w:r w:rsidRPr="00203EB0">
        <w:rPr>
          <w:rFonts w:cs="Times New Roman"/>
          <w:vertAlign w:val="subscript"/>
        </w:rPr>
        <w:t>2</w:t>
      </w:r>
      <w:r w:rsidRPr="00203EB0">
        <w:rPr>
          <w:rFonts w:cs="Times New Roman"/>
        </w:rPr>
        <w:t xml:space="preserve"> availability. Therefore, these findings further highlight the limitations of relying solely on WFPS in interpreting and predicting N</w:t>
      </w:r>
      <w:r w:rsidRPr="00203EB0">
        <w:rPr>
          <w:rFonts w:cs="Times New Roman"/>
          <w:vertAlign w:val="subscript"/>
        </w:rPr>
        <w:t>2</w:t>
      </w:r>
      <w:r w:rsidRPr="00203EB0">
        <w:rPr>
          <w:rFonts w:cs="Times New Roman"/>
        </w:rPr>
        <w:t>O fluxes, which can only account for biophysical mechanisms of anoxia resulting from O</w:t>
      </w:r>
      <w:r w:rsidRPr="00203EB0">
        <w:rPr>
          <w:rFonts w:cs="Times New Roman"/>
          <w:vertAlign w:val="subscript"/>
        </w:rPr>
        <w:t>2</w:t>
      </w:r>
      <w:r w:rsidRPr="00203EB0">
        <w:rPr>
          <w:rFonts w:cs="Times New Roman"/>
        </w:rPr>
        <w:t xml:space="preserve"> diffusion limitation in wet soils </w:t>
      </w:r>
      <w:r w:rsidRPr="00203EB0">
        <w:rPr>
          <w:rFonts w:cs="Times New Roman"/>
        </w:rPr>
        <w:fldChar w:fldCharType="begin" w:fldLock="1"/>
      </w:r>
      <w:r w:rsidR="004179E3" w:rsidRPr="00203EB0">
        <w:rPr>
          <w:rFonts w:cs="Times New Roman"/>
        </w:rPr>
        <w:instrText>ADDIN CSL_CITATION {"citationItems":[{"id":"ITEM-1","itemData":{"DOI":"10.2136/sssaj2000.6451588x","ISSN":"03615995","abstract":"Investigations of gas transport and fate processes in packed soil systems require knowledge of the gas diffusion coefficient, D(P), as a function of air-filled porosity, ε. On the basis of the literature, data from six studies over the porosity range of 0.1 to nearly 1.0, it is reconfirmed that the Marshall (1959) model better predicts D(P)(ε) in completely dry, repacked porous media than do the Penman (1940) and Millington (1959) models. The smaller D(P) value in wet soil, as compared with dry soil at the same air-filled porosity, is accounted for by introducing a water-induced linear reduction (WLR) term, equal to the ratio of air-filled porosity to total porosity, in the D(P)(ε) model. By adding the WLR term in each of the three DP(ε) models for dry porous media, the so-called WLR(Marshall), WLR(Penman), and WLR(Millington) D(P)(ε) models for wet soil are developed. To test the three WLR models, D(P) was measured at different soil-water contents in six differently textured (6-38% clay) repacked soils. The WLR (Marshall) model accurately and best described D(P)(ε) for all six soils and additional soils from the literature. All three WLR models performed better than previous D(P)(ε) models. This study implies that the smaller D(P) in a wet soil, which is due to water-induced changes in air-filled pore shape and pore connectivity, can be described by a simple, linear function of relative air-filled porosity. The WLR (Marshall) model represents a conceptual and accurate model to predict D(P)(ε) in sieved, repacked soil.","author":[{"dropping-particle":"","family":"Moldrup","given":"P.","non-dropping-particle":"","parse-names":false,"suffix":""},{"dropping-particle":"","family":"Olesen","given":"T.","non-dropping-particle":"","parse-names":false,"suffix":""},{"dropping-particle":"","family":"Gamst","given":"J.","non-dropping-particle":"","parse-names":false,"suffix":""},{"dropping-particle":"","family":"Schjønning","given":"P.","non-dropping-particle":"","parse-names":false,"suffix":""},{"dropping-particle":"","family":"Yamaguchi","given":"T.","non-dropping-particle":"","parse-names":false,"suffix":""},{"dropping-particle":"","family":"Rolston","given":"D.E.","non-dropping-particle":"","parse-names":false,"suffix":""}],"container-title":"Soil Science Society of America Journal","id":"ITEM-1","issue":"5","issued":{"date-parts":[["2000"]]},"page":"1588-1594","title":"Predicting the gas diffusion coefficient in repacked soil water-induced linear reduction model","type":"article-journal","volume":"64"},"uris":["http://www.mendeley.com/documents/?uuid=2bc4925b-79c8-4204-89a3-2f4727d8aa02"]},{"id":"ITEM-2","itemData":{"DOI":"10.2136/vzj2008.0023","ISSN":"15391663","abstract":"&lt;abstract xml:lang=\"en\"&gt; Gas diffusion in soil is governed by the gas diffusion coefficient (D p) and its variation with air-filled porosity (ε). Accurate or an upper-limit (risk assessment standpoint) prediction of D p(ε) is essential when carrying out gas transport and fate calculations. We developed a D p(ε) model for relatively unstructured soil separating the individual resistance of soil air, solids, and moisture to D p Assuming the total soil resistance to gas diffusion can be described by three power-law terms representing air-content reduction, solids-induced tortuosity, and water-induced disconnectivity yields the so-called Soil Air Phase Individual Resistances (SAPHIR) model. The SAPHIR model predicts D p as a function of the actual ε, a particle shape factor (p), the volumetric soil water content (θ), and a water-blockage factor (w). The D p(ε) was measured at different θ on repacked and undisturbed soil samples. The new D p data combined with literature data implied values of p in the interval 0 to 1 and w in the interval 1 to 7, depending on particle diameter, fine-particle content, and compaction. Tested against 810 measurements of D p on undisturbed soils, SAPHIR with average values of p = 0.6 and w = 3 performed equally well or better than traditional models; however, the test implied a need for different parameter values for more sandy soils (lower p and higher w), as well as for more compacted soils (lower p).","author":[{"dropping-particle":"","family":"Thorbjørn","given":"Anne","non-dropping-particle":"","parse-names":false,"suffix":""},{"dropping-particle":"","family":"Moldrup","given":"Per","non-dropping-particle":"","parse-names":false,"suffix":""},{"dropping-particle":"","family":"Blendstrup","given":"Helle","non-dropping-particle":"","parse-names":false,"suffix":""},{"dropping-particle":"","family":"Komatsu","given":"Toshiko","non-dropping-particle":"","parse-names":false,"suffix":""},{"dropping-particle":"","family":"Rolston","given":"Dennis E.","non-dropping-particle":"","parse-names":false,"suffix":""}],"container-title":"Vadose Zone Journal","id":"ITEM-2","issue":"4","issued":{"date-parts":[["2008"]]},"page":"1276-1286","title":"A gas diffusivity model based on air-, solid-, and water-phase resistance in variably saturated soil","type":"article-journal","volume":"7"},"uris":["http://www.mendeley.com/documents/?uuid=de93d3d5-1310-4a2f-95a9-7ef188578826"]}],"mendeley":{"formattedCitation":"(Moldrup et al., 2000; Thorbjørn et al., 2008)","plainTextFormattedCitation":"(Moldrup et al., 2000; Thorbjørn et al., 2008)","previouslyFormattedCitation":"(Moldrup et al., 2000; Thorbjørn et al., 2008)"},"properties":{"noteIndex":0},"schema":"https://github.com/citation-style-language/schema/raw/master/csl-citation.json"}</w:instrText>
      </w:r>
      <w:r w:rsidRPr="00203EB0">
        <w:rPr>
          <w:rFonts w:cs="Times New Roman"/>
        </w:rPr>
        <w:fldChar w:fldCharType="separate"/>
      </w:r>
      <w:r w:rsidRPr="00203EB0">
        <w:rPr>
          <w:rFonts w:cs="Times New Roman"/>
          <w:noProof/>
        </w:rPr>
        <w:t>(Moldrup et al., 2000; Thorbjørn et al., 2008)</w:t>
      </w:r>
      <w:r w:rsidRPr="00203EB0">
        <w:rPr>
          <w:rFonts w:cs="Times New Roman"/>
        </w:rPr>
        <w:fldChar w:fldCharType="end"/>
      </w:r>
      <w:r w:rsidRPr="00203EB0">
        <w:rPr>
          <w:rFonts w:cs="Times New Roman"/>
        </w:rPr>
        <w:t>, while neglecting anoxia caused by microbial O</w:t>
      </w:r>
      <w:r w:rsidRPr="00203EB0">
        <w:rPr>
          <w:rFonts w:cs="Times New Roman"/>
          <w:vertAlign w:val="subscript"/>
        </w:rPr>
        <w:t>2</w:t>
      </w:r>
      <w:r w:rsidRPr="00203EB0">
        <w:rPr>
          <w:rFonts w:cs="Times New Roman"/>
        </w:rPr>
        <w:t xml:space="preserve"> consumption during residue decomposition </w:t>
      </w:r>
      <w:r w:rsidRPr="00203EB0">
        <w:rPr>
          <w:rFonts w:cs="Times New Roman"/>
        </w:rPr>
        <w:fldChar w:fldCharType="begin" w:fldLock="1"/>
      </w:r>
      <w:r w:rsidR="00EB2F35" w:rsidRPr="00203EB0">
        <w:rPr>
          <w:rFonts w:cs="Times New Roman"/>
        </w:rPr>
        <w:instrText>ADDIN CSL_CITATION {"citationItems":[{"id":"ITEM-1","itemData":{"DOI":"10.1111/gcb.12274","ISSN":"13541013","PMID":"23729165","abstract":"Annual production of crop residues has reached nearly 4 billion metric tons globally. Retention of this large amount of residues on agricultural land can be beneficial to soil C sequestration. Such potential impacts, however, may be offset if residue retention substantially increases soil emissions of N2O, a potent greenhouse gas and ozone depletion substance. Residue effects on soil N2O emissions have gained considerable attention since early 1990s; yet, it is still a great challenge to predict the magnitude and direction of soil N2O emissions following residue amendment. Here, we used a meta-analysis to assess residue impacts on soil N2O emissions in relation to soil and residue attributes, i.e., soil pH, soil texture, soil water content, residue C and N input, and residue C : N ratio. Residue effects were negatively associated with C : N ratios, but generally residue amendment could not reduce soil N2O emissions, even for C : N ratios well above ca. 30, the threshold for net N immobilization. Residue effects were also comparable to, if not greater than, those of synthetic N fertilizers. In addition, residue effects on soil N2O emissions were positively related to the amounts of residue C input as well as residue effects on soil CO2 respiration. Furthermore, most significant and stimulatory effects occurred at 60-90% soil water-filled pore space and soil pH 7.1-7.8. Stimulatory effects were also present for all soil textures except sand or clay content ≤10%. However, inhibitory effects were found for soils with &gt;90% water-filled pore space. Altogether, our meta-analysis suggests that crop residues played roles beyond N supply for N2O production. Perhaps, by stimulating microbial respiration, crop residues enhanced oxygen depletion and therefore promoted anaerobic conditions for denitrification and N2O production. Our meta-analysis highlights the necessity to connect the quantity and quality of crop residues with soil properties for predicting soil N2O emissions. © 2013 John Wiley &amp; Sons Ltd.","author":[{"dropping-particle":"","family":"Chen","given":"Huaihai","non-dropping-particle":"","parse-names":false,"suffix":""},{"dropping-particle":"","family":"Li","given":"Xuechao","non-dropping-particle":"","parse-names":false,"suffix":""},{"dropping-particle":"","family":"Hu","given":"Feng","non-dropping-particle":"","parse-names":false,"suffix":""},{"dropping-particle":"","family":"Shi","given":"Wei","non-dropping-particle":"","parse-names":false,"suffix":""}],"container-title":"Global Change Biology","id":"ITEM-1","issue":"10","issued":{"date-parts":[["2013"]]},"page":"2956-2964","title":"Soil nitrous oxide emissions following crop residue addition: A meta-analysis","type":"article-journal","volume":"19"},"uris":["http://www.mendeley.com/documents/?uuid=a1cd9f4e-1bab-46a8-bb75-ada466dd9152"]}],"mendeley":{"formattedCitation":"(Chen et al., 2013)","plainTextFormattedCitation":"(Chen et al., 2013)","previouslyFormattedCitation":"(Chen et al., 2013)"},"properties":{"noteIndex":0},"schema":"https://github.com/citation-style-language/schema/raw/master/csl-citation.json"}</w:instrText>
      </w:r>
      <w:r w:rsidRPr="00203EB0">
        <w:rPr>
          <w:rFonts w:cs="Times New Roman"/>
        </w:rPr>
        <w:fldChar w:fldCharType="separate"/>
      </w:r>
      <w:r w:rsidRPr="00203EB0">
        <w:rPr>
          <w:rFonts w:cs="Times New Roman"/>
          <w:noProof/>
        </w:rPr>
        <w:t>(Chen et al., 2013)</w:t>
      </w:r>
      <w:r w:rsidRPr="00203EB0">
        <w:rPr>
          <w:rFonts w:cs="Times New Roman"/>
        </w:rPr>
        <w:fldChar w:fldCharType="end"/>
      </w:r>
      <w:r w:rsidRPr="00203EB0">
        <w:rPr>
          <w:rFonts w:cs="Times New Roman"/>
        </w:rPr>
        <w:t xml:space="preserve">.  </w:t>
      </w:r>
    </w:p>
    <w:p w14:paraId="1B3A22D4" w14:textId="7F5AB97A" w:rsidR="00E9317F" w:rsidRPr="00203EB0" w:rsidRDefault="00E9317F" w:rsidP="00E9317F">
      <w:pPr>
        <w:spacing w:line="480" w:lineRule="auto"/>
        <w:rPr>
          <w:rFonts w:cs="Times New Roman"/>
        </w:rPr>
      </w:pPr>
      <w:r w:rsidRPr="00203EB0">
        <w:rPr>
          <w:rFonts w:cs="Times New Roman"/>
        </w:rPr>
        <w:t>Cover crop incorporation led to high N</w:t>
      </w:r>
      <w:r w:rsidRPr="00203EB0">
        <w:rPr>
          <w:rFonts w:cs="Times New Roman"/>
          <w:vertAlign w:val="subscript"/>
        </w:rPr>
        <w:t>2</w:t>
      </w:r>
      <w:r w:rsidRPr="00203EB0">
        <w:rPr>
          <w:rFonts w:cs="Times New Roman"/>
        </w:rPr>
        <w:t>O emissions in 50% WFPS soils, which can pose a greater environmental risk compared to the same emissions in soils under water-induced anoxia. This is due to the higher relative gas diffusivity of N</w:t>
      </w:r>
      <w:r w:rsidRPr="00203EB0">
        <w:rPr>
          <w:rFonts w:cs="Times New Roman"/>
          <w:vertAlign w:val="subscript"/>
        </w:rPr>
        <w:t>2</w:t>
      </w:r>
      <w:r w:rsidRPr="00203EB0">
        <w:rPr>
          <w:rFonts w:cs="Times New Roman"/>
        </w:rPr>
        <w:t>O in soil versus air under 50% WFPS, with air-filled macropores, compared to 80% WFPS. The higher diffusivity would facilitate rapid escape of N</w:t>
      </w:r>
      <w:r w:rsidRPr="00203EB0">
        <w:rPr>
          <w:rFonts w:cs="Times New Roman"/>
          <w:vertAlign w:val="subscript"/>
        </w:rPr>
        <w:t>2</w:t>
      </w:r>
      <w:r w:rsidRPr="00203EB0">
        <w:rPr>
          <w:rFonts w:cs="Times New Roman"/>
        </w:rPr>
        <w:t xml:space="preserve">O from the soil </w:t>
      </w:r>
      <w:r w:rsidRPr="00203EB0">
        <w:rPr>
          <w:rFonts w:cs="Times New Roman"/>
        </w:rPr>
        <w:fldChar w:fldCharType="begin" w:fldLock="1"/>
      </w:r>
      <w:r w:rsidR="004179E3" w:rsidRPr="00203EB0">
        <w:rPr>
          <w:rFonts w:cs="Times New Roman"/>
        </w:rPr>
        <w:instrText>ADDIN CSL_CITATION {"citationItems":[{"id":"ITEM-1","itemData":{"DOI":"10.2136/sssaj2013.04.0141","ISSN":"03615995","abstract":"Nitrous oxide (N2O) is a greenhouse gas and the main anthropogenic emission contributing to stratospheric ozone depletion. Agricultural soils dominate anthropogenic N2O emissions but there is very limited information specifically relating relative soil gas diffusivity (Dp/Do) to N2O emissions. This study was conducted to determine the effects of soil bulk density (ρb) and matric potential (ψ) on Dp/Do and the associated N2O fluxes in the presence of deni-trification substrates. The interaction between soil ρband ψ on Dp/Do and N2O fluxes was investigated using 880 repacked soil cores that were saturated with a nitrate (NO3-) solution and placed on tension tables at 11 levels of ψ and 5 levels of soil ρb. After equilibration (4 d) N2O fluxes, Dp/Do, inorganic-N concentrations, and soil physical characteristics were determined. Emissions of N2O peaked at increasingly lower levels of ψ (-1.5 to -6.0 kPa) as soil pbincreased (1.1 to 1.5 Mg m-3) due to increasing microporosity. Peak N2O emissions occurred across a relatively wide range of water-filled pore space (WFPS) and volumetric water content. A Gaussian fit of N2O-N fluxes against ψ showed maximum fluxes were related to the soil's air-entry potential (r2= 0.96). Maximum N2O emissions occurred at a Dp/Do value of 0.006 that was independent of soil ρb. Log N2O-N flux was a function of log Dp/Do (r2= 0.82) when Dp/Do was &lt;0.006. Soil Dp/Do is a key indicator of N2O emission potential and needs to be further explored as a predictor of N2O emissions in a range of soil textures and denitrification substrates. © Soil Science Society of America, All rights reserved.","author":[{"dropping-particle":"","family":"Balaine","given":"Nimlesh","non-dropping-particle":"","parse-names":false,"suffix":""},{"dropping-particle":"","family":"Clough","given":"Tim J.","non-dropping-particle":"","parse-names":false,"suffix":""},{"dropping-particle":"","family":"Beare","given":"Mike H.","non-dropping-particle":"","parse-names":false,"suffix":""},{"dropping-particle":"","family":"Thomas","given":"Steve M.","non-dropping-particle":"","parse-names":false,"suffix":""},{"dropping-particle":"","family":"Meenken","given":"Esther D.","non-dropping-particle":"","parse-names":false,"suffix":""},{"dropping-particle":"","family":"Ross","given":"James G.","non-dropping-particle":"","parse-names":false,"suffix":""}],"container-title":"Soil Science Society of America Journal","id":"ITEM-1","issue":"5","issued":{"date-parts":[["2013"]]},"page":"1496-1505","title":"Changes in relative gas diffusivity explain soil nitrous oxide flux dynamics","type":"article-journal","volume":"77"},"uris":["http://www.mendeley.com/documents/?uuid=a8866234-8e0a-4d87-b398-11cf6a76e55a"]},{"id":"ITEM-2","itemData":{"DOI":"10.2136/sssaj2015.09.0350","ISSN":"14350661","abstract":"© 2016 Soil Science Society of America. Knowledge of soil biological and physical interactions with respect to N2O and N2fluxes is essential to ensure that agricultural land management is environmentally and economically sustainable. This study determined how varying soil relative gas diffusivity (Dp/Do) affected cumulative N2O and N2fluxes under simulated ruminant urinary-N deposition. Using repacked soil cores, the effects of varying soil bulk density (ρb; from 1.1 to 1.5 Mg m-3) and soil matric potential (φ; -10 to -0.2 kPa) on Dp/Dowere examined in a Templeton silt loam soil (Udic Haplustept) following the application of simulated ruminant urine (700 kg N ha-1). Fluxes of N2O and N2, soil inorganic N, pH, and dissolved organic C (DOC) dynamics were monitored over 35 d. Soil Dp/Dodeclined as soil bulk density and soil moisture increased. Soil N2O emissions increased exponentially as Dp/Dodecreased until Dp/Doequaled 0.005, where upon N2O fluxes decreased rapidly due to complete denitrification, such that N2fluxes reached a maximum of 60% of N applied at a Dp/Doof &lt;0.005. Regression analysis showed that Dp/Dowas better able to explain the variation in N2O and N2fluxes than water-filled pore space (WFPS) because it accounted for the interaction of soil rb and y. This study demonstrates that soil Dp/Docan explain cumulative N2O and N2emissions from agricultural soils. Under grazed pasture systems, potential exists to reduce the emissions of the greenhouse gas N2O and significant economic losses of N as N2if soil management and irrigation can be maintained to maximize Dp/Do.","author":[{"dropping-particle":"","family":"Balaine","given":"Nimlesh","non-dropping-particle":"","parse-names":false,"suffix":""},{"dropping-particle":"","family":"Clough","given":"Tim J.","non-dropping-particle":"","parse-names":false,"suffix":""},{"dropping-particle":"","family":"Beare","given":"Mike H.","non-dropping-particle":"","parse-names":false,"suffix":""},{"dropping-particle":"","family":"Thomas","given":"Steve M","non-dropping-particle":"","parse-names":false,"suffix":""},{"dropping-particle":"","family":"Meenken","given":"Esther D.","non-dropping-particle":"","parse-names":false,"suffix":""}],"container-title":"Soil Science Society of America Journal","id":"ITEM-2","issue":"3","issued":{"date-parts":[["2016"]]},"page":"529-540","title":"Soil gas diffusivity controls N2O and N2 emissions and their ratio","type":"article-journal","volume":"80"},"uris":["http://www.mendeley.com/documents/?uuid=35fd95b5-3309-4659-a4be-86a04ac69766"]}],"mendeley":{"formattedCitation":"(Balaine et al., 2013, 2016)","plainTextFormattedCitation":"(Balaine et al., 2013, 2016)","previouslyFormattedCitation":"(Balaine et al., 2013, 2016)"},"properties":{"noteIndex":0},"schema":"https://github.com/citation-style-language/schema/raw/master/csl-citation.json"}</w:instrText>
      </w:r>
      <w:r w:rsidRPr="00203EB0">
        <w:rPr>
          <w:rFonts w:cs="Times New Roman"/>
        </w:rPr>
        <w:fldChar w:fldCharType="separate"/>
      </w:r>
      <w:r w:rsidRPr="00203EB0">
        <w:rPr>
          <w:rFonts w:cs="Times New Roman"/>
          <w:noProof/>
        </w:rPr>
        <w:t>(Balaine et al., 2013, 2016)</w:t>
      </w:r>
      <w:r w:rsidRPr="00203EB0">
        <w:rPr>
          <w:rFonts w:cs="Times New Roman"/>
        </w:rPr>
        <w:fldChar w:fldCharType="end"/>
      </w:r>
      <w:r w:rsidRPr="00203EB0">
        <w:rPr>
          <w:rFonts w:cs="Times New Roman"/>
        </w:rPr>
        <w:t>, reducing the chances of biological N</w:t>
      </w:r>
      <w:r w:rsidRPr="00203EB0">
        <w:rPr>
          <w:rFonts w:cs="Times New Roman"/>
          <w:vertAlign w:val="subscript"/>
        </w:rPr>
        <w:t>2</w:t>
      </w:r>
      <w:r w:rsidRPr="00203EB0">
        <w:rPr>
          <w:rFonts w:cs="Times New Roman"/>
        </w:rPr>
        <w:t>O reduction to N</w:t>
      </w:r>
      <w:r w:rsidRPr="00203EB0">
        <w:rPr>
          <w:rFonts w:cs="Times New Roman"/>
          <w:vertAlign w:val="subscript"/>
        </w:rPr>
        <w:t>2</w:t>
      </w:r>
      <w:r w:rsidRPr="00203EB0">
        <w:rPr>
          <w:rFonts w:cs="Times New Roman"/>
        </w:rPr>
        <w:t>.  Under 80% WFPS, a greater potential exists for the further reduction of N</w:t>
      </w:r>
      <w:r w:rsidRPr="00203EB0">
        <w:rPr>
          <w:rFonts w:cs="Times New Roman"/>
          <w:vertAlign w:val="subscript"/>
        </w:rPr>
        <w:t>2</w:t>
      </w:r>
      <w:r w:rsidRPr="00203EB0">
        <w:rPr>
          <w:rFonts w:cs="Times New Roman"/>
        </w:rPr>
        <w:t>O to N</w:t>
      </w:r>
      <w:r w:rsidRPr="00203EB0">
        <w:rPr>
          <w:rFonts w:cs="Times New Roman"/>
          <w:vertAlign w:val="subscript"/>
        </w:rPr>
        <w:t xml:space="preserve">2 </w:t>
      </w:r>
      <w:r w:rsidRPr="00203EB0">
        <w:rPr>
          <w:rFonts w:cs="Times New Roman"/>
        </w:rPr>
        <w:t xml:space="preserve">before the gas escapes from the soil into the atmosphere </w:t>
      </w:r>
      <w:r w:rsidRPr="00203EB0">
        <w:rPr>
          <w:rFonts w:cs="Times New Roman"/>
          <w:vertAlign w:val="subscript"/>
        </w:rPr>
        <w:fldChar w:fldCharType="begin" w:fldLock="1"/>
      </w:r>
      <w:r w:rsidR="00DA3A53">
        <w:rPr>
          <w:rFonts w:cs="Times New Roman"/>
          <w:vertAlign w:val="subscript"/>
        </w:rPr>
        <w:instrText>ADDIN CSL_CITATION {"citationItems":[{"id":"ITEM-1","itemData":{"DOI":"10.1007/s00374-006-0147-9","author":[{"dropping-particle":"","family":"Ciarlo","given":"E","non-dropping-particle":"","parse-names":false,"suffix":""},{"dropping-particle":"","family":"Conti","given":"M","non-dropping-particle":"","parse-names":false,"suffix":""},{"dropping-particle":"","family":"Bartoloni","given":"N","non-dropping-particle":"","parse-names":false,"suffix":""},{"dropping-particle":"","family":"Rubio","given":"G","non-dropping-particle":"","parse-names":false,"suffix":""}],"container-title":"Biology and Fertility of Soils","id":"ITEM-1","issued":{"date-parts":[["2007"]]},"page":"675-681","title":"The effect of moisture on nitrous oxide emissions from soil and the N2O /(N2O + N2) ratio under laboratory conditions","type":"article-journal"},"uris":["http://www.mendeley.com/documents/?uuid=0c3282c9-83ce-442c-a658-df10ffef92b6"]}],"mendeley":{"formattedCitation":"(Ciarlo et al., 2007)","plainTextFormattedCitation":"(Ciarlo et al., 2007)","previouslyFormattedCitation":"(Ciarlo et al., 2007)"},"properties":{"noteIndex":0},"schema":"https://github.com/citation-style-language/schema/raw/master/csl-citation.json"}</w:instrText>
      </w:r>
      <w:r w:rsidRPr="00203EB0">
        <w:rPr>
          <w:rFonts w:cs="Times New Roman"/>
          <w:vertAlign w:val="subscript"/>
        </w:rPr>
        <w:fldChar w:fldCharType="separate"/>
      </w:r>
      <w:r w:rsidRPr="00203EB0">
        <w:rPr>
          <w:rFonts w:cs="Times New Roman"/>
          <w:noProof/>
        </w:rPr>
        <w:t>(Ciarlo et al., 2007)</w:t>
      </w:r>
      <w:r w:rsidRPr="00203EB0">
        <w:rPr>
          <w:rFonts w:cs="Times New Roman"/>
          <w:vertAlign w:val="subscript"/>
        </w:rPr>
        <w:fldChar w:fldCharType="end"/>
      </w:r>
      <w:r w:rsidRPr="00203EB0">
        <w:rPr>
          <w:rFonts w:cs="Times New Roman"/>
        </w:rPr>
        <w:t xml:space="preserve">. This scenario is particularly plausible in our study due to the depletion of substrates with a higher </w:t>
      </w:r>
      <w:proofErr w:type="gramStart"/>
      <w:r w:rsidRPr="00203EB0">
        <w:rPr>
          <w:rFonts w:cs="Times New Roman"/>
        </w:rPr>
        <w:t>redox reaction</w:t>
      </w:r>
      <w:proofErr w:type="gramEnd"/>
      <w:r w:rsidRPr="00203EB0">
        <w:rPr>
          <w:rFonts w:cs="Times New Roman"/>
        </w:rPr>
        <w:t xml:space="preserve"> energy yield, such as soil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eastAsiaTheme="minorEastAsia" w:cs="Times New Roman"/>
          <w:iCs/>
        </w:rPr>
        <w:t xml:space="preserve"> supply under </w:t>
      </w:r>
      <w:r w:rsidRPr="00203EB0">
        <w:rPr>
          <w:rFonts w:cs="Times New Roman"/>
        </w:rPr>
        <w:t xml:space="preserve">80% WFPS </w:t>
      </w:r>
      <w:r w:rsidRPr="00203EB0">
        <w:rPr>
          <w:rFonts w:eastAsiaTheme="minorEastAsia" w:cs="Times New Roman"/>
          <w:iCs/>
        </w:rPr>
        <w:t>(</w:t>
      </w:r>
      <w:r w:rsidRPr="00203EB0">
        <w:rPr>
          <w:rFonts w:eastAsiaTheme="minorEastAsia" w:cs="Times New Roman"/>
          <w:b/>
          <w:iCs/>
        </w:rPr>
        <w:t xml:space="preserve">Table </w:t>
      </w:r>
      <w:r w:rsidR="003555BA" w:rsidRPr="00203EB0">
        <w:rPr>
          <w:rFonts w:eastAsiaTheme="minorEastAsia" w:cs="Times New Roman"/>
          <w:b/>
          <w:iCs/>
        </w:rPr>
        <w:t>4.</w:t>
      </w:r>
      <w:r w:rsidRPr="00203EB0">
        <w:rPr>
          <w:rFonts w:eastAsiaTheme="minorEastAsia" w:cs="Times New Roman"/>
          <w:b/>
          <w:iCs/>
        </w:rPr>
        <w:t>2</w:t>
      </w:r>
      <w:r w:rsidRPr="00203EB0">
        <w:rPr>
          <w:rFonts w:eastAsiaTheme="minorEastAsia" w:cs="Times New Roman"/>
          <w:iCs/>
        </w:rPr>
        <w:t>)</w:t>
      </w:r>
      <w:r w:rsidRPr="00203EB0">
        <w:rPr>
          <w:rFonts w:cs="Times New Roman"/>
        </w:rPr>
        <w:t xml:space="preserve">. In response, it is conceivable that microbes resort to using a redox couple with a lower energy yield, </w:t>
      </w:r>
      <w:r w:rsidRPr="00203EB0">
        <w:rPr>
          <w:rFonts w:eastAsiaTheme="minorEastAsia" w:cs="Times New Roman"/>
          <w:iCs/>
        </w:rPr>
        <w:t xml:space="preserve">forcing greater </w:t>
      </w:r>
      <w:r w:rsidRPr="00203EB0">
        <w:rPr>
          <w:rFonts w:cs="Times New Roman"/>
        </w:rPr>
        <w:t>N</w:t>
      </w:r>
      <w:r w:rsidRPr="00203EB0">
        <w:rPr>
          <w:rFonts w:cs="Times New Roman"/>
          <w:vertAlign w:val="subscript"/>
        </w:rPr>
        <w:t>2</w:t>
      </w:r>
      <w:r w:rsidRPr="00203EB0">
        <w:rPr>
          <w:rFonts w:cs="Times New Roman"/>
        </w:rPr>
        <w:t>O reduction to N</w:t>
      </w:r>
      <w:r w:rsidRPr="00203EB0">
        <w:rPr>
          <w:rFonts w:cs="Times New Roman"/>
          <w:vertAlign w:val="subscript"/>
        </w:rPr>
        <w:t>2</w:t>
      </w:r>
      <w:r w:rsidRPr="00203EB0">
        <w:rPr>
          <w:rFonts w:cs="Times New Roman"/>
        </w:rPr>
        <w:t xml:space="preserve"> </w:t>
      </w:r>
      <w:r w:rsidRPr="00203EB0">
        <w:rPr>
          <w:rFonts w:cs="Times New Roman"/>
        </w:rPr>
        <w:fldChar w:fldCharType="begin" w:fldLock="1"/>
      </w:r>
      <w:r w:rsidR="004179E3" w:rsidRPr="00203EB0">
        <w:rPr>
          <w:rFonts w:cs="Times New Roman"/>
        </w:rPr>
        <w:instrText>ADDIN CSL_CITATION {"citationItems":[{"id":"ITEM-1","itemData":{"DOI":"10.2136/sssaj1993.03615995005700010013x","ISBN":"0361599500570","ISSN":"03615995","abstract":"Biological denitrification is affected by many environmental factors that control the amount of N-2 and N-20 entering the atmosphere. This study was conducted to measure the effect on water-filled pore space (WFPS), available C, and soil NO-3 concentration on total denitrification (N-2 + N-2O), using acetylene (C-2H-2) inhibition, and to ascertain if denitrification could be estimated from N-2O measurements in the field using an average N-2/N-2O ratio. Repacked cores of four bench-mark soils were brought to 60, 75, and 90% WFPS by applying treatments of glucose-C (0, 180, and 360 kg ha-1) and NO-3-N (0, 50, and 100 kg ha-1). The cores were incubated at 25 degree C, with and without 100 mL C-2H-2 L-1, for 5 d during which daily gas samples of the headspace were analyzed for N-2O and CO-2. Total N loss due to denitrification generally increased as soil texture became finer and WFPS increased. The only exception to this was the C-amended sand, where N losses up to 26 and 66% were recorded at 60 and 75% WFPS, respectively. Denitrification rates of high N concentrations were quite small in the absence of an available C source but increased with increasing available C (glucose). The N-2/N-2O ratio generally increased with time of incubation after the initial treatment application. The largest ratios (up to 549) were found at the highest available C rate and generally at the highest soil water content. The presence of high NO-3 concentrations apparently inhibited the conversion of N-2O to N-2, resulting in lower N-2/N-2O ratios. Using an average N-2/N-2O ratio for estimation of denitrification from N-2O field measurements cannot be recommended because of the variation in this ratio due to the many environmental factors altered by field management that influence denitrification and the relative production of N-2 and N-2O.","author":[{"dropping-particle":"","family":"Weier","given":"K. L.","non-dropping-particle":"","parse-names":false,"suffix":""},{"dropping-particle":"","family":"Doran","given":"J. W.","non-dropping-particle":"","parse-names":false,"suffix":""},{"dropping-particle":"","family":"Power","given":"J. F.","non-dropping-particle":"","parse-names":false,"suffix":""},{"dropping-particle":"","family":"Walters","given":"D. T.","non-dropping-particle":"","parse-names":false,"suffix":""}],"container-title":"Soil Science Society of America Journal","id":"ITEM-1","issue":"1","issued":{"date-parts":[["1993"]]},"page":"66-72","title":"Denitrification and the dinitrogen/nitrous oxide ratio as affected by soil water, available carbon, and nitrate","type":"article-journal","volume":"57"},"uris":["http://www.mendeley.com/documents/?uuid=88796c40-0039-4022-ab39-7a7b64039151"]}],"mendeley":{"formattedCitation":"(Weier et al., 1993)","plainTextFormattedCitation":"(Weier et al., 1993)","previouslyFormattedCitation":"(Weier et al., 1993)"},"properties":{"noteIndex":0},"schema":"https://github.com/citation-style-language/schema/raw/master/csl-citation.json"}</w:instrText>
      </w:r>
      <w:r w:rsidRPr="00203EB0">
        <w:rPr>
          <w:rFonts w:cs="Times New Roman"/>
        </w:rPr>
        <w:fldChar w:fldCharType="separate"/>
      </w:r>
      <w:r w:rsidRPr="00203EB0">
        <w:rPr>
          <w:rFonts w:cs="Times New Roman"/>
          <w:noProof/>
        </w:rPr>
        <w:t>(Weier et al., 1993)</w:t>
      </w:r>
      <w:r w:rsidRPr="00203EB0">
        <w:rPr>
          <w:rFonts w:cs="Times New Roman"/>
        </w:rPr>
        <w:fldChar w:fldCharType="end"/>
      </w:r>
      <w:r w:rsidRPr="00203EB0">
        <w:rPr>
          <w:rFonts w:cs="Times New Roman"/>
        </w:rPr>
        <w:t xml:space="preserve">.  </w:t>
      </w:r>
    </w:p>
    <w:p w14:paraId="40002D2F" w14:textId="1113B823" w:rsidR="003555BA" w:rsidRPr="00203EB0" w:rsidRDefault="004568C6" w:rsidP="0030082C">
      <w:pPr>
        <w:pStyle w:val="Heading3"/>
        <w:spacing w:line="480" w:lineRule="auto"/>
      </w:pPr>
      <w:bookmarkStart w:id="78" w:name="_Toc206669135"/>
      <w:r w:rsidRPr="00203EB0">
        <w:lastRenderedPageBreak/>
        <w:t>Cover crop residue influenced nitrogen fertilizer derived N</w:t>
      </w:r>
      <w:r w:rsidRPr="00203EB0">
        <w:rPr>
          <w:vertAlign w:val="subscript"/>
        </w:rPr>
        <w:t>2</w:t>
      </w:r>
      <w:r w:rsidRPr="00203EB0">
        <w:t>O losses under different WFPS</w:t>
      </w:r>
      <w:bookmarkEnd w:id="78"/>
    </w:p>
    <w:p w14:paraId="7DCC32CB" w14:textId="2F3F722B" w:rsidR="004568C6" w:rsidRPr="00203EB0" w:rsidRDefault="004568C6" w:rsidP="0030082C">
      <w:pPr>
        <w:spacing w:line="480" w:lineRule="auto"/>
        <w:rPr>
          <w:rFonts w:cs="Times New Roman"/>
        </w:rPr>
      </w:pPr>
      <w:r w:rsidRPr="00203EB0">
        <w:rPr>
          <w:rFonts w:cs="Times New Roman"/>
        </w:rPr>
        <w:t>The fraction of fertilizer derived N</w:t>
      </w:r>
      <w:r w:rsidRPr="00203EB0">
        <w:rPr>
          <w:rFonts w:cs="Times New Roman"/>
          <w:vertAlign w:val="subscript"/>
        </w:rPr>
        <w:t>2</w:t>
      </w:r>
      <w:r w:rsidRPr="00203EB0">
        <w:rPr>
          <w:rFonts w:cs="Times New Roman"/>
        </w:rPr>
        <w:t>O was greater under the co-presence of cover crops and N fertilizer compared to N fertilization with no cover crops, irrespective of WFPS status. However, a greater fraction of N</w:t>
      </w:r>
      <w:r w:rsidRPr="00203EB0">
        <w:rPr>
          <w:rFonts w:cs="Times New Roman"/>
          <w:vertAlign w:val="subscript"/>
        </w:rPr>
        <w:t>2</w:t>
      </w:r>
      <w:r w:rsidRPr="00203EB0">
        <w:rPr>
          <w:rFonts w:cs="Times New Roman"/>
        </w:rPr>
        <w:t>O emissions was derived from SOM and/or cover crop sources under 50% than 80% WFPS (</w:t>
      </w:r>
      <w:r w:rsidRPr="00203EB0">
        <w:rPr>
          <w:rFonts w:cs="Times New Roman"/>
          <w:b/>
        </w:rPr>
        <w:t>Figure 4.4</w:t>
      </w:r>
      <w:r w:rsidRPr="00203EB0">
        <w:rPr>
          <w:rFonts w:cs="Times New Roman"/>
        </w:rPr>
        <w:t xml:space="preserve">). This may be explained by the additional N mineralized from the cover crop residues and the native SOM pool under 50% WFPS contributing to soil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cs="Times New Roman"/>
        </w:rPr>
        <w:t xml:space="preserve"> and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pools that are substrates for N</w:t>
      </w:r>
      <w:r w:rsidRPr="00203EB0">
        <w:rPr>
          <w:rFonts w:cs="Times New Roman"/>
          <w:vertAlign w:val="subscript"/>
        </w:rPr>
        <w:t>2</w:t>
      </w:r>
      <w:r w:rsidRPr="00203EB0">
        <w:rPr>
          <w:rFonts w:cs="Times New Roman"/>
        </w:rPr>
        <w:t xml:space="preserve">O production </w:t>
      </w:r>
      <w:r w:rsidRPr="00203EB0">
        <w:rPr>
          <w:rFonts w:cs="Times New Roman"/>
        </w:rPr>
        <w:fldChar w:fldCharType="begin" w:fldLock="1"/>
      </w:r>
      <w:r w:rsidR="00EB2F35" w:rsidRPr="00203EB0">
        <w:rPr>
          <w:rFonts w:cs="Times New Roman"/>
        </w:rPr>
        <w:instrText>ADDIN CSL_CITATION {"citationItems":[{"id":"ITEM-1","itemData":{"DOI":"10.2489/jswc.69.6.471","ISSN":"19413300","abstract":"There are many environmental benefits to incorporating cover crops into crop rotations, such as their potential to decrease soil erosion, reduce nitrate (NO3) leaching, and increase soil organic matter. Some of these benefits impact other agroecosystem processes, such as greenhouse gas emissions. In particular, there is not a consensus in the literature regarding the effect of cover crops on nitrous oxide (N2O) emissions. Compared to site-specific studies, meta-analysis can provide a more general investigation into these effects. Twenty-six peer-reviewed articles including 106 observations of cover crop effects on N2O emissions from the soil surface were analyzed according to their response ratio, the natural log of the N2O flux with a cover crop divided by the N2O flux without a cover crop (LRR). Forty percent of the observations had negative LRRs, indicating a cover crop treatment which decreased N2O, while 60% had positive LRRs indicating a cover crop treatment which increased N2O. There was a significant interaction between N rate and the type of cover crop where legumes had higher LRRs at lower N rates than nonlegume species. When cover crop residues were incorporated into the soil, LRRs were significantly higher than those where residue was not incorporated. Geographies with higher total precipitation and variability in precipitation tended to produce higher LRRs. Finally, data points measured during cover crop decomposition had large positive LRRs and were larger than those measured when the cover crop was alive. In contrast, those data points measuring for a full year had LRRs close to zero, indicating that there was a balance between periods when cover crops increased N2O and periods when cover crops decreased emissions. Therefore, N2O measurements over the entire year may be needed to determine the net effect of cover crops on N2O. The data included in this meta-analysis indicate some overarching crop management practices that reduce direct N2O emissions from the soil surface, such as no soil incorporation of residues and use of nonlegume cover crop species. However, our results demonstrate that cover crops do not always reduce direct N2O emissions from the soil surface in the short term and that more work is needed to understand the full global warming potential of cover crop management.","author":[{"dropping-particle":"","family":"Basche","given":"A. D.","non-dropping-particle":"","parse-names":false,"suffix":""},{"dropping-particle":"","family":"Miguez","given":"F. E.","non-dropping-particle":"","parse-names":false,"suffix":""},{"dropping-particle":"","family":"Kaspar","given":"T. C.","non-dropping-particle":"","parse-names":false,"suffix":""},{"dropping-particle":"","family":"Castellano","given":"M. J.","non-dropping-particle":"","parse-names":false,"suffix":""}],"container-title":"Journal of Soil and Water Conservation","id":"ITEM-1","issue":"6","issued":{"date-parts":[["2014"]]},"page":"471-482","title":"Do cover crops increase or decrease nitrous oxide emissions? a meta-analysis","type":"article-journal","volume":"69"},"uris":["http://www.mendeley.com/documents/?uuid=26e2b31f-dd9f-421a-85e4-cc0aa5848a95"]}],"mendeley":{"formattedCitation":"(Basche et al., 2014)","plainTextFormattedCitation":"(Basche et al., 2014)","previouslyFormattedCitation":"(Basche et al., 2014)"},"properties":{"noteIndex":0},"schema":"https://github.com/citation-style-language/schema/raw/master/csl-citation.json"}</w:instrText>
      </w:r>
      <w:r w:rsidRPr="00203EB0">
        <w:rPr>
          <w:rFonts w:cs="Times New Roman"/>
        </w:rPr>
        <w:fldChar w:fldCharType="separate"/>
      </w:r>
      <w:r w:rsidRPr="00203EB0">
        <w:rPr>
          <w:rFonts w:cs="Times New Roman"/>
          <w:noProof/>
        </w:rPr>
        <w:t>(Basche et al., 2014)</w:t>
      </w:r>
      <w:r w:rsidRPr="00203EB0">
        <w:rPr>
          <w:rFonts w:cs="Times New Roman"/>
        </w:rPr>
        <w:fldChar w:fldCharType="end"/>
      </w:r>
      <w:r w:rsidRPr="00203EB0">
        <w:rPr>
          <w:rFonts w:cs="Times New Roman"/>
        </w:rPr>
        <w:t xml:space="preserve">. Depletion of the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eastAsiaTheme="minorEastAsia" w:cs="Times New Roman"/>
          <w:iCs/>
        </w:rPr>
        <w:t xml:space="preserve"> </w:t>
      </w:r>
      <w:r w:rsidRPr="00203EB0">
        <w:rPr>
          <w:rFonts w:cs="Times New Roman"/>
        </w:rPr>
        <w:t xml:space="preserve">pool over time and relatively high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levels sustained throughout the incubation period </w:t>
      </w:r>
      <w:proofErr w:type="gramStart"/>
      <w:r w:rsidRPr="00203EB0">
        <w:rPr>
          <w:rFonts w:cs="Times New Roman"/>
        </w:rPr>
        <w:t>indicates</w:t>
      </w:r>
      <w:proofErr w:type="gramEnd"/>
      <w:r w:rsidRPr="00203EB0">
        <w:rPr>
          <w:rFonts w:cs="Times New Roman"/>
        </w:rPr>
        <w:t xml:space="preserve"> that nitrification of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eastAsiaTheme="minorEastAsia" w:cs="Times New Roman"/>
          <w:iCs/>
        </w:rPr>
        <w:t xml:space="preserve"> released from mineralization of cover crop residues and SOM was continued under 50% WFPS (</w:t>
      </w:r>
      <w:r w:rsidRPr="00203EB0">
        <w:rPr>
          <w:rFonts w:eastAsiaTheme="minorEastAsia" w:cs="Times New Roman"/>
          <w:b/>
          <w:iCs/>
        </w:rPr>
        <w:t>Table 4.2</w:t>
      </w:r>
      <w:r w:rsidRPr="00203EB0">
        <w:rPr>
          <w:rFonts w:eastAsiaTheme="minorEastAsia" w:cs="Times New Roman"/>
          <w:iCs/>
        </w:rPr>
        <w:t>).</w:t>
      </w:r>
      <w:r w:rsidRPr="00203EB0">
        <w:rPr>
          <w:rFonts w:cs="Times New Roman"/>
        </w:rPr>
        <w:t xml:space="preserve"> The mineral N trend was in sharp contrast with the cover crop treatments under 80% WFPS where once the available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eastAsiaTheme="minorEastAsia" w:cs="Times New Roman"/>
          <w:iCs/>
        </w:rPr>
        <w:t xml:space="preserve"> </w:t>
      </w:r>
      <w:r w:rsidRPr="00203EB0">
        <w:rPr>
          <w:rFonts w:cs="Times New Roman"/>
        </w:rPr>
        <w:t xml:space="preserve">from N fertilizer was exhausted, the system became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limited due to inhibited nitrification of SOM and/or cover crops under wetter soils </w:t>
      </w:r>
      <w:r w:rsidRPr="00203EB0">
        <w:rPr>
          <w:rFonts w:cs="Times New Roman"/>
        </w:rPr>
        <w:fldChar w:fldCharType="begin" w:fldLock="1"/>
      </w:r>
      <w:r w:rsidR="00EB2F35" w:rsidRPr="00203EB0">
        <w:rPr>
          <w:rFonts w:cs="Times New Roman"/>
        </w:rPr>
        <w:instrText>ADDIN CSL_CITATION {"citationItems":[{"id":"ITEM-1","itemData":{"DOI":"10.1641/0006-3568(2000)050[0667:TACMOS]2.0.CO;2","ISSN":"00063568","author":[{"dropping-particle":"","family":"Davidson","given":"E. A.","non-dropping-particle":"","parse-names":false,"suffix":""},{"dropping-particle":"","family":"Keller","given":"M.","non-dropping-particle":"","parse-names":false,"suffix":""},{"dropping-particle":"","family":"Erickson","given":"H. E.","non-dropping-particle":"","parse-names":false,"suffix":""},{"dropping-particle":"V.","family":"Verchot","given":"L.","non-dropping-particle":"","parse-names":false,"suffix":""},{"dropping-particle":"","family":"Veldkamp","given":"E.","non-dropping-particle":"","parse-names":false,"suffix":""}],"container-title":"BioScience","id":"ITEM-1","issue":"8","issued":{"date-parts":[["2000"]]},"page":"667-680","title":"Testing a conceptual model of soil emissions of nitrous and nitric oxides","type":"article-journal","volume":"50"},"uris":["http://www.mendeley.com/documents/?uuid=7184fb48-ed31-41c0-8af8-2d5a549c23da"]}],"mendeley":{"formattedCitation":"(Davidson et al., 2000)","plainTextFormattedCitation":"(Davidson et al., 2000)","previouslyFormattedCitation":"(Davidson et al., 2000)"},"properties":{"noteIndex":0},"schema":"https://github.com/citation-style-language/schema/raw/master/csl-citation.json"}</w:instrText>
      </w:r>
      <w:r w:rsidRPr="00203EB0">
        <w:rPr>
          <w:rFonts w:cs="Times New Roman"/>
        </w:rPr>
        <w:fldChar w:fldCharType="separate"/>
      </w:r>
      <w:r w:rsidRPr="00203EB0">
        <w:rPr>
          <w:rFonts w:cs="Times New Roman"/>
          <w:noProof/>
        </w:rPr>
        <w:t>(Davidson et al., 2000)</w:t>
      </w:r>
      <w:r w:rsidRPr="00203EB0">
        <w:rPr>
          <w:rFonts w:cs="Times New Roman"/>
        </w:rPr>
        <w:fldChar w:fldCharType="end"/>
      </w:r>
      <w:r w:rsidRPr="00203EB0">
        <w:rPr>
          <w:rFonts w:cs="Times New Roman"/>
        </w:rPr>
        <w:t xml:space="preserve">. This was also reflected by high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cs="Times New Roman"/>
        </w:rPr>
        <w:t xml:space="preserve"> availability sustained throughout the experiment. Therefore, the additional N sources, other than N fertilizer, under 50% WFPS perhaps resulted in three to six times higher N</w:t>
      </w:r>
      <w:r w:rsidRPr="00203EB0">
        <w:rPr>
          <w:rFonts w:cs="Times New Roman"/>
          <w:vertAlign w:val="subscript"/>
        </w:rPr>
        <w:t>2</w:t>
      </w:r>
      <w:r w:rsidRPr="00203EB0">
        <w:rPr>
          <w:rFonts w:cs="Times New Roman"/>
        </w:rPr>
        <w:t xml:space="preserve">O contribution from the SOM and/or cover crop residues than that under 80% WFPS.  </w:t>
      </w:r>
    </w:p>
    <w:p w14:paraId="23647B2E" w14:textId="3FB24882" w:rsidR="00EE3A02" w:rsidRPr="00203EB0" w:rsidRDefault="00EE3A02" w:rsidP="00900B73">
      <w:pPr>
        <w:pStyle w:val="Heading3"/>
        <w:spacing w:line="480" w:lineRule="auto"/>
      </w:pPr>
      <w:bookmarkStart w:id="79" w:name="_Toc206669136"/>
      <w:r w:rsidRPr="00203EB0">
        <w:t>Differential drivers and processes of N</w:t>
      </w:r>
      <w:r w:rsidRPr="00203EB0">
        <w:rPr>
          <w:vertAlign w:val="subscript"/>
        </w:rPr>
        <w:t>2</w:t>
      </w:r>
      <w:r w:rsidRPr="00203EB0">
        <w:t>O emissions in response to cover crops and WFPS</w:t>
      </w:r>
      <w:bookmarkEnd w:id="79"/>
    </w:p>
    <w:p w14:paraId="226F3972" w14:textId="41925257" w:rsidR="00EE3A02" w:rsidRPr="00203EB0" w:rsidRDefault="00EE3A02" w:rsidP="00900B73">
      <w:pPr>
        <w:spacing w:line="480" w:lineRule="auto"/>
        <w:rPr>
          <w:rFonts w:cs="Times New Roman"/>
        </w:rPr>
      </w:pPr>
      <w:r w:rsidRPr="00203EB0">
        <w:rPr>
          <w:rFonts w:cs="Times New Roman"/>
        </w:rPr>
        <w:t>The patterns of N</w:t>
      </w:r>
      <w:r w:rsidRPr="00203EB0">
        <w:rPr>
          <w:rFonts w:cs="Times New Roman"/>
          <w:vertAlign w:val="subscript"/>
        </w:rPr>
        <w:t>2</w:t>
      </w:r>
      <w:r w:rsidRPr="00203EB0">
        <w:rPr>
          <w:rFonts w:cs="Times New Roman"/>
        </w:rPr>
        <w:t>O daily fluxes differed among treatments with cover crop inclusion at 50% and 80% WFPS content, associated with distinct drivers of N</w:t>
      </w:r>
      <w:r w:rsidRPr="00203EB0">
        <w:rPr>
          <w:rFonts w:cs="Times New Roman"/>
          <w:vertAlign w:val="subscript"/>
        </w:rPr>
        <w:t>2</w:t>
      </w:r>
      <w:r w:rsidRPr="00203EB0">
        <w:rPr>
          <w:rFonts w:cs="Times New Roman"/>
        </w:rPr>
        <w:t xml:space="preserve">O emissions in each </w:t>
      </w:r>
      <w:r w:rsidRPr="00203EB0">
        <w:rPr>
          <w:rFonts w:cs="Times New Roman"/>
        </w:rPr>
        <w:lastRenderedPageBreak/>
        <w:t>case (</w:t>
      </w:r>
      <w:r w:rsidRPr="00203EB0">
        <w:rPr>
          <w:rFonts w:cs="Times New Roman"/>
          <w:b/>
        </w:rPr>
        <w:t>Fig</w:t>
      </w:r>
      <w:r w:rsidR="005E1C76" w:rsidRPr="00203EB0">
        <w:rPr>
          <w:rFonts w:cs="Times New Roman"/>
          <w:b/>
        </w:rPr>
        <w:t>ure</w:t>
      </w:r>
      <w:r w:rsidRPr="00203EB0">
        <w:rPr>
          <w:rFonts w:cs="Times New Roman"/>
          <w:b/>
        </w:rPr>
        <w:t xml:space="preserve"> </w:t>
      </w:r>
      <w:r w:rsidR="005E1C76" w:rsidRPr="00203EB0">
        <w:rPr>
          <w:rFonts w:cs="Times New Roman"/>
          <w:b/>
        </w:rPr>
        <w:t>4.2</w:t>
      </w:r>
      <w:r w:rsidRPr="00203EB0">
        <w:rPr>
          <w:rFonts w:cs="Times New Roman"/>
          <w:b/>
        </w:rPr>
        <w:t>a, b</w:t>
      </w:r>
      <w:r w:rsidRPr="00203EB0">
        <w:rPr>
          <w:rFonts w:cs="Times New Roman"/>
        </w:rPr>
        <w:t>). Under 80% WFPS content, peak N</w:t>
      </w:r>
      <w:r w:rsidRPr="00203EB0">
        <w:rPr>
          <w:rFonts w:cs="Times New Roman"/>
          <w:vertAlign w:val="subscript"/>
        </w:rPr>
        <w:t>2</w:t>
      </w:r>
      <w:r w:rsidRPr="00203EB0">
        <w:rPr>
          <w:rFonts w:cs="Times New Roman"/>
        </w:rPr>
        <w:t xml:space="preserve">O fluxes for treatments with cover crops were exhibited at the initial stages of the incubation experiment until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 xml:space="preserve">3 </m:t>
            </m:r>
          </m:sub>
          <m:sup>
            <m:r>
              <m:rPr>
                <m:sty m:val="p"/>
              </m:rPr>
              <w:rPr>
                <w:rFonts w:ascii="Cambria Math" w:hAnsi="Cambria Math" w:cs="Times New Roman"/>
              </w:rPr>
              <m:t>-</m:t>
            </m:r>
          </m:sup>
        </m:sSubSup>
      </m:oMath>
      <w:r w:rsidRPr="00203EB0">
        <w:rPr>
          <w:rFonts w:eastAsiaTheme="minorEastAsia" w:cs="Times New Roman"/>
          <w:iCs/>
        </w:rPr>
        <w:t xml:space="preserve"> </w:t>
      </w:r>
      <w:r w:rsidRPr="00203EB0">
        <w:rPr>
          <w:rFonts w:cs="Times New Roman"/>
        </w:rPr>
        <w:t>became a limiting factor (</w:t>
      </w:r>
      <w:r w:rsidRPr="00203EB0">
        <w:rPr>
          <w:rFonts w:cs="Times New Roman"/>
          <w:b/>
        </w:rPr>
        <w:t xml:space="preserve">Table </w:t>
      </w:r>
      <w:r w:rsidR="005E1C76" w:rsidRPr="00203EB0">
        <w:rPr>
          <w:rFonts w:cs="Times New Roman"/>
          <w:b/>
        </w:rPr>
        <w:t>4.</w:t>
      </w:r>
      <w:r w:rsidRPr="00203EB0">
        <w:rPr>
          <w:rFonts w:cs="Times New Roman"/>
          <w:b/>
        </w:rPr>
        <w:t>2</w:t>
      </w:r>
      <w:r w:rsidRPr="00203EB0">
        <w:rPr>
          <w:rFonts w:cs="Times New Roman"/>
        </w:rPr>
        <w:t xml:space="preserve">). The Random Forest model indicated a strong association between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vertAlign w:val="superscript"/>
        </w:rPr>
        <w:t xml:space="preserve">  </w:t>
      </w:r>
      <w:r w:rsidRPr="00203EB0">
        <w:rPr>
          <w:rFonts w:cs="Times New Roman"/>
        </w:rPr>
        <w:t>levels and N</w:t>
      </w:r>
      <w:r w:rsidRPr="00203EB0">
        <w:rPr>
          <w:rFonts w:cs="Times New Roman"/>
          <w:vertAlign w:val="subscript"/>
        </w:rPr>
        <w:t>2</w:t>
      </w:r>
      <w:r w:rsidRPr="00203EB0">
        <w:rPr>
          <w:rFonts w:cs="Times New Roman"/>
        </w:rPr>
        <w:t xml:space="preserve">O fluxes under 80% WFPS, where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eastAsiaTheme="minorEastAsia" w:cs="Times New Roman"/>
          <w:iCs/>
        </w:rPr>
        <w:t xml:space="preserve"> </w:t>
      </w:r>
      <w:r w:rsidRPr="00203EB0">
        <w:rPr>
          <w:rFonts w:cs="Times New Roman"/>
        </w:rPr>
        <w:t>was the most important feature in a model that accounted for 62% of the variability in N</w:t>
      </w:r>
      <w:r w:rsidRPr="00203EB0">
        <w:rPr>
          <w:rFonts w:cs="Times New Roman"/>
          <w:vertAlign w:val="subscript"/>
        </w:rPr>
        <w:t>2</w:t>
      </w:r>
      <w:r w:rsidRPr="00203EB0">
        <w:rPr>
          <w:rFonts w:cs="Times New Roman"/>
        </w:rPr>
        <w:t>O fluxes (</w:t>
      </w:r>
      <w:r w:rsidRPr="00203EB0">
        <w:rPr>
          <w:rFonts w:cs="Times New Roman"/>
          <w:b/>
        </w:rPr>
        <w:t>Table 4</w:t>
      </w:r>
      <w:r w:rsidR="005E1C76" w:rsidRPr="00203EB0">
        <w:rPr>
          <w:rFonts w:cs="Times New Roman"/>
          <w:b/>
        </w:rPr>
        <w:t>.4</w:t>
      </w:r>
      <w:r w:rsidRPr="00203EB0">
        <w:rPr>
          <w:rFonts w:cs="Times New Roman"/>
        </w:rPr>
        <w:t>). Under water induced anaerobic conditions at 80% WFPS, the N</w:t>
      </w:r>
      <w:r w:rsidRPr="00203EB0">
        <w:rPr>
          <w:rFonts w:cs="Times New Roman"/>
          <w:vertAlign w:val="subscript"/>
        </w:rPr>
        <w:t>2</w:t>
      </w:r>
      <w:r w:rsidRPr="00203EB0">
        <w:rPr>
          <w:rFonts w:cs="Times New Roman"/>
        </w:rPr>
        <w:t xml:space="preserve">O production was likely governed by denitrification primarily dependent on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eastAsiaTheme="minorEastAsia" w:cs="Times New Roman"/>
          <w:iCs/>
        </w:rPr>
        <w:t xml:space="preserve"> from the fertilizer</w:t>
      </w:r>
      <w:r w:rsidRPr="00203EB0">
        <w:rPr>
          <w:rFonts w:cs="Times New Roman"/>
        </w:rPr>
        <w:t xml:space="preserve">, while nitrification was restricted </w:t>
      </w:r>
      <w:r w:rsidRPr="00203EB0">
        <w:rPr>
          <w:rFonts w:cs="Times New Roman"/>
        </w:rPr>
        <w:fldChar w:fldCharType="begin" w:fldLock="1"/>
      </w:r>
      <w:r w:rsidR="00EB2F35" w:rsidRPr="00203EB0">
        <w:rPr>
          <w:rFonts w:cs="Times New Roman"/>
        </w:rPr>
        <w:instrText>ADDIN CSL_CITATION {"citationItems":[{"id":"ITEM-1","itemData":{"DOI":"10.3389/fmicb.2022.1110151","ISSN":"1664302X","abstract":"Biogenic nitrous oxide (N2O) from nitrification and denitrification in agricultural soils is a major source of N2O in the atmosphere, and its flux changes significantly with soil moisture condition. However, the quantitative relationship between N2O production from different pathways (i.e., nitrification vs. denitrification) and soil moisture content remains elusive, limiting our ability of predicting future agricultural N2O emissions under changing environment. This study quantified N2O production rates from nitrification and denitrification under various soil moisture conditions using laboratory incubation combined with literature synthesis. 15N labeling approach was used to differentiate the N2O production from nitrification and denitrification under eight different soil moisture contents ranging from 40 to 120% water-filled pore space (WFPS) in the laboratory study, while 80 groups of data from 17 studies across global agricultural soils were collected in the literature synthesis. Results showed that as soil moisture increased, N2O production rates of nitrification and denitrification first increased and then decreased, with the peak rates occurring between 80 and 95% WFPS. By contrast, the dominant N2O production pathway switched from nitrification to denitrification between 60 and 70% WFPS. Furthermore, the synthetic data elucidated that moisture content was the major driver controlling the relative contributions of nitrification and denitrification to N2O production, while NH4+ and NO3− concentrations mainly determined the N2O production rates from each pathway. The moisture treatments with broad contents and narrow gradient were required to capture the comprehensive response of soil N2O production rate to moisture change, and the response is essential for accurately predicting N2O emission from agricultural soils under climate change scenarios.","author":[{"dropping-particle":"","family":"Wang","given":"Hui","non-dropping-particle":"","parse-names":false,"suffix":""},{"dropping-particle":"","family":"Yan","given":"Zhifeng","non-dropping-particle":"","parse-names":false,"suffix":""},{"dropping-particle":"","family":"Ju","given":"Xiaotang","non-dropping-particle":"","parse-names":false,"suffix":""},{"dropping-particle":"","family":"Song","given":"Xiaotong","non-dropping-particle":"","parse-names":false,"suffix":""},{"dropping-particle":"","family":"Zhang","given":"Jinbo","non-dropping-particle":"","parse-names":false,"suffix":""},{"dropping-particle":"","family":"Li","given":"Siliang","non-dropping-particle":"","parse-names":false,"suffix":""},{"dropping-particle":"","family":"Zhu-Barker","given":"Xia","non-dropping-particle":"","parse-names":false,"suffix":""}],"container-title":"Frontiers in Microbiology","id":"ITEM-1","issue":"January","issued":{"date-parts":[["2023"]]},"page":"1-10","title":"Quantifying nitrous oxide production rates from nitrification and denitrification under various moisture conditions in agricultural soils: Laboratory study and literature synthesis","type":"article-journal","volume":"13"},"uris":["http://www.mendeley.com/documents/?uuid=4013fdcf-c0a0-4eab-8fb5-1e4f420317a2"]}],"mendeley":{"formattedCitation":"(Wang et al., 2023)","plainTextFormattedCitation":"(Wang et al., 2023)","previouslyFormattedCitation":"(Wang et al., 2023)"},"properties":{"noteIndex":0},"schema":"https://github.com/citation-style-language/schema/raw/master/csl-citation.json"}</w:instrText>
      </w:r>
      <w:r w:rsidRPr="00203EB0">
        <w:rPr>
          <w:rFonts w:cs="Times New Roman"/>
        </w:rPr>
        <w:fldChar w:fldCharType="separate"/>
      </w:r>
      <w:r w:rsidRPr="00203EB0">
        <w:rPr>
          <w:rFonts w:cs="Times New Roman"/>
          <w:noProof/>
        </w:rPr>
        <w:t>(Wang et al., 2023)</w:t>
      </w:r>
      <w:r w:rsidRPr="00203EB0">
        <w:rPr>
          <w:rFonts w:cs="Times New Roman"/>
        </w:rPr>
        <w:fldChar w:fldCharType="end"/>
      </w:r>
      <w:r w:rsidRPr="00203EB0">
        <w:rPr>
          <w:rFonts w:cs="Times New Roman"/>
        </w:rPr>
        <w:t xml:space="preserve">. This was indicated by the small change in soil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cs="Times New Roman"/>
          <w:vertAlign w:val="superscript"/>
        </w:rPr>
        <w:t xml:space="preserve"> </w:t>
      </w:r>
      <w:r w:rsidRPr="00203EB0">
        <w:rPr>
          <w:rFonts w:cs="Times New Roman"/>
        </w:rPr>
        <w:t>over the incubation period, particularly in the treatments with hairy vetch (</w:t>
      </w:r>
      <w:r w:rsidRPr="00203EB0">
        <w:rPr>
          <w:rFonts w:cs="Times New Roman"/>
          <w:b/>
        </w:rPr>
        <w:t xml:space="preserve">Table </w:t>
      </w:r>
      <w:r w:rsidR="005E1C76" w:rsidRPr="00203EB0">
        <w:rPr>
          <w:rFonts w:cs="Times New Roman"/>
          <w:b/>
        </w:rPr>
        <w:t>4.</w:t>
      </w:r>
      <w:r w:rsidRPr="00203EB0">
        <w:rPr>
          <w:rFonts w:cs="Times New Roman"/>
          <w:b/>
        </w:rPr>
        <w:t>2</w:t>
      </w:r>
      <w:r w:rsidRPr="00203EB0">
        <w:rPr>
          <w:rFonts w:cs="Times New Roman"/>
        </w:rPr>
        <w:t>). Consequently, approximately 90% of the N</w:t>
      </w:r>
      <w:r w:rsidRPr="00203EB0">
        <w:rPr>
          <w:rFonts w:cs="Times New Roman"/>
          <w:vertAlign w:val="subscript"/>
        </w:rPr>
        <w:t>2</w:t>
      </w:r>
      <w:r w:rsidRPr="00203EB0">
        <w:rPr>
          <w:rFonts w:cs="Times New Roman"/>
        </w:rPr>
        <w:t>O emissions were derived from NO</w:t>
      </w:r>
      <w:r w:rsidRPr="00203EB0">
        <w:rPr>
          <w:rFonts w:cs="Times New Roman"/>
          <w:vertAlign w:val="subscript"/>
        </w:rPr>
        <w:t>3</w:t>
      </w:r>
      <w:r w:rsidRPr="00203EB0">
        <w:rPr>
          <w:rFonts w:cs="Times New Roman"/>
        </w:rPr>
        <w:t>-N fertilizer from day 0 to day 5 of the incubation experiment for treatments with cover crops</w:t>
      </w:r>
      <w:r w:rsidR="005E1C76" w:rsidRPr="00203EB0">
        <w:rPr>
          <w:rFonts w:cs="Times New Roman"/>
        </w:rPr>
        <w:t xml:space="preserve"> (</w:t>
      </w:r>
      <w:r w:rsidR="005E1C76" w:rsidRPr="00203EB0">
        <w:rPr>
          <w:rFonts w:cs="Times New Roman"/>
          <w:b/>
        </w:rPr>
        <w:t>Figure 4.2</w:t>
      </w:r>
      <w:r w:rsidRPr="00203EB0">
        <w:rPr>
          <w:rFonts w:cs="Times New Roman"/>
          <w:b/>
        </w:rPr>
        <w:t>d</w:t>
      </w:r>
      <w:r w:rsidRPr="00203EB0">
        <w:rPr>
          <w:rFonts w:cs="Times New Roman"/>
        </w:rPr>
        <w:t>). The restriction in nitrification resulted in consistently low N</w:t>
      </w:r>
      <w:r w:rsidRPr="00203EB0">
        <w:rPr>
          <w:rFonts w:cs="Times New Roman"/>
          <w:vertAlign w:val="subscript"/>
        </w:rPr>
        <w:t>2</w:t>
      </w:r>
      <w:r w:rsidRPr="00203EB0">
        <w:rPr>
          <w:rFonts w:cs="Times New Roman"/>
        </w:rPr>
        <w:t xml:space="preserve">O emissions once fertilizer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vertAlign w:val="superscript"/>
        </w:rPr>
        <w:t xml:space="preserve"> </w:t>
      </w:r>
      <w:r w:rsidRPr="00203EB0">
        <w:rPr>
          <w:rFonts w:cs="Times New Roman"/>
        </w:rPr>
        <w:t>levels were exhausted</w:t>
      </w:r>
      <w:r w:rsidR="005E1C76" w:rsidRPr="00203EB0">
        <w:rPr>
          <w:rFonts w:cs="Times New Roman"/>
        </w:rPr>
        <w:t xml:space="preserve"> (</w:t>
      </w:r>
      <w:r w:rsidR="005E1C76" w:rsidRPr="00203EB0">
        <w:rPr>
          <w:rFonts w:cs="Times New Roman"/>
          <w:b/>
        </w:rPr>
        <w:t>Figure</w:t>
      </w:r>
      <w:r w:rsidRPr="00203EB0">
        <w:rPr>
          <w:rFonts w:cs="Times New Roman"/>
          <w:b/>
        </w:rPr>
        <w:t xml:space="preserve"> </w:t>
      </w:r>
      <w:r w:rsidR="005E1C76" w:rsidRPr="00203EB0">
        <w:rPr>
          <w:rFonts w:cs="Times New Roman"/>
          <w:b/>
        </w:rPr>
        <w:t>4.2</w:t>
      </w:r>
      <w:r w:rsidRPr="00203EB0">
        <w:rPr>
          <w:rFonts w:cs="Times New Roman"/>
          <w:b/>
        </w:rPr>
        <w:t>b</w:t>
      </w:r>
      <w:r w:rsidRPr="00203EB0">
        <w:rPr>
          <w:rFonts w:cs="Times New Roman"/>
        </w:rPr>
        <w:t xml:space="preserve">, </w:t>
      </w:r>
      <w:r w:rsidRPr="00203EB0">
        <w:rPr>
          <w:rFonts w:cs="Times New Roman"/>
          <w:b/>
        </w:rPr>
        <w:t xml:space="preserve">Table </w:t>
      </w:r>
      <w:r w:rsidR="005E1C76" w:rsidRPr="00203EB0">
        <w:rPr>
          <w:rFonts w:cs="Times New Roman"/>
          <w:b/>
        </w:rPr>
        <w:t>4.</w:t>
      </w:r>
      <w:r w:rsidRPr="00203EB0">
        <w:rPr>
          <w:rFonts w:cs="Times New Roman"/>
          <w:b/>
        </w:rPr>
        <w:t>2</w:t>
      </w:r>
      <w:r w:rsidRPr="00203EB0">
        <w:rPr>
          <w:rFonts w:cs="Times New Roman"/>
        </w:rPr>
        <w:t>). The low importance assigned to soil O</w:t>
      </w:r>
      <w:r w:rsidRPr="00203EB0">
        <w:rPr>
          <w:rFonts w:cs="Times New Roman"/>
          <w:vertAlign w:val="subscript"/>
        </w:rPr>
        <w:t xml:space="preserve">2 </w:t>
      </w:r>
      <w:r w:rsidRPr="00203EB0">
        <w:rPr>
          <w:rFonts w:cs="Times New Roman"/>
        </w:rPr>
        <w:t>concentration in the Random Forest model to explain the variability in N</w:t>
      </w:r>
      <w:r w:rsidRPr="00203EB0">
        <w:rPr>
          <w:rFonts w:cs="Times New Roman"/>
          <w:vertAlign w:val="subscript"/>
        </w:rPr>
        <w:t>2</w:t>
      </w:r>
      <w:r w:rsidRPr="00203EB0">
        <w:rPr>
          <w:rFonts w:cs="Times New Roman"/>
        </w:rPr>
        <w:t>O emissions under 80% WFPS highlights that NO</w:t>
      </w:r>
      <w:r w:rsidRPr="00203EB0">
        <w:rPr>
          <w:rFonts w:cs="Times New Roman"/>
          <w:vertAlign w:val="subscript"/>
        </w:rPr>
        <w:t>3</w:t>
      </w:r>
      <w:r w:rsidRPr="00203EB0">
        <w:rPr>
          <w:rFonts w:cs="Times New Roman"/>
        </w:rPr>
        <w:t>-N availability becomes the main driver under reduced gas diffusivity.</w:t>
      </w:r>
    </w:p>
    <w:p w14:paraId="1FFB9F03" w14:textId="5DAB47B4" w:rsidR="00EE3A02" w:rsidRPr="00203EB0" w:rsidRDefault="00EE3A02" w:rsidP="00EE3A02">
      <w:pPr>
        <w:spacing w:line="480" w:lineRule="auto"/>
        <w:rPr>
          <w:rFonts w:cs="Times New Roman"/>
        </w:rPr>
      </w:pPr>
      <w:r w:rsidRPr="00203EB0">
        <w:rPr>
          <w:rFonts w:cs="Times New Roman"/>
        </w:rPr>
        <w:t>Conversely, N</w:t>
      </w:r>
      <w:r w:rsidRPr="00203EB0">
        <w:rPr>
          <w:rFonts w:cs="Times New Roman"/>
          <w:vertAlign w:val="subscript"/>
        </w:rPr>
        <w:t>2</w:t>
      </w:r>
      <w:r w:rsidRPr="00203EB0">
        <w:rPr>
          <w:rFonts w:cs="Times New Roman"/>
        </w:rPr>
        <w:t xml:space="preserve">O emissions under 50% WFPS were heavily related to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cs="Times New Roman"/>
        </w:rPr>
        <w:t>, soil O</w:t>
      </w:r>
      <w:r w:rsidRPr="00203EB0">
        <w:rPr>
          <w:rFonts w:cs="Times New Roman"/>
          <w:vertAlign w:val="subscript"/>
        </w:rPr>
        <w:t>2</w:t>
      </w:r>
      <w:r w:rsidRPr="00203EB0">
        <w:rPr>
          <w:rFonts w:cs="Times New Roman"/>
        </w:rPr>
        <w:t>,</w:t>
      </w:r>
      <w:r w:rsidRPr="00203EB0">
        <w:rPr>
          <w:rFonts w:cs="Times New Roman"/>
          <w:vertAlign w:val="subscript"/>
        </w:rPr>
        <w:t xml:space="preserve"> </w:t>
      </w:r>
      <w:r w:rsidRPr="00203EB0">
        <w:rPr>
          <w:rFonts w:cs="Times New Roman"/>
        </w:rPr>
        <w:t>and CO</w:t>
      </w:r>
      <w:r w:rsidRPr="00203EB0">
        <w:rPr>
          <w:rFonts w:cs="Times New Roman"/>
          <w:vertAlign w:val="subscript"/>
        </w:rPr>
        <w:t>2</w:t>
      </w:r>
      <w:r w:rsidRPr="00203EB0">
        <w:rPr>
          <w:rFonts w:cs="Times New Roman"/>
        </w:rPr>
        <w:t xml:space="preserve"> fluxes as these parameters were the main features in a model that explained 67% of the variability in N</w:t>
      </w:r>
      <w:r w:rsidRPr="00203EB0">
        <w:rPr>
          <w:rFonts w:cs="Times New Roman"/>
          <w:vertAlign w:val="subscript"/>
        </w:rPr>
        <w:t>2</w:t>
      </w:r>
      <w:r w:rsidRPr="00203EB0">
        <w:rPr>
          <w:rFonts w:cs="Times New Roman"/>
        </w:rPr>
        <w:t>O emissions (</w:t>
      </w:r>
      <w:r w:rsidRPr="00203EB0">
        <w:rPr>
          <w:rFonts w:cs="Times New Roman"/>
          <w:b/>
        </w:rPr>
        <w:t>Table 4</w:t>
      </w:r>
      <w:r w:rsidR="005E1C76" w:rsidRPr="00203EB0">
        <w:rPr>
          <w:rFonts w:cs="Times New Roman"/>
          <w:b/>
        </w:rPr>
        <w:t>.4</w:t>
      </w:r>
      <w:r w:rsidRPr="00203EB0">
        <w:rPr>
          <w:rFonts w:cs="Times New Roman"/>
        </w:rPr>
        <w:t>). Peak N</w:t>
      </w:r>
      <w:r w:rsidRPr="00203EB0">
        <w:rPr>
          <w:rFonts w:cs="Times New Roman"/>
          <w:vertAlign w:val="subscript"/>
        </w:rPr>
        <w:t>2</w:t>
      </w:r>
      <w:r w:rsidRPr="00203EB0">
        <w:rPr>
          <w:rFonts w:cs="Times New Roman"/>
        </w:rPr>
        <w:t xml:space="preserve">O emissions for treatments with cover </w:t>
      </w:r>
      <w:proofErr w:type="gramStart"/>
      <w:r w:rsidRPr="00203EB0">
        <w:rPr>
          <w:rFonts w:cs="Times New Roman"/>
        </w:rPr>
        <w:t>crop</w:t>
      </w:r>
      <w:proofErr w:type="gramEnd"/>
      <w:r w:rsidRPr="00203EB0">
        <w:rPr>
          <w:rFonts w:cs="Times New Roman"/>
        </w:rPr>
        <w:t xml:space="preserve"> coincided with elevated soil CO</w:t>
      </w:r>
      <w:r w:rsidRPr="00203EB0">
        <w:rPr>
          <w:rFonts w:cs="Times New Roman"/>
          <w:vertAlign w:val="subscript"/>
        </w:rPr>
        <w:t>2</w:t>
      </w:r>
      <w:r w:rsidRPr="00203EB0">
        <w:rPr>
          <w:rFonts w:cs="Times New Roman"/>
        </w:rPr>
        <w:t xml:space="preserve"> fluxes and depletion of soil O</w:t>
      </w:r>
      <w:r w:rsidRPr="00203EB0">
        <w:rPr>
          <w:rFonts w:cs="Times New Roman"/>
          <w:vertAlign w:val="subscript"/>
        </w:rPr>
        <w:t>2</w:t>
      </w:r>
      <w:r w:rsidRPr="00203EB0">
        <w:rPr>
          <w:rFonts w:cs="Times New Roman"/>
        </w:rPr>
        <w:t xml:space="preserve"> contents two days following N fertilization</w:t>
      </w:r>
      <w:r w:rsidR="005E1C76" w:rsidRPr="00203EB0">
        <w:rPr>
          <w:rFonts w:cs="Times New Roman"/>
        </w:rPr>
        <w:t xml:space="preserve"> (</w:t>
      </w:r>
      <w:r w:rsidR="005E1C76" w:rsidRPr="00203EB0">
        <w:rPr>
          <w:rFonts w:cs="Times New Roman"/>
          <w:b/>
        </w:rPr>
        <w:t>Figure 4.3</w:t>
      </w:r>
      <w:r w:rsidRPr="00203EB0">
        <w:rPr>
          <w:rFonts w:cs="Times New Roman"/>
          <w:b/>
        </w:rPr>
        <w:t>a</w:t>
      </w:r>
      <w:r w:rsidR="00977E06" w:rsidRPr="00203EB0">
        <w:rPr>
          <w:rFonts w:cs="Times New Roman"/>
        </w:rPr>
        <w:t xml:space="preserve">, </w:t>
      </w:r>
      <w:r w:rsidR="00977E06" w:rsidRPr="00203EB0">
        <w:rPr>
          <w:rFonts w:cs="Times New Roman"/>
          <w:b/>
        </w:rPr>
        <w:t>Figure</w:t>
      </w:r>
      <w:r w:rsidRPr="00203EB0">
        <w:rPr>
          <w:rFonts w:cs="Times New Roman"/>
          <w:b/>
        </w:rPr>
        <w:t xml:space="preserve"> 4</w:t>
      </w:r>
      <w:r w:rsidR="00977E06" w:rsidRPr="00203EB0">
        <w:rPr>
          <w:rFonts w:cs="Times New Roman"/>
          <w:b/>
        </w:rPr>
        <w:t>.5</w:t>
      </w:r>
      <w:r w:rsidRPr="00203EB0">
        <w:rPr>
          <w:rFonts w:cs="Times New Roman"/>
          <w:b/>
        </w:rPr>
        <w:t>a</w:t>
      </w:r>
      <w:r w:rsidRPr="00203EB0">
        <w:rPr>
          <w:rFonts w:cs="Times New Roman"/>
        </w:rPr>
        <w:t>). During the peak of emissions, N</w:t>
      </w:r>
      <w:r w:rsidRPr="00203EB0">
        <w:rPr>
          <w:rFonts w:cs="Times New Roman"/>
          <w:vertAlign w:val="subscript"/>
        </w:rPr>
        <w:t>2</w:t>
      </w:r>
      <w:r w:rsidRPr="00203EB0">
        <w:rPr>
          <w:rFonts w:cs="Times New Roman"/>
        </w:rPr>
        <w:t xml:space="preserve">O fluxes were primarily derived from readily available </w:t>
      </w:r>
      <w:r w:rsidRPr="00203EB0">
        <w:rPr>
          <w:rFonts w:eastAsiaTheme="minorEastAsia" w:cs="Times New Roman"/>
          <w:iCs/>
        </w:rPr>
        <w:t>NO</w:t>
      </w:r>
      <w:r w:rsidRPr="00203EB0">
        <w:rPr>
          <w:rFonts w:eastAsiaTheme="minorEastAsia" w:cs="Times New Roman"/>
          <w:iCs/>
          <w:vertAlign w:val="subscript"/>
        </w:rPr>
        <w:t>3</w:t>
      </w:r>
      <w:r w:rsidRPr="00203EB0">
        <w:rPr>
          <w:rFonts w:eastAsiaTheme="minorEastAsia" w:cs="Times New Roman"/>
          <w:iCs/>
        </w:rPr>
        <w:t xml:space="preserve">-N from N </w:t>
      </w:r>
      <w:r w:rsidR="005E1C76" w:rsidRPr="00203EB0">
        <w:rPr>
          <w:rFonts w:cs="Times New Roman"/>
        </w:rPr>
        <w:t xml:space="preserve">fertilizer (75 to 91%, </w:t>
      </w:r>
      <w:r w:rsidR="005E1C76" w:rsidRPr="00203EB0">
        <w:rPr>
          <w:rFonts w:cs="Times New Roman"/>
          <w:b/>
        </w:rPr>
        <w:lastRenderedPageBreak/>
        <w:t>Figure</w:t>
      </w:r>
      <w:r w:rsidRPr="00203EB0">
        <w:rPr>
          <w:rFonts w:cs="Times New Roman"/>
          <w:b/>
        </w:rPr>
        <w:t xml:space="preserve"> </w:t>
      </w:r>
      <w:r w:rsidR="005E1C76" w:rsidRPr="00203EB0">
        <w:rPr>
          <w:rFonts w:cs="Times New Roman"/>
          <w:b/>
        </w:rPr>
        <w:t>4.2</w:t>
      </w:r>
      <w:r w:rsidRPr="00203EB0">
        <w:rPr>
          <w:rFonts w:cs="Times New Roman"/>
          <w:b/>
        </w:rPr>
        <w:t>c</w:t>
      </w:r>
      <w:r w:rsidRPr="00203EB0">
        <w:rPr>
          <w:rFonts w:cs="Times New Roman"/>
        </w:rPr>
        <w:t>), suggesting that even under 50% WFPS, a large proportion of the total N</w:t>
      </w:r>
      <w:r w:rsidRPr="00203EB0">
        <w:rPr>
          <w:rFonts w:cs="Times New Roman"/>
          <w:vertAlign w:val="subscript"/>
        </w:rPr>
        <w:t>2</w:t>
      </w:r>
      <w:r w:rsidRPr="00203EB0">
        <w:rPr>
          <w:rFonts w:cs="Times New Roman"/>
        </w:rPr>
        <w:t xml:space="preserve">O emissions in the early stages of the incubation experiment were from denitrification </w:t>
      </w:r>
      <w:r w:rsidRPr="00203EB0">
        <w:rPr>
          <w:rFonts w:cs="Times New Roman"/>
        </w:rPr>
        <w:fldChar w:fldCharType="begin" w:fldLock="1"/>
      </w:r>
      <w:r w:rsidR="00DA3A53">
        <w:rPr>
          <w:rFonts w:cs="Times New Roman"/>
        </w:rPr>
        <w:instrText>ADDIN CSL_CITATION {"citationItems":[{"id":"ITEM-1","itemData":{"DOI":"10.1038/ngeo2963","ISSN":"17520908","abstract":"N 2 O is a highly potent greenhouse gas and arable soils represent its major anthropogenic source. Field-scale assessments and predictions of soil N 2 O emission remain uncertain and imprecise due to the episodic and microscale nature of microbial N 2 O production, most of which occurs within very small discrete soil volumes. Such hotspots of N 2 O production are often associated with decomposing plant residue. Here we quantify physical and hydrological soil characteristics that lead to strikingly accelerated N 2 O emissions in plant residue-induced hotspots. Results reveal a mechanism for microscale N 2 O emissions: water absorption by plant residue that creates unique micro-environmental conditions, markedly different from those of the bulk soil. Moisture levels within plant residue exceeded those of bulk soil by 4-10-fold and led to accelerated N 2 O production via microbial denitrification. The presence of large (\" &gt;35 μm) pores was a prerequisite for maximized hotspot N 2 O production and for subsequent diffusion to the atmosphere. Understanding and modelling hotspot microscale physical and hydrologic characteristics is a promising route to predict N 2 O emissions and thus to develop effective mitigation strategies and estimate global fluxes in a changing environment.","author":[{"dropping-particle":"","family":"Kravchenko","given":"A. N.","non-dropping-particle":"","parse-names":false,"suffix":""},{"dropping-particle":"","family":"Toosi","given":"E. R.","non-dropping-particle":"","parse-names":false,"suffix":""},{"dropping-particle":"","family":"Guber","given":"A. K.","non-dropping-particle":"","parse-names":false,"suffix":""},{"dropping-particle":"","family":"Ostrom","given":"N. E.","non-dropping-particle":"","parse-names":false,"suffix":""},{"dropping-particle":"","family":"Yu","given":"J.","non-dropping-particle":"","parse-names":false,"suffix":""},{"dropping-particle":"","family":"Azeem","given":"K.","non-dropping-particle":"","parse-names":false,"suffix":""},{"dropping-particle":"","family":"Rivers","given":"M. L.","non-dropping-particle":"","parse-names":false,"suffix":""},{"dropping-particle":"","family":"Robertson","given":"G. P.","non-dropping-particle":"","parse-names":false,"suffix":""}],"container-title":"Nature Geoscience","id":"ITEM-1","issue":"7","issued":{"date-parts":[["2017"]]},"page":"496-500","title":"Hotspots of soil N2O emission enhanced through water absorption by plant residue","type":"article-journal","volume":"10"},"uris":["http://www.mendeley.com/documents/?uuid=40ea8160-85b5-4258-9e8b-b91f22fa01c8"]},{"id":"ITEM-2","itemData":{"DOI":"10.1016/j.soilbio.2015.10.008","ISSN":"00380717","abstract":"Catch crops, especially leguminous catch crops, may increase crop nitrogen (N) supply and decrease environmental impacts in cropping systems, but they may also stimulate nitrous oxide (N2O) emissions following spring incorporation. In this 28-day laboratory incubation study, we examined the carbon (C) and N dynamics and N2O evolution after simulated incorporation of residues from three catch crop species into a loamy sand soil, with variable soil moisture (40, 50 or 60% water-filled pore space (WFPS)). The catch crops include two leguminous (red clover and winter vetch) and one non-leguminous species (ryegrass). Plant material was placed in a discrete layer surrounded by soil in which the nitrate (NO3-) pool was enriched with 15N to distinguish N2O derived from denitrification and nitrification. Net N mineralisation from leguminous catch crops was significant (30-48 mg N kg-1 soil, accounting for 41-56% of the added residue-N), whereas ryegrass incorporation resulted in net N immobilisation. The evolution of N2O was probably enhanced by N release from the residues, especially during the second week, which can explain the lower N2O evolution after application of ryegrass. Emission of N2O occurred at all moisture levels, but was higher at 50 and 60% WFPS than at 40% in soil with leguminous residues. The 15N enrichment of N2O indicated that denitrification was the dominant source independent of moisture level and residue type. We conclude that catch crop residues will stimulate N2O emissions via denitrification over a wide range of soil moisture conditions, but that emission levels may depend significantly on residue quality and soil moisture.","author":[{"dropping-particle":"","family":"Li","given":"Xiaoxi","non-dropping-particle":"","parse-names":false,"suffix":""},{"dropping-particle":"","family":"Sørensen","given":"Peter","non-dropping-particle":"","parse-names":false,"suffix":""},{"dropping-particle":"","family":"Olesen","given":"Jørgen E.","non-dropping-particle":"","parse-names":false,"suffix":""},{"dropping-particle":"","family":"Petersen","given":"Søren O.","non-dropping-particle":"","parse-names":false,"suffix":""}],"container-title":"Soil Biology and Biochemistry","id":"ITEM-2","issue":"January","issued":{"date-parts":[["2016"]]},"page":"153-160","publisher":"Elsevier Ltd","title":"Evidence for denitrification as main source of N2O emission from residue-amended soil","type":"article-journal","volume":"92"},"uris":["http://www.mendeley.com/documents/?uuid=239551c1-c0b6-4a6a-a960-64f5ba9b0e27"]}],"mendeley":{"formattedCitation":"(Li et al., 2016; Kravchenko et al., 2017)","plainTextFormattedCitation":"(Li et al., 2016; Kravchenko et al., 2017)","previouslyFormattedCitation":"(Li et al., 2016; Kravchenko et al., 2017)"},"properties":{"noteIndex":0},"schema":"https://github.com/citation-style-language/schema/raw/master/csl-citation.json"}</w:instrText>
      </w:r>
      <w:r w:rsidRPr="00203EB0">
        <w:rPr>
          <w:rFonts w:cs="Times New Roman"/>
        </w:rPr>
        <w:fldChar w:fldCharType="separate"/>
      </w:r>
      <w:r w:rsidRPr="00203EB0">
        <w:rPr>
          <w:rFonts w:cs="Times New Roman"/>
          <w:noProof/>
        </w:rPr>
        <w:t>(Li et al., 2016; Kravchenko et al., 2017)</w:t>
      </w:r>
      <w:r w:rsidRPr="00203EB0">
        <w:rPr>
          <w:rFonts w:cs="Times New Roman"/>
        </w:rPr>
        <w:fldChar w:fldCharType="end"/>
      </w:r>
      <w:r w:rsidRPr="00203EB0">
        <w:rPr>
          <w:rFonts w:cs="Times New Roman"/>
        </w:rPr>
        <w:t>. This finding is consistent with previous existing studies, which identified a decoupling of the conventional relationship between WFPS and N</w:t>
      </w:r>
      <w:r w:rsidRPr="00203EB0">
        <w:rPr>
          <w:rFonts w:cs="Times New Roman"/>
          <w:vertAlign w:val="subscript"/>
        </w:rPr>
        <w:t>2</w:t>
      </w:r>
      <w:r w:rsidRPr="00203EB0">
        <w:rPr>
          <w:rFonts w:cs="Times New Roman"/>
        </w:rPr>
        <w:t xml:space="preserve">O production pathways </w:t>
      </w:r>
      <w:r w:rsidRPr="00203EB0">
        <w:rPr>
          <w:rFonts w:cs="Times New Roman"/>
        </w:rPr>
        <w:fldChar w:fldCharType="begin" w:fldLock="1"/>
      </w:r>
      <w:r w:rsidR="00EB2F35" w:rsidRPr="00203EB0">
        <w:rPr>
          <w:rFonts w:cs="Times New Roman"/>
        </w:rPr>
        <w:instrText>ADDIN CSL_CITATION {"citationItems":[{"id":"ITEM-1","itemData":{"DOI":"10.1007/s10533-013-9883-8","ISSN":"01682563","abstract":"Long-term elevated atmogenic deposition (~5 g m-2 year-1) of reactive nitrogen (N) causes N saturation in forests of subtropical China which may lead to high nitrous oxide (N2O) emissions. Recently, we found high N2O emission rates (up to 1,730 μg N2O-N m-2 h-1) during summer on well-drained acidic acrisols (pH = 4.0) along a hill slope in the forested Tieshanping catchment, Chongqing, southwest China. Here, we present results from an in situ 15N-NO3- labeling experiment to assess the contribution of nitrification and denitrification to N2O emissions in these soils. Two loads of 99 at.% K15NO3 (equivalent to 0.2 and 1.0 g N m-2) were applied as a single dose to replicated plots at two positions along the hill slope (at top and bottom, respectively) during monsoonal summer. During a 6-day period after label application, we found that 71-100 % of the emitted N2O was derived from the labeled NO3- pool irrespective of slope position. Based on this, we assume that denitrification is the dominant process of N2O formation in these forest soils. Within 6 days after label addition, the fraction of the added 15N-NO3- emitted as 15N-N2O was highest at the low-N addition plots (0.2 g N m-2), amounting to 1.3 % at the top position of the hill slope and to 3.2 % at the bottom position, respectively. Our data illustrate the large potential of acid forest soils in subtropical China to form N2O from excess NO3- most likely through denitrification. © 2013 The Author(s).","author":[{"dropping-particle":"","family":"Zhu","given":"Jing","non-dropping-particle":"","parse-names":false,"suffix":""},{"dropping-particle":"","family":"Mulder","given":"Jan","non-dropping-particle":"","parse-names":false,"suffix":""},{"dropping-particle":"","family":"Bakken","given":"Lars","non-dropping-particle":"","parse-names":false,"suffix":""},{"dropping-particle":"","family":"Dörsch","given":"Peter","non-dropping-particle":"","parse-names":false,"suffix":""}],"container-title":"Biogeochemistry","id":"ITEM-1","issue":"1-3","issued":{"date-parts":[["2013"]]},"page":"103-117","title":"The importance of denitrification for N2O emissions from an N-saturated forest in SW China: Results from in situ 15N labeling experiments","type":"article-journal","volume":"116"},"uris":["http://www.mendeley.com/documents/?uuid=d8e3bab8-5550-4ff2-ae49-767c980f3690"]},{"id":"ITEM-2","itemData":{"DOI":"10.1016/j.jhazmat.2022.130413","ISSN":"18733336","PMID":"36436452","abstract":"Despite its environmental significance, little is known about denitrification in vadose zones owing to the complexity of such environments. Here, we investigated denitrification in unsaturated soils with different pore distributions. To this end, we performed batch-type denitrification experiments and analyzed microbial community shifts before and after possible reactions with nitrates to clarify the relevant denitrifying mechanism in the microcosms. For quantitative comparison, pore distribution in the test soil samples was characterized based on the uniformity coefficient (Cu) and water saturation degree (SD). Micro-CT analysis of the soil pore distribution confirmed that the proportion of bigger-sized pores increased with decreasing Cu. However, oxygen diffusion into the system was controlled by SD rather than Cu. Within a certain SD range (51–67%), the pore condition changed abruptly from an oxic to an anoxic state. Consequently, denitrification occurred even under unsaturated soil conditions when the SD increased beyond 51–67%. High throughput sequencing revealed that the same microbial species were potentially responsible for denitrification under both partially (SD 67%), and fully saturated (SD of 100%) conditions, implying that the mechanism of denitrification in a vadose zone, if it exists, might be possibly similar under varying conditions.","author":[{"dropping-particle":"","family":"Oh","given":"Sungjik","non-dropping-particle":"","parse-names":false,"suffix":""},{"dropping-particle":"","family":"Cho","given":"Kyungjin","non-dropping-particle":"","parse-names":false,"suffix":""},{"dropping-particle":"","family":"Park","given":"Saerom","non-dropping-particle":"","parse-names":false,"suffix":""},{"dropping-particle":"","family":"Kwon","given":"Man Jae","non-dropping-particle":"","parse-names":false,"suffix":""},{"dropping-particle":"","family":"Chung","given":"Jaeshik","non-dropping-particle":"","parse-names":false,"suffix":""},{"dropping-particle":"","family":"Lee","given":"Seunghak","non-dropping-particle":"","parse-names":false,"suffix":""}],"container-title":"Journal of Hazardous Materials","id":"ITEM-2","issue":"November 2022","issued":{"date-parts":[["2023"]]},"page":"130413","publisher":"Elsevier B.V.","title":"Denitrification dynamics in unsaturated soils with different porous structures and water saturation degrees: A focus on the shift in microbial community structures","type":"article-journal","volume":"445"},"uris":["http://www.mendeley.com/documents/?uuid=53866f56-8e43-416f-be7f-ac31408aba25"]}],"mendeley":{"formattedCitation":"(Zhu et al., 2013b; Oh et al., 2023)","plainTextFormattedCitation":"(Zhu et al., 2013b; Oh et al., 2023)","previouslyFormattedCitation":"(Zhu et al., 2013b; Oh et al., 2023)"},"properties":{"noteIndex":0},"schema":"https://github.com/citation-style-language/schema/raw/master/csl-citation.json"}</w:instrText>
      </w:r>
      <w:r w:rsidRPr="00203EB0">
        <w:rPr>
          <w:rFonts w:cs="Times New Roman"/>
        </w:rPr>
        <w:fldChar w:fldCharType="separate"/>
      </w:r>
      <w:r w:rsidRPr="00203EB0">
        <w:rPr>
          <w:rFonts w:cs="Times New Roman"/>
          <w:noProof/>
        </w:rPr>
        <w:t>(Zhu et al., 2013b; Oh et al., 2023)</w:t>
      </w:r>
      <w:r w:rsidRPr="00203EB0">
        <w:rPr>
          <w:rFonts w:cs="Times New Roman"/>
        </w:rPr>
        <w:fldChar w:fldCharType="end"/>
      </w:r>
      <w:r w:rsidRPr="00203EB0">
        <w:rPr>
          <w:rFonts w:cs="Times New Roman"/>
        </w:rPr>
        <w:t>.  Similar to these studies, our findings contrast with the conceptual model of sources of N</w:t>
      </w:r>
      <w:r w:rsidRPr="00203EB0">
        <w:rPr>
          <w:rFonts w:cs="Times New Roman"/>
          <w:vertAlign w:val="subscript"/>
        </w:rPr>
        <w:t>2</w:t>
      </w:r>
      <w:r w:rsidRPr="00203EB0">
        <w:rPr>
          <w:rFonts w:cs="Times New Roman"/>
        </w:rPr>
        <w:t>O presented by Davidson et al.</w:t>
      </w:r>
      <w:r w:rsidR="00E0715E"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{"citationItems":[{"id":"ITEM-1","itemData":{"DOI":"10.1641/0006-3568(2000)050[0667:TACMOS]2.0.CO;2","ISSN":"00063568","author":[{"dropping-particle":"","family":"Davidson","given":"E. A.","non-dropping-particle":"","parse-names":false,"suffix":""},{"dropping-particle":"","family":"Keller","given":"M.","non-dropping-particle":"","parse-names":false,"suffix":""},{"dropping-particle":"","family":"Erickson","given":"H. E.","non-dropping-particle":"","parse-names":false,"suffix":""},{"dropping-particle":"V.","family":"Verchot","given":"L.","non-dropping-particle":"","parse-names":false,"suffix":""},{"dropping-particle":"","family":"Veldkamp","given":"E.","non-dropping-particle":"","parse-names":false,"suffix":""}],"container-title":"BioScience","id":"ITEM-1","issue":"8","issued":{"date-parts":[["2000"]]},"page":"667-680","title":"Testing a conceptual model of soil emissions of nitrous and nitric oxides","type":"article-journal","volume":"50"},"uris":["http://www.mendeley.com/documents/?uuid=7184fb48-ed31-41c0-8af8-2d5a549c23da"]}],"mendeley":{"formattedCitation":"(Davidson et al., 2000)","manualFormatting":"(2000)","plainTextFormattedCitation":"(Davidson et al., 2000)","previouslyFormattedCitation":"(Davidson et al., 2000)"},"properties":{"noteIndex":0},"schema":"https://github.com/citation-style-language/schema/raw/master/csl-citation.json"}</w:instrText>
      </w:r>
      <w:r w:rsidRPr="00203EB0">
        <w:rPr>
          <w:rFonts w:cs="Times New Roman"/>
        </w:rPr>
        <w:fldChar w:fldCharType="separate"/>
      </w:r>
      <w:r w:rsidR="00E0715E" w:rsidRPr="00203EB0">
        <w:rPr>
          <w:rFonts w:cs="Times New Roman"/>
          <w:noProof/>
        </w:rPr>
        <w:t>(</w:t>
      </w:r>
      <w:r w:rsidRPr="00203EB0">
        <w:rPr>
          <w:rFonts w:cs="Times New Roman"/>
          <w:noProof/>
        </w:rPr>
        <w:t>2000)</w:t>
      </w:r>
      <w:r w:rsidRPr="00203EB0">
        <w:rPr>
          <w:rFonts w:cs="Times New Roman"/>
        </w:rPr>
        <w:fldChar w:fldCharType="end"/>
      </w:r>
      <w:r w:rsidRPr="00203EB0">
        <w:rPr>
          <w:rFonts w:cs="Times New Roman"/>
        </w:rPr>
        <w:t>, which propose nitrification as the main source of N</w:t>
      </w:r>
      <w:r w:rsidRPr="00203EB0">
        <w:rPr>
          <w:rFonts w:cs="Times New Roman"/>
          <w:vertAlign w:val="subscript"/>
        </w:rPr>
        <w:t>2</w:t>
      </w:r>
      <w:r w:rsidRPr="00203EB0">
        <w:rPr>
          <w:rFonts w:cs="Times New Roman"/>
        </w:rPr>
        <w:t>O under 60% WFPS soil content. However, denitrification was not the sole process contributing to N</w:t>
      </w:r>
      <w:r w:rsidRPr="00203EB0">
        <w:rPr>
          <w:rFonts w:cs="Times New Roman"/>
          <w:vertAlign w:val="subscript"/>
        </w:rPr>
        <w:t>2</w:t>
      </w:r>
      <w:r w:rsidRPr="00203EB0">
        <w:rPr>
          <w:rFonts w:cs="Times New Roman"/>
        </w:rPr>
        <w:t xml:space="preserve">O emissions under 50% WFPS. A declining soil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cs="Times New Roman"/>
        </w:rPr>
        <w:t xml:space="preserve"> pool with a sustained supply of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over the incubation period (</w:t>
      </w:r>
      <w:r w:rsidRPr="00203EB0">
        <w:rPr>
          <w:rFonts w:cs="Times New Roman"/>
          <w:b/>
        </w:rPr>
        <w:t xml:space="preserve">Table </w:t>
      </w:r>
      <w:r w:rsidR="00E0715E" w:rsidRPr="00203EB0">
        <w:rPr>
          <w:rFonts w:cs="Times New Roman"/>
          <w:b/>
        </w:rPr>
        <w:t>4.</w:t>
      </w:r>
      <w:r w:rsidRPr="00203EB0">
        <w:rPr>
          <w:rFonts w:cs="Times New Roman"/>
          <w:b/>
        </w:rPr>
        <w:t>2</w:t>
      </w:r>
      <w:r w:rsidRPr="00203EB0">
        <w:rPr>
          <w:rFonts w:cs="Times New Roman"/>
        </w:rPr>
        <w:t>), along with a reduction in the fraction of N</w:t>
      </w:r>
      <w:r w:rsidRPr="00203EB0">
        <w:rPr>
          <w:rFonts w:cs="Times New Roman"/>
          <w:vertAlign w:val="subscript"/>
        </w:rPr>
        <w:t>2</w:t>
      </w:r>
      <w:r w:rsidRPr="00203EB0">
        <w:rPr>
          <w:rFonts w:cs="Times New Roman"/>
        </w:rPr>
        <w:t xml:space="preserve">O derived from fertilizer </w:t>
      </w:r>
      <w:r w:rsidR="00E0715E" w:rsidRPr="00203EB0">
        <w:rPr>
          <w:rFonts w:cs="Times New Roman"/>
        </w:rPr>
        <w:t>(</w:t>
      </w:r>
      <w:r w:rsidR="00E0715E" w:rsidRPr="00203EB0">
        <w:rPr>
          <w:rFonts w:cs="Times New Roman"/>
          <w:b/>
        </w:rPr>
        <w:t>Figure 4.2</w:t>
      </w:r>
      <w:r w:rsidRPr="00203EB0">
        <w:rPr>
          <w:rFonts w:cs="Times New Roman"/>
          <w:b/>
        </w:rPr>
        <w:t>c)</w:t>
      </w:r>
      <w:r w:rsidRPr="00203EB0">
        <w:rPr>
          <w:rFonts w:cs="Times New Roman"/>
        </w:rPr>
        <w:t xml:space="preserve"> but with a sizable amount of total N</w:t>
      </w:r>
      <w:r w:rsidRPr="00203EB0">
        <w:rPr>
          <w:rFonts w:cs="Times New Roman"/>
          <w:vertAlign w:val="subscript"/>
        </w:rPr>
        <w:t>2</w:t>
      </w:r>
      <w:r w:rsidRPr="00203EB0">
        <w:rPr>
          <w:rFonts w:cs="Times New Roman"/>
        </w:rPr>
        <w:t>O production after the initial peak emission phase, suggests that nitrification</w:t>
      </w:r>
      <w:r w:rsidR="00E0715E"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{"citationItems":[{"id":"ITEM-1","itemData":{"DOI":"10.3389/fmicb.2022.1110151","ISSN":"1664302X","abstract":"Biogenic nitrous oxide (N2O) from nitrification and denitrification in agricultural soils is a major source of N2O in the atmosphere, and its flux changes significantly with soil moisture condition. However, the quantitative relationship between N2O production from different pathways (i.e., nitrification vs. denitrification) and soil moisture content remains elusive, limiting our ability of predicting future agricultural N2O emissions under changing environment. This study quantified N2O production rates from nitrification and denitrification under various soil moisture conditions using laboratory incubation combined with literature synthesis. 15N labeling approach was used to differentiate the N2O production from nitrification and denitrification under eight different soil moisture contents ranging from 40 to 120% water-filled pore space (WFPS) in the laboratory study, while 80 groups of data from 17 studies across global agricultural soils were collected in the literature synthesis. Results showed that as soil moisture increased, N2O production rates of nitrification and denitrification first increased and then decreased, with the peak rates occurring between 80 and 95% WFPS. By contrast, the dominant N2O production pathway switched from nitrification to denitrification between 60 and 70% WFPS. Furthermore, the synthetic data elucidated that moisture content was the major driver controlling the relative contributions of nitrification and denitrification to N2O production, while NH4+ and NO3− concentrations mainly determined the N2O production rates from each pathway. The moisture treatments with broad contents and narrow gradient were required to capture the comprehensive response of soil N2O production rate to moisture change, and the response is essential for accurately predicting N2O emission from agricultural soils under climate change scenarios.","author":[{"dropping-particle":"","family":"Wang","given":"Hui","non-dropping-particle":"","parse-names":false,"suffix":""},{"dropping-particle":"","family":"Yan","given":"Zhifeng","non-dropping-particle":"","parse-names":false,"suffix":""},{"dropping-particle":"","family":"Ju","given":"Xiaotang","non-dropping-particle":"","parse-names":false,"suffix":""},{"dropping-particle":"","family":"Song","given":"Xiaotong","non-dropping-particle":"","parse-names":false,"suffix":""},{"dropping-particle":"","family":"Zhang","given":"Jinbo","non-dropping-particle":"","parse-names":false,"suffix":""},{"dropping-particle":"","family":"Li","given":"Siliang","non-dropping-particle":"","parse-names":false,"suffix":""},{"dropping-particle":"","family":"Zhu-Barker","given":"Xia","non-dropping-particle":"","parse-names":false,"suffix":""}],"container-title":"Frontiers in Microbiology","id":"ITEM-1","issue":"January","issued":{"date-parts":[["2023"]]},"page":"1-10","title":"Quantifying nitrous oxide production rates from nitrification and denitrification under various moisture conditions in agricultural soils: Laboratory study and literature synthesis","type":"article-journal","volume":"13"},"uris":["http://www.mendeley.com/documents/?uuid=4013fdcf-c0a0-4eab-8fb5-1e4f420317a2"]}],"mendeley":{"formattedCitation":"(Wang et al., 2023)","plainTextFormattedCitation":"(Wang et al., 2023)","previouslyFormattedCitation":"(Wang et al., 2023)"},"properties":{"noteIndex":0},"schema":"https://github.com/citation-style-language/schema/raw/master/csl-citation.json"}</w:instrText>
      </w:r>
      <w:r w:rsidRPr="00203EB0">
        <w:rPr>
          <w:rFonts w:cs="Times New Roman"/>
        </w:rPr>
        <w:fldChar w:fldCharType="separate"/>
      </w:r>
      <w:r w:rsidRPr="00203EB0">
        <w:rPr>
          <w:rFonts w:cs="Times New Roman"/>
          <w:noProof/>
        </w:rPr>
        <w:t>(Wang et al., 2023)</w:t>
      </w:r>
      <w:r w:rsidRPr="00203EB0">
        <w:rPr>
          <w:rFonts w:cs="Times New Roman"/>
        </w:rPr>
        <w:fldChar w:fldCharType="end"/>
      </w:r>
      <w:r w:rsidRPr="00203EB0">
        <w:rPr>
          <w:rFonts w:cs="Times New Roman"/>
        </w:rPr>
        <w:t xml:space="preserve"> or even nitrifier denitrification</w:t>
      </w:r>
      <w:r w:rsidR="00E0715E"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{"citationItems":[{"id":"ITEM-1","itemData":{"DOI":"10.1073/pnas.1219993110","ISSN":"00278424","PMID":"23576736","abstract":"The continuous increase of nitrous oxide (N2O) abundance in the atmosphere is a global concern. Multiple pathways of N2O production occur in soil, but their significance and dependence on oxygen (O2) availability and nitrogen (N) fertilizer source are poorly understood. We examined N2O and nitric oxide (NO) production under 21%, 3%, 1%, 0.5%, and 0% (vol/vol) O2 concentrations following urea or ammonium sulfate [(NH4)2SO4] additions in loam, clay loam, and sandy loam soils that also contained ample nitrate. The contribution of the ammonia (NH3) oxidation pathways (nitrifier nitrification, nitrifier denitrification, and nitrification-coupled denitrification) and heterotrophic de-nitrification (HD) to N2O production was determined in 36-h incubations in microcosms by 15N-18O isotope and NH3 oxidation inhibition (by 0.01% acetylene) methods. Nitrous oxide and NO production via NH3 oxidation pathways increased as O 2 concentrations decreased from 21% to 0.5%. At low (0.5% and 3%) O2 concentrations, nitrifier denitrification contributed between 34% and 66%, and HD between 34% and 50% of total N2O production. Heterotrophic denitrification was responsible for all N2O production at 0% O2. Nitrifier denitrification was the main source of N 2O production from ammonical fertilizer under low O2 concentrations with urea producing more N2O than (NH 4)2SO4 additions. These findings challenge established thought attributing N2O emissions from soils with high water content to HD due to presumably low O2 availability. Our results imply that management practices that increase soil aeration, e.g., reducing compaction and enhancing soil structure, together with careful selection of fertilizer sources and/or nitrification inhibitors, could decrease N2O production in agricultural soils.","author":[{"dropping-particle":"","family":"Zhu","given":"Xia","non-dropping-particle":"","parse-names":false,"suffix":""},{"dropping-particle":"","family":"Burger","given":"Martin","non-dropping-particle":"","parse-names":false,"suffix":""},{"dropping-particle":"","family":"Doane","given":"Timothy A.","non-dropping-particle":"","parse-names":false,"suffix":""},{"dropping-particle":"","family":"Horwath","given":"William R.","non-dropping-particle":"","parse-names":false,"suffix":""}],"container-title":"Proceedings of the National Academy of Sciences of the United States of America","id":"ITEM-1","issue":"16","issued":{"date-parts":[["2013"]]},"page":"6328-6333","title":"Ammonia oxidation pathways and nitrifier denitrification are significant sources of N2O and NO under low oxygen availability","type":"article-journal","volume":"110"},"uris":["http://www.mendeley.com/documents/?uuid=3f5a6dbf-3c6c-4c06-b9b2-1917e29739b1"]}],"mendeley":{"formattedCitation":"(Zhu et al., 2013a)","plainTextFormattedCitation":"(Zhu et al., 2013a)","previouslyFormattedCitation":"(Zhu et al., 2013a)"},"properties":{"noteIndex":0},"schema":"https://github.com/citation-style-language/schema/raw/master/csl-citation.json"}</w:instrText>
      </w:r>
      <w:r w:rsidRPr="00203EB0">
        <w:rPr>
          <w:rFonts w:cs="Times New Roman"/>
        </w:rPr>
        <w:fldChar w:fldCharType="separate"/>
      </w:r>
      <w:r w:rsidRPr="00203EB0">
        <w:rPr>
          <w:rFonts w:cs="Times New Roman"/>
          <w:noProof/>
        </w:rPr>
        <w:t>(Zhu et al., 2013a)</w:t>
      </w:r>
      <w:r w:rsidRPr="00203EB0">
        <w:rPr>
          <w:rFonts w:cs="Times New Roman"/>
        </w:rPr>
        <w:fldChar w:fldCharType="end"/>
      </w:r>
      <w:r w:rsidRPr="00203EB0">
        <w:rPr>
          <w:rFonts w:cs="Times New Roman"/>
        </w:rPr>
        <w:t>, might have also contributed to N</w:t>
      </w:r>
      <w:r w:rsidRPr="00203EB0">
        <w:rPr>
          <w:rFonts w:cs="Times New Roman"/>
          <w:vertAlign w:val="subscript"/>
        </w:rPr>
        <w:t>2</w:t>
      </w:r>
      <w:r w:rsidRPr="00203EB0">
        <w:rPr>
          <w:rFonts w:cs="Times New Roman"/>
        </w:rPr>
        <w:t xml:space="preserve">O fluxes, and accounted for the importance of the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cs="Times New Roman"/>
        </w:rPr>
        <w:t xml:space="preserve"> feature in the Random Forest model.</w:t>
      </w:r>
    </w:p>
    <w:p w14:paraId="130FEC57" w14:textId="58DDFBCF" w:rsidR="00EE3A02" w:rsidRPr="00203EB0" w:rsidRDefault="00EE3A02" w:rsidP="00EE3A02">
      <w:pPr>
        <w:spacing w:line="480" w:lineRule="auto"/>
        <w:rPr>
          <w:rFonts w:cs="Times New Roman"/>
        </w:rPr>
      </w:pPr>
      <w:r w:rsidRPr="00203EB0">
        <w:rPr>
          <w:rFonts w:cs="Times New Roman"/>
        </w:rPr>
        <w:t xml:space="preserve">While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drove N</w:t>
      </w:r>
      <w:r w:rsidRPr="00203EB0">
        <w:rPr>
          <w:rFonts w:cs="Times New Roman"/>
          <w:vertAlign w:val="subscript"/>
        </w:rPr>
        <w:t>2</w:t>
      </w:r>
      <w:r w:rsidRPr="00203EB0">
        <w:rPr>
          <w:rFonts w:cs="Times New Roman"/>
        </w:rPr>
        <w:t>O emissions in all treatments under 80% WFPS conditions, the N</w:t>
      </w:r>
      <w:r w:rsidRPr="00203EB0">
        <w:rPr>
          <w:rFonts w:cs="Times New Roman"/>
          <w:vertAlign w:val="subscript"/>
        </w:rPr>
        <w:t>2</w:t>
      </w:r>
      <w:r w:rsidRPr="00203EB0">
        <w:rPr>
          <w:rFonts w:cs="Times New Roman"/>
        </w:rPr>
        <w:t>O daily flux pattern and magnitude differ between treatments with and without cover crop residues addition</w:t>
      </w:r>
      <w:r w:rsidR="00E0715E" w:rsidRPr="00203EB0">
        <w:rPr>
          <w:rFonts w:cs="Times New Roman"/>
        </w:rPr>
        <w:t xml:space="preserve"> (</w:t>
      </w:r>
      <w:r w:rsidR="00E0715E" w:rsidRPr="00203EB0">
        <w:rPr>
          <w:rFonts w:cs="Times New Roman"/>
          <w:b/>
        </w:rPr>
        <w:t>Figure 4.2</w:t>
      </w:r>
      <w:r w:rsidRPr="00203EB0">
        <w:rPr>
          <w:rFonts w:cs="Times New Roman"/>
          <w:b/>
        </w:rPr>
        <w:t>b</w:t>
      </w:r>
      <w:r w:rsidRPr="00203EB0">
        <w:rPr>
          <w:rFonts w:cs="Times New Roman"/>
        </w:rPr>
        <w:t>). In residue amended soils, peak N</w:t>
      </w:r>
      <w:r w:rsidRPr="00203EB0">
        <w:rPr>
          <w:rFonts w:cs="Times New Roman"/>
          <w:vertAlign w:val="subscript"/>
        </w:rPr>
        <w:t>2</w:t>
      </w:r>
      <w:r w:rsidRPr="00203EB0">
        <w:rPr>
          <w:rFonts w:cs="Times New Roman"/>
        </w:rPr>
        <w:t>O fluxes were approximately three-fold higher than those without residue, evidencing that the exogenous addition of labile C triggered N</w:t>
      </w:r>
      <w:r w:rsidRPr="00203EB0">
        <w:rPr>
          <w:rFonts w:cs="Times New Roman"/>
          <w:vertAlign w:val="subscript"/>
        </w:rPr>
        <w:t>2</w:t>
      </w:r>
      <w:r w:rsidRPr="00203EB0">
        <w:rPr>
          <w:rFonts w:cs="Times New Roman"/>
        </w:rPr>
        <w:t>O emissions. As previously documented, these results confirm that C limitation to microbes is a crucial driver for heterotrophic denitrification</w:t>
      </w:r>
      <w:r w:rsidR="00E0715E" w:rsidRPr="00203EB0">
        <w:rPr>
          <w:rFonts w:cs="Times New Roman"/>
        </w:rPr>
        <w:t xml:space="preserve"> </w:t>
      </w:r>
      <w:r w:rsidRPr="00203EB0">
        <w:rPr>
          <w:rFonts w:cs="Times New Roman"/>
        </w:rPr>
        <w:fldChar w:fldCharType="begin" w:fldLock="1"/>
      </w:r>
      <w:r w:rsidR="006059DA" w:rsidRPr="00203EB0">
        <w:rPr>
          <w:rFonts w:cs="Times New Roman"/>
        </w:rPr>
        <w:instrText>ADDIN CSL_CITATION {"citationItems":[{"id":"ITEM-1","itemData":{"author":[{"dropping-particle":"","family":"Aulakh","given":"M S","non-dropping-particle":"","parse-names":false,"suffix":""},{"dropping-particle":"","family":"Doran","given":"J W","non-dropping-particle":"","parse-names":false,"suffix":""},{"dropping-particle":"","family":"Walters","given":"D T","non-dropping-particle":"","parse-names":false,"suffix":""},{"dropping-particle":"","family":"Power","given":"J F","non-dropping-particle":"","parse-names":false,"suffix":""}],"container-title":"Soil Biology and Biochemistry","id":"ITEM-1","issue":"12","issued":{"date-parts":[["1991"]]},"title":"Legume residue and soil water effects on denitrification in soil of different textures","type":"article-journal","volume":"23"},"uris":["http://www.mendeley.com/documents/?uuid=e238e782-55d9-46eb-a3d0-a94473002e96"]},{"id":"ITEM-2","itemData":{"DOI":"10.1111/gcb.16066","ISSN":"13652486","PMID":"34964218","abstract":"The denitrification process profoundly affects soil nitrogen (N) availability and generates its byproduct, nitrous oxide, as a potent greenhouse gas. There are large uncertainties in predicting global denitrification because its controlling factors remain elusive. In this study, we compiled 4301 observations of denitrification rates across a variety of terrestrial ecosystems from 214 papers published in the literature. The averaged denitrification rate was 3516.3 ± 91.1 µg N kg−1 soil day−1. The highest denitrification rate was 4242.3 ± 152.3 µg N kg−1 soil day−1 under humid subtropical climates, and the lowest was 965.8 ± 150.4 µg N kg−1 under dry climates. The denitrification rate increased with temperature, precipitation, soil carbon and N contents, as well as microbial biomass carbon and N, but decreased with soil clay contents. The variables related to soil N contents (e.g., nitrate, ammonium, and total N) explained the variation of denitrification more than climatic and edaphic variables (e.g., mean annual temperature (MAT), soil moisture, soil pH, and clay content) according to structural equation models. Soil microbial biomass carbon, which was influenced by soil nitrate, ammonium, and total N, also strongly influenced denitrification at a global scale. Collectively, soil N contents, microbial biomass, pH, texture, moisture, and MAT accounted for 60% of the variation in global denitrification rates. The findings suggest that soil N contents and microbial biomass are strong predictors of denitrification at the global scale.","author":[{"dropping-particle":"","family":"Li","given":"Zhaolei","non-dropping-particle":"","parse-names":false,"suffix":""},{"dropping-particle":"","family":"Tang","given":"Ze","non-dropping-particle":"","parse-names":false,"suffix":""},{"dropping-particle":"","family":"Song","given":"Zhaopeng","non-dropping-particle":"","parse-names":false,"suffix":""},{"dropping-particle":"","family":"Chen","given":"Weinan","non-dropping-particle":"","parse-names":false,"suffix":""},{"dropping-particle":"","family":"Tian","given":"Dashuan","non-dropping-particle":"","parse-names":false,"suffix":""},{"dropping-particle":"","family":"Tang","given":"Shiming","non-dropping-particle":"","parse-names":false,"suffix":""},{"dropping-particle":"","family":"Wang","given":"Xiaoyue","non-dropping-particle":"","parse-names":false,"suffix":""},{"dropping-particle":"","family":"Wang","given":"Jinsong","non-dropping-particle":"","parse-names":false,"suffix":""},{"dropping-particle":"","family":"Liu","given":"Wenjie","non-dropping-particle":"","parse-names":false,"suffix":""},{"dropping-particle":"","family":"Wang","given":"Yi","non-dropping-particle":"","parse-names":false,"suffix":""},{"dropping-particle":"","family":"Li","given":"Jie","non-dropping-particle":"","parse-names":false,"suffix":""},{"dropping-particle":"","family":"Jiang","given":"Lifen","non-dropping-particle":"","parse-names":false,"suffix":""},{"dropping-particle":"","family":"Luo","given":"Yiqi","non-dropping-particle":"","parse-names":false,"suffix":""},{"dropping-particle":"","family":"Niu","given":"Shuli","non-dropping-particle":"","parse-names":false,"suffix":""}],"container-title":"Global Change Biology","id":"ITEM-2","issue":"6","issued":{"date-parts":[["2022"]]},"page":"2133-2145","title":"Variations and controlling factors of soil denitrification rate","type":"article-journal","volume":"28"},"uris":["http://www.mendeley.com/documents/?uuid=01954d52-066e-4aba-bf2d-cbcffc24eeef"]}],"mendeley":{"formattedCitation":"(Aulakh et al., 1991; Li et al., 2022)","plainTextFormattedCitation":"(Aulakh et al., 1991; Li et al., 2022)","previouslyFormattedCitation":"(Aulakh et al., 1991; Li et al., 2022)"},"properties":{"noteIndex":0},"schema":"https://github.com/citation-style-language/schema/raw/master/csl-citation.json"}</w:instrText>
      </w:r>
      <w:r w:rsidRPr="00203EB0">
        <w:rPr>
          <w:rFonts w:cs="Times New Roman"/>
        </w:rPr>
        <w:fldChar w:fldCharType="separate"/>
      </w:r>
      <w:r w:rsidRPr="00203EB0">
        <w:rPr>
          <w:rFonts w:cs="Times New Roman"/>
          <w:noProof/>
        </w:rPr>
        <w:t>(Aulakh et al., 1991; Li et al., 2022)</w:t>
      </w:r>
      <w:r w:rsidRPr="00203EB0">
        <w:rPr>
          <w:rFonts w:cs="Times New Roman"/>
        </w:rPr>
        <w:fldChar w:fldCharType="end"/>
      </w:r>
      <w:r w:rsidRPr="00203EB0">
        <w:rPr>
          <w:rFonts w:cs="Times New Roman"/>
        </w:rPr>
        <w:t xml:space="preserve">, particularly under water-induced anoxia and high soil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vertAlign w:val="superscript"/>
        </w:rPr>
        <w:t xml:space="preserve"> </w:t>
      </w:r>
      <w:r w:rsidRPr="00203EB0">
        <w:rPr>
          <w:rFonts w:cs="Times New Roman"/>
        </w:rPr>
        <w:t>levels, and that cover crop residues can overcome such limitation to add to the risks of enhanced N</w:t>
      </w:r>
      <w:r w:rsidRPr="00203EB0">
        <w:rPr>
          <w:rFonts w:cs="Times New Roman"/>
          <w:vertAlign w:val="subscript"/>
        </w:rPr>
        <w:t>2</w:t>
      </w:r>
      <w:r w:rsidRPr="00203EB0">
        <w:rPr>
          <w:rFonts w:cs="Times New Roman"/>
        </w:rPr>
        <w:t>O emissions</w:t>
      </w:r>
      <w:r w:rsidR="00E0715E"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{"citationItems":[{"id":"ITEM-1","itemData":{"DOI":"10.1002/jeq2.20330.This","ISBN":"9789896540821","ISSN":"0038092X","author":[{"dropping-particle":"","family":"Oliveira","given":"Dener M. S.","non-dropping-particle":"","parse-names":false,"suffix":""},{"dropping-particle":"","family":"Pimentel","given":"Laisa G.","non-dropping-particle":"","parse-names":false,"suffix":""},{"dropping-particle":"","family":"Barreto","given":"Matheus S. C.","non-dropping-particle":"","parse-names":false,"suffix":""},{"dropping-particle":"","family":"Weiler","given":"Douglas A.","non-dropping-particle":"","parse-names":false,"suffix":""},{"dropping-particle":"","family":"Bayer","given":"Cimélio","non-dropping-particle":"","parse-names":false,"suffix":""}],"id":"ITEM-1","issue":"1","issued":{"date-parts":[["2022"]]},"page":"1-9","title":"Greenhouse gas emissions and C costs of N release associated with cover crop decomposition are plant-specific and depend on soil moisture: A microcosm study","type":"article-journal","volume":"21"},"uris":["http://www.mendeley.com/documents/?uuid=aa365706-cfd4-46f9-9431-2a386ce1347d"]},{"id":"ITEM-2","itemData":{"DOI":"10.1111/ejss.13309","author":[{"dropping-particle":"","family":"Panday","given":"Dinesh","non-dropping-particle":"","parse-names":false,"suffix":""},{"dropping-particle":"","family":"Saha","given":"Debasish","non-dropping-particle":"","parse-names":false,"suffix":""},{"dropping-particle":"","family":"Lee","given":"Jaehoon","non-dropping-particle":"","parse-names":false,"suffix":""},{"dropping-particle":"","family":"Jagadamma","given":"Sindhu","non-dropping-particle":"","parse-names":false,"suffix":""},{"dropping-particle":"","family":"Adoptey","given":"Nutifafa","non-dropping-particle":"","parse-names":false,"suffix":""},{"dropping-particle":"","family":"Mengistu","given":"Alemu","non-dropping-particle":"","parse-names":false,"suffix":""}],"container-title":"European Journal of Soil Science","id":"ITEM-2","issue":"September","issued":{"date-parts":[["2022"]]},"page":"1-14","title":"Cover crop residue influence on soil N2O and CO2 emissions under wetting-drying intensities : An incubation study","type":"article-journal"},"uris":["http://www.mendeley.com/documents/?uuid=49e64433-3d69-4bfd-be32-c16e7c0350f1"]}],"mendeley":{"formattedCitation":"(Oliveira et al., 2022b; Panday et al., 2022)","plainTextFormattedCitation":"(Oliveira et al., 2022b; Panday et al., 2022)","previouslyFormattedCitation":"(Oliveira et al., 2022b; Panday et al., 2022)"},"properties":{"noteIndex":0},"schema":"https://github.com/citation-style-language/schema/raw/master/csl-citation.json"}</w:instrText>
      </w:r>
      <w:r w:rsidRPr="00203EB0">
        <w:rPr>
          <w:rFonts w:cs="Times New Roman"/>
        </w:rPr>
        <w:fldChar w:fldCharType="separate"/>
      </w:r>
      <w:r w:rsidRPr="00203EB0">
        <w:rPr>
          <w:rFonts w:cs="Times New Roman"/>
          <w:noProof/>
        </w:rPr>
        <w:t>(Oliveira et al., 2022b; Panday et al., 2022)</w:t>
      </w:r>
      <w:r w:rsidRPr="00203EB0">
        <w:rPr>
          <w:rFonts w:cs="Times New Roman"/>
        </w:rPr>
        <w:fldChar w:fldCharType="end"/>
      </w:r>
      <w:r w:rsidRPr="00203EB0">
        <w:rPr>
          <w:rFonts w:cs="Times New Roman"/>
        </w:rPr>
        <w:t xml:space="preserve">. </w:t>
      </w:r>
    </w:p>
    <w:p w14:paraId="3C8BC95E" w14:textId="234FFB08" w:rsidR="004568C6" w:rsidRPr="00203EB0" w:rsidRDefault="00EE3A02" w:rsidP="00A87B96">
      <w:pPr>
        <w:spacing w:line="480" w:lineRule="auto"/>
        <w:rPr>
          <w:rFonts w:cs="Times New Roman"/>
        </w:rPr>
      </w:pPr>
      <w:r w:rsidRPr="00203EB0">
        <w:rPr>
          <w:rFonts w:cs="Times New Roman"/>
        </w:rPr>
        <w:t>The occurrence of respiration-induced anoxia under 50% WFPS is expected to be closely linked with organic matter mineralization</w:t>
      </w:r>
      <w:r w:rsidR="00E0715E" w:rsidRPr="00203EB0">
        <w:rPr>
          <w:rFonts w:cs="Times New Roman"/>
        </w:rPr>
        <w:t xml:space="preserve"> </w:t>
      </w:r>
      <w:r w:rsidRPr="00203EB0">
        <w:rPr>
          <w:rFonts w:cs="Times New Roman"/>
        </w:rPr>
        <w:fldChar w:fldCharType="begin" w:fldLock="1"/>
      </w:r>
      <w:r w:rsidR="00EB2F35" w:rsidRPr="00203EB0">
        <w:rPr>
          <w:rFonts w:cs="Times New Roman"/>
        </w:rPr>
        <w:instrText>ADDIN CSL_CITATION {"citationItems":[{"id":"ITEM-1","itemData":{"DOI":"10.1016/j.soilbio.2017.12.002","ISSN":"00380717","abstract":"Recent evidence suggests that oxygen limitations are a critical regulator of soil organic matter mineralization rates, even within seemingly well-drained upland soils. Oxygen limitations may arise in otherwise well-aerated soils when oxygen consumption (via microbial respiration) in soil microsites outpaces oxygen supply (through diffusion). Due to analytical limitations, attempts to parameterize oxygen limitations in models have so far been limited to measures of bulk oxygen concentrations or cm-scale gradients within larger soil structural units (e.g., aggregates or peds). Smaller anoxic microsites may thus have gone undetected, limiting our ability to accurately model and predict anoxic pore volume. Here we quantify the extent of anoxic microsites in soils held at moderate moisture and identify the soil properties that dictate their formation and persistence. Using a planar optode imaging system, we monitored oxygen dynamics during incubations of a range of soils spanning natural and artificial gradients in texture and organic matter availability. While bulk oxygen concentrations ranged from 40 to 100% of saturation, we observed significant micro-scale variability resulting in the formation of anoxic microsites, here defined as soil spaces showing less than 5% saturation. Anoxic microsites comprised 2 and 9% of the total soil volume, or 14–85% of the total pore volume. Bulk oxygen concentrations showed a strong negative correlation with bioavailable organic matter, presumably due to its influence on microbial oxygen consumption. In contrast, the extent of anoxic microsites was negatively correlated to clay content, an effect attributed to limited oxygen supply in clay-rich microstructures. Our results demonstrate that texture-dependent diffusion limitations at moderate moisture conditions cause an abundance of anoxic domains, not only in cm-sized macro-aggregates as current modeling approaches assume, but also within micro-aggregates. Anoxic domain size within these microstructures is at least partially decoupled from bulk oxygen concentrations, challenging the use of bulk oxygen concentrations for predicting microbially available oxygen levels and resulting OM mineralization rates and pathways in upland soils.","author":[{"dropping-particle":"","family":"Keiluweit","given":"Marco","non-dropping-particle":"","parse-names":false,"suffix":""},{"dropping-particle":"","family":"Gee","given":"Kaitlyn","non-dropping-particle":"","parse-names":false,"suffix":""},{"dropping-particle":"","family":"Denney","given":"Amanda","non-dropping-particle":"","parse-names":false,"suffix":""},{"dropping-particle":"","family":"Fendorf","given":"Scott","non-dropping-particle":"","parse-names":false,"suffix":""}],"container-title":"Soil Biology and Biochemistry","id":"ITEM-1","issue":"November 2017","issued":{"date-parts":[["2018"]]},"page":"42-50","publisher":"Elsevier","title":"Anoxic microsites in upland soils dominantly controlled by clay content","type":"article-journal","volume":"118"},"uris":["http://www.mendeley.com/documents/?uuid=0b60f52e-38d4-4aa5-ba58-35025b407eb3"]}],"mendeley":{"formattedCitation":"(Keiluweit et al., 2018)","plainTextFormattedCitation":"(Keiluweit et al., 2018)","previouslyFormattedCitation":"(Keiluweit et al., 2018)"},"properties":{"noteIndex":0},"schema":"https://github.com/citation-style-language/schema/raw/master/csl-citation.json"}</w:instrText>
      </w:r>
      <w:r w:rsidRPr="00203EB0">
        <w:rPr>
          <w:rFonts w:cs="Times New Roman"/>
        </w:rPr>
        <w:fldChar w:fldCharType="separate"/>
      </w:r>
      <w:r w:rsidRPr="00203EB0">
        <w:rPr>
          <w:rFonts w:cs="Times New Roman"/>
          <w:noProof/>
        </w:rPr>
        <w:t>(Keiluweit et al., 2018)</w:t>
      </w:r>
      <w:r w:rsidRPr="00203EB0">
        <w:rPr>
          <w:rFonts w:cs="Times New Roman"/>
        </w:rPr>
        <w:fldChar w:fldCharType="end"/>
      </w:r>
      <w:r w:rsidRPr="00203EB0">
        <w:rPr>
          <w:rFonts w:cs="Times New Roman"/>
        </w:rPr>
        <w:t>. Peak N</w:t>
      </w:r>
      <w:r w:rsidRPr="00203EB0">
        <w:rPr>
          <w:rFonts w:cs="Times New Roman"/>
          <w:vertAlign w:val="subscript"/>
        </w:rPr>
        <w:t>2</w:t>
      </w:r>
      <w:r w:rsidRPr="00203EB0">
        <w:rPr>
          <w:rFonts w:cs="Times New Roman"/>
        </w:rPr>
        <w:t>O and CO</w:t>
      </w:r>
      <w:r w:rsidRPr="00203EB0">
        <w:rPr>
          <w:rFonts w:cs="Times New Roman"/>
          <w:vertAlign w:val="subscript"/>
        </w:rPr>
        <w:t xml:space="preserve">2 </w:t>
      </w:r>
      <w:r w:rsidRPr="00203EB0">
        <w:rPr>
          <w:rFonts w:cs="Times New Roman"/>
        </w:rPr>
        <w:t>emissions were closely associated when cover crop residues were added under 50% WFPS (</w:t>
      </w:r>
      <w:r w:rsidR="00E0715E" w:rsidRPr="00203EB0">
        <w:rPr>
          <w:rFonts w:cs="Times New Roman"/>
          <w:b/>
        </w:rPr>
        <w:t>Figure 4.2a, Figure</w:t>
      </w:r>
      <w:r w:rsidRPr="00203EB0">
        <w:rPr>
          <w:rFonts w:cs="Times New Roman"/>
          <w:b/>
        </w:rPr>
        <w:t xml:space="preserve"> </w:t>
      </w:r>
      <w:r w:rsidR="00E0715E" w:rsidRPr="00203EB0">
        <w:rPr>
          <w:rFonts w:cs="Times New Roman"/>
          <w:b/>
        </w:rPr>
        <w:t>4.3</w:t>
      </w:r>
      <w:r w:rsidRPr="00203EB0">
        <w:rPr>
          <w:rFonts w:cs="Times New Roman"/>
          <w:b/>
        </w:rPr>
        <w:t>a</w:t>
      </w:r>
      <w:r w:rsidRPr="00203EB0">
        <w:rPr>
          <w:rFonts w:cs="Times New Roman"/>
        </w:rPr>
        <w:t>). A recent study by Ye et al.</w:t>
      </w:r>
      <w:r w:rsidRPr="00203EB0">
        <w:rPr>
          <w:rFonts w:cs="Times New Roman"/>
        </w:rPr>
        <w:fldChar w:fldCharType="begin" w:fldLock="1"/>
      </w:r>
      <w:r w:rsidR="00EB2F35" w:rsidRPr="00203EB0">
        <w:rPr>
          <w:rFonts w:cs="Times New Roman"/>
        </w:rPr>
        <w:instrText>ADDIN CSL_CITATION {"citationItems":[{"id":"ITEM-1","itemData":{"DOI":"10.1111/ejss.13349","ISSN":"13652389","abstract":"The combination of nitrogen (N) fertilization and straw incorporation has complex influences on soil N transformations and derived nitrous oxide (N2O) emissions. This study aimed to reveal the coupled effects of straw returning forms and N fertilizer management on soil N2O emissions. Here, carbon (C) sources with varied availabilities were supplied by different straw returning forms, including straw, charred straw, and combined application of straw and charred straw. The time gaps between additions of exogenous N and C sources were carried out by managing the timing of N fertilization, including N application simultaneous with or delayed after straw return. Soil N2O emissions under different straw returning forms and their response relationships to soil C, N, microbial biomass, as well as soil pH and oxygen (O2) were explored. Co-application of straw and N fertilizer provided sufficient C and N sources, enhanced the microbial biomass, and consequently increased N2O emissions. Delayed N fertilization could decouple the response of N2O emissions to straw addition, because of constrained N availability and limited pH decline, which decreased the cumulative N2O emissions significantly. Possibly due to straw induced N immobilization coupled with charred straw induced pH elevation, the combined application of straw and charred straw constrained soil N2O emissions compared with straw only application, regardless of N fertilizer management. By shaping the microbial biomass and soil C, N, and O2 dynamics, delayed application of N fertilizer could further enhance the inhibition effect of the charred straw and straw combination on soil N2O emissions. Therefore, the varied straw returning forms and the timing of N fertilization could affect the supply of available C and N, influencing the hot moments of N2O emissions, and the joint addition of straw and charred straw with a few weeks delayed N application could possibly reduce the risk of soil N2O emissions from straw return systems. Such mitigation potential should be evaluated further under field conditions. Highlights: Delayed N fertilization attenuated the magnitude of N2O emissions after straw additions. Combination of charred straw with straw mitigated N2O emissions, further enhanced by delayed N fertilization. Soil pH was the chief regulator for N2O emissions under different straw returning forms and N application.","author":[{"dropping-particle":"","family":"Ye","given":"Xin","non-dropping-particle":"","parse-names":false,"suffix":""},{"dropping-particle":"","family":"Ran","given":"Hongyu","non-dropping-particle":"","parse-names":false,"suffix":""},{"dropping-particle":"","family":"Wang","given":"Xiao","non-dropping-particle":"","parse-names":false,"suffix":""},{"dropping-particle":"","family":"Li","given":"Guitong","non-dropping-particle":"","parse-names":false,"suffix":""},{"dropping-particle":"","family":"Ambus","given":"Per","non-dropping-particle":"","parse-names":false,"suffix":""},{"dropping-particle":"","family":"Wang","given":"Gang","non-dropping-particle":"","parse-names":false,"suffix":""},{"dropping-particle":"","family":"Zhu","given":"Kun","non-dropping-particle":"","parse-names":false,"suffix":""}],"container-title":"European Journal of Soil Science","id":"ITEM-1","issue":"1","issued":{"date-parts":[["2023"]]},"page":"1-15","title":"Delayed nitrogen application after straw and charred straw addition altered the hot moment of soil N2O emissions","type":"article-journal","volume":"74"},"uris":["http://www.mendeley.com/documents/?uuid=63a41384-7686-475e-9283-80a38d968a8a"]}],"mendeley":{"formattedCitation":"(Ye et al., 2023)","manualFormatting":"(2023)","plainTextFormattedCitation":"(Ye et al., 2023)","previouslyFormattedCitation":"(Ye et al., 2023)"},"properties":{"noteIndex":0},"schema":"https://github.com/citation-style-language/schema/raw/master/csl-citation.json"}</w:instrText>
      </w:r>
      <w:r w:rsidRPr="00203EB0">
        <w:rPr>
          <w:rFonts w:cs="Times New Roman"/>
        </w:rPr>
        <w:fldChar w:fldCharType="separate"/>
      </w:r>
      <w:r w:rsidR="00E0715E" w:rsidRPr="00203EB0">
        <w:rPr>
          <w:rFonts w:cs="Times New Roman"/>
          <w:noProof/>
        </w:rPr>
        <w:t>(</w:t>
      </w:r>
      <w:r w:rsidRPr="00203EB0">
        <w:rPr>
          <w:rFonts w:cs="Times New Roman"/>
          <w:noProof/>
        </w:rPr>
        <w:t>2023)</w:t>
      </w:r>
      <w:r w:rsidRPr="00203EB0">
        <w:rPr>
          <w:rFonts w:cs="Times New Roman"/>
        </w:rPr>
        <w:fldChar w:fldCharType="end"/>
      </w:r>
      <w:r w:rsidRPr="00203EB0">
        <w:rPr>
          <w:rFonts w:cs="Times New Roman"/>
        </w:rPr>
        <w:t>, showed that straw residue incorporation affected soil N</w:t>
      </w:r>
      <w:r w:rsidRPr="00203EB0">
        <w:rPr>
          <w:rFonts w:cs="Times New Roman"/>
          <w:vertAlign w:val="subscript"/>
        </w:rPr>
        <w:t>2</w:t>
      </w:r>
      <w:r w:rsidRPr="00203EB0">
        <w:rPr>
          <w:rFonts w:cs="Times New Roman"/>
        </w:rPr>
        <w:t>O and CO</w:t>
      </w:r>
      <w:r w:rsidRPr="00203EB0">
        <w:rPr>
          <w:rFonts w:cs="Times New Roman"/>
          <w:vertAlign w:val="subscript"/>
        </w:rPr>
        <w:t>2</w:t>
      </w:r>
      <w:r w:rsidRPr="00203EB0">
        <w:rPr>
          <w:rFonts w:cs="Times New Roman"/>
        </w:rPr>
        <w:t xml:space="preserve"> emissions by altering the dissolved organic carbon and O</w:t>
      </w:r>
      <w:r w:rsidRPr="00203EB0">
        <w:rPr>
          <w:rFonts w:cs="Times New Roman"/>
          <w:vertAlign w:val="subscript"/>
        </w:rPr>
        <w:t>2</w:t>
      </w:r>
      <w:r w:rsidRPr="00203EB0">
        <w:rPr>
          <w:rFonts w:cs="Times New Roman"/>
        </w:rPr>
        <w:t xml:space="preserve"> content of the soil. A greater association of CO</w:t>
      </w:r>
      <w:r w:rsidRPr="00203EB0">
        <w:rPr>
          <w:rFonts w:cs="Times New Roman"/>
          <w:vertAlign w:val="subscript"/>
        </w:rPr>
        <w:t>2</w:t>
      </w:r>
      <w:r w:rsidRPr="00203EB0">
        <w:rPr>
          <w:rFonts w:cs="Times New Roman"/>
        </w:rPr>
        <w:t xml:space="preserve"> than POXC with N</w:t>
      </w:r>
      <w:r w:rsidRPr="00203EB0">
        <w:rPr>
          <w:rFonts w:cs="Times New Roman"/>
          <w:vertAlign w:val="subscript"/>
        </w:rPr>
        <w:t>2</w:t>
      </w:r>
      <w:r w:rsidRPr="00203EB0">
        <w:rPr>
          <w:rFonts w:cs="Times New Roman"/>
        </w:rPr>
        <w:t>O emissions (</w:t>
      </w:r>
      <w:r w:rsidRPr="00203EB0">
        <w:rPr>
          <w:rFonts w:cs="Times New Roman"/>
          <w:b/>
        </w:rPr>
        <w:t>Table 4</w:t>
      </w:r>
      <w:r w:rsidR="00E0715E" w:rsidRPr="00203EB0">
        <w:rPr>
          <w:rFonts w:cs="Times New Roman"/>
          <w:b/>
        </w:rPr>
        <w:t>.4</w:t>
      </w:r>
      <w:r w:rsidRPr="00203EB0">
        <w:rPr>
          <w:rFonts w:cs="Times New Roman"/>
        </w:rPr>
        <w:t>), especially under 50% WFPS, highlights that microbial respiration is closely linked to soil CO</w:t>
      </w:r>
      <w:r w:rsidRPr="00203EB0">
        <w:rPr>
          <w:rFonts w:cs="Times New Roman"/>
          <w:vertAlign w:val="subscript"/>
        </w:rPr>
        <w:t>2</w:t>
      </w:r>
      <w:r w:rsidRPr="00203EB0">
        <w:rPr>
          <w:rFonts w:cs="Times New Roman"/>
        </w:rPr>
        <w:t xml:space="preserve"> emissions, while POXC represents net C availability. </w:t>
      </w:r>
    </w:p>
    <w:p w14:paraId="02C76A28" w14:textId="42ABA1B9" w:rsidR="00A87B96" w:rsidRPr="00203EB0" w:rsidRDefault="00A87B96" w:rsidP="0016702C">
      <w:pPr>
        <w:pStyle w:val="Heading3"/>
        <w:spacing w:line="480" w:lineRule="auto"/>
      </w:pPr>
      <w:bookmarkStart w:id="80" w:name="_Toc206669137"/>
      <w:r w:rsidRPr="00203EB0">
        <w:t>Cover crop type did not significantly influence N</w:t>
      </w:r>
      <w:r w:rsidRPr="00203EB0">
        <w:rPr>
          <w:vertAlign w:val="subscript"/>
        </w:rPr>
        <w:t>2</w:t>
      </w:r>
      <w:r w:rsidRPr="00203EB0">
        <w:t>O emissions under both 50 and 80% WFPS</w:t>
      </w:r>
      <w:bookmarkEnd w:id="80"/>
    </w:p>
    <w:p w14:paraId="4C491B20" w14:textId="112D2C67" w:rsidR="00A87B96" w:rsidRPr="00203EB0" w:rsidRDefault="00A87B96" w:rsidP="0016702C">
      <w:pPr>
        <w:spacing w:line="480" w:lineRule="auto"/>
        <w:rPr>
          <w:rFonts w:cs="Times New Roman"/>
        </w:rPr>
      </w:pPr>
      <w:r w:rsidRPr="00203EB0">
        <w:rPr>
          <w:rFonts w:cs="Times New Roman"/>
        </w:rPr>
        <w:t>Irrespective of the WFPS content, there was no significant difference in cumulative N</w:t>
      </w:r>
      <w:r w:rsidRPr="00203EB0">
        <w:rPr>
          <w:rFonts w:cs="Times New Roman"/>
          <w:vertAlign w:val="subscript"/>
        </w:rPr>
        <w:t>2</w:t>
      </w:r>
      <w:r w:rsidRPr="00203EB0">
        <w:rPr>
          <w:rFonts w:cs="Times New Roman"/>
        </w:rPr>
        <w:t xml:space="preserve">O production between legume and non-legume cover crops (hairy vetch vs winter wheat, </w:t>
      </w:r>
      <w:r w:rsidRPr="00203EB0">
        <w:rPr>
          <w:rFonts w:cs="Times New Roman"/>
          <w:b/>
        </w:rPr>
        <w:t>Figure 4.4</w:t>
      </w:r>
      <w:r w:rsidRPr="00203EB0">
        <w:rPr>
          <w:rFonts w:cs="Times New Roman"/>
        </w:rPr>
        <w:t>). This finding does not support our second hypothesis, which proposed that co-locating mineral N fertilizer and high-quality vetch cover crop residues would deplete soil O</w:t>
      </w:r>
      <w:r w:rsidRPr="00203EB0">
        <w:rPr>
          <w:rFonts w:cs="Times New Roman"/>
          <w:vertAlign w:val="subscript"/>
        </w:rPr>
        <w:t>2</w:t>
      </w:r>
      <w:r w:rsidRPr="00203EB0">
        <w:rPr>
          <w:rFonts w:cs="Times New Roman"/>
        </w:rPr>
        <w:t xml:space="preserve"> at a faster rate compared to grass wheat cover crop residues, resulting in greater N</w:t>
      </w:r>
      <w:r w:rsidRPr="00203EB0">
        <w:rPr>
          <w:rFonts w:cs="Times New Roman"/>
          <w:vertAlign w:val="subscript"/>
        </w:rPr>
        <w:t>2</w:t>
      </w:r>
      <w:r w:rsidRPr="00203EB0">
        <w:rPr>
          <w:rFonts w:cs="Times New Roman"/>
        </w:rPr>
        <w:t>O emissions. This finding contrasts with several studies that have demonstrated higher N</w:t>
      </w:r>
      <w:r w:rsidRPr="00203EB0">
        <w:rPr>
          <w:rFonts w:cs="Times New Roman"/>
          <w:vertAlign w:val="subscript"/>
        </w:rPr>
        <w:t>2</w:t>
      </w:r>
      <w:r w:rsidRPr="00203EB0">
        <w:rPr>
          <w:rFonts w:cs="Times New Roman"/>
        </w:rPr>
        <w:t xml:space="preserve">O emissions via denitrification from legume residues compared to grass residues, across different WFPS content </w:t>
      </w:r>
      <w:r w:rsidRPr="00203EB0">
        <w:rPr>
          <w:rFonts w:cs="Times New Roman"/>
        </w:rPr>
        <w:fldChar w:fldCharType="begin" w:fldLock="1"/>
      </w:r>
      <w:r w:rsidR="00EB2F35" w:rsidRPr="00203EB0">
        <w:rPr>
          <w:rFonts w:cs="Times New Roman"/>
        </w:rPr>
        <w:instrText>ADDIN CSL_CITATION {"citationItems":[{"id":"ITEM-1","itemData":{"DOI":"10.1016/j.soilbio.2015.10.008","ISSN":"00380717","abstract":"Catch crops, especially leguminous catch crops, may increase crop nitrogen (N) supply and decrease environmental impacts in cropping systems, but they may also stimulate nitrous oxide (N2O) emissions following spring incorporation. In this 28-day laboratory incubation study, we examined the carbon (C) and N dynamics and N2O evolution after simulated incorporation of residues from three catch crop species into a loamy sand soil, with variable soil moisture (40, 50 or 60% water-filled pore space (WFPS)). The catch crops include two leguminous (red clover and winter vetch) and one non-leguminous species (ryegrass). Plant material was placed in a discrete layer surrounded by soil in which the nitrate (NO3-) pool was enriched with 15N to distinguish N2O derived from denitrification and nitrification. Net N mineralisation from leguminous catch crops was significant (30-48 mg N kg-1 soil, accounting for 41-56% of the added residue-N), whereas ryegrass incorporation resulted in net N immobilisation. The evolution of N2O was probably enhanced by N release from the residues, especially during the second week, which can explain the lower N2O evolution after application of ryegrass. Emission of N2O occurred at all moisture levels, but was higher at 50 and 60% WFPS than at 40% in soil with leguminous residues. The 15N enrichment of N2O indicated that denitrification was the dominant source independent of moisture level and residue type. We conclude that catch crop residues will stimulate N2O emissions via denitrification over a wide range of soil moisture conditions, but that emission levels may depend significantly on residue quality and soil moisture.","author":[{"dropping-particle":"","family":"Li","given":"Xiaoxi","non-dropping-particle":"","parse-names":false,"suffix":""},{"dropping-particle":"","family":"Sørensen","given":"Peter","non-dropping-particle":"","parse-names":false,"suffix":""},{"dropping-particle":"","family":"Olesen","given":"Jørgen E.","non-dropping-particle":"","parse-names":false,"suffix":""},{"dropping-particle":"","family":"Petersen","given":"Søren O.","non-dropping-particle":"","parse-names":false,"suffix":""}],"container-title":"Soil Biology and Biochemistry","id":"ITEM-1","issue":"January","issued":{"date-parts":[["2016"]]},"page":"153-160","publisher":"Elsevier Ltd","title":"Evidence for denitrification as main source of N2O emission from residue-amended soil","type":"article-journal","volume":"92"},"uris":["http://www.mendeley.com/documents/?uuid=239551c1-c0b6-4a6a-a960-64f5ba9b0e27"]},{"id":"ITEM-2","itemData":{"DOI":"10.1016/j.still.2009.10.001","author":[{"dropping-particle":"","family":"Gomes","given":"Juliana","non-dropping-particle":"","parse-names":false,"suffix":""},{"dropping-particle":"De","family":"Souza","given":"Falberni","non-dropping-particle":"","parse-names":false,"suffix":""},{"dropping-particle":"De","family":"Cassia","given":"Marisa","non-dropping-particle":"","parse-names":false,"suffix":""},{"dropping-particle":"","family":"Zanatta","given":"Acordi","non-dropping-particle":"","parse-names":false,"suffix":""},{"dropping-particle":"","family":"Costa","given":"Frederico","non-dropping-particle":"","parse-names":false,"suffix":""},{"dropping-particle":"","family":"Vieira","given":"Beber","non-dropping-particle":"","parse-names":false,"suffix":""},{"dropping-particle":"","family":"Six","given":"Johan","non-dropping-particle":"","parse-names":false,"suffix":""}],"container-title":"Soil &amp; Tillage Research","id":"ITEM-2","issued":{"date-parts":[["2009"]]},"page":"36-44","title":"Soil nitrous oxide emissions in long-term cover crops-based rotations under subtropical climate","type":"article-journal","volume":"106"},"uris":["http://www.mendeley.com/documents/?uuid=9a715c53-49ab-42dc-89d5-d7fac0e647f4"]},{"id":"ITEM-3","itemData":{"DOI":"10.1002/jpln.201400392","ISSN":"15222624","abstract":"Cover crops in rotation or intercropped with annual crops are important strategies to increase C and N input in agricultural soils. However, these practices may also enhance soil N2O emissions. The effect on N2O emissions may be dependent upon the biochemical composition of cover crop residues. A 47-d incubation study was conducted to determine soil N2O emissions following the addition of residues from three summer legume species [pigeon pea (Cajanus cajan L. Millsp.), cowpea (Vigna unguiculata L. Walp.), lablab bean (Lablab purpureus)], one winter legume [vetch (Vicia sativa L.)], one winter monocotyledon [black oat (Avena strigosa Schreb.)], and maize (Zea mays L.) under two water-filled pore space levels (40 and 70% WFPS). Short-term peaks of N2O fluxes were observed after the addition of all crop residues, but were much greater under 70 than 40% WFPS (5.2 and 5133μg N-N2O kg-1 soil for 40 and 70% WFPS, respectively). Under both WFPS, significantly higher peaks were detected after the application of N-rich legume residues (7.7 and 3,356μg N-N2O kg-1 soil under 40 and 70% WFPS, respectively) than after the application of grass residues (2.8 and 1,777μg N-N2O kg-1 soil under 40 and 70% WFPS, respectively). Cumulative soil N2O produced under 70% WFPS was approx. 110 times greater than under 40% WFPS. Soil N2O emissions increased linearly as residue N content increased. Soil N2O emissions also increased linearly as the content of the recalcitrant compounds lignin and polyphenols increased, because residues with high N content also had high lignin and polyphenols content. When the content of C and recalcitrant compounds were expressed on an N basis, soil N2O emission decreased linearly as residue C/N, lignin/N, polyphenol/N, and (lignin + polyphenols)/N ratios increased. Indices that include recalcitrant compounds on N basis may beuseful for the selection of cover-crop species withthe least impact on soil N2O emissions. However, our results show that these ratio indices had similar correlation coefficients compared to C/N ratio, indicating that C/N ratio is an efficient index to predict soil N2O emission following cover crop application.","author":[{"dropping-particle":"","family":"Pimentel","given":"Laisa Gouveia","non-dropping-particle":"","parse-names":false,"suffix":""},{"dropping-particle":"","family":"Weiler","given":"Douglas Adams","non-dropping-particle":"","parse-names":false,"suffix":""},{"dropping-particle":"","family":"Pedroso","given":"Gabriel Munhoz","non-dropping-particle":"","parse-names":false,"suffix":""},{"dropping-particle":"","family":"Bayer","given":"Cimélio","non-dropping-particle":"","parse-names":false,"suffix":""}],"container-title":"Journal of Plant Nutrition and Soil Science","id":"ITEM-3","issue":"4","issued":{"date-parts":[["2015"]]},"page":"631-640","title":"Soil N2O emissions following cover-crop residues application under two soil moisture conditions","type":"article-journal","volume":"178"},"uris":["http://www.mendeley.com/documents/?uuid=939ca8ff-8305-4dd3-abb7-af866414d685"]}],"mendeley":{"formattedCitation":"(Gomes et al., 2009; Pimentel et al., 2015; Li et al., 2016)","plainTextFormattedCitation":"(Gomes et al., 2009; Pimentel et al., 2015; Li et al., 2016)","previouslyFormattedCitation":"(Gomes et al., 2009; Pimentel et al., 2015; Li et al., 2016)"},"properties":{"noteIndex":0},"schema":"https://github.com/citation-style-language/schema/raw/master/csl-citation.json"}</w:instrText>
      </w:r>
      <w:r w:rsidRPr="00203EB0">
        <w:rPr>
          <w:rFonts w:cs="Times New Roman"/>
        </w:rPr>
        <w:fldChar w:fldCharType="separate"/>
      </w:r>
      <w:r w:rsidRPr="00203EB0">
        <w:rPr>
          <w:rFonts w:cs="Times New Roman"/>
          <w:noProof/>
        </w:rPr>
        <w:t>(Gomes et al., 2009; Pimentel et al., 2015; Li et al., 2016)</w:t>
      </w:r>
      <w:r w:rsidRPr="00203EB0">
        <w:rPr>
          <w:rFonts w:cs="Times New Roman"/>
        </w:rPr>
        <w:fldChar w:fldCharType="end"/>
      </w:r>
      <w:r w:rsidRPr="00203EB0">
        <w:rPr>
          <w:rFonts w:cs="Times New Roman"/>
        </w:rPr>
        <w:t xml:space="preserve">. This discrepancy between studies can be attributed to the following reasons: First, due to mixing of residues with a high level of N fertilizer,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levels were never </w:t>
      </w:r>
      <w:proofErr w:type="gramStart"/>
      <w:r w:rsidRPr="00203EB0">
        <w:rPr>
          <w:rFonts w:cs="Times New Roman"/>
        </w:rPr>
        <w:t>limiting</w:t>
      </w:r>
      <w:proofErr w:type="gramEnd"/>
      <w:r w:rsidRPr="00203EB0">
        <w:rPr>
          <w:rFonts w:cs="Times New Roman"/>
        </w:rPr>
        <w:t xml:space="preserve"> throughout the </w:t>
      </w:r>
      <w:r w:rsidRPr="00203EB0">
        <w:rPr>
          <w:rFonts w:cs="Times New Roman"/>
        </w:rPr>
        <w:lastRenderedPageBreak/>
        <w:t>entire incubation period under 50% WFPS (</w:t>
      </w:r>
      <w:r w:rsidRPr="00203EB0">
        <w:rPr>
          <w:rFonts w:cs="Times New Roman"/>
          <w:b/>
        </w:rPr>
        <w:t>Table 4.2</w:t>
      </w:r>
      <w:r w:rsidRPr="00203EB0">
        <w:rPr>
          <w:rFonts w:cs="Times New Roman"/>
        </w:rPr>
        <w:t xml:space="preserve">). Thus, the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cs="Times New Roman"/>
        </w:rPr>
        <w:t xml:space="preserve"> supply from vetch residue decomposition and the subsequent N</w:t>
      </w:r>
      <w:r w:rsidRPr="00203EB0">
        <w:rPr>
          <w:rFonts w:cs="Times New Roman"/>
          <w:vertAlign w:val="subscript"/>
        </w:rPr>
        <w:t>2</w:t>
      </w:r>
      <w:r w:rsidRPr="00203EB0">
        <w:rPr>
          <w:rFonts w:cs="Times New Roman"/>
        </w:rPr>
        <w:t>O emissions derived from nitrification were not sufficient to significantly differentiate cumulative N</w:t>
      </w:r>
      <w:r w:rsidRPr="00203EB0">
        <w:rPr>
          <w:rFonts w:cs="Times New Roman"/>
          <w:vertAlign w:val="subscript"/>
        </w:rPr>
        <w:t>2</w:t>
      </w:r>
      <w:r w:rsidRPr="00203EB0">
        <w:rPr>
          <w:rFonts w:cs="Times New Roman"/>
        </w:rPr>
        <w:t>O emissions between treatments with hairy vetch and winter wheat. Second, soil O</w:t>
      </w:r>
      <w:r w:rsidRPr="00203EB0">
        <w:rPr>
          <w:rFonts w:cs="Times New Roman"/>
          <w:vertAlign w:val="subscript"/>
        </w:rPr>
        <w:t>2</w:t>
      </w:r>
      <w:r w:rsidRPr="00203EB0">
        <w:rPr>
          <w:rFonts w:cs="Times New Roman"/>
        </w:rPr>
        <w:t xml:space="preserve"> levels during the incubation period exhibited similar patterns (</w:t>
      </w:r>
      <w:r w:rsidRPr="00203EB0">
        <w:rPr>
          <w:rFonts w:cs="Times New Roman"/>
          <w:b/>
        </w:rPr>
        <w:t>Figure 4.5a</w:t>
      </w:r>
      <w:r w:rsidRPr="00203EB0">
        <w:rPr>
          <w:rFonts w:cs="Times New Roman"/>
        </w:rPr>
        <w:t>) between the different cover crop types under 50% WFPS content, suggesting that the easily decomposable C fraction did not differ significantly between treatments. Third, winter wheat C:N ratio (24:1) was not high enough to induce net N immobilization and reduce soil N</w:t>
      </w:r>
      <w:r w:rsidRPr="00203EB0">
        <w:rPr>
          <w:rFonts w:cs="Times New Roman"/>
          <w:vertAlign w:val="subscript"/>
        </w:rPr>
        <w:t>2</w:t>
      </w:r>
      <w:r w:rsidRPr="00203EB0">
        <w:rPr>
          <w:rFonts w:cs="Times New Roman"/>
        </w:rPr>
        <w:t xml:space="preserve">O emissions </w:t>
      </w:r>
      <w:r w:rsidRPr="00203EB0">
        <w:rPr>
          <w:rFonts w:cs="Times New Roman"/>
        </w:rPr>
        <w:fldChar w:fldCharType="begin" w:fldLock="1"/>
      </w:r>
      <w:r w:rsidR="00EB2F35" w:rsidRPr="00203EB0">
        <w:rPr>
          <w:rFonts w:cs="Times New Roman"/>
        </w:rPr>
        <w:instrText>ADDIN CSL_CITATION {"citationItems":[{"id":"ITEM-1","itemData":{"DOI":"10.1111/gcb.12274","ISSN":"13541013","PMID":"23729165","abstract":"Annual production of crop residues has reached nearly 4 billion metric tons globally. Retention of this large amount of residues on agricultural land can be beneficial to soil C sequestration. Such potential impacts, however, may be offset if residue retention substantially increases soil emissions of N2O, a potent greenhouse gas and ozone depletion substance. Residue effects on soil N2O emissions have gained considerable attention since early 1990s; yet, it is still a great challenge to predict the magnitude and direction of soil N2O emissions following residue amendment. Here, we used a meta-analysis to assess residue impacts on soil N2O emissions in relation to soil and residue attributes, i.e., soil pH, soil texture, soil water content, residue C and N input, and residue C : N ratio. Residue effects were negatively associated with C : N ratios, but generally residue amendment could not reduce soil N2O emissions, even for C : N ratios well above ca. 30, the threshold for net N immobilization. Residue effects were also comparable to, if not greater than, those of synthetic N fertilizers. In addition, residue effects on soil N2O emissions were positively related to the amounts of residue C input as well as residue effects on soil CO2 respiration. Furthermore, most significant and stimulatory effects occurred at 60-90% soil water-filled pore space and soil pH 7.1-7.8. Stimulatory effects were also present for all soil textures except sand or clay content ≤10%. However, inhibitory effects were found for soils with &gt;90% water-filled pore space. Altogether, our meta-analysis suggests that crop residues played roles beyond N supply for N2O production. Perhaps, by stimulating microbial respiration, crop residues enhanced oxygen depletion and therefore promoted anaerobic conditions for denitrification and N2O production. Our meta-analysis highlights the necessity to connect the quantity and quality of crop residues with soil properties for predicting soil N2O emissions. © 2013 John Wiley &amp; Sons Ltd.","author":[{"dropping-particle":"","family":"Chen","given":"Huaihai","non-dropping-particle":"","parse-names":false,"suffix":""},{"dropping-particle":"","family":"Li","given":"Xuechao","non-dropping-particle":"","parse-names":false,"suffix":""},{"dropping-particle":"","family":"Hu","given":"Feng","non-dropping-particle":"","parse-names":false,"suffix":""},{"dropping-particle":"","family":"Shi","given":"Wei","non-dropping-particle":"","parse-names":false,"suffix":""}],"container-title":"Global Change Biology","id":"ITEM-1","issue":"10","issued":{"date-parts":[["2013"]]},"page":"2956-2964","title":"Soil nitrous oxide emissions following crop residue addition: A meta-analysis","type":"article-journal","volume":"19"},"uris":["http://www.mendeley.com/documents/?uuid=a1cd9f4e-1bab-46a8-bb75-ada466dd9152"]},{"id":"ITEM-2","itemData":{"DOI":"10.1111/gcb.16962","ISSN":"13652486","abstract":"Crop residues are important inputs of carbon (C) and nitrogen (N) to soils and thus directly and indirectly affect nitrous oxide (N2O) emissions. As the current inventory methodology considers N inputs by crop residues as the sole determining factor for N2O emissions, it fails to consider other underlying factors and processes. There is compelling evidence that emissions vary greatly between residues with different biochemical and physical characteristics, with the concentrations of mineralizable N and decomposable C in the residue biomass both enhancing the soil N2O production potential. High concentrations of these components are associated with immature residues (e.g., cover crops, grass, legumes, and vegetables) as opposed to mature residues (e.g., straw). A more accurate estimation of the short-term (months) effects of the crop residues on N2O could involve distinguishing mature and immature crop residues with distinctly different emission factors. The medium-term (years) and long-term (decades) effects relate to the effects of residue management on soil N fertility and soil physical and chemical properties, considering that these are affected by local climatic and soil conditions as well as land use and management. More targeted mitigation efforts for N2O emissions, after addition of crop residues to the soil, are urgently needed and require an improved methodology for emission accounting. This work needs to be underpinned by research to (1) develop and validate N2O emission factors for mature and immature crop residues, (2) assess emissions from belowground residues of terminated crops, (3) improve activity data on management of different residue types, in particular immature residues, and (4) evaluate long-term effects of residue addition on N2O emissions.","author":[{"dropping-particle":"","family":"Olesen","given":"Jørgen E.","non-dropping-particle":"","parse-names":false,"suffix":""},{"dropping-particle":"","family":"Rees","given":"Robert M.","non-dropping-particle":"","parse-names":false,"suffix":""},{"dropping-particle":"","family":"Recous","given":"Sylvie","non-dropping-particle":"","parse-names":false,"suffix":""},{"dropping-particle":"","family":"Bleken","given":"Marina A.","non-dropping-particle":"","parse-names":false,"suffix":""},{"dropping-particle":"","family":"Abalos","given":"Diego","non-dropping-particle":"","parse-names":false,"suffix":""},{"dropping-particle":"","family":"Ahuja","given":"Ishita","non-dropping-particle":"","parse-names":false,"suffix":""},{"dropping-particle":"","family":"Butterbach-Bahl","given":"Klaus","non-dropping-particle":"","parse-names":false,"suffix":""},{"dropping-particle":"","family":"Carozzi","given":"Marco","non-dropping-particle":"","parse-names":false,"suffix":""},{"dropping-particle":"","family":"De Notaris","given":"Chiara","non-dropping-particle":"","parse-names":false,"suffix":""},{"dropping-particle":"","family":"Ernfors","given":"Maria","non-dropping-particle":"","parse-names":false,"suffix":""},{"dropping-particle":"","family":"Haas","given":"Edwin","non-dropping-particle":"","parse-names":false,"suffix":""},{"dropping-particle":"","family":"Hansen","given":"Sissel","non-dropping-particle":"","parse-names":false,"suffix":""},{"dropping-particle":"","family":"Janz","given":"Baldur","non-dropping-particle":"","parse-names":false,"suffix":""},{"dropping-particle":"","family":"Lashermes","given":"Gwenaëlle","non-dropping-particle":"","parse-names":false,"suffix":""},{"dropping-particle":"","family":"Massad","given":"Raia S.","non-dropping-particle":"","parse-names":false,"suffix":""},{"dropping-particle":"","family":"Petersen","given":"Søren O.","non-dropping-particle":"","parse-names":false,"suffix":""},{"dropping-particle":"","family":"Rittl","given":"Tatiana F.","non-dropping-particle":"","parse-names":false,"suffix":""},{"dropping-particle":"","family":"Scheer","given":"Clemens","non-dropping-particle":"","parse-names":false,"suffix":""},{"dropping-particle":"","family":"Smith","given":"Kate E.","non-dropping-particle":"","parse-names":false,"suffix":""},{"dropping-particle":"","family":"Thiébeau","given":"Pascal","non-dropping-particle":"","parse-names":false,"suffix":""},{"dropping-particle":"","family":"Taghizadeh-Toosi","given":"Arezoo","non-dropping-particle":"","parse-names":false,"suffix":""},{"dropping-particle":"","family":"Thorman","given":"Rachel E.","non-dropping-particle":"","parse-names":false,"suffix":""},{"dropping-particle":"","family":"Topp","given":"Cairistiona F.E.","non-dropping-particle":"","parse-names":false,"suffix":""}],"container-title":"Global Change Biology","id":"ITEM-2","issue":"July","issued":{"date-parts":[["2023"]]},"page":"6846-6855","title":"Challenges of accounting nitrous oxide emissions from agricultural crop residues","type":"article-journal"},"uris":["http://www.mendeley.com/documents/?uuid=12145ce9-6c36-4fbf-afbc-54ea54450bb2"]},{"id":"ITEM-3","itemData":{"DOI":"10.1016/j.scitotenv.2022.154388","ISSN":"18791026","PMID":"35276154","abstract":"Crop residues are of crucial importance to maintain or even increase soil carbon stocks and fertility, and thereby to address the global challenge of climate change mitigation. However, crop residues can also potentially stimulate emissions of the greenhouse gas nitrous oxide (N2O) from soils. A better understanding of how to mitigate N2O emissions due to crop residue management while promoting positive effects on soil carbon is needed to reconcile the opposing effects of crop residues on the greenhouse gas balance of agroecosystems. Here, we combine a literature review and a meta-analysis to identify and assess measures for mitigating N2O emissions due to crop residue application to agricultural fields. Our study shows that crop residue removal, shallow incorporation, incorporation of residues with C:N ratio &gt; 30 and avoiding incorporation of residues from crops terminated at an immature physiological stage, are measures leading to significantly lower N2O emissions. Other practices such as incorporation timing and interactions with fertilisers are less conclusive. Several of the evaluated N2O mitigation measures implied negative side-effects on yield, soil organic carbon storage, nitrate leaching and/or ammonia volatilization. We identified additional strategies with potential to reduce crop residue N2O emissions without strong negative side-effects, which require further research. These are: a) treatment of crop residues before field application, e.g., conversion of residues into biochar or anaerobic digestate, b) co-application with nitrification inhibitors or N-immobilizing materials such as compost with a high C:N ratio, paper waste or sawdust, and c) use of residues obtained from crop mixtures. Our study provides a scientific basis to be developed over the coming years on how to increase the sustainability of agroecosystems though adequate crop residue management.","author":[{"dropping-particle":"","family":"Abalos","given":"Diego","non-dropping-particle":"","parse-names":false,"suffix":""},{"dropping-particle":"","family":"Recous","given":"Sylvie","non-dropping-particle":"","parse-names":false,"suffix":""},{"dropping-particle":"","family":"Butterbach-Bahl","given":"Klaus","non-dropping-particle":"","parse-names":false,"suffix":""},{"dropping-particle":"","family":"Notaris","given":"Chiara","non-dropping-particle":"De","parse-names":false,"suffix":""},{"dropping-particle":"","family":"Rittl","given":"Tatiana F.","non-dropping-particle":"","parse-names":false,"suffix":""},{"dropping-particle":"","family":"Topp","given":"Cairistiona F.E.","non-dropping-particle":"","parse-names":false,"suffix":""},{"dropping-particle":"","family":"Petersen","given":"Søren O.","non-dropping-particle":"","parse-names":false,"suffix":""},{"dropping-particle":"","family":"Hansen","given":"Sissel","non-dropping-particle":"","parse-names":false,"suffix":""},{"dropping-particle":"","family":"Bleken","given":"Marina A.","non-dropping-particle":"","parse-names":false,"suffix":""},{"dropping-particle":"","family":"Rees","given":"Robert M.","non-dropping-particle":"","parse-names":false,"suffix":""},{"dropping-particle":"","family":"Olesen","given":"Jørgen E.","non-dropping-particle":"","parse-names":false,"suffix":""}],"container-title":"Science of the Total Environment","id":"ITEM-3","issued":{"date-parts":[["2022"]]},"title":"A review and meta-analysis of mitigation measures for nitrous oxide emissions from crop residues","type":"article-journal","volume":"828"},"uris":["http://www.mendeley.com/documents/?uuid=5f93c222-6776-4145-bc3a-9b8959a291d4"]}],"mendeley":{"formattedCitation":"(Chen et al., 2013; Abalos et al., 2022; Olesen et al., 2023)","plainTextFormattedCitation":"(Chen et al., 2013; Abalos et al., 2022; Olesen et al., 2023)","previouslyFormattedCitation":"(Chen et al., 2013; Abalos et al., 2022; Olesen et al., 2023)"},"properties":{"noteIndex":0},"schema":"https://github.com/citation-style-language/schema/raw/master/csl-citation.json"}</w:instrText>
      </w:r>
      <w:r w:rsidRPr="00203EB0">
        <w:rPr>
          <w:rFonts w:cs="Times New Roman"/>
        </w:rPr>
        <w:fldChar w:fldCharType="separate"/>
      </w:r>
      <w:r w:rsidRPr="00203EB0">
        <w:rPr>
          <w:rFonts w:cs="Times New Roman"/>
          <w:noProof/>
        </w:rPr>
        <w:t>(Chen et al., 2013; Abalos et al., 2022; Olesen et al., 2023)</w:t>
      </w:r>
      <w:r w:rsidRPr="00203EB0">
        <w:rPr>
          <w:rFonts w:cs="Times New Roman"/>
        </w:rPr>
        <w:fldChar w:fldCharType="end"/>
      </w:r>
      <w:r w:rsidRPr="00203EB0">
        <w:rPr>
          <w:rFonts w:cs="Times New Roman"/>
        </w:rPr>
        <w:t>.</w:t>
      </w:r>
    </w:p>
    <w:p w14:paraId="30738E66" w14:textId="0073BAE9" w:rsidR="00A87B96" w:rsidRPr="00203EB0" w:rsidRDefault="00A87B96" w:rsidP="00A61CF4">
      <w:pPr>
        <w:pStyle w:val="Heading2"/>
      </w:pPr>
      <w:bookmarkStart w:id="81" w:name="_Toc206669138"/>
      <w:r w:rsidRPr="00203EB0">
        <w:t>Conclusions</w:t>
      </w:r>
      <w:bookmarkEnd w:id="81"/>
    </w:p>
    <w:p w14:paraId="1CD1E1A5" w14:textId="77777777" w:rsidR="00A87B96" w:rsidRPr="00203EB0" w:rsidRDefault="00A87B96" w:rsidP="00A87B96">
      <w:pPr>
        <w:spacing w:line="480" w:lineRule="auto"/>
        <w:rPr>
          <w:rFonts w:cs="Times New Roman"/>
        </w:rPr>
      </w:pPr>
      <w:r w:rsidRPr="00203EB0">
        <w:rPr>
          <w:rFonts w:cs="Times New Roman"/>
        </w:rPr>
        <w:t xml:space="preserve">Our study illustrates the biogeochemical mechanism of anoxia formation by </w:t>
      </w:r>
      <w:proofErr w:type="gramStart"/>
      <w:r w:rsidRPr="00203EB0">
        <w:rPr>
          <w:rFonts w:cs="Times New Roman"/>
        </w:rPr>
        <w:t>accelerated</w:t>
      </w:r>
      <w:proofErr w:type="gramEnd"/>
      <w:r w:rsidRPr="00203EB0">
        <w:rPr>
          <w:rFonts w:cs="Times New Roman"/>
        </w:rPr>
        <w:t xml:space="preserve"> microbial respiration following cover crop residue and N </w:t>
      </w:r>
      <w:proofErr w:type="gramStart"/>
      <w:r w:rsidRPr="00203EB0">
        <w:rPr>
          <w:rFonts w:cs="Times New Roman"/>
        </w:rPr>
        <w:t>fertilizer</w:t>
      </w:r>
      <w:proofErr w:type="gramEnd"/>
      <w:r w:rsidRPr="00203EB0">
        <w:rPr>
          <w:rFonts w:cs="Times New Roman"/>
        </w:rPr>
        <w:t xml:space="preserve"> addition to influence N</w:t>
      </w:r>
      <w:r w:rsidRPr="00203EB0">
        <w:rPr>
          <w:rFonts w:cs="Times New Roman"/>
          <w:vertAlign w:val="subscript"/>
        </w:rPr>
        <w:t>2</w:t>
      </w:r>
      <w:r w:rsidRPr="00203EB0">
        <w:rPr>
          <w:rFonts w:cs="Times New Roman"/>
        </w:rPr>
        <w:t xml:space="preserve">O emissions. This was achieved by using a novel planar </w:t>
      </w:r>
      <w:proofErr w:type="spellStart"/>
      <w:r w:rsidRPr="00203EB0">
        <w:rPr>
          <w:rFonts w:cs="Times New Roman"/>
        </w:rPr>
        <w:t>optode</w:t>
      </w:r>
      <w:proofErr w:type="spellEnd"/>
      <w:r w:rsidRPr="00203EB0">
        <w:rPr>
          <w:rFonts w:cs="Times New Roman"/>
        </w:rPr>
        <w:t xml:space="preserve"> sensing technology, enabling high-resolution measurement of soil profile O</w:t>
      </w:r>
      <w:r w:rsidRPr="00203EB0">
        <w:rPr>
          <w:rFonts w:cs="Times New Roman"/>
          <w:vertAlign w:val="subscript"/>
        </w:rPr>
        <w:t>2</w:t>
      </w:r>
      <w:r w:rsidRPr="00203EB0">
        <w:rPr>
          <w:rFonts w:cs="Times New Roman"/>
        </w:rPr>
        <w:t xml:space="preserve"> dynamics in response to residue addition. Under suboptimal WFPS levels for denitrification, N</w:t>
      </w:r>
      <w:r w:rsidRPr="00203EB0">
        <w:rPr>
          <w:rFonts w:cs="Times New Roman"/>
          <w:vertAlign w:val="subscript"/>
        </w:rPr>
        <w:t>2</w:t>
      </w:r>
      <w:r w:rsidRPr="00203EB0">
        <w:rPr>
          <w:rFonts w:cs="Times New Roman"/>
        </w:rPr>
        <w:t xml:space="preserve">O emissions can be triggered by </w:t>
      </w:r>
      <w:proofErr w:type="gramStart"/>
      <w:r w:rsidRPr="00203EB0">
        <w:rPr>
          <w:rFonts w:cs="Times New Roman"/>
        </w:rPr>
        <w:t>cover</w:t>
      </w:r>
      <w:proofErr w:type="gramEnd"/>
      <w:r w:rsidRPr="00203EB0">
        <w:rPr>
          <w:rFonts w:cs="Times New Roman"/>
        </w:rPr>
        <w:t xml:space="preserve"> crop residues to a similar or even higher level than in soils experiencing water-induced anoxia that typically promotes large N</w:t>
      </w:r>
      <w:r w:rsidRPr="00203EB0">
        <w:rPr>
          <w:rFonts w:cs="Times New Roman"/>
          <w:vertAlign w:val="subscript"/>
        </w:rPr>
        <w:t>2</w:t>
      </w:r>
      <w:r w:rsidRPr="00203EB0">
        <w:rPr>
          <w:rFonts w:cs="Times New Roman"/>
        </w:rPr>
        <w:t>O emissions from denitrification. Under water induced anaerobic conditions (80% WFPS), cover crops controlled N</w:t>
      </w:r>
      <w:r w:rsidRPr="00203EB0">
        <w:rPr>
          <w:rFonts w:cs="Times New Roman"/>
          <w:vertAlign w:val="subscript"/>
        </w:rPr>
        <w:t>2</w:t>
      </w:r>
      <w:r w:rsidRPr="00203EB0">
        <w:rPr>
          <w:rFonts w:cs="Times New Roman"/>
        </w:rPr>
        <w:t>O emissions via altering labile C availability and had little effect on mineral N availability. Whereas under relatively aerobic conditions (50% WFPS), cover crop residue decomposition consumed soil O</w:t>
      </w:r>
      <w:r w:rsidRPr="00203EB0">
        <w:rPr>
          <w:rFonts w:cs="Times New Roman"/>
          <w:vertAlign w:val="subscript"/>
        </w:rPr>
        <w:t>2</w:t>
      </w:r>
      <w:r w:rsidRPr="00203EB0">
        <w:rPr>
          <w:rFonts w:cs="Times New Roman"/>
        </w:rPr>
        <w:t xml:space="preserve"> to promote anoxia that led to increased N</w:t>
      </w:r>
      <w:r w:rsidRPr="00203EB0">
        <w:rPr>
          <w:rFonts w:cs="Times New Roman"/>
          <w:vertAlign w:val="subscript"/>
        </w:rPr>
        <w:t>2</w:t>
      </w:r>
      <w:r w:rsidRPr="00203EB0">
        <w:rPr>
          <w:rFonts w:cs="Times New Roman"/>
        </w:rPr>
        <w:t xml:space="preserve">O emissions. This scenario poses a greater environmental risk compared to soils under water-induced </w:t>
      </w:r>
      <w:r w:rsidRPr="00203EB0">
        <w:rPr>
          <w:rFonts w:cs="Times New Roman"/>
        </w:rPr>
        <w:lastRenderedPageBreak/>
        <w:t>anoxia as it enables the rapid escape of N</w:t>
      </w:r>
      <w:r w:rsidRPr="00203EB0">
        <w:rPr>
          <w:rFonts w:cs="Times New Roman"/>
          <w:vertAlign w:val="subscript"/>
        </w:rPr>
        <w:t>2</w:t>
      </w:r>
      <w:r w:rsidRPr="00203EB0">
        <w:rPr>
          <w:rFonts w:cs="Times New Roman"/>
        </w:rPr>
        <w:t>O from soil due to higher diffusivity and reduces the likelihood of biological N</w:t>
      </w:r>
      <w:r w:rsidRPr="00203EB0">
        <w:rPr>
          <w:rFonts w:cs="Times New Roman"/>
          <w:vertAlign w:val="subscript"/>
        </w:rPr>
        <w:t>2</w:t>
      </w:r>
      <w:r w:rsidRPr="00203EB0">
        <w:rPr>
          <w:rFonts w:cs="Times New Roman"/>
        </w:rPr>
        <w:t>O reduction to N</w:t>
      </w:r>
      <w:r w:rsidRPr="00203EB0">
        <w:rPr>
          <w:rFonts w:cs="Times New Roman"/>
          <w:vertAlign w:val="subscript"/>
        </w:rPr>
        <w:t>2</w:t>
      </w:r>
      <w:r w:rsidRPr="00203EB0">
        <w:rPr>
          <w:rFonts w:cs="Times New Roman"/>
        </w:rPr>
        <w:t xml:space="preserve">. These findings hold crucial implications for managing agricultural systems using cover crops. The respiration-induced anoxia mechanism observed in this study along with cover </w:t>
      </w:r>
      <w:proofErr w:type="gramStart"/>
      <w:r w:rsidRPr="00203EB0">
        <w:rPr>
          <w:rFonts w:cs="Times New Roman"/>
        </w:rPr>
        <w:t>crop’s</w:t>
      </w:r>
      <w:proofErr w:type="gramEnd"/>
      <w:r w:rsidRPr="00203EB0">
        <w:rPr>
          <w:rFonts w:cs="Times New Roman"/>
        </w:rPr>
        <w:t xml:space="preserve"> role in altering coupled soil C, N, and water cycling will drive net soil N</w:t>
      </w:r>
      <w:r w:rsidRPr="00203EB0">
        <w:rPr>
          <w:rFonts w:cs="Times New Roman"/>
          <w:vertAlign w:val="subscript"/>
        </w:rPr>
        <w:t>2</w:t>
      </w:r>
      <w:r w:rsidRPr="00203EB0">
        <w:rPr>
          <w:rFonts w:cs="Times New Roman"/>
        </w:rPr>
        <w:t>O emissions which should be accounted for within the broader context of assessing cover crop impacts on soil health. Elevated N</w:t>
      </w:r>
      <w:r w:rsidRPr="00203EB0">
        <w:rPr>
          <w:rFonts w:cs="Times New Roman"/>
          <w:vertAlign w:val="subscript"/>
        </w:rPr>
        <w:t>2</w:t>
      </w:r>
      <w:r w:rsidRPr="00203EB0">
        <w:rPr>
          <w:rFonts w:cs="Times New Roman"/>
        </w:rPr>
        <w:t>O emissions can offset the benefits of soil C sequestration, often a common goal in using cover crops. This further highlights the importance of accurately assessing the C footprint of cover crops by quantifying their impacts on N</w:t>
      </w:r>
      <w:r w:rsidRPr="00203EB0">
        <w:rPr>
          <w:rFonts w:cs="Times New Roman"/>
          <w:vertAlign w:val="subscript"/>
        </w:rPr>
        <w:t>2</w:t>
      </w:r>
      <w:r w:rsidRPr="00203EB0">
        <w:rPr>
          <w:rFonts w:cs="Times New Roman"/>
        </w:rPr>
        <w:t>O emissions.</w:t>
      </w:r>
    </w:p>
    <w:p w14:paraId="137805A6" w14:textId="411985B2" w:rsidR="00C377C9" w:rsidRPr="00A4049E" w:rsidRDefault="00A87B96" w:rsidP="00A4049E">
      <w:pPr>
        <w:spacing w:line="480" w:lineRule="auto"/>
        <w:rPr>
          <w:rFonts w:cs="Times New Roman"/>
        </w:rPr>
      </w:pPr>
      <w:r w:rsidRPr="00203EB0">
        <w:rPr>
          <w:rFonts w:cs="Times New Roman"/>
        </w:rPr>
        <w:t>The decoupling of WFPS controls on soil O</w:t>
      </w:r>
      <w:r w:rsidRPr="00203EB0">
        <w:rPr>
          <w:rFonts w:cs="Times New Roman"/>
          <w:vertAlign w:val="subscript"/>
        </w:rPr>
        <w:t>2</w:t>
      </w:r>
      <w:r w:rsidRPr="00203EB0">
        <w:rPr>
          <w:rFonts w:cs="Times New Roman"/>
        </w:rPr>
        <w:t xml:space="preserve"> can be prominent as decomposition rate increases. This poses a formidable challenge in accurately predicting N</w:t>
      </w:r>
      <w:r w:rsidRPr="00203EB0">
        <w:rPr>
          <w:rFonts w:cs="Times New Roman"/>
          <w:vertAlign w:val="subscript"/>
        </w:rPr>
        <w:t>2</w:t>
      </w:r>
      <w:r w:rsidRPr="00203EB0">
        <w:rPr>
          <w:rFonts w:cs="Times New Roman"/>
        </w:rPr>
        <w:t>O emissions, particularly in the context of growing adoption of cover cropping for soil health. Our study suggests that the occurrence of respiration-induced anoxia during cover crop residue decomposition in fertilized soils can disrupt the traditional WFPS controls on N</w:t>
      </w:r>
      <w:r w:rsidRPr="00203EB0">
        <w:rPr>
          <w:rFonts w:cs="Times New Roman"/>
          <w:vertAlign w:val="subscript"/>
        </w:rPr>
        <w:t>2</w:t>
      </w:r>
      <w:r w:rsidRPr="00203EB0">
        <w:rPr>
          <w:rFonts w:cs="Times New Roman"/>
        </w:rPr>
        <w:t>O emissions. Relying solely on WFPS, an imperfect proxy for diffusion-induced O</w:t>
      </w:r>
      <w:r w:rsidRPr="00203EB0">
        <w:rPr>
          <w:rFonts w:cs="Times New Roman"/>
          <w:vertAlign w:val="subscript"/>
        </w:rPr>
        <w:t>2</w:t>
      </w:r>
      <w:r w:rsidRPr="00203EB0">
        <w:rPr>
          <w:rFonts w:cs="Times New Roman"/>
        </w:rPr>
        <w:t xml:space="preserve"> limitation, may lead to the underestimation and inaccurate prediction of potential risks associated with N</w:t>
      </w:r>
      <w:r w:rsidRPr="00203EB0">
        <w:rPr>
          <w:rFonts w:cs="Times New Roman"/>
          <w:vertAlign w:val="subscript"/>
        </w:rPr>
        <w:t>2</w:t>
      </w:r>
      <w:r w:rsidRPr="00203EB0">
        <w:rPr>
          <w:rFonts w:cs="Times New Roman"/>
        </w:rPr>
        <w:t>O emissions, especially in cover crop based fertilized agricultural systems. Therefore, models should incorporate a more comprehensive understanding of these dynamics to enhance predictive accuracy and better capture the complexities of N</w:t>
      </w:r>
      <w:r w:rsidRPr="00203EB0">
        <w:rPr>
          <w:rFonts w:cs="Times New Roman"/>
          <w:vertAlign w:val="subscript"/>
        </w:rPr>
        <w:t>2</w:t>
      </w:r>
      <w:r w:rsidRPr="00203EB0">
        <w:rPr>
          <w:rFonts w:cs="Times New Roman"/>
        </w:rPr>
        <w:t xml:space="preserve">O emissions in such agroecosystems. </w:t>
      </w:r>
    </w:p>
    <w:p w14:paraId="2A1A6F24" w14:textId="77777777" w:rsidR="00C377C9" w:rsidRPr="00203EB0" w:rsidRDefault="00C377C9" w:rsidP="00652800"/>
    <w:p w14:paraId="2C94F410" w14:textId="77777777" w:rsidR="00025EEA" w:rsidRPr="00203EB0" w:rsidRDefault="00025EEA" w:rsidP="00652800"/>
    <w:p w14:paraId="4207FEC8" w14:textId="69D1D07E" w:rsidR="00BC1CDA" w:rsidRPr="00203EB0" w:rsidRDefault="00BC1CDA" w:rsidP="00652800"/>
    <w:p w14:paraId="31385B93" w14:textId="77777777" w:rsidR="00BC1CDA" w:rsidRPr="00203EB0" w:rsidRDefault="00BC1CDA" w:rsidP="00652800"/>
    <w:p w14:paraId="7EE75870" w14:textId="2C8A8BA2" w:rsidR="00C91B83" w:rsidRPr="00203EB0" w:rsidRDefault="006A189D" w:rsidP="00BD46F8">
      <w:pPr>
        <w:pStyle w:val="Heading1"/>
      </w:pPr>
      <w:bookmarkStart w:id="82" w:name="_Toc206669139"/>
      <w:bookmarkEnd w:id="73"/>
      <w:bookmarkEnd w:id="74"/>
      <w:r w:rsidRPr="00203EB0">
        <w:lastRenderedPageBreak/>
        <w:t>Depth-dependent links between microbial taxa and nitrous oxide emissions in a long-term cotton cropping system employing soil health practices</w:t>
      </w:r>
      <w:bookmarkEnd w:id="82"/>
    </w:p>
    <w:p w14:paraId="27192545" w14:textId="6BD8F98C"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DEA71B5" w14:textId="1155A937"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1E496C6A" w14:textId="2F172459"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5DA4359" w14:textId="7A2D0168"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B9BDB62" w14:textId="385C192A"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03E2CE9" w14:textId="338B7894"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89D9737" w14:textId="6E9C5B81"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F6F462A" w14:textId="75E69919"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A8C3ED4" w14:textId="1ECDA922"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52DE3193" w14:textId="7AF8560F"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40A6C6C" w14:textId="58120234"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5EB6207" w14:textId="1C6C9E45"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E008AEC" w14:textId="5E7315EA"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01C90F2" w14:textId="4DF7BD01"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341AAE60" w14:textId="7FBC42BD"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4593C60" w14:textId="76C5FBB9"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0A05A62" w14:textId="77777777" w:rsidR="004A4209" w:rsidRPr="00203EB0" w:rsidRDefault="004A4209"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368D53FA" w14:textId="001FCC7F"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1BA0451F" w14:textId="34085553" w:rsidR="00F91A70" w:rsidRPr="00203EB0" w:rsidRDefault="00F91A70" w:rsidP="00F91A70">
      <w:pPr>
        <w:spacing w:line="480" w:lineRule="auto"/>
        <w:rPr>
          <w:rFonts w:cs="Times New Roman"/>
        </w:rPr>
      </w:pPr>
      <w:r w:rsidRPr="00203EB0">
        <w:rPr>
          <w:rFonts w:cs="Times New Roman"/>
        </w:rPr>
        <w:lastRenderedPageBreak/>
        <w:t xml:space="preserve">A version of this chapter was submitted for publication in </w:t>
      </w:r>
      <w:proofErr w:type="spellStart"/>
      <w:r w:rsidRPr="00203EB0">
        <w:rPr>
          <w:rFonts w:cs="Times New Roman"/>
        </w:rPr>
        <w:t>Geoderma</w:t>
      </w:r>
      <w:proofErr w:type="spellEnd"/>
      <w:r w:rsidRPr="00203EB0">
        <w:rPr>
          <w:rFonts w:cs="Times New Roman"/>
        </w:rPr>
        <w:t xml:space="preserve">. </w:t>
      </w:r>
      <w:r w:rsidRPr="00203EB0">
        <w:rPr>
          <w:rFonts w:eastAsia="Calibri" w:cs="Times New Roman"/>
        </w:rPr>
        <w:t xml:space="preserve">Facundo Lussich was responsible for conceptualization, formal analysis, investigation, methodology, and writing. Debasish Saha, </w:t>
      </w:r>
      <w:proofErr w:type="spellStart"/>
      <w:r w:rsidRPr="00203EB0">
        <w:rPr>
          <w:rFonts w:cs="Times New Roman"/>
        </w:rPr>
        <w:t>Jashanjeet</w:t>
      </w:r>
      <w:proofErr w:type="spellEnd"/>
      <w:r w:rsidRPr="00203EB0">
        <w:rPr>
          <w:rFonts w:cs="Times New Roman"/>
        </w:rPr>
        <w:t xml:space="preserve"> Kaur Dhaliwal, Melissa Cregger, and Shawn Brown provided</w:t>
      </w:r>
      <w:r w:rsidRPr="00203EB0">
        <w:rPr>
          <w:rFonts w:eastAsia="Calibri" w:cs="Times New Roman"/>
        </w:rPr>
        <w:t xml:space="preserve"> </w:t>
      </w:r>
      <w:r w:rsidRPr="00203EB0">
        <w:rPr>
          <w:rFonts w:cs="Times New Roman"/>
        </w:rPr>
        <w:t xml:space="preserve">input on </w:t>
      </w:r>
      <w:r w:rsidRPr="00203EB0">
        <w:rPr>
          <w:rFonts w:eastAsia="Calibri" w:cs="Times New Roman"/>
        </w:rPr>
        <w:t>methodology, review &amp; editing.</w:t>
      </w:r>
    </w:p>
    <w:p w14:paraId="5EF4CD1F" w14:textId="20EA8309" w:rsidR="006A189D" w:rsidRPr="00203EB0" w:rsidRDefault="00025EEA" w:rsidP="00A61CF4">
      <w:pPr>
        <w:pStyle w:val="Heading2"/>
      </w:pPr>
      <w:bookmarkStart w:id="83" w:name="_Toc206669140"/>
      <w:r w:rsidRPr="00203EB0">
        <w:t>Abstract</w:t>
      </w:r>
      <w:bookmarkEnd w:id="83"/>
    </w:p>
    <w:p w14:paraId="5FB1BF51" w14:textId="567B86A0" w:rsidR="00025EEA" w:rsidRPr="00203EB0" w:rsidRDefault="00025EEA" w:rsidP="00025EEA">
      <w:pPr>
        <w:spacing w:line="480" w:lineRule="auto"/>
      </w:pPr>
      <w:r w:rsidRPr="00203EB0">
        <w:t>Long-term management practices can shape soil microbial communities in ways that influence nitrogen (N) dynamics and nitrous oxide (N</w:t>
      </w:r>
      <w:r w:rsidRPr="00203EB0">
        <w:rPr>
          <w:vertAlign w:val="subscript"/>
        </w:rPr>
        <w:t>2</w:t>
      </w:r>
      <w:r w:rsidRPr="00203EB0">
        <w:t>O) emissions. We leverage a 41-year continuous cotton cropping experiment with contrasting tillage, cover cropping, and N fertilization regimes to investigate how these long-term strategies influence soil microbial communities and their association with N</w:t>
      </w:r>
      <w:r w:rsidRPr="00203EB0">
        <w:rPr>
          <w:vertAlign w:val="subscript"/>
        </w:rPr>
        <w:t>2</w:t>
      </w:r>
      <w:r w:rsidRPr="00203EB0">
        <w:t>O fluxes during the cotton growing season. Using 16S rRNA gene metabarcoding, we assessed microbial composition in surface and subsurface soils and e</w:t>
      </w:r>
      <w:r w:rsidR="00403EDE">
        <w:t>valuated in relation to</w:t>
      </w:r>
      <w:r w:rsidRPr="00203EB0">
        <w:t xml:space="preserve"> temporal N</w:t>
      </w:r>
      <w:r w:rsidRPr="00203EB0">
        <w:rPr>
          <w:vertAlign w:val="subscript"/>
        </w:rPr>
        <w:t>2</w:t>
      </w:r>
      <w:r w:rsidRPr="00203EB0">
        <w:t>O emissions. Among the management practices, N fertilization – a known driver of N</w:t>
      </w:r>
      <w:r w:rsidRPr="00203EB0">
        <w:rPr>
          <w:vertAlign w:val="subscript"/>
        </w:rPr>
        <w:t>2</w:t>
      </w:r>
      <w:r w:rsidRPr="00203EB0">
        <w:t xml:space="preserve">O emissions – had the strongest effect on microbial community composition and was linked to a greater number of taxa </w:t>
      </w:r>
      <w:r w:rsidR="00B64F12">
        <w:t>correlated to</w:t>
      </w:r>
      <w:r w:rsidRPr="00203EB0">
        <w:t xml:space="preserve"> N</w:t>
      </w:r>
      <w:r w:rsidRPr="00203EB0">
        <w:rPr>
          <w:vertAlign w:val="subscript"/>
        </w:rPr>
        <w:t>2</w:t>
      </w:r>
      <w:r w:rsidRPr="00203EB0">
        <w:t>O emissions, particularly in surface soils. Soil pH emerged as a key variable influencing microbial structure across depth and was negatively associated with both N</w:t>
      </w:r>
      <w:r w:rsidRPr="00203EB0">
        <w:rPr>
          <w:vertAlign w:val="subscript"/>
        </w:rPr>
        <w:t>2</w:t>
      </w:r>
      <w:r w:rsidRPr="00203EB0">
        <w:t xml:space="preserve">O emissions and microbial composition in the surface layers of fertilized soils. In total, 57 archaeal/bacterial taxa were </w:t>
      </w:r>
      <w:r w:rsidR="00F970B3">
        <w:t>correlated</w:t>
      </w:r>
      <w:r w:rsidRPr="00203EB0">
        <w:t xml:space="preserve"> with N</w:t>
      </w:r>
      <w:r w:rsidRPr="00203EB0">
        <w:rPr>
          <w:vertAlign w:val="subscript"/>
        </w:rPr>
        <w:t>2</w:t>
      </w:r>
      <w:r w:rsidRPr="00203EB0">
        <w:t>O flux</w:t>
      </w:r>
      <w:r w:rsidR="00F970B3">
        <w:t>es</w:t>
      </w:r>
      <w:r w:rsidRPr="00203EB0">
        <w:t xml:space="preserve">, but only seven were shared across depths, suggesting distinct microbial contributors in surface and subsurface soils. </w:t>
      </w:r>
      <w:r w:rsidR="00F970B3">
        <w:t xml:space="preserve">Several of these taxa have been previously reported to be associated with N and C cycling processes such as nitrate respiration or carbon turnover, providing ecological context for their correlations with fluxes. </w:t>
      </w:r>
      <w:r w:rsidRPr="00203EB0">
        <w:t xml:space="preserve">Temporal shifts in the abundance of key taxa </w:t>
      </w:r>
      <w:r w:rsidRPr="00203EB0">
        <w:lastRenderedPageBreak/>
        <w:t>aligned with seasonal peaks in N</w:t>
      </w:r>
      <w:r w:rsidRPr="00203EB0">
        <w:rPr>
          <w:vertAlign w:val="subscript"/>
        </w:rPr>
        <w:t>2</w:t>
      </w:r>
      <w:r w:rsidRPr="00203EB0">
        <w:t>O emissions, notably in early and late August, and were most pronounced under conventional tillage, hairy vetch cover cropping, and N fertilization. While</w:t>
      </w:r>
      <w:r w:rsidR="00F970B3">
        <w:t xml:space="preserve"> 16S-based associations cannot confirm functional gene presence or activity, </w:t>
      </w:r>
      <w:r w:rsidRPr="00203EB0">
        <w:t>t</w:t>
      </w:r>
      <w:r w:rsidR="00F970B3">
        <w:t>hese</w:t>
      </w:r>
      <w:r w:rsidRPr="00203EB0">
        <w:t xml:space="preserve"> findings demonstrate that long-term fertilization and associated soil acidification are dominant drivers of microbial shifts linked to N</w:t>
      </w:r>
      <w:r w:rsidRPr="00203EB0">
        <w:rPr>
          <w:vertAlign w:val="subscript"/>
        </w:rPr>
        <w:t>2</w:t>
      </w:r>
      <w:r w:rsidRPr="00203EB0">
        <w:t>O emissions and highlight the importance of accounting for depth-specific and seasonal microbial dynamics when evaluating management impacts on greenhouse gas emissions.</w:t>
      </w:r>
    </w:p>
    <w:p w14:paraId="5ABBDBED" w14:textId="68E9898B"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E348409" w14:textId="408D7348" w:rsidR="006A189D" w:rsidRPr="00203EB0" w:rsidRDefault="006A189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D8C6070" w14:textId="498AD2A5" w:rsidR="00025EEA" w:rsidRPr="00203EB0" w:rsidRDefault="00025EEA"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6DBFECC3" w14:textId="722CB493" w:rsidR="00025EEA" w:rsidRPr="00203EB0" w:rsidRDefault="00025EEA"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38185D12" w14:textId="2017B97C" w:rsidR="00D23D4D" w:rsidRPr="00203EB0" w:rsidRDefault="00D23D4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9338610" w14:textId="41856938" w:rsidR="00D23D4D" w:rsidRPr="00203EB0" w:rsidRDefault="00D23D4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3622594B" w14:textId="18B3F202" w:rsidR="00D23D4D" w:rsidRPr="00203EB0" w:rsidRDefault="00D23D4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A58010E" w14:textId="473EAFB9" w:rsidR="00D23D4D" w:rsidRPr="00203EB0" w:rsidRDefault="00D23D4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AE8285E" w14:textId="0634E8BC" w:rsidR="00D23D4D" w:rsidRPr="00203EB0" w:rsidRDefault="00D23D4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36D1247A" w14:textId="1333AF6E" w:rsidR="00D23D4D" w:rsidRPr="00203EB0" w:rsidRDefault="00D23D4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0DDC3C9" w14:textId="1E8666C0" w:rsidR="00D23D4D" w:rsidRPr="00203EB0" w:rsidRDefault="00D23D4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52092B1" w14:textId="64E16E09" w:rsidR="00D23D4D" w:rsidRPr="00203EB0" w:rsidRDefault="00D23D4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CC69B2E" w14:textId="4A3FF076" w:rsidR="00D23D4D" w:rsidRPr="00203EB0" w:rsidRDefault="00D23D4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FC01768" w14:textId="77777777" w:rsidR="00D23D4D" w:rsidRPr="00203EB0" w:rsidRDefault="00D23D4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6376541" w14:textId="03DE6830" w:rsidR="00025EEA" w:rsidRPr="00203EB0" w:rsidRDefault="00025EEA" w:rsidP="00A61CF4">
      <w:pPr>
        <w:pStyle w:val="Heading2"/>
      </w:pPr>
      <w:bookmarkStart w:id="84" w:name="_Toc206669141"/>
      <w:r w:rsidRPr="00203EB0">
        <w:lastRenderedPageBreak/>
        <w:t>Introduction</w:t>
      </w:r>
      <w:bookmarkEnd w:id="84"/>
    </w:p>
    <w:p w14:paraId="22EE646A" w14:textId="77777777" w:rsidR="00025EEA" w:rsidRPr="00203EB0" w:rsidRDefault="00025EEA" w:rsidP="00680982">
      <w:pPr>
        <w:pStyle w:val="ParaText"/>
        <w:spacing w:line="480" w:lineRule="auto"/>
        <w:ind w:firstLine="0"/>
        <w:contextualSpacing/>
        <w:jc w:val="both"/>
        <w:rPr>
          <w:iCs/>
          <w:szCs w:val="24"/>
        </w:rPr>
      </w:pPr>
      <w:r w:rsidRPr="00203EB0">
        <w:rPr>
          <w:szCs w:val="24"/>
        </w:rPr>
        <w:t>Nitrous oxide (N₂O) is a potent greenhouse gas and its emissions from agricultural systems accounts for nearly two-thirds of global anthropogenic N</w:t>
      </w:r>
      <w:r w:rsidRPr="00203EB0">
        <w:rPr>
          <w:szCs w:val="24"/>
          <w:vertAlign w:val="subscript"/>
        </w:rPr>
        <w:t>2</w:t>
      </w:r>
      <w:r w:rsidRPr="00203EB0">
        <w:rPr>
          <w:szCs w:val="24"/>
        </w:rPr>
        <w:t xml:space="preserve">O emissions </w:t>
      </w:r>
      <w:r w:rsidRPr="00203EB0">
        <w:rPr>
          <w:szCs w:val="24"/>
        </w:rPr>
        <w:fldChar w:fldCharType="begin" w:fldLock="1"/>
      </w:r>
      <w:r w:rsidRPr="00203EB0">
        <w:rPr>
          <w:szCs w:val="24"/>
        </w:rPr>
        <w:instrText>ADDIN CSL_CITATION {"citationItems":[{"id":"ITEM-1","itemData":{"author":[{"dropping-particle":"","family":"EPA","given":"","non-dropping-particle":"","parse-names":false,"suffix":""}],"container-title":"Environmental Protection Agency, EPA","id":"ITEM-1","issued":{"date-parts":[["2023"]]},"page":"205","title":"Inventory of U.S. greenhouse gas emissions and sinks: 1990-2021. U.S.","type":"article-journal"},"uris":["http://www.mendeley.com/documents/?uuid=d9a6675b-7cdf-494c-9bc9-48ce6b8f3ef4"]}],"mendeley":{"formattedCitation":"(EPA, 2023)","plainTextFormattedCitation":"(EPA, 2023)","previouslyFormattedCitation":"(EPA, 2023)"},"properties":{"noteIndex":0},"schema":"https://github.com/citation-style-language/schema/raw/master/csl-citation.json"}</w:instrText>
      </w:r>
      <w:r w:rsidRPr="00203EB0">
        <w:rPr>
          <w:szCs w:val="24"/>
        </w:rPr>
        <w:fldChar w:fldCharType="separate"/>
      </w:r>
      <w:r w:rsidRPr="00203EB0">
        <w:rPr>
          <w:noProof/>
          <w:szCs w:val="24"/>
        </w:rPr>
        <w:t>(EPA, 2023)</w:t>
      </w:r>
      <w:r w:rsidRPr="00203EB0">
        <w:rPr>
          <w:szCs w:val="24"/>
        </w:rPr>
        <w:fldChar w:fldCharType="end"/>
      </w:r>
      <w:r w:rsidRPr="00203EB0">
        <w:rPr>
          <w:szCs w:val="24"/>
        </w:rPr>
        <w:t>. Nitrous oxide emissions from agricultural soils are primarily driven by microbial transformations of nitrogenous compounds added in managed systems. Intensive nitrogen (N) fertilization exacerbates these processes, not only increasing N</w:t>
      </w:r>
      <w:r w:rsidRPr="00203EB0">
        <w:rPr>
          <w:szCs w:val="24"/>
          <w:vertAlign w:val="subscript"/>
        </w:rPr>
        <w:t>2</w:t>
      </w:r>
      <w:r w:rsidRPr="00203EB0">
        <w:rPr>
          <w:szCs w:val="24"/>
        </w:rPr>
        <w:t xml:space="preserve">O emissions but also reducing crop N use efficiency, thereby undermining both crop productivity and environmental sustainability </w:t>
      </w:r>
      <w:r w:rsidRPr="00203EB0">
        <w:rPr>
          <w:szCs w:val="24"/>
        </w:rPr>
        <w:fldChar w:fldCharType="begin" w:fldLock="1"/>
      </w:r>
      <w:r w:rsidRPr="00203EB0">
        <w:rPr>
          <w:szCs w:val="24"/>
        </w:rPr>
        <w:instrText>ADDIN CSL_CITATION {"citationItems":[{"id":"ITEM-1","itemData":{"DOI":"10.1038/s41558-019-0613-7","ISBN":"4155801906","ISSN":"17586798","abstract":"Nitrous oxide (N2O) is the third most important long-lived GHG and an important stratospheric ozone depleting substance. Agricultural practices and the use of N-fertilizers have greatly enhanced emissions of N2O. Here, we present estimates of N2O emissions determined from three global atmospheric inversion frameworks during the period 1998–2016. We find that global N2O emissions increased substantially from 2009 and at a faster rate than estimated by the IPCC emission factor approach. The regions of East Asia and South America made the largest contributions to the global increase. From the inversion-based emissions, we estimate a global emission factor of 2.3 ± 0.6%, which is significantly larger than the IPCC Tier-1 default for combined direct and indirect emissions of 1.375%. The larger emission factor and accelerating emission increase found from the inversions suggest that N2O emission may have a nonlinear response at global and regional scales with high levels of N-input.","author":[{"dropping-particle":"","family":"Thompson","given":"R. L.","non-dropping-particle":"","parse-names":false,"suffix":""},{"dropping-particle":"","family":"Lassaletta","given":"L.","non-dropping-particle":"","parse-names":false,"suffix":""},{"dropping-particle":"","family":"Patra","given":"P. K.","non-dropping-particle":"","parse-names":false,"suffix":""},{"dropping-particle":"","family":"Wilson","given":"C.","non-dropping-particle":"","parse-names":false,"suffix":""},{"dropping-particle":"","family":"Wells","given":"K. C.","non-dropping-particle":"","parse-names":false,"suffix":""},{"dropping-particle":"","family":"Gressent","given":"A.","non-dropping-particle":"","parse-names":false,"suffix":""},{"dropping-particle":"","family":"Koffi","given":"E. N.","non-dropping-particle":"","parse-names":false,"suffix":""},{"dropping-particle":"","family":"Chipperfield","given":"M. P.","non-dropping-particle":"","parse-names":false,"suffix":""},{"dropping-particle":"","family":"Winiwarter","given":"W.","non-dropping-particle":"","parse-names":false,"suffix":""},{"dropping-particle":"","family":"Davidson","given":"E. A.","non-dropping-particle":"","parse-names":false,"suffix":""},{"dropping-particle":"","family":"Tian","given":"H.","non-dropping-particle":"","parse-names":false,"suffix":""},{"dropping-particle":"","family":"Canadell","given":"J. G.","non-dropping-particle":"","parse-names":false,"suffix":""}],"container-title":"Nature Climate Change","id":"ITEM-1","issue":"12","issued":{"date-parts":[["2019"]]},"page":"993-998","publisher":"Springer US","title":"Acceleration of global N2O emissions seen from two decades of atmospheric inversion","type":"article-journal","volume":"9"},"uris":["http://www.mendeley.com/documents/?uuid=b4d659c8-c0fd-42c2-a4c6-ff5c6b05f7d8"]},{"id":"ITEM-2","itemData":{"DOI":"10.1038/s41586-020-2780-0","ISSN":"14764687","PMID":"33028999","abstract":"Nitrous oxide (N2O), like carbon dioxide, is a long-lived greenhouse gas that accumulates in the atmosphere. Over the past 150 years, increasing atmospheric N2O concentrations have contributed to stratospheric ozone depletion1 and climate change2, with the current rate of increase estimated at 2 per cent per decade. Existing national inventories do not provide a full picture of N2O emissions, owing to their omission of natural sources and limitations in methodology for attributing anthropogenic sources. Here we present a global N2O inventory that incorporates both natural and anthropogenic sources and accounts for the interaction between nitrogen additions and the biochemical processes that control N2O emissions. We use bottom-up (inventory, statistical extrapolation of flux measurements, process-based land and ocean modelling) and top-down (atmospheric inversion) approaches to provide a comprehensive quantification of global N2O sources and sinks resulting from 21 natural and human sectors between 1980 and 2016. Global N2O emissions were 17.0 (minimum–maximum estimates: 12.2–23.5) teragrams of nitrogen per year (bottom-up) and 16.9 (15.9–17.7) teragrams of nitrogen per year (top-down) between 2007 and 2016. Global human-induced emissions, which are dominated by nitrogen additions to croplands, increased by 30% over the past four decades to 7.3 (4.2–11.4) teragrams of nitrogen per year. This increase was mainly responsible for the growth in the atmospheric burden. Our findings point to growing N2O emissions in emerging economies—particularly Brazil, China and India. Analysis of process-based model estimates reveals an emerging N2O–climate feedback resulting from interactions between nitrogen additions and climate change. The recent growth in N2O emissions exceeds some of the highest projected emission scenarios3,4, underscoring the urgency to mitigate N2O emissions.","author":[{"dropping-particle":"","family":"Tian","given":"Hanqin","non-dropping-particle":"","parse-names":false,"suffix":""},{"dropping-particle":"","family":"Xu","given":"Rongting","non-dropping-particle":"","parse-names":false,"suffix":""},{"dropping-particle":"","family":"Canadell","given":"Josep G.","non-dropping-particle":"","parse-names":false,"suffix":""},{"dropping-particle":"","family":"Thompson","given":"Rona L.","non-dropping-particle":"","parse-names":false,"suffix":""},{"dropping-particle":"","family":"Winiwarter","given":"Wilfried","non-dropping-particle":"","parse-names":false,"suffix":""},{"dropping-particle":"","family":"Suntharalingam","given":"Parvadha","non-dropping-particle":"","parse-names":false,"suffix":""},{"dropping-particle":"","family":"Davidson","given":"Eric A.","non-dropping-particle":"","parse-names":false,"suffix":""},{"dropping-particle":"","family":"Ciais","given":"Philippe","non-dropping-particle":"","parse-names":false,"suffix":""},{"dropping-particle":"","family":"Jackson","given":"Robert B.","non-dropping-particle":"","parse-names":false,"suffix":""},{"dropping-particle":"","family":"Janssens-Maenhout","given":"Greet","non-dropping-particle":"","parse-names":false,"suffix":""},{"dropping-particle":"","family":"Prather","given":"Michael J.","non-dropping-particle":"","parse-names":false,"suffix":""},{"dropping-particle":"","family":"Regnier","given":"Pierre","non-dropping-particle":"","parse-names":false,"suffix":""},{"dropping-particle":"","family":"Pan","given":"Naiqing","non-dropping-particle":"","parse-names":false,"suffix":""},{"dropping-particle":"","family":"Pan","given":"Shufen","non-dropping-particle":"","parse-names":false,"suffix":""},{"dropping-particle":"","family":"Peters","given":"Glen P.","non-dropping-particle":"","parse-names":false,"suffix":""},{"dropping-particle":"","family":"Shi","given":"Hao","non-dropping-particle":"","parse-names":false,"suffix":""},{"dropping-particle":"","family":"Tubiello","given":"Francesco N.","non-dropping-particle":"","parse-names":false,"suffix":""},{"dropping-particle":"","family":"Zaehle","given":"Sönke","non-dropping-particle":"","parse-names":false,"suffix":""},{"dropping-particle":"","family":"Zhou","given":"Feng","non-dropping-particle":"","parse-names":false,"suffix":""},{"dropping-particle":"","family":"Arneth","given":"Almut","non-dropping-particle":"","parse-names":false,"suffix":""},{"dropping-particle":"","family":"Battaglia","given":"Gianna","non-dropping-particle":"","parse-names":false,"suffix":""},{"dropping-particle":"","family":"Berthet","given":"Sarah","non-dropping-particle":"","parse-names":false,"suffix":""},{"dropping-particle":"","family":"Bopp","given":"Laurent","non-dropping-particle":"","parse-names":false,"suffix":""},{"dropping-particle":"","family":"Bouwman","given":"Alexander F.","non-dropping-particle":"","parse-names":false,"suffix":""},{"dropping-particle":"","family":"Buitenhuis","given":"Erik T.","non-dropping-particle":"","parse-names":false,"suffix":""},{"dropping-particle":"","family":"Chang","given":"Jinfeng","non-dropping-particle":"","parse-names":false,"suffix":""},{"dropping-particle":"","family":"Chipperfield","given":"Martyn P.","non-dropping-particle":"","parse-names":false,"suffix":""},{"dropping-particle":"","family":"Dangal","given":"Shree R.S.","non-dropping-particle":"","parse-names":false,"suffix":""},{"dropping-particle":"","family":"Dlugokencky","given":"Edward","non-dropping-particle":"","parse-names":false,"suffix":""},{"dropping-particle":"","family":"Elkins","given":"James W.","non-dropping-particle":"","parse-names":false,"suffix":""},{"dropping-particle":"","family":"Eyre","given":"Bradley D.","non-dropping-particle":"","parse-names":false,"suffix":""},{"dropping-particle":"","family":"Fu","given":"Bojie","non-dropping-particle":"","parse-names":false,"suffix":""},{"dropping-particle":"","family":"Hall","given":"Bradley","non-dropping-particle":"","parse-names":false,"suffix":""},{"dropping-particle":"","family":"Ito","given":"Akihiko","non-dropping-particle":"","parse-names":false,"suffix":""},{"dropping-particle":"","family":"Joos","given":"Fortunat","non-dropping-particle":"","parse-names":false,"suffix":""},{"dropping-particle":"","family":"Krummel","given":"Paul B.","non-dropping-particle":"","parse-names":false,"suffix":""},{"dropping-particle":"","family":"Landolfi","given":"Angela","non-dropping-particle":"","parse-names":false,"suffix":""},{"dropping-particle":"","family":"Laruelle","given":"Goulven G.","non-dropping-particle":"","parse-names":false,"suffix":""},{"dropping-particle":"","family":"Lauerwald","given":"Ronny","non-dropping-particle":"","parse-names":false,"suffix":""},{"dropping-particle":"","family":"Li","given":"Wei","non-dropping-particle":"","parse-names":false,"suffix":""},{"dropping-particle":"","family":"Lienert","given":"Sebastian","non-dropping-particle":"","parse-names":false,"suffix":""},{"dropping-particle":"","family":"Maavara","given":"Taylor","non-dropping-particle":"","parse-names":false,"suffix":""},{"dropping-particle":"","family":"MacLeod","given":"Michael","non-dropping-particle":"","parse-names":false,"suffix":""},{"dropping-particle":"","family":"Millet","given":"Dylan B.","non-dropping-particle":"","parse-names":false,"suffix":""},{"dropping-particle":"","family":"Olin","given":"Stefan","non-dropping-particle":"","parse-names":false,"suffix":""},{"dropping-particle":"","family":"Patra","given":"Prabir K.","non-dropping-particle":"","parse-names":false,"suffix":""},{"dropping-particle":"","family":"Prinn","given":"Ronald G.","non-dropping-particle":"","parse-names":false,"suffix":""},{"dropping-particle":"","family":"Raymond","given":"Peter A.","non-dropping-particle":"","parse-names":false,"suffix":""},{"dropping-particle":"","family":"Ruiz","given":"Daniel J.","non-dropping-particle":"","parse-names":false,"suffix":""},{"dropping-particle":"","family":"Werf","given":"Guido R.","non-dropping-particle":"van der","parse-names":false,"suffix":""},{"dropping-particle":"","family":"Vuichard","given":"Nicolas","non-dropping-particle":"","parse-names":false,"suffix":""},{"dropping-particle":"","family":"Wang","given":"Junjie","non-dropping-particle":"","parse-names":false,"suffix":""},{"dropping-particle":"","family":"Weiss","given":"Ray F.","non-dropping-particle":"","parse-names":false,"suffix":""},{"dropping-particle":"","family":"Wells","given":"Kelley C.","non-dropping-particle":"","parse-names":false,"suffix":""},{"dropping-particle":"","family":"Wilson","given":"Chris","non-dropping-particle":"","parse-names":false,"suffix":""},{"dropping-particle":"","family":"Yang","given":"Jia","non-dropping-particle":"","parse-names":false,"suffix":""},{"dropping-particle":"","family":"Yao","given":"Yuanzhi","non-dropping-particle":"","parse-names":false,"suffix":""}],"container-title":"Nature","id":"ITEM-2","issue":"7828","issued":{"date-parts":[["2020"]]},"page":"248-256","publisher":"Springer US","title":"A comprehensive quantification of global nitrous oxide sources and sinks","type":"article-journal","volume":"586"},"uris":["http://www.mendeley.com/documents/?uuid=da726379-1a8e-4ce8-aa3c-6b8d7ecb3bca"]}],"mendeley":{"formattedCitation":"(Thompson et al., 2019; Tian et al., 2020)","plainTextFormattedCitation":"(Thompson et al., 2019; Tian et al., 2020)","previouslyFormattedCitation":"(Thompson et al., 2019; Tian et al., 2020)"},"properties":{"noteIndex":0},"schema":"https://github.com/citation-style-language/schema/raw/master/csl-citation.json"}</w:instrText>
      </w:r>
      <w:r w:rsidRPr="00203EB0">
        <w:rPr>
          <w:szCs w:val="24"/>
        </w:rPr>
        <w:fldChar w:fldCharType="separate"/>
      </w:r>
      <w:r w:rsidRPr="00203EB0">
        <w:rPr>
          <w:noProof/>
          <w:szCs w:val="24"/>
        </w:rPr>
        <w:t>(Thompson et al., 2019; Tian et al., 2020)</w:t>
      </w:r>
      <w:r w:rsidRPr="00203EB0">
        <w:rPr>
          <w:szCs w:val="24"/>
        </w:rPr>
        <w:fldChar w:fldCharType="end"/>
      </w:r>
      <w:r w:rsidRPr="00203EB0">
        <w:rPr>
          <w:szCs w:val="24"/>
        </w:rPr>
        <w:t xml:space="preserve">. To address these challenges, implementing soil health practices offers a promising avenue to mitigate the environmental footprint while enhancing resilience of agricultural production systems. </w:t>
      </w:r>
    </w:p>
    <w:p w14:paraId="2E8F0A0E" w14:textId="4EED1AAB" w:rsidR="00025EEA" w:rsidRPr="00203EB0" w:rsidRDefault="00025EEA" w:rsidP="00680982">
      <w:pPr>
        <w:spacing w:after="160" w:line="480" w:lineRule="auto"/>
        <w:contextualSpacing/>
        <w:rPr>
          <w:rFonts w:cs="Times New Roman"/>
        </w:rPr>
      </w:pPr>
      <w:r w:rsidRPr="00203EB0">
        <w:rPr>
          <w:rFonts w:cs="Times New Roman"/>
        </w:rPr>
        <w:t xml:space="preserve">In this context, long-term adoption of no-till and cover cropping has emerged as a viable strategy to reduce the environmental impacts of managed agricultural systems </w:t>
      </w:r>
      <w:r w:rsidRPr="00203EB0">
        <w:rPr>
          <w:rFonts w:cs="Times New Roman"/>
        </w:rPr>
        <w:fldChar w:fldCharType="begin" w:fldLock="1"/>
      </w:r>
      <w:r w:rsidRPr="00203EB0">
        <w:rPr>
          <w:rFonts w:cs="Times New Roman"/>
        </w:rPr>
        <w:instrText>ADDIN CSL_CITATION {"citationItems":[{"id":"ITEM-1","itemData":{"DOI":"10.1016/j.agee.2014.10.024","ISSN":"01678809","abstract":"A promising option to sequester carbon in agricultural soils is the inclusion of cover crops in cropping systems. The advantage of cover crops as compared to other management practices that increase soil organic carbon (SOC) is that they neither cause a decline in yields, like extensification, nor carbon losses in other systems, like organic manure applications may do. However, the effect of cover crop green manuring on SOC stocks is widely overlooked. We therefore conducted a meta-analysis to derive a carbon response function describing SOC stock changes as a function of time. Data from 139 plots at 37 different sites were compiled. In total, the cover crop treatments had a significantly higher SOC stock than the reference croplands. The time since introduction of cover crops in crop rotations was linearly correlated with SOC stock change (R2=0.19) with an annual change rate of 0.32±0.08Mgha-1yr-1 in a mean soil depth of 22cm and during the observed period of up to 54 years. Elevation above sea level of the plot and sampling depth could be used as explanatory variables to improve the model fit. Assuming that the observed linear SOC accumulation would not proceed indefinitely, we modeled the average SOC stock change with the carbon turnover model RothC. The predicted new steady state was reached after 155 years of cover crop cultivation with a total mean SOC stock accumulation of 16.7±1.5Mgha-1 for a soil depth of 22cm. Thus, the C input driven SOC sequestration with the introduction of cover crops proved to be highly efficient. We estimated a potential global SOC sequestration of 0.12±0.03PgCyr-1, which would compensate for 8% of the direct annual greenhouse gas emissions from agriculture. However, altered N2O emissions and albedo due to cover crop cultivation have not been taken into account here. Data on those processes, which are most likely species-specific, would be needed for reliable greenhouse gas budgets.","author":[{"dropping-particle":"","family":"Poeplau","given":"Christopher","non-dropping-particle":"","parse-names":false,"suffix":""},{"dropping-particle":"","family":"Don","given":"Axel","non-dropping-particle":"","parse-names":false,"suffix":""}],"container-title":"Agriculture, Ecosystems and Environment","id":"ITEM-1","issued":{"date-parts":[["2015"]]},"page":"33-41","publisher":"Elsevier B.V.","title":"Carbon sequestration in agricultural soils via cultivation of cover crops - A meta-analysis","type":"article-journal","volume":"200"},"uris":["http://www.mendeley.com/documents/?uuid=91f08793-f8b2-419b-a289-f140ca85a4f4"]},{"id":"ITEM-2","itemData":{"DOI":"10.2134/agronj15.0086","ISSN":"14350645","abstract":"Cover crops (CCs) can provide multiple soil, agricultural production, and environmental benefits. However, a better understanding of such potential ecosystem services is needed. We summarized the current state of knowledge of CC effects on soil C stocks, soil erosion, physical properties, soil water, nutrients, microbial properties, weed control, crop yields, expanded uses, and economics and highlighted research needs. Our review indicates that CCs are multifunctional. Cover crops increase soil organic C stocks (0.1-1. Mg ha-1 yr-1) with the magnitude depending on biomass amount, years in CCs, and initial soil C level. Runoff loss can decrease by up to 80% and sediment loss from 40 to 96% with CCs. Wind erosion potential also decreases with CCs, but studies are few. Cover crops alleviate soil compaction, improve soil structural and hydraulic properties, moderate soil temperature, improve microbial properties, recycle nutrients, and suppress weeds. Cover crops increase or have no effect on crop yields but reduce yields in water-limited regions by reducing available water for the subsequent crops. The few available studies indicate that grazing and haying of CCs do not adversely affect soil and crop production, which suggests that CC biomass removal for livestock or biofuel production can be another benefit from CCs. Overall, CCs provide numerous ecosystem services (i.e., soil, crop-livestock systems, and environment), although the magnitude of benefits is highly site specific. More research data are needed on the (i) multi-functionality of CCs for different climates and management scenarios and (ii) short-and long-term economic return from CCs.","author":[{"dropping-particle":"","family":"Blanco-Canqui","given":"Humberto","non-dropping-particle":"","parse-names":false,"suffix":""},{"dropping-particle":"","family":"Shaver","given":"Tim M.","non-dropping-particle":"","parse-names":false,"suffix":""},{"dropping-particle":"","family":"Lindquist","given":"John L.","non-dropping-particle":"","parse-names":false,"suffix":""},{"dropping-particle":"","family":"Shapiro","given":"Charles A.","non-dropping-particle":"","parse-names":false,"suffix":""},{"dropping-particle":"","family":"Elmore","given":"Roger W.","non-dropping-particle":"","parse-names":false,"suffix":""},{"dropping-particle":"","family":"Francis","given":"Charles A.","non-dropping-particle":"","parse-names":false,"suffix":""},{"dropping-particle":"","family":"Hergert","given":"Gary W.","non-dropping-particle":"","parse-names":false,"suffix":""}],"container-title":"Agronomy Journal","id":"ITEM-2","issue":"6","issued":{"date-parts":[["2015"]]},"page":"2449-2474","title":"Cover crops and ecosystem services: Insights from studies in temperate soils","type":"article-journal","volume":"107"},"uris":["http://www.mendeley.com/documents/?uuid=20454a17-5493-4265-8396-8283e61f78b2"]}],"mendeley":{"formattedCitation":"(Blanco-Canqui et al., 2015; Poeplau and Don, 2015)","plainTextFormattedCitation":"(Blanco-Canqui et al., 2015; Poeplau and Don, 2015)","previouslyFormattedCitation":"(Blanco-Canqui et al., 2015; Poeplau and Don, 2015)"},"properties":{"noteIndex":0},"schema":"https://github.com/citation-style-language/schema/raw/master/csl-citation.json"}</w:instrText>
      </w:r>
      <w:r w:rsidRPr="00203EB0">
        <w:rPr>
          <w:rFonts w:cs="Times New Roman"/>
        </w:rPr>
        <w:fldChar w:fldCharType="separate"/>
      </w:r>
      <w:r w:rsidRPr="00203EB0">
        <w:rPr>
          <w:rFonts w:cs="Times New Roman"/>
          <w:noProof/>
        </w:rPr>
        <w:t>(Blanco-Canqui et al., 2015; Poeplau and Don, 2015)</w:t>
      </w:r>
      <w:r w:rsidRPr="00203EB0">
        <w:rPr>
          <w:rFonts w:cs="Times New Roman"/>
        </w:rPr>
        <w:fldChar w:fldCharType="end"/>
      </w:r>
      <w:r w:rsidRPr="00203EB0">
        <w:rPr>
          <w:rFonts w:cs="Times New Roman"/>
        </w:rPr>
        <w:t xml:space="preserve">. These practices influence soil physical and chemical properties, including organic matter content, soil structure, pore network, and moisture dynamics </w:t>
      </w:r>
      <w:r w:rsidRPr="00203EB0">
        <w:rPr>
          <w:rFonts w:cs="Times New Roman"/>
        </w:rPr>
        <w:fldChar w:fldCharType="begin" w:fldLock="1"/>
      </w:r>
      <w:r w:rsidR="00EB2F35" w:rsidRPr="00203EB0">
        <w:rPr>
          <w:rFonts w:cs="Times New Roman"/>
        </w:rPr>
        <w:instrText xml:space="preserve">ADDIN CSL_CITATION {"citationItems":[{"id":"ITEM-1","itemData":{"DOI":"10.1080/07352680902776358","ISSN":"07352689","abstract":"Improving food security, environmental preservation and enhancing livelihood should be the main targets of the innovators of today's farming systems. Conservation agriculture (CA), based on minimum tillage, crop residue retention, and crop rotations, has been proposed as an alternative system combining benefits for the farmer with advantages for the society. This paper reviews the potential impact of CA on C sequestration by synthesizing the knowledge of carbon and nitrogen cycling in agriculture; summarizing the influence of tillage, residue management, and crop rotation on soil organic carbon stocks; and compiling the existing case study information. To evaluate the C sequestration capacity of farming practices, their influence on emissions from farming activities should be considered together with their influence on soil C stocks. The largest contribution of CA to reducing emissions from farming activities is made by the reduction of tillage operations. The soil C case study results are not conclusive. In 7 of the 78 cases withheld, the soil C stock was lower in zero compared to conventional tillage, in 40 cases it was higher, and in 31 of the cases there was no significant difference. The mechanisms that govern the balance between increased or no sequestration after conversion to zero tillage are not clear, although some factors that play a role can be distinguished, e.g., root development and rhizodeposits, baseline soil C content, bulk density and porosity, climate, landscape position, and erosion/deposition history. Altering crop rotation can influence soil C stocks by changing quantity and quality of organic matter input. More research is needed, especially in the tropical areas where good quantitative information is lacking. However, even if C sequestration is questionable in some areas and cropping systems, CA remains an important technology that improves soil processes, controls soil erosion and reduces production cost.","author":[{"dropping-particle":"","family":"Govaerts","given":"B.","non-dropping-particle":"","parse-names":false,"suffix":""},{"dropping-particle":"","family":"Verhulst","given":"N.","non-dropping-particle":"","parse-names":false,"suffix":""},{"dropping-particle":"","family":"Castellanos-Navarrete","given":"A.","non-dropping-particle":"","parse-names":false,"suffix":""},{"dropping-particle":"","family":"Sayre","given":"K. D.","non-dropping-particle":"","parse-names":false,"suffix":""},{"dropping-particle":"","family":"Dixon","given":"J.","non-dropping-particle":"","parse-names":false,"suffix":""},{"dropping-particle":"","family":"Dendooven","given":"L.","non-dropping-particle":"","parse-names":false,"suffix":""}],"container-title":"Critical Reviews in Plant Sciences","id":"ITEM-1","issue":"3","issued":{"date-parts":[["2009"]]},"page":"97-122","title":"Conservation agriculture and soil carbon sequestration: Between myth and farmer reality","type":"article-journal","volume":"28"},"uris":["http://www.mendeley.com/documents/?uuid=669e325d-eafd-44ef-8616-997fba9e19ab"]},{"id":"ITEM-2","itemData":{"DOI":"10.1016/j.geoderma.2018.10.016","ISSN":"00167061","abstract":"In subhumid Southeastern USA, rapid decomposition of initially low cotton residue limits the benefits of no-tillage system in regard to the soil quality. Long-term addition of cover crops may compensate the low cotton residue and further improve the soil physical quality under no-tillage system. We examined the long-term (34 yr) effect of two cover crop species, hairy vetch (Vicia villosa), and winter wheat (Triticum aestivum L.), and no cover crop, applied on conventional tillage and no-tillage on soil hydro-physical properties and cotton yield. Research was conducted on a Lexington silt loam in Jackson, TN, during 2015 and 2016. Soil physical properties including bulk density, cone penetration resistance, in-situ soil moisture content, wet aggregate stability, water infiltration and field-saturated hydraulic conductivity, soil water retention characteristics, and dry aggregate size distribution were measured. Bulk density assessed before the annual tillage did not differ significantly between no-tillage and conventional tillage systems. Cone penetration resistance showed a greater horizontal consistency of maximally resistant zones (&gt;2 MPa) under tilled managements, indicating a possible presence of a plow pan immediately below the plowed soil layer. Differences in field soil moisture content among tillage and cover crops were more evident in drier periods of the growing seasons, resulting in 28.6% and 36.4% greater moisture content in vetch cover crop and no-tillage than no cover crop and conventional tillage, respectively. No-tillage and vetch cover crop also increased the wet aggregate stability by 13% at 0–15 cm. Results showed a significant tillage × cover crop interaction in soil hydraulic properties. Our result demonstrates that long-term incorporation of cover crops, particularly vetch with no-tillage, significantly improved the initial infiltration rate, cumulative infiltration, and field-saturated hydraulic conductivity and increased the mean weight diameter of aggregates by promoting the macroaggregation. Improvement in soil physical properties was associated with an increase in cotton lint yield under cover crop and no-tillage management.","author":[{"dropping-particle":"","family":"Nouri","given":"Amin","non-dropping-particle":"","parse-names":false,"suffix":""},{"dropping-particle":"","family":"Lee","given":"Jaehoon","non-dropping-particle":"","parse-names":false,"suffix":""},{"dropping-particle":"","family":"Yin","given":"Xinhua","non-dropping-particle":"","parse-names":false,"suffix":""},{"dropping-particle":"","family":"Tyler","given":"Donald D.","non-dropping-particle":"","parse-names":false,"suffix":""},{"dropping-particle":"","family":"Saxton","given":"Arnold M.","non-dropping-particle":"","parse-names":false,"suffix":""}],"container-title":"Geoderma","id":"ITEM-2","issued":{"date-parts":[["2019"]]},"page":"998-1008","publisher":"Elsevier","title":"Thirty-four years of no-tillage and cover crops improve soil quality and increase cotton yield in Alfisols, Southeastern USA","type":"article-journal","volume":"337"},"uris":["http://www.mendeley.com/documents/?uuid=f59bd687-1bf6-498c-9a57-cf742e9572be"]},{"id":"ITEM-3","itemData":{"DOI":"10.1016/j.geoderma.2021.115443","ISSN":"00167061","abstract":"Role of soil to meet global food security, sustainable intensification and food nutritional quality has got renewed attention with a larger focus on soil physical condition. No-tillage (NT) practice can essentially contribute to develop a sustainable, low carbon and resource efficient agriculture, and encourage the use of crop residues for added soil benefits. Soil aggregation and pore size distribution, two most important soil physical factors controlling the mass and energy transport processes within the soil and between soil and environment, were evaluated under the NT through a global meta-analysis of 5065 pairs of data points from 419 peer-reviewed studies. Compared to conventional tillage (CT), NT increased mean weight diameter of aggregates, water stable aggregates, and macroaggregates by averages (0–30 cm) of 25, 10 and 22%, respectively, although predominantly in 0–10 and/or 10–20 cm layers, with an accompanying reduction in microaggregates. A small but significant 3% decrease in total porosity, a large reduction (20–32%) in macroporosity and a moderate increase (4–7%) in microporosity were realized under NT up to 20 cm soil depth. Bulk density remained stable, although a very large decrease (70% change over CT) in saturated hydraulic conductivity was recorded in 10–20 and &gt;30 cm soil layers. Years of adoption of NT had an additive effect on mean weight diameter and macroaggregates, and the total and macroporosity. Increase in latitudes favoured soil aggregation and micropore volume under NT, while clay content was unfavourable to macro- and water stable aggregate contents. Improvement in structure and water retention properties relate to long-term sustainable development of soils by following no-till practice, which has far-reaching implications beyond the boundaries of agronomy.","author":[{"dropping-particle":"","family":"Mondal","given":"Surajit","non-dropping-particle":"","parse-names":false,"suffix":""},{"dropping-particle":"","family":"Chakraborty","given":"Debashis","non-dropping-particle":"","parse-names":false,"suffix":""}],"container-title":"Geoderma","id":"ITEM-3","issue":"November 2020","issued":{"date-parts":[["2022"]]},"page":"115443","publisher":"Elsevier B.V.","title":"Global meta-analysis suggests that no-tillage favourably changes soil structure and porosity","type":"article-journal","volume":"405"},"uris":["http://www.mendeley.com/documents/?uuid=a13fbd8c-173d-4fa2-9b1a-2e65ef485046"]},{"id":"ITEM-4","itemData":{"DOI":"10.1016/j.iswcr.2023.03.003","ISSN":"2589059X","abstract":"Soil health depletion due to intensive tillage operations is a global issue in the agricultural sector. Conservation tillage (CT) which involves non-inversion tillage and leaving </w:instrText>
      </w:r>
      <w:r w:rsidR="00EB2F35" w:rsidRPr="00203EB0">
        <w:rPr>
          <w:rFonts w:ascii="Cambria Math" w:hAnsi="Cambria Math" w:cs="Cambria Math"/>
        </w:rPr>
        <w:instrText>∼</w:instrText>
      </w:r>
      <w:r w:rsidR="00EB2F35" w:rsidRPr="00203EB0">
        <w:rPr>
          <w:rFonts w:cs="Times New Roman"/>
        </w:rPr>
        <w:instrText>30% of the soil surface covered with crop residues, is a strategy designed to enhance soil health. However, no comprehensive study to investigate the long-term effect of CT on soil biological activity and the soil nutrient supply has yet been widely carried out. Biological and chemical soil properties were assessed at depths 0–5, 10–15, and 20–25 cm depths after 18 years of CT and conventional tillage practice (PT). Various stages in the vegetative growth of maize were investigated in 2021 in Hungary. The findings indicated that tillage intensity, soil depth, and growth stages all significantly influenced soil enzyme activities and the concentration of soil nutrients. Less soil disturbance resulted in a significantly larger concentration of soil carbon parameters (total organic carbon and labile carbon) in CT plots, where the activity of β-glucosidase and dehydrogenase (DHA) in the upper soil layer increased significantly (0.7–2.6 and 2.6–4.7 times, respectively) compared to PT. The high amount of organic matter and the greater resistance to erosion observed in CT also contributed to the higher concentration of available nutrients (NH4, NO3, Ca, K) and total P in the surface soil layer. Phosphatase activity was highest in the mid-stage of vegetative growth and was positively correlated to the total P concentration. The alterations in soil water content were clearly negatively correlated with the change in DHA and phosphatase activity. Overall, due to the more balanced environmental conditions, the decomposition of organic substances was more balanced and slower in CT than in PT. This implied that the mobilization of nutrients in the soil was more balanced as well, and that the nutrients were released gradually. The enhancement of the soil nutrient-supplying capacity achieved by means of long-term conservation tillage provides a promising strategy for sustainable nutrient management.","author":[{"dropping-particle":"","family":"Nugroho","given":"Priyo Adi","non-dropping-particle":"","parse-names":false,"suffix":""},{"dropping-particle":"","family":"Juhos","given":"Katalin","non-dropping-particle":"","parse-names":false,"suffix":""},{"dropping-particle":"","family":"Prettl","given":"Nándor","non-dropping-particle":"","parse-names":false,"suffix":""},{"dropping-particle":"","family":"Madarász","given":"Balázs","non-dropping-particle":"","parse-names":false,"suffix":""},{"dropping-particle":"","family":"Kotroczó","given":"Zsolt","non-dropping-particle":"","parse-names":false,"suffix":""}],"container-title":"International Soil and Water Conservation Research","id":"ITEM-4","issue":"3","issued":{"date-parts":[["2023"]]},"page":"528-537","title":"Long-term conservation tillage results in a more balanced soil microbiological activity and higher nutrient supply capacity","type":"article-journal","volume":"11"},"uris":["http://www.mendeley.com/documents/?uuid=85bc7b1c-4ba4-4fc5-bb5c-162ccb2c6aaf"]},{"id":"ITEM-5","itemData":{"DOI":"10.1016/j.scitotenv.2024.171782","ISSN":"18791026","PMID":"38521256","abstract":"Microscale alterations in soil physical characteristics resulting from long-term soil health practices can contribute to changes in soil nitrous oxide (N2O) emissions. In this study, we investigated soil N2O emissions in relation to pore characteristics influencing soil gas diffusivity under long-term tillage and cover cropping practices. Intact soil cores from tillage (conventional tillage, Conv. T versus no tillage, NT) and cover crop (hairy vetch, HV versus no cover crop, NC) treatments were used for N2O measurements and computed tomography (CT) scanning. Using X-ray CT technique with a resolution of 59 μm, pore structure parameters including macroporosity, number of macropores, anisotropy, fractal dimension, tortuosity, and connectivity were determined. The results showed that Conv. T and HV emitted significantly higher N2O than NT and NC, respectively. A similar trend was observed for macroporosity, Conv. T soils had 27.4 % higher CT-derived macroporosity than the NT soils and HV increased macroporosity by 31.1 % over the NC treatment. The number of macropores and fractal dimension were significantly higher whereas degree of anisotropy was significantly lower under HV compared to NC. In the upper 3 cm of soil, HV had a connected porosity, whereas the pores were disconnected and isolated in NC. These CT-derived properties; however, were not impacted by tillage treatments. N2O emissions were positively and significantly correlated to relative soil gas diffusivity, CT-derived macroporosity, number of macropores, and fractal dimension. Our results demonstrated that soil macroporosity and relative gas diffusivity could lead to improved understanding and predictability of N2O emissions under high soil moisture conditions.","author":[{"dropping-particle":"","family":"Dhaliwal","given":"Jashanjeet K.","non-dropping-particle":"","parse-names":false,"suffix":""},{"dropping-particle":"","family":"Anderson","given":"Stephen H.","non-dropping-particle":"","parse-names":false,"suffix":""},{"dropping-particle":"","family":"Lee","given":"Jaehoon","non-dropping-particle":"","parse-names":false,"suffix":""},{"dropping-particle":"","family":"Jagadamma","given":"Sindhu","non-dropping-particle":"","parse-names":false,"suffix":""},{"dropping-particle":"","family":"Saha","given":"Debasish","non-dropping-particle":"","parse-names":false,"suffix":""}],"container-title":"Science of the Total Environment","id":"ITEM-5","issue":"March","issued":{"date-parts":[["2024"]]},"page":"171782","publisher":"Elsevier B.V.","title":"Computed tomography scanning revealed macropore-controlled N2O emissions under long-term tillage and cover cropping practices","type":"article-journal","volume":"926"},"uris":["http://www.mendeley.com/documents/?uuid=a0642b43-bd78-4eb5-b0e0-a7b007762c96"]}],"mendeley":{"formattedCitation":"(Govaerts et al., 2009; Nouri et al., 2019; Mondal and Chakraborty, 2022; Nugroho et al., 2023; Dhaliwal et al., 2024a)","plainTextFormattedCitation":"(Govaerts et al., 2009; Nouri et al., 2019; Mondal and Chakraborty, 2022; Nugroho et al., 2023; Dhaliwal et al., 2024a)","previouslyFormattedCitation":"(Govaerts et al., 2009; Nouri et al., 2019; Mondal and Chakraborty, 2022; Nugroho et al., 2023; Dhaliwal et al., 2024a)"},"properties":{"noteIndex":0},"schema":"https://github.com/citation-style-language/schema/raw/master/csl-citation.json"}</w:instrText>
      </w:r>
      <w:r w:rsidRPr="00203EB0">
        <w:rPr>
          <w:rFonts w:cs="Times New Roman"/>
        </w:rPr>
        <w:fldChar w:fldCharType="separate"/>
      </w:r>
      <w:r w:rsidR="00EB2F35" w:rsidRPr="00203EB0">
        <w:rPr>
          <w:rFonts w:cs="Times New Roman"/>
          <w:noProof/>
        </w:rPr>
        <w:t>(Govaerts et al., 2009; Nouri et al., 2019; Mondal and Chakraborty, 2022; Nugroho et al., 2023; Dhaliwal et al., 2024a)</w:t>
      </w:r>
      <w:r w:rsidRPr="00203EB0">
        <w:rPr>
          <w:rFonts w:cs="Times New Roman"/>
        </w:rPr>
        <w:fldChar w:fldCharType="end"/>
      </w:r>
      <w:r w:rsidRPr="00203EB0">
        <w:rPr>
          <w:rFonts w:cs="Times New Roman"/>
        </w:rPr>
        <w:t xml:space="preserve">. In turn, these changes impact soil microbial communities by altering their diversity, structure, and functional potential </w:t>
      </w:r>
      <w:r w:rsidRPr="00203EB0">
        <w:rPr>
          <w:rFonts w:cs="Times New Roman"/>
        </w:rPr>
        <w:fldChar w:fldCharType="begin" w:fldLock="1"/>
      </w:r>
      <w:r w:rsidRPr="00203EB0">
        <w:rPr>
          <w:rFonts w:cs="Times New Roman"/>
        </w:rPr>
        <w:instrText>ADDIN CSL_CITATION {"citationItems":[{"id":"ITEM-1","itemData":{"DOI":"10.1038/s41467-024-47755-x","ISSN":"20411723","PMID":"38678028","abstract":"Delineation of microbial habitats within the soil matrix and characterization of their environments and metabolic processes are crucial to understand soil functioning, yet their experimental identification remains persistently limited. We combined single- and triple-energy X-ray computed microtomography with pore specific allocation of 13C labeled glucose and subsequent stable isotope probing to demonstrate how long-term disparities in vegetation history modify spatial distribution patterns of soil pore and particulate organic matter drivers of microbial habitats, and to probe bacterial communities populating such habitats. Here we show striking differences between large (30-150 µm Ø) and small (4-10 µm Ø) soil pores in (i) microbial diversity, composition, and life-strategies, (ii) responses to added substrate, (iii) metabolic pathways, and (iv) the processing and fate of labile C. We propose a microbial habitat classification concept based on biogeochemical mechanisms and localization of soil processes and also suggests interventions to mitigate the environmental consequences of agricultural management.","author":[{"dropping-particle":"","family":"Li","given":"Zheng","non-dropping-particle":"","parse-names":false,"suffix":""},{"dropping-particle":"","family":"Kravchenko","given":"Alexandra N.","non-dropping-particle":"","parse-names":false,"suffix":""},{"dropping-particle":"","family":"Cupples","given":"Alison","non-dropping-particle":"","parse-names":false,"suffix":""},{"dropping-particle":"","family":"Guber","given":"Andrey K.","non-dropping-particle":"","parse-names":false,"suffix":""},{"dropping-particle":"","family":"Kuzyakov","given":"Yakov","non-dropping-particle":"","parse-names":false,"suffix":""},{"dropping-particle":"","family":"Philip Robertson","given":"G.","non-dropping-particle":"","parse-names":false,"suffix":""},{"dropping-particle":"","family":"Blagodatskaya","given":"Evgenia","non-dropping-particle":"","parse-names":false,"suffix":""}],"container-title":"Nature Communications","id":"ITEM-1","issue":"1","issued":{"date-parts":[["2024"]]},"page":"1-16","publisher":"Springer US","title":"Composition and metabolism of microbial communities in soil pores","type":"article-journal","volume":"15"},"uris":["http://www.mendeley.com/documents/?uuid=17f0711d-51a9-4005-a1bf-a548af65ca6a"]}],"mendeley":{"formattedCitation":"(Li et al., 2024)","plainTextFormattedCitation":"(Li et al., 2024)","previouslyFormattedCitation":"(Li et al., 2024)"},"properties":{"noteIndex":0},"schema":"https://github.com/citation-style-language/schema/raw/master/csl-citation.json"}</w:instrText>
      </w:r>
      <w:r w:rsidRPr="00203EB0">
        <w:rPr>
          <w:rFonts w:cs="Times New Roman"/>
        </w:rPr>
        <w:fldChar w:fldCharType="separate"/>
      </w:r>
      <w:r w:rsidRPr="00203EB0">
        <w:rPr>
          <w:rFonts w:cs="Times New Roman"/>
          <w:noProof/>
        </w:rPr>
        <w:t>(Li et al., 2024)</w:t>
      </w:r>
      <w:r w:rsidRPr="00203EB0">
        <w:rPr>
          <w:rFonts w:cs="Times New Roman"/>
        </w:rPr>
        <w:fldChar w:fldCharType="end"/>
      </w:r>
      <w:r w:rsidRPr="00203EB0">
        <w:rPr>
          <w:rFonts w:cs="Times New Roman"/>
        </w:rPr>
        <w:t>. This is particularly relevant for mitigating N</w:t>
      </w:r>
      <w:r w:rsidRPr="00203EB0">
        <w:rPr>
          <w:rFonts w:cs="Times New Roman"/>
          <w:vertAlign w:val="subscript"/>
        </w:rPr>
        <w:t>2</w:t>
      </w:r>
      <w:r w:rsidRPr="00203EB0">
        <w:rPr>
          <w:rFonts w:cs="Times New Roman"/>
        </w:rPr>
        <w:t>O emissions, as microbial pathways responsible for N</w:t>
      </w:r>
      <w:r w:rsidRPr="00203EB0">
        <w:rPr>
          <w:rFonts w:cs="Times New Roman"/>
          <w:vertAlign w:val="subscript"/>
        </w:rPr>
        <w:t>2</w:t>
      </w:r>
      <w:r w:rsidRPr="00203EB0">
        <w:rPr>
          <w:rFonts w:cs="Times New Roman"/>
        </w:rPr>
        <w:t xml:space="preserve">O production are sensitive to shifts in biogeochemical conditions </w:t>
      </w:r>
      <w:r w:rsidRPr="00203EB0">
        <w:rPr>
          <w:rFonts w:cs="Times New Roman"/>
        </w:rPr>
        <w:fldChar w:fldCharType="begin" w:fldLock="1"/>
      </w:r>
      <w:r w:rsidR="00EB2F35" w:rsidRPr="00203EB0">
        <w:rPr>
          <w:rFonts w:cs="Times New Roman"/>
        </w:rPr>
        <w:instrText>ADDIN CSL_CITATION {"citationItems":[{"id":"ITEM-1","itemData":{"DOI":"10.3389/fmicb.2022.1093487","ISSN":"1664302X","abstract":"Changes in soil CO2 and N2O emissions due to climate change and nitrogen input will result in increased levels of atmospheric CO2 and N2O, thereby feeding back into Earth’s climate. Understanding the responses of soil carbon and nitrogen emissions mediated by microbe from permafrost peatland to temperature rising is important for modeling the regional carbon and nitrogen balance. This study conducted a laboratory incubation experiment at 15 and 20°C to observe the impact of increasing temperature on soil CO2 and N2O emissions and soil microbial abundances in permafrost peatland. An NH4NO3 solution was added to soil at a concentration of 50 mg N kg−1 to investigate the effect of nitrogen addition. The results indicated that elevated temperature, available nitrogen, and their combined effects significantly increased CO2 and N2O emissions in permafrost peatland. However, the temperature sensitivities of soil CO2 and N2O emissions were not affected by nitrogen addition. Warming significantly increased the abundances of methanogens, methanotrophs, and nirK-type denitrifiers, and the contents of soil dissolved organic carbon (DOC) and ammonia nitrogen, whereas nirS-type denitrifiers, β-1,4-glucosidase (βG), cellobiohydrolase (CBH), and acid phosphatase (AP) activities significantly decreased. Nitrogen addition significantly increased soil nirS-type denitrifiers abundances, β-1,4-N- acetylglucosaminidase (NAG) activities, and ammonia nitrogen and nitrate nitrogen contents, but significantly reduced bacterial, methanogen abundances, CBH, and AP activities. A rising temperature and nitrogen addition had synergistic effects on soil fungal and methanotroph abundances, NAG activities, and DOC and DON contents. Soil CO2 emissions showed a significantly positive correlation with soil fungal abundances, NAG activities, and ammonia nitrogen and nitrate nitrogen contents. Soil N2O emissions showed positive correlations with soil fungal, methanotroph, and nirK-type denitrifiers abundances, and DOC, ammonia nitrogen, and nitrate contents. These results demonstrate the importance of soil microbes, labile carbon, and nitrogen for regulating soil carbon and nitrogen emissions. The results of this study can assist simulating the effects of global climate change on carbon and nitrogen cycling in permafrost peatlands.","author":[{"dropping-particle":"","family":"Song","given":"Yanyu","non-dropping-particle":"","parse-names":false,"suffix":""},{"dropping-particle":"","family":"Cheng","given":"Xiaofeng","non-dropping-particle":"","parse-names":false,"suffix":""},{"dropping-particle":"","family":"Song","given":"Changchun","non-dropping-particle":"","parse-names":false,"suffix":""},{"dropping-particle":"","family":"Li","given":"Mengting","non-dropping-particle":"","parse-names":false,"suffix":""},{"dropping-particle":"","family":"Gao","given":"Siqi","non-dropping-particle":"","parse-names":false,"suffix":""},{"dropping-particle":"","family":"Liu","given":"Zhendi","non-dropping-particle":"","parse-names":false,"suffix":""},{"dropping-particle":"","family":"Gao","given":"Jinli","non-dropping-particle":"","parse-names":false,"suffix":""},{"dropping-particle":"","family":"Wang","given":"Xianwei","non-dropping-particle":"","parse-names":false,"suffix":""}],"container-title":"Frontiers in Microbiology","id":"ITEM-1","issue":"December","issued":{"date-parts":[["2022"]]},"page":"1-13","title":"Soil CO2 and N2O emissions and microbial abundances altered by temperature rise and nitrogen addition in active-layer soils of permafrost peatland","type":"article-journal","volume":"13"},"uris":["http://www.mendeley.com/documents/?uuid=4dad4c5d-908b-468d-bbae-d672b5fdbdbb"]}],"mendeley":{"formattedCitation":"(Song et al., 2022a)","manualFormatting":"(Song et al., 2022)","plainTextFormattedCitation":"(Song et al., 2022a)","previouslyFormattedCitation":"(Song et al., 2022a)"},"properties":{"noteIndex":0},"schema":"https://github.com/citation-style-language/schema/raw/master/csl-citation.json"}</w:instrText>
      </w:r>
      <w:r w:rsidRPr="00203EB0">
        <w:rPr>
          <w:rFonts w:cs="Times New Roman"/>
        </w:rPr>
        <w:fldChar w:fldCharType="separate"/>
      </w:r>
      <w:r w:rsidRPr="00203EB0">
        <w:rPr>
          <w:rFonts w:cs="Times New Roman"/>
          <w:noProof/>
        </w:rPr>
        <w:t>(Song et al., 2022)</w:t>
      </w:r>
      <w:r w:rsidRPr="00203EB0">
        <w:rPr>
          <w:rFonts w:cs="Times New Roman"/>
        </w:rPr>
        <w:fldChar w:fldCharType="end"/>
      </w:r>
      <w:r w:rsidRPr="00203EB0">
        <w:rPr>
          <w:rFonts w:cs="Times New Roman"/>
        </w:rPr>
        <w:t xml:space="preserve">. </w:t>
      </w:r>
    </w:p>
    <w:p w14:paraId="408182DE" w14:textId="375A93E9" w:rsidR="00025EEA" w:rsidRPr="00203EB0" w:rsidRDefault="00025EEA" w:rsidP="00680982">
      <w:pPr>
        <w:spacing w:after="160" w:line="480" w:lineRule="auto"/>
        <w:contextualSpacing/>
        <w:rPr>
          <w:rFonts w:cs="Times New Roman"/>
        </w:rPr>
      </w:pPr>
      <w:r w:rsidRPr="00203EB0">
        <w:rPr>
          <w:rFonts w:cs="Times New Roman"/>
        </w:rPr>
        <w:t xml:space="preserve">Management practices such as N fertilization, tillage, and cover cropping are well known to influence soil microbial communities </w:t>
      </w:r>
      <w:r w:rsidRPr="00203EB0">
        <w:rPr>
          <w:rFonts w:cs="Times New Roman"/>
        </w:rPr>
        <w:fldChar w:fldCharType="begin" w:fldLock="1"/>
      </w:r>
      <w:r w:rsidRPr="00203EB0">
        <w:rPr>
          <w:rFonts w:cs="Times New Roman"/>
        </w:rPr>
        <w:instrText>ADDIN CSL_CITATION {"citationItems":[{"id":"ITEM-1","itemData":{"DOI":"10.1128/AEM.02726-09","ISSN":"00992240","PMID":"20382808","abstract":"Bacterial communities are important not only in the cycling of organic compounds but also in maintaining ecosystems. Specific bacterial groups can be affected as a result of changes in environmental conditions caused by human activities, such as agricultural practices. The aim of this study was to analyze the effects of different forms of tillage and residue management on soil bacterial communities by using phylogenetic and multivariate analyses. Treatments involving zero tillage (ZT) and conventional tillage (CT) with their respective combinations of residue management, i.e., removed residue (-R) and kept residue (+R), and maize/wheat rotation, were selected from a long-term field trial started in 1991. Analysis of bacterial diversity showed that soils under zero tillage and crop residue retention (ZT/+R) had the highest levels of diversity and richness. Multivariate analysis showed that beneficial bacterial groups such as fluorescent Pseudomonas spp. and Burkholderiales were favored by residue retention (ZT/+R and CT/+R) and negatively affected by residue removal (ZT/-R). Zero-tillage treatments (ZT/+R and ZT/-R) had a positive effect on the Rhizobiales group, with its main representatives related to Methylosinus spp. known as methane-oxidizing bacteria. It can be concluded that practices that include reduced tillage and crop residue retention can be adopted as safer agricultural practices to preserve and improve the diversity of soil bacterial communities. Copyright © 2010, American Society for Microbiology. All Rights Reserved.","author":[{"dropping-particle":"","family":"Ceja-Navarro","given":"Javier A.","non-dropping-particle":"","parse-names":false,"suffix":""},{"dropping-particle":"","family":"Rivera-Orduña","given":"Flor N.","non-dropping-particle":"","parse-names":false,"suffix":""},{"dropping-particle":"","family":"Patiño-Zúñiga","given":"Leonardo","non-dropping-particle":"","parse-names":false,"suffix":""},{"dropping-particle":"","family":"Vila-Sanjurjo","given":"Antón","non-dropping-particle":"","parse-names":false,"suffix":""},{"dropping-particle":"","family":"Crossa","given":"José","non-dropping-particle":"","parse-names":false,"suffix":""},{"dropping-particle":"","family":"Govaerts","given":"Bram","non-dropping-particle":"","parse-names":false,"suffix":""},{"dropping-particle":"","family":"Dendooven","given":"Luc","non-dropping-particle":"","parse-names":false,"suffix":""}],"container-title":"Applied and Environmental Microbiology","id":"ITEM-1","issue":"11","issued":{"date-parts":[["2010"]]},"page":"3685-3691","title":"Phylogenetic and multivariate analyses to determine the effects of different tillage and residue management practices on soil bacterial communities","type":"article-journal","volume":"76"},"uris":["http://www.mendeley.com/documents/?uuid=bbc111ea-adfb-4f35-b702-fd7305868aff"]},{"id":"ITEM-2","itemData":{"DOI":"10.1016/j.soilbio.2010.06.013","ISSN":"00380717","abstract":"Little is known about abundances of the major bacterial taxa in agricultural soils and how they are affected by fertilization or other agricultural practices. Our aim was to determine the abundance and relative distribution of several bacterial phyla and one class, as well as the archaeal and crenarchaeal communities, and how they were affected by different fertilization regimes to examine whether specific responses of microorganisms could be identified at these high taxonomic ranks. We used real-time PCR with taxa specific primers to quantify the abundance of the Actinobacteria, Acidobacteria, Bacteriodetes, Firmicutes, Gemmatimonadetes, Verrucomicrobia, Alphaproteobacteria and Crenarchaeota, as well as of the total bacteria and total archaea in soil sampled in 2002 and 2007 from a long term experimental field site subjected to six different fertilization regimes since 1956. The fertilization had affected soil pH, carbon and nitrogen, in addition to the C:N ratio. The total abundances of each taxon were affected in similar ways by the imposed treatments. By contrast, the relative abundance of certain taxa responded differently to the same fertilizer, with some taxa increasing while others decreased. Significant treatment effects were observed for the relative abundance of Alphaproteobacteria, Firmicutes, Verrucomicrobia and the Crenarchaeota and soil pH was the main driver for the observed differences. Differences between sampling years were also observed for the relative abundance of the Actinobacteria and the Bacteroidetes. Altogether, our results showed that agricultural practices can impact bacterial and archaeal phyla and classes in soil differently, which is consistent with recent work suggesting ecological coherence of members of bacterial clades at high taxonomic ranks. © 2010 Elsevier Ltd.","author":[{"dropping-particle":"","family":"Wessén","given":"Ella","non-dropping-particle":"","parse-names":false,"suffix":""},{"dropping-particle":"","family":"Hallin","given":"Sara","non-dropping-particle":"","parse-names":false,"suffix":""},{"dropping-particle":"","family":"Philippot","given":"Laurent","non-dropping-particle":"","parse-names":false,"suffix":""}],"container-title":"Soil Biology and Biochemistry","id":"ITEM-2","issue":"10","issued":{"date-parts":[["2010"]]},"page":"1759-1765","publisher":"Elsevier Ltd","title":"Differential responses of bacterial and archaeal groups at high taxonomical ranks to soil management","type":"article-journal","volume":"42"},"uris":["http://www.mendeley.com/documents/?uuid=78bfe9c6-e294-43a1-bd57-a19b24a0aa47"]},{"id":"ITEM-3","itemData":{"DOI":"10.1007/s00248-012-0025-y","ISSN":"00953628","PMID":"22419103","abstract":"Community level physiological profiling and pyrosequencing-based analysis of the V1-V2 16S rRNA gene region were used to characterize and compare microbial community structure, diversity, and bacterial phylogeny from soils of chemically cultivated land (CCL), organically cultivated land (OCL), and fallow grass land (FGL) for 16 years and were under three different land use types. The entire dataset comprised of 16,608 good-quality sequences (CCL, 6,379; OCL, 4,835; FGL, 5,394); among them 12,606 sequences could be classified in 15 known phylum. The most abundant phylum were Proteobacteria (29.8%), Acidobacteria (22.6%), Actinobacteria (11.1%), and Bacteroidetes (4.7%), while 24. 3% of the sequences were from bacterial domain but could not be further classified to any known phylum. Proteobacteria, Bacteroidetes, and Gemmatimonadetes were found to be significantly abundant in OCL soil. On the contrary, Actinobacteria and Acidobacteria were significantly abundant in CCL and FGL, respectively. Our findings supported the view that organic compost amendment (OCL) activates diverse group of microorganisms as compared with conventionally used synthetic chemical fertilizers. Functional diversity and evenness based on carbon source utilization pattern was significantly higher in OCL as compared to CCL and FGL, suggesting an improvement in soil quality. This abundance of microbes possibly leads to the enhanced level of soil organic carbon, soil organic nitrogen, and microbial biomass in OCL and FGL soils as collated with CCL. This work increases our current understanding on the effect of long-term organic and chemical amendment applications on abundance, diversity, and composition of bacterial community inhabiting the soil for the prospects of agricultural yield and quantity of soil. © 2012 Springer Science+Business Media, LLC.","author":[{"dropping-particle":"","family":"Chaudhry","given":"Vasvi","non-dropping-particle":"","parse-names":false,"suffix":""},{"dropping-particle":"","family":"Rehman","given":"Ateequr","non-dropping-particle":"","parse-names":false,"suffix":""},{"dropping-particle":"","family":"Mishra","given":"Aradhana","non-dropping-particle":"","parse-names":false,"suffix":""},{"dropping-particle":"","family":"Chauhan","given":"Puneet Singh","non-dropping-particle":"","parse-names":false,"suffix":""},{"dropping-particle":"","family":"Nautiyal","given":"Chandra Shekhar","non-dropping-particle":"","parse-names":false,"suffix":""}],"container-title":"Microbial Ecology","id":"ITEM-3","issue":"2","issued":{"date-parts":[["2012"]]},"page":"450-460","title":"Changes in bacterial community structure of agricultural land due to long-term organic and chemical amendments","type":"article-journal","volume":"64"},"uris":["http://www.mendeley.com/documents/?uuid=0b1c3a64-5c3d-4755-846d-d573dbdb402a"]},{"id":"ITEM-4","itemData":{"DOI":"10.1016/j.still.2011.11.006","ISSN":"01671987","abstract":"Cereal crops usually take up less than 50% of the N fertilizer applied. We hypothesized that, depending on application rate, the inorganic N in the soil could affect soil organisms. We investigated the effect of N applied to barley (Hordeum vulgare L.) at soil-test recommended rates (50-80kgha -1) in 2004-2006 in a Black Chernozem, and to corn (Zea mays L.) at recommended (80kgha -1) and higher (160kgha -1) N rates under no till (NT) and conventional tillage (CT) in 2004 and 2006 in an Orthic Gleysol, on soil microbial properties. Rhizosphere and bulk soil samples (0-7.5cm soil depth) taken at flagleaf stage of barley growth and tasselling stage of corn growth were analysed for microbial biomass C (MBC), bacterial functional diversity and community-level physiological profiles (CLPPs). In barley, N increased MBC by 39% in bulk soil in one year. In corn, the response of MBC to N rate was quadratic, peaking at 80kgNha -1. The functional diversity of soil bacteria in the corn trial was not reduced even at the highest N rate. No-till in corn increased MBC by 30-102%, and also tended to increase bacterial functional diversity. The tillage effect was detectable in CLPPs although year-to-year differences were more prominent. Therefore, N applied at agronomically recommended rates either did not affect MBC and bacterial diversity or increased these microbial characteristics; N applied at higher rates reduced MBC. These results from two soil types, crops and climatic regions support our hypothesis that non-target effects of N fertilizer depend on the application rate. Soil testing to apply recommended amounts of fertilizer would reduce non-target fertilizer effects. © 2011 Elsevier B.V.","author":[{"dropping-particle":"","family":"Lupwayi","given":"Newton Z.","non-dropping-particle":"","parse-names":false,"suffix":""},{"dropping-particle":"","family":"Lafond","given":"Guy P.","non-dropping-particle":"","parse-names":false,"suffix":""},{"dropping-particle":"","family":"Ziadi","given":"Noura","non-dropping-particle":"","parse-names":false,"suffix":""},{"dropping-particle":"","family":"Grant","given":"Cynthia A.","non-dropping-particle":"","parse-names":false,"suffix":""}],"container-title":"Soil and Tillage Research","id":"ITEM-4","issued":{"date-parts":[["2012"]]},"page":"139-146","publisher":"Elsevier B.V.","title":"Soil microbial response to nitrogen fertilizer and tillage in barley and corn","type":"article-journal","volume":"118"},"uris":["http://www.mendeley.com/documents/?uuid=590565e3-0ce8-4abf-a790-c5f2019aa982"]},{"id":"ITEM-5","itemData":{"DOI":"10.1016/j.soilbio.2013.05.009","ISSN":"00380717","abstract":"In this study, the effect of limited tillage versus traditional tillage, residue retention versus removal and crop rotation (maize-wheat) versus monoculture (maize) on the bacterial community structure in soils was investigated by means of 454 pyrosequencing of the 16S rRNA gene. Using taxonomic and phylogenetic information it was found that zero tillage most affected the bacterial communities. The relative abundance of Actinobacteria, Betapreoteobacteria and Gammaproteobacteria was affected by tillage and correlated to the total organic carbon (TOC) and clay content in soil. Residue management had a significant effect on the bacterial community structure when phylogenetic membership and the total enumeration of bacteria were considered. Residue management affected the relative abundance of Bacteroidetes, Betaproteobacteria, Cyanobacteria and Gemmatimonadetes. When no tillage was applied, crop residue management affected the microbial communities more than when conventional tillage was applied. Wheat-maize rotation or crop monoculture did not affect the bacterial community structure. No significant differences in richness, diversity and total abundance of bacteria was found between the treatments. This indicated that even though phylotypes changed, the number and diversity of the bacterial communities were similar. © 2013 Elsevier Ltd.","author":[{"dropping-particle":"","family":"Navarro-Noya","given":"Yendi E.","non-dropping-particle":"","parse-names":false,"suffix":""},{"dropping-particle":"","family":"Gómez-Acata","given":"Selene","non-dropping-particle":"","parse-names":false,"suffix":""},{"dropping-particle":"","family":"Montoya-Ciriaco","given":"Nina","non-dropping-particle":"","parse-names":false,"suffix":""},{"dropping-particle":"","family":"Rojas-Valdez","given":"Aketzally","non-dropping-particle":"","parse-names":false,"suffix":""},{"dropping-particle":"","family":"Suárez-Arriaga","given":"Mayra C.","non-dropping-particle":"","parse-names":false,"suffix":""},{"dropping-particle":"","family":"Valenzuela-Encinas","given":"César","non-dropping-particle":"","parse-names":false,"suffix":""},{"dropping-particle":"","family":"Jiménez-Bueno","given":"Norma","non-dropping-particle":"","parse-names":false,"suffix":""},{"dropping-particle":"","family":"Verhulst","given":"Nele","non-dropping-particle":"","parse-names":false,"suffix":""},{"dropping-particle":"","family":"Govaerts","given":"Bram","non-dropping-particle":"","parse-names":false,"suffix":""},{"dropping-particle":"","family":"Dendooven","given":"Luc","non-dropping-particle":"","parse-names":false,"suffix":""}],"container-title":"Soil Biology and Biochemistry","id":"ITEM-5","issued":{"date-parts":[["2013"]]},"page":"86-95","publisher":"Elsevier Ltd","title":"Relative impacts of tillage, residue management and crop-rotation on soil bacterial communities in a semi-arid agroecosystem","type":"article-journal","volume":"65"},"uris":["http://www.mendeley.com/documents/?uuid=ef262a4a-a41e-45a5-9a47-fb7aff5fb0f3"]},{"id":"ITEM-6","itemData":{"DOI":"10.1016/j.soilbio.2015.06.016","ISSN":"00380717","abstract":"Conservation agriculture practices, such as reduced tillage, cover crops and fertilization, are often associated with greater microbial biomass and activity that are linked to improvements in soil quality. This study characterized the impact of long term (31 years) tillage (till and no-till), cover crops (Hairy vetch- Vicia villosa and winter wheat- Triticum aestivum, and a no cover control), and N-rates (0, 34, 67 and 101 kg N ha&lt;sup&gt;-1&lt;/sup&gt;) on soil microbial community structure, activity and resultant soil quality calculated using the soil management assessment framework (SMAF) scoring index under continuous cotton (Gossypium hirsutum) production on a Lexington silt loam in West Tennessee.No-till treatments were characterized by a significantly greater (P &lt; 0.05) abundance of Gram positive bacteria, actinomycetes and mycorrhizae fungi fatty acid methyl ester (FAME) biomarkers compared to till. Saprophytic fungal FAME biomarkers were significantly less abundant (P &lt; 0.05) under no-till treatments resulting in a lower fungi to bacteria (F:B) ratio. Key enzymes associated with C, N &amp; P cycling (β-glucosidase, β-glucosaminidase, and phosphodiesterase) had significantly higher rates under no-till relative to till, corresponding to significantly greater (P &lt; 0.05) soil C and N, extractable nutrients (P, K and Ca) and yields. Mycorrhizae fungi biomarkers significantly decreased (P &lt; 0.05) with increasing N-rate and was significantly less (P &lt; 0.05) under the vetch cover crop compared to wheat and no cover. Treatments under vetch also had significantly higher β-glucosaminidase and basal microbial respiration rates compared to wheat and no cover.Consequently, the total organic carbon (TOC) and β-glucosidase SMAF quality scores were significantly greater under no-till compared to till and under the vetch compared to wheat and no cover treatments, resulting in a significantly greater overall soil quality index (SQI).Our results demonstrate that long-term no-till and use of cover crops under a low biomass monoculture crop production system like cotton results in significant shifts in the microbial community structure, activity, and conditions that favor C, N and P cycling compared to those under conventional tillage practices. These practices also led to increased yields and improved soil quality with no-till having 13% greater yields than till and treatments under vetch having 5% increase in soil quality compared to no cover and wheat.","author":[{"dropping-particle":"","family":"Mbuthia","given":"Lilian Wanjiru","non-dropping-particle":"","parse-names":false,"suffix":""},{"dropping-particle":"","family":"Acosta-Martínez","given":"Veronica","non-dropping-particle":"","parse-names":false,"suffix":""},{"dropping-particle":"","family":"DeBryun","given":"Jennifer","non-dropping-particle":"","parse-names":false,"suffix":""},{"dropping-particle":"","family":"Schaeffer","given":"Sean","non-dropping-particle":"","parse-names":false,"suffix":""},{"dropping-particle":"","family":"Tyler","given":"Donald","non-dropping-particle":"","parse-names":false,"suffix":""},{"dropping-particle":"","family":"Odoi","given":"Evah","non-dropping-particle":"","parse-names":false,"suffix":""},{"dropping-particle":"","family":"Mpheshea","given":"Molefi","non-dropping-particle":"","parse-names":false,"suffix":""},{"dropping-particle":"","family":"Walker","given":"Forbes","non-dropping-particle":"","parse-names":false,"suffix":""},{"dropping-particle":"","family":"Eash","given":"Neal","non-dropping-particle":"","parse-names":false,"suffix":""}],"container-title":"Soil Biology and Biochemistry","id":"ITEM-6","issued":{"date-parts":[["2015"]]},"page":"24-34","title":"Long term tillage, cover crop, and fertilization effects on microbial community structure, activity: Implications for soil quality","type":"article-journal","volume":"89"},"uris":["http://www.mendeley.com/documents/?uuid=b29c9246-5fdc-4078-b0c7-03f57ac7b274"]},{"id":"ITEM-7","itemData":{"DOI":"10.1111/jam.13072","ISSN":"13652672","PMID":"26808352","abstract":"Aims: In this study, the species indicator test was used to identify key bacterial taxa affected by changes in the soil environment as a result of conservation agriculture or conventional practices. Methods and Results: Soils cultivated with wheat (Triticum spp. L.) and maize (Zea mays L.) under different raised bed planting systems for 20 years, that is, varying crop residue and fertilizer management, were used. Taxonomic- and divergence-based 16S-metagenomics, and IndVal analysis were used to study the bacterial communities and identify indicator taxa (genus and OTU97) affected by agricultural practices. Although, some phyla were affected significantly by different treatments, the taxonomic assemblages at phylum level were similar. Bacterial taxa related to different processes of the N-cycle were indicators of different fertilization rates, for example, Azorhizobium, Nostoc and Nitrosomonas. A large number of OTU97 were indicators for conventionally tilled beds and their distribution was defined by soil organic carbon. IndVal analysis identified different taxa in each of the residue management systems. This suggests that although the same organic material remains in the field, crop residue management affects specific taxa. The taxa indicator of the burned residues belonged mainly to the order SBR1031 (Anaerolineae, Chloroflexi), and the genera Bacillus and Alicyclobacillus. Conclusions: N-fertilizer application rates affected N-cycling taxa. Tillage affected Actinobacteria members and organic matter decomposers. Although the same crop residue was retained in the field, organic material management was important for specific taxa. Significance and Impact of the Study: In this study, we report that agricultural practice affected soil bacterial communities. We also identified distinctive taxa and related their distribution to changes in the soil environment resulting from different agricultural practices.","author":[{"dropping-particle":"","family":"Jiménez-Bueno","given":"N. G.","non-dropping-particle":"","parse-names":false,"suffix":""},{"dropping-particle":"","family":"Valenzuela-Encinas","given":"C.","non-dropping-particle":"","parse-names":false,"suffix":""},{"dropping-particle":"","family":"Marsch","given":"R.","non-dropping-particle":"","parse-names":false,"suffix":""},{"dropping-particle":"","family":"Ortiz-Gutiérrez","given":"D.","non-dropping-particle":"","parse-names":false,"suffix":""},{"dropping-particle":"","family":"Verhulst","given":"N.","non-dropping-particle":"","parse-names":false,"suffix":""},{"dropping-particle":"","family":"Govaerts","given":"B.","non-dropping-particle":"","parse-names":false,"suffix":""},{"dropping-particle":"","family":"Dendooven","given":"L.","non-dropping-particle":"","parse-names":false,"suffix":""},{"dropping-particle":"","family":"Navarro-Noya","given":"Y. E.","non-dropping-particle":"","parse-names":false,"suffix":""}],"container-title":"Journal of Applied Microbiology","id":"ITEM-7","issue":"4","issued":{"date-parts":[["2016"]]},"page":"921-933","title":"Bacterial indicator taxa in soils under different long-term agricultural management","type":"article-journal","volume":"120"},"uris":["http://www.mendeley.com/documents/?uuid=267a71f9-7a35-48f9-a5e7-7229711f7123"]},{"id":"ITEM-8","itemData":{"DOI":"10.3390/microorganisms8060836","ISSN":"20762607","abstract":"Soil physiochemical properties are regulated by cropping practices, but little is known about how tillage influences soil microbial community diversity and functions. Here, we assessed soil bacterial community assembly and functional profiles in relation to tillage. Soils, collected in 2018 from a 17-year field experiment in northwestern China, were analyzed using high-throughput sequencing and the PICRUSt approach. The taxonomic diversity of bacterial communities was dominated primarily by the phyla Proteobacteria (32–56%), Bacteroidetes (12–33%), and Actinobacteria (17–27%). Alpha diversity (Chao1, Shannon, Simpson, and operational taxonomic unit (OTU) richness) was highest under no-tillage with crop residue removed (NT). Crop residue retention on the soil surface (NTS) or incorporated into soil (TS) promoted the abundance of Proteobacteria by 16 to 74% as compared to conventional tillage (T). Tillage practices mainly affected the pathways of soil metabolism, genetic information processing, and environmental information processing. Soil organic C and NH4–N were the principal contributors to the diversity and composition of soil microbiota, whereas soil pH, total nitrogen, total P, and moisture had little effect. Our results suggest that long-term conservation practices with no-tillage and crop residue retention shape soil bacterial community composition through modifying soil physicochemical properties and promoting the metabolic function of soil microbiomes.","author":[{"dropping-particle":"","family":"Liu","given":"Chang","non-dropping-particle":"","parse-names":false,"suffix":""},{"dropping-particle":"","family":"Li","given":"Lingling","non-dropping-particle":"","parse-names":false,"suffix":""},{"dropping-particle":"","family":"Xie","given":"Junhong","non-dropping-particle":"","parse-names":false,"suffix":""},{"dropping-particle":"","family":"Coulter","given":"Jeffrey A.","non-dropping-particle":"","parse-names":false,"suffix":""},{"dropping-particle":"","family":"Zhang","given":"Renzhi","non-dropping-particle":"","parse-names":false,"suffix":""},{"dropping-particle":"","family":"Luo","given":"Zhuzhu","non-dropping-particle":"","parse-names":false,"suffix":""},{"dropping-particle":"","family":"Cai","given":"Liqun","non-dropping-particle":"","parse-names":false,"suffix":""},{"dropping-particle":"","family":"Wang","given":"Linlin","non-dropping-particle":"","parse-names":false,"suffix":""},{"dropping-particle":"","family":"Gopalakrishnan","given":"Subramaniam","non-dropping-particle":"","parse-names":false,"suffix":""}],"container-title":"Microorganisms","id":"ITEM-8","issue":"6","issued":{"date-parts":[["2020"]]},"title":"Soil bacterial diversity and potential functions are regulated by long-term conservation tillage and straw mulching","type":"article-journal","volume":"8"},"uris":["http://www.mendeley.com/documents/?uuid=ed823ae9-2f51-476c-8d43-708f744e7efd"]},{"id":"ITEM-9","itemData":{"author":[{"dropping-particle":"","family":"Hu","given":"Jialin","non-dropping-particle":"","parse-names":false,"suffix":""},{"dropping-particle":"","family":"Jin","given":"Virginia L","non-dropping-particle":"","parse-names":false,"suffix":""},{"dropping-particle":"","family":"Konkel","given":"Julie Y M","non-dropping-particle":"","parse-names":false,"suffix":""},{"dropping-particle":"","famil</w:instrText>
      </w:r>
      <w:r w:rsidRPr="00622616">
        <w:rPr>
          <w:rFonts w:cs="Times New Roman"/>
          <w:lang w:val="es-UY"/>
        </w:rPr>
        <w:instrText>y":"Schaeffer","given":"Sean M","non-dropping-particle":"","parse-names":false,"suffix":""},{"dropping-particle":"","family":"Schneider","given":"Liesel G","non-dropping-particle":"","parse-names":false,"suffix":""},{"dropping-particle":"","family":"Debruyn","given":"Jennifer M","non-dropping-particle":"","parse-names":false,"suffix":""}],"container-title":"mSphere","id":"ITEM-9","issue":"1","issued":{"date-parts":[["2021"]]},"page":"1-19","title":"Soil health management enhances microbial nitrogen cycling capacity and activity","type":"article-journal","volume":"6"},"uris":["http://www.mendeley.com/documents/?uuid=d02898dd-f5b8-4e56-b537-b8ee019f6eb7"]}],"mendeley":{"formattedCitation":"(Ceja-Navarro et al., 2010; Wessén et al., 2010; Chaudhry et al., 2012; Lupwayi et al., 2012; Navarro-Noya et al., 2013; Mbuthia et al., 2015; Jiménez-Bueno et al., 2016; Liu et al., 2020; Hu et al., 2021)","plainTextFormattedCitation":"(Ceja-Navarro et al., 2010; Wessén et al., 2010; Chaudhry et al., 2012; Lupwayi et al., 2012; Navarro-Noya et al., 2013; Mbuthia et al., 2015; Jiménez-Bueno et al., 2016; Liu et al., 2020; Hu et al., 2021)","previouslyFormattedCitation":"(Ceja-Navarro et al., 2010; Wessén et al., 2010; Chaudhry et al., 2012; Lupwayi et al., 2012; Navarro-Noya et al., 2013; Mbuthia et al., 2015; Jiménez-Bueno et al., 2016; Liu et al., 2020; Hu et al., 2021)"},"properties":{"noteIndex":0},"schema":"https://github.com/citation-style-language/schema/raw/master/csl-citation.json"}</w:instrText>
      </w:r>
      <w:r w:rsidRPr="00203EB0">
        <w:rPr>
          <w:rFonts w:cs="Times New Roman"/>
        </w:rPr>
        <w:fldChar w:fldCharType="separate"/>
      </w:r>
      <w:r w:rsidRPr="00622616">
        <w:rPr>
          <w:rFonts w:cs="Times New Roman"/>
          <w:noProof/>
          <w:lang w:val="es-UY"/>
        </w:rPr>
        <w:t xml:space="preserve">(Ceja-Navarro et al., 2010; Wessén et al., 2010; </w:t>
      </w:r>
      <w:r w:rsidRPr="00622616">
        <w:rPr>
          <w:rFonts w:cs="Times New Roman"/>
          <w:noProof/>
          <w:lang w:val="es-UY"/>
        </w:rPr>
        <w:lastRenderedPageBreak/>
        <w:t>Chaudhry et al., 2012; Lupwayi et al., 2012; Navarro-Noya et al., 2013; Mbuthia et al., 2015; Jiménez-Bueno et al., 2016; Liu et al., 2020; Hu et al., 2021)</w:t>
      </w:r>
      <w:r w:rsidRPr="00203EB0">
        <w:rPr>
          <w:rFonts w:cs="Times New Roman"/>
        </w:rPr>
        <w:fldChar w:fldCharType="end"/>
      </w:r>
      <w:r w:rsidRPr="00622616">
        <w:rPr>
          <w:rFonts w:cs="Times New Roman"/>
          <w:lang w:val="es-UY"/>
        </w:rPr>
        <w:t xml:space="preserve">. </w:t>
      </w:r>
      <w:r w:rsidRPr="00203EB0">
        <w:rPr>
          <w:rFonts w:cs="Times New Roman"/>
        </w:rPr>
        <w:t xml:space="preserve">For instance, N fertilization often favors </w:t>
      </w:r>
      <w:proofErr w:type="spellStart"/>
      <w:r w:rsidRPr="00203EB0">
        <w:rPr>
          <w:rFonts w:cs="Times New Roman"/>
        </w:rPr>
        <w:t>copiotrophic</w:t>
      </w:r>
      <w:proofErr w:type="spellEnd"/>
      <w:r w:rsidRPr="00203EB0">
        <w:rPr>
          <w:rFonts w:cs="Times New Roman"/>
        </w:rPr>
        <w:t xml:space="preserve"> taxa that thrive in nutrient-rich environments </w:t>
      </w:r>
      <w:r w:rsidRPr="00203EB0">
        <w:rPr>
          <w:rFonts w:cs="Times New Roman"/>
        </w:rPr>
        <w:fldChar w:fldCharType="begin" w:fldLock="1"/>
      </w:r>
      <w:r w:rsidRPr="00203EB0">
        <w:rPr>
          <w:rFonts w:cs="Times New Roman"/>
        </w:rPr>
        <w:instrText>ADDIN CSL_CITATION {"citationItems":[{"id":"ITEM-1","itemData":{"DOI":"10.1016/j.soilbio.2010.06.013","ISSN":"00380717","abstract":"Little is known about abundances of the major bacterial taxa in agricultural soils and how they are affected by fertilization or other agricultural practices. Our aim was to determine the abundance and relative distribution of several bacterial phyla and one class, as well as the archaeal and crenarchaeal communities, and how they were affected by different fertilization regimes to examine whether specific responses of microorganisms could be identified at these high taxonomic ranks. We used real-time PCR with taxa specific primers to quantify the abundance of the Actinobacteria, Acidobacteria, Bacteriodetes, Firmicutes, Gemmatimonadetes, Verrucomicrobia, Alphaproteobacteria and Crenarchaeota, as well as of the total bacteria and total archaea in soil sampled in 2002 and 2007 from a long term experimental field site subjected to six different fertilization regimes since 1956. The fertilization had affected soil pH, carbon and nitrogen, in addition to the C:N ratio. The total abundances of each taxon were affected in similar ways by the imposed treatments. By contrast, the relative abundance of certain taxa responded differently to the same fertilizer, with some taxa increasing while others decreased. Significant treatment effects were observed for the relative abundance of Alphaproteobacteria, Firmicutes, Verrucomicrobia and the Crenarchaeota and soil pH was the main driver for the observed differences. Differences between sampling years were also observed for the relative abundance of the Actinobacteria and the Bacteroidetes. Altogether, our results showed that agricultural practices can impact bacterial and archaeal phyla and classes in soil differently, which is consistent with recent work suggesting ecological coherence of members of bacterial clades at high taxonomic ranks. © 2010 Elsevier Ltd.","author":[{"dropping-particle":"","family":"Wessén","given":"Ella","non-dropping-particle":"","parse-names":false,"suffix":""},{"dropping-particle":"","family":"Hallin","given":"Sara","non-dropping-particle":"","parse-names":false,"suffix":""},{"dropping-particle":"","family":"Philippot","given":"Laurent","non-dropping-particle":"","parse-names":false,"suffix":""}],"container-title":"Soil Biology and Biochemistry","id":"ITEM-1","issue":"10","issued":{"date-parts":[["2010"]]},"page":"1759-1765","publisher":"Elsevier Ltd","title":"Differential responses of bacterial and archaeal groups at high taxonomical ranks to soil management","type":"article-journal","volume":"42"},"uris":["http://www.mendeley.com/documents/?uuid=78bfe9c6-e294-43a1-bd57-a19b24a0aa47"]},{"id":"ITEM-2","itemData":{"DOI":"10.1111/jam.13072","ISSN":"13652672","PMID":"26808352","abstract":"Aims: In this study, the species indicator test was used to identify key bacterial taxa affected by changes in the soil environment as a result of conservation agriculture or conventional practices. Methods and Results: Soils cultivated with wheat (Triticum spp. L.) and maize (Zea mays L.) under different raised bed planting systems for 20 years, that is, varying crop residue and fertilizer management, were used. Taxonomic- and divergence-based 16S-metagenomics, and IndVal analysis were used to study the bacterial communities and identify indicator taxa (genus and OTU97) affected by agricultural practices. Although, some phyla were affected significantly by different treatments, the taxonomic assemblages at phylum level were similar. Bacterial taxa related to different processes of the N-cycle were indicators of different fertilization rates, for example, Azorhizobium, Nostoc and Nitrosomonas. A large number of OTU97 were indicators for conventionally tilled beds and their distribution was defined by soil organic carbon. IndVal analysis identified different taxa in each of the residue management systems. This suggests that although the same organic material remains in the field, crop residue management affects specific taxa. The taxa indicator of the burned residues belonged mainly to the order SBR1031 (Anaerolineae, Chloroflexi), and the genera Bacillus and Alicyclobacillus. Conclusions: N-fertilizer application rates affected N-cycling taxa. Tillage affected Actinobacteria members and organic matter decomposers. Although the same crop residue was retained in the field, organic material management was important for specific taxa. Significance and Impact of the Study: In this study, we report that agricultural practice affected soil bacterial communities. We also identified distinctive taxa and related their distribution to changes in the soil environment resulting from different agricultural practices.","author":[{"dropping-particle":"","family":"Jiménez-Bueno","given":"N. G.","non-dropping-particle":"","parse-names":false,"suffix":""},{"dropping-particle":"","family":"Valenzuela-Encinas","given":"C.","non-dropping-particle":"","parse-names":false,"suffix":""},{"dropping-particle":"","family":"Marsch","given":"R.","non-dropping-particle":"","parse-names":false,"suffix":""},{"dropping-particle":"","family":"Ortiz-Gutiérrez","given":"D.","non-dropping-particle":"","parse-names":false,"suffix":""},{"dropping-particle":"","family":"Verhulst","given":"N.","non-dropping-particle":"","parse-names":false,"suffix":""},{"dropping-particle":"","family":"Govaerts","given":"B.","non-dropping-particle":"","parse-names":false,"suffix":""},{"dropping-particle":"","family":"Dendooven","given":"L.","non-dropping-particle":"","parse-names":false,"suffix":""},{"dropping-particle":"","family":"Navarro-Noya","given":"Y. E.","non-dropping-particle":"","parse-names":false,"suffix":""}],"container-title":"Journal of Applied Microbiology","id":"ITEM-2","issue":"4","issued":{"date-parts":[["2016"]]},"page":"921-933","title":"Bacterial indicator taxa in soils under different long-term agricultural management","type":"article-journal","volume":"120"},"uris":["http://www.mendeley.com/documents/?uuid=267a71f9-7a35-48f9-a5e7-7229711f7123"]},{"id":"ITEM-3","itemData":{"DOI":"10.3389/fmicb.2019.02047","ISSN":"1664302X","abstract":"Soil biodiversity accomplishes key roles in agro-ecosystem services consisting in preserving and enhancing soil fertility and nutrient cycling, crop productivity and environmental protection. Thus, the improvement of knowledge on the effect of conservation practices, related to tillage and N fertilization, on soil microbial communities is critical to better understand the role and function of microorganisms in regulating agro-ecosystems. In the Mediterranean area, vulnerable to climate change and suffering for management-induced losses of soil fertility, the impact of conservation practices on soil microbial communities is of special interest for building mitigation and adaptation strategies to climate change. A long-term experiment, originally designed to investigate the effect of tillage and N fertilization on crop yield and soil organic carbon, was utilized to understand the effect of these management practices on soil prokaryotic and fungal community diversity. The majority of prokaryotic and fungal taxa were common to all treatments at both soil depths, whereas few bacterial taxa (Cloacimonates, Spirochaetia and Berkelbacteria) and a larger number of fungal taxa (i.e., Coniphoraceae, Debaryomycetaceae, Geastraceae, Cordicypitaceae and Steccherinaceae) were unique to specific management practices. Soil prokaryotic and fungal structure was heavily influenced by the interaction of tillage and N fertilization: the prokaryotic community structure of the fertilized conventional tillage system was remarkably different respect to the unfertilized conservation and conventional systems in the surface layer. In addition, the effect of N fertilization in shaping the fungal community structure of the surface layer was higher under conservation tillage systems than under conventional tillage systems. Soil microbial community was shaped by soil depth irrespective of the effect of plowing and N addition. Finally, chemical and enzymatic parameters of soil and crop yields were significantly related to fungal community structure along the soil profile. The findings of this study gave new insights on the identification of management practices supporting and suppressing beneficial and detrimental taxa, respectively. This highlights the impor</w:instrText>
      </w:r>
      <w:r w:rsidRPr="00622616">
        <w:rPr>
          <w:rFonts w:cs="Times New Roman"/>
          <w:lang w:val="es-UY"/>
        </w:rPr>
        <w:instrText>tance of managing soil microbial diversity through agro-ecological intensified systems in the Mediterranean area.","author":[{"dropping-particle":"","family":"Piazza","given":"Gaia","non-dropping-particle":"","parse-names":false,"suffix":""},{"dropping-particle":"","family":"Ercoli","given":"Laura","non-dropping-particle":"","parse-names":false,"suffix":""},{"dropping-particle":"","family":"Nuti","given":"Marco","non-dropping-particle":"","parse-names":false,"suffix":""},{"dropping-particle":"","family":"Pellegrino","given":"Elisa","non-dropping-particle":"","parse-names":false,"suffix":""}],"container-title":"Frontiers in Microbiology","id":"ITEM-3","issue":"September","issued":{"date-parts":[["2019"]]},"page":"1-20","title":"Interaction between conservation tillage and nitrogen fertilization shapes Prokaryotic and fungal diversity at different soil depths: Evidence from a 23-year field experiment in the Mediterranean area","type":"article-journal","volume":"10"},"uris":["http://www.mendeley.com/documents/?uuid=c3a89bc4-ee3d-4eb5-b70c-57391de49944"]}],"mendeley":{"formattedCitation":"(Wessén et al., 2010; Jiménez-Bueno et al., 2016; Piazza et al., 2019)","plainTextFormattedCitation":"(Wessén et al., 2010; Jiménez-Bueno et al., 2016; Piazza et al., 2019)","previouslyFormattedCitation":"(Wessén et al., 2010; Jiménez-Bueno et al., 2016; Piazza et al., 2019)"},"properties":{"noteIndex":0},"schema":"https://github.com/citation-style-language/schema/raw/master/csl-citation.json"}</w:instrText>
      </w:r>
      <w:r w:rsidRPr="00203EB0">
        <w:rPr>
          <w:rFonts w:cs="Times New Roman"/>
        </w:rPr>
        <w:fldChar w:fldCharType="separate"/>
      </w:r>
      <w:r w:rsidRPr="00622616">
        <w:rPr>
          <w:rFonts w:cs="Times New Roman"/>
          <w:noProof/>
          <w:lang w:val="es-UY"/>
        </w:rPr>
        <w:t>(Wessén et al., 2010; Jiménez-Bueno et al., 2016; Piazza et al., 2019)</w:t>
      </w:r>
      <w:r w:rsidRPr="00203EB0">
        <w:rPr>
          <w:rFonts w:cs="Times New Roman"/>
        </w:rPr>
        <w:fldChar w:fldCharType="end"/>
      </w:r>
      <w:r w:rsidRPr="00622616">
        <w:rPr>
          <w:rFonts w:cs="Times New Roman"/>
          <w:lang w:val="es-UY"/>
        </w:rPr>
        <w:t xml:space="preserve">. </w:t>
      </w:r>
      <w:r w:rsidRPr="00203EB0">
        <w:rPr>
          <w:rFonts w:cs="Times New Roman"/>
        </w:rPr>
        <w:t xml:space="preserve">Whereas tillage can promote the occurrence of Actinobacteria, </w:t>
      </w:r>
      <w:proofErr w:type="spellStart"/>
      <w:r w:rsidRPr="00203EB0">
        <w:rPr>
          <w:rFonts w:cs="Times New Roman"/>
        </w:rPr>
        <w:t>Betapreoteobacteria</w:t>
      </w:r>
      <w:proofErr w:type="spellEnd"/>
      <w:r w:rsidRPr="00203EB0">
        <w:rPr>
          <w:rFonts w:cs="Times New Roman"/>
        </w:rPr>
        <w:t xml:space="preserve">, and Gammaproteobacteria, an effect modulated by soil carbon (C) and clay content </w:t>
      </w:r>
      <w:r w:rsidRPr="00203EB0">
        <w:rPr>
          <w:rFonts w:cs="Times New Roman"/>
        </w:rPr>
        <w:fldChar w:fldCharType="begin" w:fldLock="1"/>
      </w:r>
      <w:r w:rsidRPr="00203EB0">
        <w:rPr>
          <w:rFonts w:cs="Times New Roman"/>
        </w:rPr>
        <w:instrText>ADDIN CSL_CITATION {"citationItems":[{"id":"ITEM-1","itemData":{"DOI":"10.1016/j.soilbio.2013.05.009","ISSN":"00380717","abstract":"In this study, the effect of limited tillage versus traditional tillage, residue retention versus removal and crop rotation (maize-wheat) versus monoculture (maize) on the bacterial community structure in soils was investigated by means of 454 pyrosequencing of the 16S rRNA gene. Using taxonomic and phylogenetic information it was found that zero tillage most affected the bacterial communities. The relative abundance of Actinobacteria, Betapreoteobacteria and Gammaproteobacteria was affected by tillage and correlated to the total organic carbon (TOC) and clay content in soil. Residue management had a significant effect on the bacterial community structure when phylogenetic membership and the total enumeration of bacteria were considered. Residue management affected the relative abundance of Bacteroidetes, Betaproteobacteria, Cyanobacteria and Gemmatimonadetes. When no tillage was applied, crop residue management affected the microbial communities more than when conventional tillage was applied. Wheat-maize rotation or crop monoculture did not affect the bacterial community structure. No significant differences in richness, diversity and total abundance of bacteria was found between the treatments. This indicated that even though phylotypes changed, the number and diversity of the bacterial communities were similar. © 2013 Elsevier Ltd.","author":[{"dropping-particle":"","family":"Navarro-Noya","given":"Yendi E.","non-dropping-particle":"","parse-names":false,"suffix":""},{"dropping-particle":"","family":"Gómez-Acata","given":"Selene","non-dropping-particle":"","parse-names":false,"suffix":""},{"dropping-particle":"","family":"Montoya-Ciriaco","given":"Nina","non-dropping-particle":"","parse-names":false,"suffix":""},{"dropping-particle":"","family":"Rojas-Valdez","given":"Aketzally","non-dropping-particle":"","parse-names":false,"suffix":""},{"dropping-particle":"","family":"Suárez-Arriaga","given":"Mayra C.","non-dropping-particle":"","parse-names":false,"suffix":""},{"dropping-particle":"","family":"Valenzuela-Encinas","given":"César","non-dropping-particle":"","parse-names":false,"suffix":""},{"dropping-particle":"","family":"Jiménez-Bueno","given":"Norma","non-dropping-particle":"","parse-names":false,"suffix":""},{"dropping-particle":"","family":"Verhulst","given":"Nele","non-dropping-particle":"","parse-names":false,"suffix":""},{"dropping-particle":"","family":"Govaerts","given":"Bram","non-dropping-particle":"","parse-names":false,"suffix":""},{"dropping-particle":"","family":"Dendooven","given":"Luc","non-dropping-particle":"","parse-names":false,"suffix":""}],"container-title":"Soil Biology and Biochemistry","id":"ITEM-1","issued":{"date-parts":[["2013"]]},"page":"86-95","publisher":"Elsevier Ltd","title":"Relative impacts of tillage, residue management and crop-rotation on soil bacterial communities in a semi-arid agroecosystem","type":"article-journal","volume":"65"},"uris":["http://www.mendeley.com/documents/?uuid=ef262a4a-a41e-45a5-9a47-fb7aff5fb0f3"]}],"mendeley":{"formattedCitation":"(Navarro-Noya et al., 2013)","plainTextFormattedCitation":"(Navarro-Noya et al., 2013)","previouslyFormattedCitation":"(Navarro-Noya et al., 2013)"},"properties":{"noteIndex":0},"schema":"https://github.com/citation-style-language/schema/raw/master/csl-citation.json"}</w:instrText>
      </w:r>
      <w:r w:rsidRPr="00203EB0">
        <w:rPr>
          <w:rFonts w:cs="Times New Roman"/>
        </w:rPr>
        <w:fldChar w:fldCharType="separate"/>
      </w:r>
      <w:r w:rsidRPr="00203EB0">
        <w:rPr>
          <w:rFonts w:cs="Times New Roman"/>
          <w:noProof/>
        </w:rPr>
        <w:t>(Navarro-Noya et al., 2013)</w:t>
      </w:r>
      <w:r w:rsidRPr="00203EB0">
        <w:rPr>
          <w:rFonts w:cs="Times New Roman"/>
        </w:rPr>
        <w:fldChar w:fldCharType="end"/>
      </w:r>
      <w:r w:rsidRPr="00203EB0">
        <w:rPr>
          <w:rFonts w:cs="Times New Roman"/>
        </w:rPr>
        <w:t xml:space="preserve">. However, the overall effect of tillage on microbial diversity remains inconclusive, with some studies reporting increased diversity </w:t>
      </w:r>
      <w:r w:rsidRPr="00203EB0">
        <w:rPr>
          <w:rFonts w:cs="Times New Roman"/>
        </w:rPr>
        <w:fldChar w:fldCharType="begin" w:fldLock="1"/>
      </w:r>
      <w:r w:rsidRPr="00203EB0">
        <w:rPr>
          <w:rFonts w:cs="Times New Roman"/>
        </w:rPr>
        <w:instrText xml:space="preserve">ADDIN CSL_CITATION {"citationItems":[{"id":"ITEM-1","itemData":{"DOI":"10.3389/fmicb.2022.847005","ISSN":"1664302X","abstract":"Agricultural practices alter the structure and functions of soil microbial community. However, few studies have documented the alterations of bacterial communities in soils under long-term conservation management practices for continuous crop production. In this study, we evaluated soil bacterial diversity using 16S rRNA gene sequencing and soil physical and chemical properties within 12 combinations of inorganic N fertilization, cover cropping, and tillage throughout a cotton production cycle. Soil was collected from field plots of the West Tennessee Agriculture Research and Education Center in Jackson, TN, United States. The site has been under continuous cotton production for 38 years. A total of 38,038 OTUs were detected across 171 soil samples. The dominant bacterial phyla were Proteobacteria, Acidobacteria, Actinobacteria, Verrucomicrobia, and Chloroflexi, accounting for </w:instrText>
      </w:r>
      <w:r w:rsidRPr="00203EB0">
        <w:rPr>
          <w:rFonts w:ascii="Cambria Math" w:hAnsi="Cambria Math" w:cs="Cambria Math"/>
        </w:rPr>
        <w:instrText>∼</w:instrText>
      </w:r>
      <w:r w:rsidRPr="00203EB0">
        <w:rPr>
          <w:rFonts w:cs="Times New Roman"/>
        </w:rPr>
        <w:instrText>70% of the total bacterial community membership. Conventional tillage increased alpha diversity in soil samples collected in different stages of cotton production. The effects of inorganic N fertilization and conventional tillage on the structure of bacterial communities were significant at all four sampling dates (p &lt; 0.01). However, cover cropping (p &lt; 0.05) and soil moisture content (p &lt; 0.05) only showed significant influence on the bacterial community structure after burn-down of the cover crops and before planting of cotton (May). Nitrate-N appeared to have a significant effect on the structure of bacterial communities after inorganic fertilization and at the peak of cotton growth (p &lt; 0.01). Structural equation modeling revealed that the relative abundances of denitrifying and nitrifying bacteria were higher when conventional tillage and vetch cover crop practices were applied, respectively. Our results indicate that long-term tillage and fertilization are key factors increasing the diversity and restructuring the composition of bacterial communities, whereas cover cropping may have shorter-term effects on soil bacteria community structure. In this study, management practices might positively influence relative abundances of bacterial functional groups associated with N cycling. The bacteria functional groups may build a network for providing N and meet microbial N needs in the long term.","author":[{"dropping-particle":"","family":"Duan","given":"Ning","non-dropping-particle":"","parse-names":false,"suffix":""},{"dropping-particle":"","family":"Li","given":"Lidong","non-dropping-particle":"","parse-names":false,"suffix":""},{"dropping-particle":"","family":"Liang","given":"Xiaolong","non-dropping-particle":"","parse-names":false,"suffix":""},{"dropping-particle":"","family":"Fine","given":"Aubrey","non-dropping-particle":"","parse-names":false,"suffix":""},{"dropping-particle":"","family":"Zhuang","given":"Jie","non-dropping-particle":"","parse-names":false,"suffix":""},{"dropping-particle":"","family":"Radosevich","given":"Mark","non-dropping-particle":"","parse-names":false,"suffix":""},{"dropping-particle":"","family":"Schaeffer","given":"Sean M.","non-dropping-particle":"","parse-names":false,"suffix":""}],"container-title":"Frontiers in Microbiology","id":"ITEM-1","issue":"April","issued":{"date-parts":[["2022"]]},"page":"1-14","title":"Variation in bacterial community structure under long-term fertilization, tillage, and cover cropping in continuous cotton production","type":"article-journal","volume":"13"},"uris":["http://www.mendeley.com/documents/?uuid=006864a5-e734-4513-9e34-9e9e655059f0"]}],"mendeley":{"formattedCitation":"(Duan et al., 2022)","plainTextFormattedCitation":"(Duan et al., 2022)","previouslyFormattedCitation":"(Duan et al., 2022)"},"properties":{"noteIndex":0},"schema":"https://github.com/citation-style-language/schema/raw/master/csl-citation.json"}</w:instrText>
      </w:r>
      <w:r w:rsidRPr="00203EB0">
        <w:rPr>
          <w:rFonts w:cs="Times New Roman"/>
        </w:rPr>
        <w:fldChar w:fldCharType="separate"/>
      </w:r>
      <w:r w:rsidRPr="00203EB0">
        <w:rPr>
          <w:rFonts w:cs="Times New Roman"/>
          <w:noProof/>
        </w:rPr>
        <w:t>(Duan et al., 2022)</w:t>
      </w:r>
      <w:r w:rsidRPr="00203EB0">
        <w:rPr>
          <w:rFonts w:cs="Times New Roman"/>
        </w:rPr>
        <w:fldChar w:fldCharType="end"/>
      </w:r>
      <w:r w:rsidRPr="00203EB0">
        <w:rPr>
          <w:rFonts w:cs="Times New Roman"/>
        </w:rPr>
        <w:t xml:space="preserve"> and others finding no significant change </w:t>
      </w:r>
      <w:r w:rsidRPr="00203EB0">
        <w:rPr>
          <w:rFonts w:cs="Times New Roman"/>
        </w:rPr>
        <w:fldChar w:fldCharType="begin" w:fldLock="1"/>
      </w:r>
      <w:r w:rsidRPr="00203EB0">
        <w:rPr>
          <w:rFonts w:cs="Times New Roman"/>
        </w:rPr>
        <w:instrText>ADDIN CSL_CITATION {"citationItems":[{"id":"ITEM-1","itemData":{"author":[{"dropping-particle":"","family":"Li","given":"L.","non-dropping-particle":"","parse-names":false,"suffix":""},{"dropping-particle":"","family":"Xi","given":"Y.","non-dropping-particle":"","parse-names":false,"suffix":""},{"dropping-particle":"","family":"Chen","given":"E.","non-dropping-particle":"","parse-names":false,"suffix":""},{"dropping-particle":"","family":"He","given":"L.","non-dropping-particle":"","parse-names":false,"suffix":""},{"dropping-particle":"","family":"Wang","given":"L.","non-dropping-particle":"","parse-names":false,"suffix":""},{"dropping-particle":"","family":"Xiao","given":"X.","non-dropping-particle":"","parse-names":false,"suffix":""}],"container-title":"Journal of Ecology and Rural Environment","id":"ITEM-1","issued":{"date-parts":[["2018"]]},"page":"342-348","title":"Effects of tillage and green manure crop on composition and diversity of soil microbial community","type":"article-journal","volume":"34"},"uris":["http://www.mendeley.com/documents/?uuid=5aa6d9ce-b8ba-479a-9e2e-6f1a294d4b7c"]}],"mendeley":{"formattedCitation":"(Li et al., 2018)","plainTextFormattedCitation":"(Li et al., 2018)","previouslyFormattedCitation":"(Li et al., 2018)"},"properties":{"noteIndex":0},"schema":"https://github.com/citation-style-language/schema/raw/master/csl-citation.json"}</w:instrText>
      </w:r>
      <w:r w:rsidRPr="00203EB0">
        <w:rPr>
          <w:rFonts w:cs="Times New Roman"/>
        </w:rPr>
        <w:fldChar w:fldCharType="separate"/>
      </w:r>
      <w:r w:rsidRPr="00203EB0">
        <w:rPr>
          <w:rFonts w:cs="Times New Roman"/>
          <w:noProof/>
        </w:rPr>
        <w:t>(Li et al., 2018)</w:t>
      </w:r>
      <w:r w:rsidRPr="00203EB0">
        <w:rPr>
          <w:rFonts w:cs="Times New Roman"/>
        </w:rPr>
        <w:fldChar w:fldCharType="end"/>
      </w:r>
      <w:r w:rsidRPr="00203EB0">
        <w:rPr>
          <w:rFonts w:cs="Times New Roman"/>
        </w:rPr>
        <w:t>. Despite these well-documented management effects, depth-specific microbial responses and their seasonal contributions to N</w:t>
      </w:r>
      <w:r w:rsidRPr="00203EB0">
        <w:rPr>
          <w:rFonts w:cs="Times New Roman"/>
          <w:vertAlign w:val="subscript"/>
        </w:rPr>
        <w:t>2</w:t>
      </w:r>
      <w:r w:rsidRPr="00203EB0">
        <w:rPr>
          <w:rFonts w:cs="Times New Roman"/>
        </w:rPr>
        <w:t xml:space="preserve">O emissions under long-term management remain poorly understood. These responses are often stratified along soil depth, shaped by vertical gradients in soil physicochemical properties under the legacy of long-term management practices </w:t>
      </w:r>
      <w:r w:rsidRPr="00203EB0">
        <w:rPr>
          <w:rFonts w:cs="Times New Roman"/>
        </w:rPr>
        <w:fldChar w:fldCharType="begin" w:fldLock="1"/>
      </w:r>
      <w:r w:rsidRPr="00203EB0">
        <w:rPr>
          <w:rFonts w:cs="Times New Roman"/>
        </w:rPr>
        <w:instrText>ADDIN CSL_CITATION {"citationItems":[{"id":"ITEM-1","itemData":{"DOI":"10.3389/fmicb.2019.02047","ISSN":"1664302X","abstract":"Soil biodiversity accomplishes key roles in agro-ecosystem services consisting in preserving and enhancing soil fertility and nutrient cycling, crop productivity and environmental protection. Thus, the improvement of knowledge on the effect of conservation practices, related to tillage and N fertilization, on soil microbial communities is critical to better understand the role and function of microorganisms in regulating agro-ecosystems. In the Mediterranean area, vulnerable to climate change and suffering for management-induced losses of soil fertility, the impact of conservation practices on soil microbial communities is of special interest for building mitigation and adaptation strategies to climate change. A long-term experiment, originally designed to investigate the effect of tillage and N fertilization on crop yield and soil organic carbon, was utilized to understand the effect of these management practices on soil prokaryotic and fungal community diversity. The majority of prokaryotic and fungal taxa were common to all treatments at both soil depths, whereas few bacterial taxa (Cloacimonates, Spirochaetia and Berkelbacteria) and a larger number of fungal taxa (i.e., Coniphoraceae, Debaryomycetaceae, Geastraceae, Cordicypitaceae and Steccherinaceae) were unique to specific management practices. Soil prokaryotic and fungal structure was heavily influenced by the interaction of tillage and N fertilization: the prokaryotic community structure of the fertilized conventional tillage system was remarkably different respect to the unfertilized conservation and conventional systems in the surface layer. In addition, the effect of N fertilization in shaping the fungal community structure of the surface layer was higher under conservation tillage systems than under conventional tillage systems. Soil microbial community was shaped by soil depth irrespective of the effect of plowing and N addition. Finally, chemical and enzymatic parameters of soil and crop yields were significantly related to fungal community structure along the soil profile. The findings of this study gave new insights on the identification of management practices supporting and suppressing beneficial and detrimental taxa, respectively. This highlights the importance of managing soil microbial diversity through agro-ecological intensified systems in the Mediterranean area.","author":[{"dropping-particle":"","family":"Piazza","given":"Gaia","non-dropping-particle":"","parse-names":false,"suffix":""},{"dropping-particle":"","family":"Ercoli","given":"Laura","non-dropping-particle":"","parse-names":false,"suffix":""},{"dropping-particle":"","family":"Nuti","given":"Marco","non-dropping-particle":"","parse-names":false,"suffix":""},{"dropping-particle":"","family":"Pellegrino","given":"Elisa","non-dropping-particle":"","parse-names":false,"suffix":""}],"container-title":"Frontiers in Microbiology","id":"ITEM-1","issue":"September","issued":{"date-parts":[["2019"]]},"page":"1-20","title":"Interaction between conservation tillage and nitrogen fertilization shapes Prokaryotic and fungal diversity at different soil depths: Evidence from a 23-year field experiment in the Mediterranean area","type":"article-journal","volume":"10"},"uris":["http://www.mendeley.com/documents/?uuid=c3a89bc4-ee3d-4eb5-b70c-57391de49944"]},{"id":"ITEM-2","itemData":{"DOI":"10.3390/soilsystems4030044","ISSN":"25718789","abstract":"Microbial diversity has been well documented for the top 0–0.30 m of agricultural soils. However, spatio-temporal research into subsoil microbial diversity and the effects of agricultural management remains limited. Soil type may influence subsoil microbial diversity, particularly Vertosols. These soils lack distinct horizons and are known to facilitate the downward movement of organic matter, potentially supporting subsoil microbiota, removed from the crop root system (i.e., bulk soils). Our research used the MiSeq Illumina Platform to investigate microbial diversity down the profile of an agricultural Australian Vertosol to 1.0 m in bulk soils, as influenced by crop system (continuous cotton and cotton–maize) and sample time (pre-and in-crop samples collected over two seasons). Overall, both alpha-(Chao1, Gini–Simpson Diversity and Evenness indices) and beta-diversity (nMDS and Sørensen’s Index of Similarity) metrics indicated that both bacterial (16S) diversity and fungal (ITS) diversity decreased with increasing soil depth. The addition of a maize rotation did not significantly influence alpha-diversity metrics until 0.70–1.0 m depth in the soil, where bacterial diversity was significantly higher in this system, with beta-diversity measures indicating this is likely due to root system differences influencing dissolved organic carbon. Sample time did not significantly affect bacterial or fungal diversity over the two seasons, regardless of the crop type and status (i.e., crop in ground and post crop). The relatively stable subsoil fungal and overall microbial diversity in bulk soils over two crop seasons suggests that these microbiota have developed a tolerance to prolonged agricultural management.","author":[{"dropping-particle":"","family":"Polain","given":"Katherine","non-dropping-particle":"","parse-names":false,"suffix":""},{"dropping-particle":"","family":"Knox","given":"Oliver","non-dropping-particle":"","parse-names":false,"suffix":""},{"dropping-particle":"","family":"Wilson","given":"Brian","non-dropping-particle":"","parse-names":false,"suffix":""},{"dropping-particle":"","family":"Pereg","given":"Lily","non-dropping-particle":"","parse-names":false,"suffix":""}],"container-title":"Soil Systems","id":"ITEM-2","issue":"3","issued":{"date-parts":[["2020"]]},"page":"1-18","title":"Subsoil microbial diversity and stability in rotational cotton systems","type":"article-journal","volume":"4"},"uris":["http://www.mendeley.com/documents/?uuid=fe64c27f-cd6c-420e-b825-8be15be73a28"]},{"id":"ITEM-3","itemData":{"DOI":"10.1016/j.still.2022.105521","ISSN":"01671987","abstract":"Long-term cover-cropping and no-tillage practices can facilitate soil organic carbon (SOC) accumulation in agroecosystems for soil health and climate mitigation benefits. However, the contribution of these conservation management practices to SOC gain from the subsoil layers is not extensively studied. To understand this knowledge gap, it is essential to determine the distribution of total SOC and SOC fractions in response to management practices across the soil profile. Therefore, this study was conducted by leveraging a 40-year replicated field experiment in a continuous cotton (Gossypium hirsutum) system. The management treatments examined included three cover crop treatments: 1) hairy vetch, HV (Vicia villosa); 2) winter wheat, WW (Triticum aestivum L.), and 3) no cover crop, NC; and two tillage treatments: 1) chisel-tillage, CT (10 cm deep) and 2) no-tillage, NT. Soil samples were collected from four depths (0–5, 5–10, 10–30, and 30–60 cm) and analyzed for total SOC and C fractions such as microbial biomass (MBC), particulate organic matter (POM-C), and mineral-associated organic matter (MAOM-C). Results showed that the profile-scale (0–60 cm) SOC stock was greater for WW (33.7 Mg ha −1) compared to HV (29.1 Mg ha −1) and NC (24.4 Mg ha −1), while the tillage effect was non-significant (28 Mg ha −1 for NT and 29.3 Mg ha −1 for CT). The NT increased SOC in the top 5-cm layer, which was reflected in the concentrations of POM-C and MBC. Below the tillage depth (10–30 cm), SOC accrual was greater under CT (10.4 Mg ha −1) than NT (8.9 Mg ha −1), despite similar profile-scale SOC stocks. Further analysis revealed that total SOC in topsoil and subsoil were driven by POM and MAOM-related parameters, respectively. We also observed a limited accumulation of C in POM fraction (0.2–6.1 g C kg−1 soil in tilled topsoil and 0.01–0.71 g C kg−1 soil in subsoil) with a weak relationship with total SOC concentration (topsoil slope = 0.29, subsoil slope = 0.13). Contrastingly, accumulation of C in MAOM fraction was greater (2.7–12.7 g C kg−1 soil in topsoil and 0.6–5.4 g C kg−1 soil in subsoil), and it was strongly related to total SOC concentration than POM-C, especially in the subsoil (topsoil slope = 0.43, subsoil slope = 0.71). Growing deep-rooted winter wheat cover crop increased SOC in the subsoil, indicating the need for climate, soil, and ecosystem-specific management practices for profile-scale net SOC accumulation and redistribution in agroecosystems.","author":[{"dropping-particle":"","family":"Patra","given":"Rounak","non-dropping-particle":"","parse-names":false,"suffix":""},{"dropping-particle":"","family":"Saha","given":"Debasish","non-dropping-particle":"","parse-names":false,"suffix":""},{"dropping-particle":"","family":"Jagadamma","given":"Sindhu","non-dropping-particle":"","parse-names":false,"suffix":""}],"container-title":"Soil and Tillage Research","id":"ITEM-3","issued":{"date-parts":[["2022"]]},"page":"105521","publisher":"Elsevier B.V.","title":"Winter wheat cover crop increased subsoil organic carbon in a long-term cotton cropping system in Tennessee","type":"article-journal","volume":"224"},"uris":["http://www.mendeley.com/documents/?uuid=839aa637-6dc6-4bc2-93cb-93243f7e60fb"]}],"mendeley":{"formattedCitation":"(Piazza et al., 2019; Polain et al., 2020; Patra et al., 2022)","plainTextFormattedCitation":"(Piazza et al., 2019; Polain et al., 2020; Patra et al., 2022)","previouslyFormattedCitation":"(Piazza et al., 2019; Polain et al., 2020; Patra et al., 2022)"},"properties":{"noteIndex":0},"schema":"https://github.com/citation-style-language/schema/raw/master/csl-citation.json"}</w:instrText>
      </w:r>
      <w:r w:rsidRPr="00203EB0">
        <w:rPr>
          <w:rFonts w:cs="Times New Roman"/>
        </w:rPr>
        <w:fldChar w:fldCharType="separate"/>
      </w:r>
      <w:r w:rsidRPr="00203EB0">
        <w:rPr>
          <w:rFonts w:cs="Times New Roman"/>
          <w:noProof/>
        </w:rPr>
        <w:t>(Piazza et al., 2019; Polain et al., 2020; Patra et al., 2022)</w:t>
      </w:r>
      <w:r w:rsidRPr="00203EB0">
        <w:rPr>
          <w:rFonts w:cs="Times New Roman"/>
        </w:rPr>
        <w:fldChar w:fldCharType="end"/>
      </w:r>
      <w:r w:rsidRPr="00203EB0">
        <w:rPr>
          <w:rFonts w:cs="Times New Roman"/>
        </w:rPr>
        <w:t>. Although microbial communities play a central role in N</w:t>
      </w:r>
      <w:r w:rsidRPr="00203EB0">
        <w:rPr>
          <w:rFonts w:cs="Times New Roman"/>
          <w:vertAlign w:val="subscript"/>
        </w:rPr>
        <w:t>2</w:t>
      </w:r>
      <w:r w:rsidRPr="00203EB0">
        <w:rPr>
          <w:rFonts w:cs="Times New Roman"/>
        </w:rPr>
        <w:t>O production, few studies have integrated temporal and depth-specific microbial composition dynamics alongside N</w:t>
      </w:r>
      <w:r w:rsidRPr="00203EB0">
        <w:rPr>
          <w:rFonts w:cs="Times New Roman"/>
          <w:vertAlign w:val="subscript"/>
        </w:rPr>
        <w:t>2</w:t>
      </w:r>
      <w:r w:rsidRPr="00203EB0">
        <w:rPr>
          <w:rFonts w:cs="Times New Roman"/>
        </w:rPr>
        <w:t>O flux measurements.</w:t>
      </w:r>
    </w:p>
    <w:p w14:paraId="438658F0" w14:textId="657FCB61" w:rsidR="00025EEA" w:rsidRPr="00203EB0" w:rsidRDefault="00025EEA" w:rsidP="00680982">
      <w:pPr>
        <w:spacing w:after="160" w:line="480" w:lineRule="auto"/>
        <w:contextualSpacing/>
        <w:rPr>
          <w:rFonts w:cs="Times New Roman"/>
        </w:rPr>
      </w:pPr>
      <w:r w:rsidRPr="00203EB0">
        <w:rPr>
          <w:rFonts w:cs="Times New Roman"/>
        </w:rPr>
        <w:t>Most efforts to explain N</w:t>
      </w:r>
      <w:r w:rsidRPr="00203EB0">
        <w:rPr>
          <w:rFonts w:cs="Times New Roman"/>
          <w:vertAlign w:val="subscript"/>
        </w:rPr>
        <w:t>2</w:t>
      </w:r>
      <w:r w:rsidRPr="00203EB0">
        <w:rPr>
          <w:rFonts w:cs="Times New Roman"/>
        </w:rPr>
        <w:t xml:space="preserve">O dynamics have focused on soil properties such as moisture, temperature, and N availability </w:t>
      </w:r>
      <w:r w:rsidRPr="00203EB0">
        <w:rPr>
          <w:rFonts w:cs="Times New Roman"/>
        </w:rPr>
        <w:fldChar w:fldCharType="begin" w:fldLock="1"/>
      </w:r>
      <w:r w:rsidR="00EB2F35" w:rsidRPr="00203EB0">
        <w:rPr>
          <w:rFonts w:cs="Times New Roman"/>
        </w:rPr>
        <w:instrText>ADDIN CSL_CITATION {"citationItems":[{"id":"ITEM-1","itemData":{"DOI":"10.1016/j.agee.2013.10.009","ISSN":"01678809","abstract":"More than two thirds of global nitrous oxide (N2O) emissions originate from soil, mainly associated with the extensive use of nitrogen (N) fertilizers in agriculture. Although the interaction of black carbon with the N cycle has been long recognized, the impact of biochar on N2O emissions has only recently been studied. Herein we reflect on proposed hypotheses to explain N2O decrease with biochar, linking them to specific mechanisms for N2O formation and consumption in soil. Moreover, to assist in elucidating key mechanisms in which biochar may act in mitigating emissions of N2O, we undertook a meta-analysis using published literature from 2007 to 2013. This quantitative analysis used 30 studies with 261 experimental treatments. Overall, we found that biochar reduced soil N2O emissions by 54% in laboratory and field studies. The biochar feedstock, pyrolysis conditions and C/N ratio were shown to be key factors influencing emissions of N2O while a direct correlation was found between the biochar application rate and N2O emission reductions. Interactions between soil texture and biochar and the chemical form of N fertilizer applied with biochar were also found to have a major influence on soil N2O emissions. While there is clear evidence that, in many cases, emissions of N2O are reduced, there is still a significant lack in understanding of the key mechanisms which result in these changed emissions. As such, we have guided readers with suggestions to address specific research gaps, which we anticipate will enhance our knowledge and understanding of biochar's N2O emission mitigation potential.","author":[{"dropping-particle":"","family":"Cayuela","given":"M. L.","non-dropping-particle":"","parse-names":false,"suffix":""},{"dropping-particle":"","family":"Zwieten","given":"L.","non-dropping-particle":"van","parse-names":false,"suffix":""},{"dropping-particle":"","family":"Singh","given":"B. P.","non-dropping-particle":"","parse-names":false,"suffix":""},{"dropping-particle":"","family":"Jeffery","given":"S.","non-dropping-particle":"","parse-names":false,"suffix":""},{"dropping-particle":"","family":"Roig","given":"A.","non-dropping-particle":"","parse-names":false,"suffix":""},{"dropping-particle":"","family":"Sánchez-Monedero","given":"M. A.","non-dropping-particle":"","parse-names":false,"suffix":""}],"container-title":"Agriculture, Ecosystems and Environment","id":"ITEM-1","issued":{"date-parts":[["2014"]]},"page":"5-16","publisher":"Elsevier B.V.","title":"Biochar's role in mitigating soil nitrous oxide emissions: A review and meta-analysis","type":"article-journal","volume":"191"},"uris":["http://www.mendeley.com/documents/?uuid=044d23f5-81e0-4835-9a66-8653e1cb59e9"]},{"id":"ITEM-2","itemData":{"DOI":"10.3390/agronomy11040770","ISSN":"20734395","abstract":"Nitrous oxide (N2O) is a long-lived greenhouse gas that contributes to global warming. Emissions of N2O mainly stem from agricultural soils. This review highlights the principal factors from peer-reviewed literature affecting N2O emissions from agricultural soils, by grouping the factors into three categories: environmental, management and measurement. Within these categories, each impact factor is explained in detail and its influence on N2O emissions from the soil is summarized. It is also shown how each impact factor influences other impact factors. Process-based simulation models used for estimating N2O emissions are reviewed regarding their ability to consider the impact factors in simulating N2O. The model strengths and weaknesses in simulating N2O emissions from managed soils are summarized. Finally, three selected process-based simulation models (Daily Century (DAYCENT), DeNitrification-DeComposition (DNDC), and Soil and Water Assessment Tool (SWAT)) are discussed that are widely used to simulate N2O emissions from cropping systems. Their ability to simulate N2O emissions is evaluated by describing the model components that are relevant to N2O processes and their representation in the model.","author":[{"dropping-particle":"","family":"Wang","given":"Cong","non-dropping-particle":"","parse-names":false,"suffix":""},{"dropping-particle":"","family":"Amon","given":"Barbara","non-dropping-particle":"","parse-names":false,"suffix":""},{"dropping-particle":"","family":"Schulz","given":"Karsten","non-dropping-particle":"","parse-names":false,"suffix":""},{"dropping-particle":"","family":"Mehdi","given":"Bano","non-dropping-particle":"","parse-names":false,"suffix":""}],"container-title":"Agronomy","id":"ITEM-2","issue":"4","issued":{"date-parts":[["2021"]]},"title":"Factors that influence nitrous oxide emissions from agricultural soils as well as their representation in simulation models: A review","type":"article-journal","volume":"11"},"uris":["http://www.mendeley.com/documents/?uuid=c0538bbb-cf46-4d6c-be4a-fc4655ffd0b1"]},{"id":"ITEM-3","itemData":{"DOI":"10.1002/jeq2.20637","ISSN":"15372537","abstract":"Soil nitrous oxide (N2O) emissions exhibit high variability in intensively managed cropping systems, which challenges our ability to understand their complex interactions with controlling factors. We leveraged 17 years (2003–2019) of measurements at the Kellogg Biological Station Long-Term Ecological Research (LTER)/Long-Term Agroecosystem Research (LTAR) site to better understand the controls of N2O emissions in four corn–soybean–winter wheat rotations employing conventional, no-till, reduced input, and biologically based/organic inputs. We used a random forest machine learning model to predict daily N2O fluxes, trained separately for each system with 70% of observations, using variables such as crop species, daily air temperature, cumulative 2-day precipitation, water-filled pore space, and soil nitrate and ammonium concentrations. The model explained 29%–42% of daily N2O flux variability in the test data, with greater predictability for the corn phase in each system. The long-term rotations showed different controlling factors and threshold conditions influencing N2O emissions. In the conventional system, the model identified ammonium (&gt;15 kg N ha−1) and daily air temperature (&gt;23°C) as the most influential variables; in the no-till system, climate variables such as precipitation and air temperature were important variables. In low-input and organic systems, where red clover (Trifolium repens L.; before corn) and cereal rye (Secale cereale L.; before soybean) cover crops were integrated, nitrate was the predominant predictor of N2O emissions, followed by precipitation and air temperature. In low-input and biologically based systems, red clover residues increased soil nitrogen availability to influence N2O emissions. Long-term data facilitated machine learning for predicting N2O emissions in response to differential controls and threshold responses to management, environmental, and biogeochemical drivers.","author":[{"dropping-particle":"","family":"Dhaliwal","given":"Jashanjeet Kaur","non-dropping-particle":"","parse-names":false,"suffix":""},{"dropping-particle":"","family":"Panday","given":"Dinesh","non-dropping-particle":"","parse-names":false,"suffix":""},{"dropping-particle":"","family":"Robertson","given":"G. Philip","non-dropping-particle":"","parse-names":false,"suffix":""},{"dropping-particle":"","family":"Saha","given":"Debasish","non-dropping-particle":"","parse-names":false,"suffix":""}],"container-title":"Journal of Environmental Quality","id":"ITEM-3","issue":"May 2024","issued":{"date-parts":[["2024"]]},"page":"132-146","title":"Machine learning reveals dynamic controls of soil nitrous oxide emissions from diverse long-term cropping systems","type":"article-journal"},"uris":["http://www.mendeley.com/documents/?uuid=e14a282a-4b30-4b4c-9661-cfc5cfab433f"]}],"mendeley":{"formattedCitation":"(Cayuela et al., 2014; Wang et al., 2021a; Dhaliwal et al., 2024c)","manualFormatting":"(Cayuela et al., 2014; Wang et al., 2021; Dhaliwal et al., 2024)","plainTextFormattedCitation":"(Cayuela et al., 2014; Wang et al., 2021a; Dhaliwal et al., 2024c)","previouslyFormattedCitation":"(Cayuela et al., 2014; Wang et al., 2021a; Dhaliwal et al., 2024c)"},"properties":{"noteIndex":0},"schema":"https://github.com/citation-style-language/schema/raw/master/csl-citation.json"}</w:instrText>
      </w:r>
      <w:r w:rsidRPr="00203EB0">
        <w:rPr>
          <w:rFonts w:cs="Times New Roman"/>
        </w:rPr>
        <w:fldChar w:fldCharType="separate"/>
      </w:r>
      <w:r w:rsidRPr="00203EB0">
        <w:rPr>
          <w:rFonts w:cs="Times New Roman"/>
          <w:noProof/>
        </w:rPr>
        <w:t>(Cayuela et al., 2014; Wang et al., 2021; Dhaliwal et al., 2024)</w:t>
      </w:r>
      <w:r w:rsidRPr="00203EB0">
        <w:rPr>
          <w:rFonts w:cs="Times New Roman"/>
        </w:rPr>
        <w:fldChar w:fldCharType="end"/>
      </w:r>
      <w:r w:rsidRPr="00203EB0">
        <w:rPr>
          <w:rFonts w:cs="Times New Roman"/>
        </w:rPr>
        <w:t xml:space="preserve">, which alone often fail to capture the full complexity of emissions patterns </w:t>
      </w:r>
      <w:r w:rsidRPr="00203EB0">
        <w:rPr>
          <w:rFonts w:cs="Times New Roman"/>
        </w:rPr>
        <w:fldChar w:fldCharType="begin" w:fldLock="1"/>
      </w:r>
      <w:r w:rsidR="00EB2F35" w:rsidRPr="00203EB0">
        <w:rPr>
          <w:rFonts w:cs="Times New Roman"/>
        </w:rPr>
        <w:instrText xml:space="preserve">ADDIN CSL_CITATION {"citationItems":[{"id":"ITEM-1","itemData":{"DOI":"10.1088/1748-9326/abd2f3","ISSN":"17489326","abstract":"The potent greenhouse gas nitrous oxide (N2O) is accumulating in the atmosphere at unprecedented rates largely due to agricultural intensification, and cultivated soils contribute </w:instrText>
      </w:r>
      <w:r w:rsidR="00EB2F35" w:rsidRPr="00203EB0">
        <w:rPr>
          <w:rFonts w:ascii="Cambria Math" w:hAnsi="Cambria Math" w:cs="Cambria Math"/>
        </w:rPr>
        <w:instrText>∼</w:instrText>
      </w:r>
      <w:r w:rsidR="00EB2F35" w:rsidRPr="00203EB0">
        <w:rPr>
          <w:rFonts w:cs="Times New Roman"/>
        </w:rPr>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EB2F35" w:rsidRPr="00203EB0">
        <w:rPr>
          <w:rFonts w:ascii="Cambria Math" w:hAnsi="Cambria Math" w:cs="Cambria Math"/>
        </w:rPr>
        <w:instrText>∼</w:instrText>
      </w:r>
      <w:r w:rsidR="00EB2F35" w:rsidRPr="00203EB0">
        <w:rPr>
          <w:rFonts w:cs="Times New Roman"/>
        </w:rPr>
        <w:instrText>3000 sub-daily flux observations), supplemented with weekly to biweekly manual chamber measurements (</w:instrText>
      </w:r>
      <w:r w:rsidR="00EB2F35" w:rsidRPr="00203EB0">
        <w:rPr>
          <w:rFonts w:ascii="Cambria Math" w:hAnsi="Cambria Math" w:cs="Cambria Math"/>
        </w:rPr>
        <w:instrText>∼</w:instrText>
      </w:r>
      <w:r w:rsidR="00EB2F35" w:rsidRPr="00203EB0">
        <w:rPr>
          <w:rFonts w:cs="Times New Roman"/>
        </w:rPr>
        <w:instrText>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author":[{"dropping-particle":"","family":"Saha","given":"Debasish","non-dropping-particle":"","parse-names":false,"suffix":""},{"dropping-particle":"","family":"Basso","given":"Bruno","non-dropping-particle":"","parse-names":false,"suffix":""},{"dropping-particle":"","family":"Robertson","given":"G. Philip","non-dropping-particle":"","parse-names":false,"suffix":""}],"container-title":"Environmental Research Letters","id":"ITEM-1","issue":"2","issued":{"date-parts":[["2021"]]},"title":"Machine learning improves predictions of agricultural nitrous oxide (N2O) emissions from intensively managed cropping systems","type":"article-journal","volume":"16"},"uris":["http://www.mendeley.com/documents/?uuid=e5d104c5-fa03-4b6b-8a74-0abf69308886"]}],"mendeley":{"formattedCitation":"(Saha et al., 2021a)","plainTextFormattedCitation":"(Saha et al., 2021a)","previouslyFormattedCitation":"(Saha et al., 2021a)"},"properties":{"noteIndex":0},"schema":"https://github.com/citation-style-language/schema/raw/master/csl-citation.json"}</w:instrText>
      </w:r>
      <w:r w:rsidRPr="00203EB0">
        <w:rPr>
          <w:rFonts w:cs="Times New Roman"/>
        </w:rPr>
        <w:fldChar w:fldCharType="separate"/>
      </w:r>
      <w:r w:rsidR="00EB2F35" w:rsidRPr="00203EB0">
        <w:rPr>
          <w:rFonts w:cs="Times New Roman"/>
          <w:noProof/>
        </w:rPr>
        <w:t>(Saha et al., 2021a)</w:t>
      </w:r>
      <w:r w:rsidRPr="00203EB0">
        <w:rPr>
          <w:rFonts w:cs="Times New Roman"/>
        </w:rPr>
        <w:fldChar w:fldCharType="end"/>
      </w:r>
      <w:r w:rsidRPr="00203EB0">
        <w:rPr>
          <w:rFonts w:cs="Times New Roman"/>
        </w:rPr>
        <w:t xml:space="preserve">. Incorporating microbial data has been shown to improve predictions of ecosystem processes </w:t>
      </w:r>
      <w:r w:rsidRPr="00203EB0">
        <w:rPr>
          <w:rFonts w:cs="Times New Roman"/>
        </w:rPr>
        <w:fldChar w:fldCharType="begin" w:fldLock="1"/>
      </w:r>
      <w:r w:rsidRPr="00203EB0">
        <w:rPr>
          <w:rFonts w:cs="Times New Roman"/>
        </w:rPr>
        <w:instrText>ADDIN CSL_CITATION {"citationItems":[{"id":"ITEM-1","itemData":{"DOI":"10.3389/fmicb.2016.00214","ISSN":"1664302X","PMID":"26941732","abstract":"Microorganisms are vital in mediating the earth's biogeochemical cycles; yet, despite our rapidly increasing ability to explore complex environmental microbial communities, the relationship between microbial community structure and ecosystem processes remains poorly understood. Here, we address a fundamental and unanswered question in microbial ecology: 'When do we need to understand microbial community structure to accurately predict function?' We present a statistical analysis investigating the value of environmental data and microbial community structure independently and in combination for explaining rates of carbon and nitrogen cycling processes within 82 global datasets. Environmental variables were the strongest predictors of process rates but left 44% of variation unexplained on average, suggesting the potential for microbial data to increase model accuracy. Although only 29% of our datasets were significantly improved by adding information on microbial community structure, we observed improvement in models of processes mediated by narrow phylogenetic guilds via functional gene data, and conversely, improvement in models of facultative microbial processes via community diversity metrics. Our results also suggest that microbial diversity can strengthen predictions of respiration rates beyond microbial biomass parameters, as 53% of models were improved by incorporating both sets of predictors compared to 35% by microbial biomass alone. Our analysis represents the first comprehensive analysis of research examining links between microbial community structure and ecosystem function. Taken together, our results indicate that a greater understanding of microbial communities informed by ecological principles may enhance our ability to predict ecosystem process rates relative to assessments based on environmental variables and microbial physiology.","author":[{"dropping-particle":"","family":"Graham","given":"Emily B.","non-dropping-particle":"","parse-names":false,"suffix":""},{"dropping-particle":"","family":"Knelman","given":"Joseph E.","non-dropping-particle":"","parse-names":false,"suffix":""},{"dropping-particle":"","family":"Schindlbacher","given":"Andreas","non-dropping-particle":"","parse-names":false,"suffix":""},{"dropping-particle":"","family":"Siciliano","given":"Steven","non-dropping-particle":"","parse-names":false,"suffix":""},{"dropping-particle":"","family":"Breulmann","given":"Marc","non-dropping-particle":"","parse-names":false,"suffix":""},{"dropping-particle":"","family":"Yannarell","given":"Anthony","non-dropping-particle":"","parse-names":false,"suffix":""},{"dropping-particle":"","family":"Beman","given":"J. M.","non-dropping-particle":"","parse-names":false,"suffix":""},{"dropping-particle":"","family":"Abell","given":"Guy","non-dropping-particle":"","parse-names":false,"suffix":""},{"dropping-particle":"","family":"Philippot","given":"Laurent","non-dropping-particle":"","parse-names":false,"suffix":""},{"dropping-particle":"","family":"Prosser","given":"James","non-dropping-particle":"","parse-names":false,"suffix":""},{"dropping-particle":"","family":"Foulquier","given":"Arnaud","non-dropping-particle":"","parse-names":false,"suffix":""},{"dropping-particle":"","family":"Yuste","given":"Jorge C.","non-dropping-particle":"","parse-names":false,"suffix":""},{"dropping-particle":"","family":"Glanville","given":"Helen C.","non-dropping-particle":"","parse-names":false,"suffix":""},{"dropping-particle":"","family":"Jones","given":"Davey L.","non-dropping-particle":"","parse-names":false,"suffix":""},{"dropping-particle":"","family":"Angel","given":"Roey","non-dropping-particle":"","parse-names":false,"suffix":""},{"dropping-particle":"","family":"Salminen","given":"Janne","non-dropping-particle":"","parse-names":false,"suffix":""},{"dropping-particle":"","family":"Newton","given":"Ryan J.","non-dropping-particle":"","parse-names":false,"suffix":""},{"dropping-particle":"","family":"Bürgmann","given":"Helmut","non-dropping-particle":"","parse-names":false,"suffix":""},{"dropping-particle":"","family":"Ingram","given":"Lachlan J.","non-dropping-particle":"","parse-names":false,"suffix":""},{"dropping-particle":"","family":"Hamer","given":"Ute","non-dropping-particle":"","parse-names":false,"suffix":""},{"dropping-particle":"","family":"Siljanen","given":"Henri M.P.","non-dropping-particle":"","parse-names":false,"suffix":""},{"dropping-particle":"","family":"Peltoniemi","given":"Krista","non-dropping-particle":"","parse-names":false,"suffix":""},{"dropping-particle":"","family":"Potthast","given":"Karin","non-dropping-particle":"","parse-names":false,"suffix":""},{"dropping-particle":"","family":"Bañeras","given":"Lluís","non-dropping-particle":"","parse-names":false,"suffix":""},{"dropping-particle":"","family":"Hartmann","given":"Martin","non-dropping-particle":"","parse-names":false,"suffix":""},{"dropping-particle":"","family":"Banerjee","given":"Samiran","non-dropping-particle":"","parse-names":false,"suffix":""},{"dropping-particle":"","family":"Yu","given":"Ri Qing","non-dropping-particle":"","parse-names":false,"suffix":""},{"dropping-particle":"","family":"Nogaro","given":"Geraldine","non-dropping-particle":"","parse-names":false,"suffix":""},{"dropping-particle":"","family":"Richter","given":"Andreas","non-dropping-particle":"","parse-names":false,"suffix":""},{"dropping-particle":"","family":"Koranda","given":"Marianne","non-dropping-particle":"","parse-names":false,"suffix":""},{"dropping-particle":"","family":"Castle","given":"Sarah C.","non-dropping-particle":"","parse-names":false,"suffix":""},{"dropping-particle":"","family":"Goberna","given":"Marta","non-dropping-particle":"","parse-names":false,"suffix":""},{"dropping-particle":"","family":"Song","given":"Bongkeun","non-dropping-particle":"","parse-names":false,"suffix":""},{"dropping-particle":"","family":"Chatterjee","given":"Amitava","non-dropping-particle":"","parse-names":false,"suffix":""},{"dropping-particle":"","family":"Nunes","given":"Olga C.","non-dropping-particle":"","parse-names":false,"suffix":""},{"dropping-particle":"","family":"Lopes","given":"Ana R.","non-dropping-particle":"","parse-names":false,"suffix":""},{"dropping-particle":"","family":"Cao","given":"Yiping","non-dropping-particle":"","parse-names":false,"suffix":""},{"dropping-particle":"","family":"Kaisermann","given":"Aurore","non-dropping-particle":"","parse-names":false,"suffix":""},{"dropping-particle":"","family":"Hallin","given":"Sara","non-dropping-particle":"","parse-names":false,"suffix":""},{"dropping-particle":"","family":"Strickland","given":"Michael S.","non-dropping-particle":"","parse-names":false,"suffix":""},{"dropping-particle":"","family":"Garcia-Pausas","given":"Jordi","non-dropping-particle":"","parse-names":false,"suffix":""},{"dropping-particle":"","family":"Barba","given":"Josep","non-dropping-particle":"","parse-names":false,"suffix":""},{"dropping-particle":"","family":"Kang","given":"Hojeong","non-dropping-particle":"","parse-names":false,"suffix":""},{"dropping-particle":"","family":"Isobe","given":"Kazuo","non-dropping-particle":"","parse-names":false,"suffix":""},{"dropping-particle":"","family":"Papaspyrou","given":"Sokratis","non-dropping-particle":"","parse-names":false,"suffix":""},{"dropping-particle":"","family":"Pastorelli","given":"Roberta","non-dropping-particle":"","parse-names":false,"suffix":""},{"dropping-particle":"","family":"Lagomarsino","given":"Alessandra","non-dropping-particle":"","parse-names":false,"suffix":""},{"dropping-particle":"","family":"Lindström","given":"Eva S.","non-dropping-particle":"","parse-names":false,"suffix":""},{"dropping-particle":"","family":"Basiliko","given":"Nathan","non-dropping-particle":"","parse-names":false,"suffix":""},{"dropping-particle":"","family":"Nemergut","given":"Diana R.","non-dropping-particle":"","parse-names":false,"suffix":""}],"container-title":"Frontiers in Microbiology","id":"ITEM-1","issue":"FEB","issued":{"date-parts":[["2016"]]},"page":"1-10","title":"Microbes as engines of ecosystem function: When does community structure enhance predictions of ecosystem processes?","type":"article-journal","volume":"7"},"uris":["http://www.mendeley.com/documents/?uuid=c4ee1a63-7510-4d93-8d99-ab5901f24a87"]}],"mendeley":{"formattedCitation":"(Graham et al., 2016)","plainTextFormattedCitation":"(Graham et al., 2016)","previouslyFormattedCitation":"(Graham et al., 2016)"},"properties":{"noteIndex":0},"schema":"https://github.com/citation-style-language/schema/raw/master/csl-citation.json"}</w:instrText>
      </w:r>
      <w:r w:rsidRPr="00203EB0">
        <w:rPr>
          <w:rFonts w:cs="Times New Roman"/>
        </w:rPr>
        <w:fldChar w:fldCharType="separate"/>
      </w:r>
      <w:r w:rsidRPr="00203EB0">
        <w:rPr>
          <w:rFonts w:cs="Times New Roman"/>
          <w:noProof/>
        </w:rPr>
        <w:t>(Graham et al., 2016)</w:t>
      </w:r>
      <w:r w:rsidRPr="00203EB0">
        <w:rPr>
          <w:rFonts w:cs="Times New Roman"/>
        </w:rPr>
        <w:fldChar w:fldCharType="end"/>
      </w:r>
      <w:r w:rsidRPr="00203EB0">
        <w:rPr>
          <w:rFonts w:cs="Times New Roman"/>
        </w:rPr>
        <w:t>, promoting interest in exploring associations between microbial communities and N</w:t>
      </w:r>
      <w:r w:rsidRPr="00203EB0">
        <w:rPr>
          <w:rFonts w:cs="Times New Roman"/>
          <w:vertAlign w:val="subscript"/>
        </w:rPr>
        <w:t>2</w:t>
      </w:r>
      <w:r w:rsidRPr="00203EB0">
        <w:rPr>
          <w:rFonts w:cs="Times New Roman"/>
        </w:rPr>
        <w:t xml:space="preserve">O emissions. In this context, several studies have </w:t>
      </w:r>
      <w:r w:rsidRPr="00203EB0">
        <w:rPr>
          <w:rFonts w:cs="Times New Roman"/>
        </w:rPr>
        <w:lastRenderedPageBreak/>
        <w:t>quantified the abundance and expression of functional genes linked to N</w:t>
      </w:r>
      <w:r w:rsidRPr="00203EB0">
        <w:rPr>
          <w:rFonts w:cs="Times New Roman"/>
          <w:vertAlign w:val="subscript"/>
        </w:rPr>
        <w:t>2</w:t>
      </w:r>
      <w:r w:rsidRPr="00203EB0">
        <w:rPr>
          <w:rFonts w:cs="Times New Roman"/>
        </w:rPr>
        <w:t xml:space="preserve">O production using quantitative and reverse transcription qPCR </w:t>
      </w:r>
      <w:r w:rsidRPr="00203EB0">
        <w:rPr>
          <w:rFonts w:cs="Times New Roman"/>
        </w:rPr>
        <w:fldChar w:fldCharType="begin" w:fldLock="1"/>
      </w:r>
      <w:r w:rsidRPr="00203EB0">
        <w:rPr>
          <w:rFonts w:cs="Times New Roman"/>
        </w:rPr>
        <w:instrText>ADDIN CSL_CITATION {"citationItems":[{"id":"ITEM-1","itemData":{"DOI":"10.1038/srep43283","ISSN":"20452322","PMID":"28233823","abstract":"The linkage between N2O emissions and the abundance of nitrifier and denitrifier genes is unclear in the intensively managed calcareous fluvo-aquic soils of the North China Plain. We investigated the abundance of bacterial amoA for nitrification and narG, nirS, nirK, and nosZ for denitrification by in situ soil sampling to determine how the abundance of these genes changes instantly during N fertilization events and is related to high N2O emission peaks. We also investigated how long-term incorporated straw and/or manure affect(s) the abundance of these genes based on a seven-year field experiment. The overall results demonstrate that the long-term application of urea-based fertilizer and/or manure significantly enhanced the number of bacterial amoA gene copies leading to high N2O emission peaks after N fertilizer applications. These peaks contributed greatly to the annual N2O emissions in the crop rotation. A significant correlation between annual N2O emissions and narG, nirS, and nirK gene numbers indicates that the abundance of these genes is related to N2O emission under conditions for denitrification, thus partly contributing to the annual N2O emissions. These findings will help to draw up appropriate measures for mitigation of N2O emissions in this hotspot' region.","author":[{"dropping-particle":"","family":"Yang","given":"Liuqing","non-dropping-particle":"","parse-names":false,"suffix":""},{"dropping-particle":"","family":"Zhang","given":"Xiaojun","non-dropping-particle":"","parse-names":false,"suffix":""},{"dropping-particle":"","family":"Ju","given":"Xiaotang","non-dropping-particle":"","parse-names":false,"suffix":""}],"container-title":"Scientific Reports","id":"ITEM-1","issue":"December 2016","issued":{"date-parts":[["2017"]]},"page":"1-11","publisher":"Nature Publishing Group","title":"Linkage between N2O emission and functional gene abundance in an intensively managed calcareous fluvo-aquic soil","type":"article-journal","volume":"7"},"uris":["http://www.mendeley.com/documents/?uuid=b8b8d0be-a702-48ff-b635-a6e0da15a276"]},{"id":"ITEM-2","itemData":{"DOI":"10.1038/s41598-022-07753-9","ISBN":"0123456789","ISSN":"20452322","PMID":"35273224","abstract":"Denitrification is a key biochemical process in nitrogen cycling and nitrous oxide (N2O) production. In this study, the impacts of different inorganic and organic amendments (OAs) on the abundance of denitrifying genes (nirS, nirK and nosZ) and the level of N2O emission were examined with incubation experiments. Six treatments included the indicated applications: (i) no fertilization (CK); (ii) urea application alone (U); (iii) wheat straw plus urea (U + WS); (iv) pig manure plus urea (U + PM); (v) compost product plus urea (U + CP); and (vi) improved compost product plus urea (U + IC). The results indicated that all fertilization treatments increased accumulative N2O emissions compared with the CK treatment. The U + WS, U + PM and U + CP treatments increased N2O emissions by 2.12–141.3%, and the U + IC treatment decreased N2O emissions by 23.24% relative to the U treatment. nirK was the dominant denitrification gene rather than nirS and nosZ found in soil. Additionally, the highest abundance of nirK gene was that with the U + PM treatment, and the lowest was that with the U + IC treatment. Additionally, changes in the nirK gene were highly correlated with levels of dissolved organic carbon (DOC), dissolved organic nitrogen (DON) and nitrate nitrogen (NO3–N). Automatic linear modeling revealed that N2O emission was closely related to the nirK gene, DOC and NO3–N. Overall, the use of urea and improved compost as co-amendments retarded N2O emission to a considerable degree compared with other OA additions.","author":[{"dropping-particle":"","family":"Yang","given":"Yajun","non-dropping-particle":"","parse-names":false,"suffix":""},{"dropping-particle":"","family":"Liu","given":"Hexiang","non-dropping-particle":"","parse-names":false,"suffix":""},{"dropping-particle":"","family":"Lv","given":"Jialong","non-dropping-particle":"","parse-names":false,"suffix":""}],"container-title":"Scientific Reports","id":"ITEM-2","issue":"1","issued":{"date-parts":[["2022"]]},"page":"1-8","publisher":"Nature Publishing Group UK","title":"Response of N2O emission and denitrification genes to different inorganic and organic amendments","type":"article-journal","volume":"12"},"uris":["http://www.mendeley.com/documents/?uuid=670de812-3de4-4c64-850e-2eb368ec8520"]},{"id":"ITEM-3","itemData":{"DOI":"10.1016/j.soilbio.2019.107703","ISSN":"00380717","abstract":"In agroecosystems, efficient fertilizer use is key to optimizing productivity and reducing nutrient losses that can be detrimental for the environment, such as nitrous oxide (N2O) emissions. Because microbial communities regulate nitrogen (N) fate in soils, some agrochemicals inhibit specific transformations to reduce N losses. Our study aimed to describe short-term dynamics of N-cycling genes and transcripts and N2O emissions after fertilization with urea-ammonium nitrate (UAN) with or without the addition of nitrification plus urease inhibitors (NUI). The experiment consisted of 4-ha corn plots located in SE Ontario, Canada, where field-scale N2O emissions were monitored continuously using micro-meteorological techniques. Soil samples (0–10 cm) were taken 10 days before (baseline) and 2, 6, 9, 13 and 16 days after fertilization, and immediately flash-frozen. We co-extracted DNA and RNA and, using real-time PCR, quantified genes/transcripts targeting total bacteria (16S rRNA) and key N-cycling groups: ureolytic (ureC), ammonia-oxidizers (bacterial/archaeal amoA), nitrite-reducers (nirK/nirS) and N2O-reducers (clade I/II nosZ). The addition of NUI did not prevent an N2O flux event but reduced its duration and magnitude by more than 50%, and net cumulative N2O emissions for the sampling period by ~68%. NUI effects on N-cycling microorganisms were evident on day 9, as a transient reduction (40–56%) of ammonia-oxidizers and denitrifiers. Changes in transcripts were minor and only detectable on ureC (day 2), nirS and clade II nosZ (day 9). NUI did not interfere with temporal fluctuations in nirK and nirS, but it differentially affected nosZ response to a later rainfall event. Unexpectedly, N2O emissions were negatively associated with the ratio between nitrite-reducers and N2O-reducers. NUI effects on N-cycling microorganisms were minor and transient but resulted in a field-scale reduction in N2O emissions, possibly due to a combination of environmental factors and legacy effects from previous years of treatment.","author":[{"dropping-particle":"","family":"Tosi","given":"Micaela","non-dropping-particle":"","parse-names":false,"suffix":""},{"dropping-particle":"","family":"Brown","given":"Shannon","non-dropping-particle":"","parse-names":false,"suffix":""},{"dropping-particle":"","family":"Ferrari Machado","given":"Pedro Vitor","non-dropping-particle":"","parse-names":false,"suffix":""},{"dropping-particle":"","family":"Wagner-Riddle","given":"Claudia","non-dropping-particle":"","parse-names":false,"suffix":""},{"dropping-particle":"","family":"Dunfield","given":"Kari","non-dropping-particle":"","parse-names":false,"suffix":""}],"container-title":"Soil Biology and Biochemistry","id":"ITEM-3","issue":"December 2019","issued":{"date-parts":[["2020"]]},"page":"107703","publisher":"Elsevier Ltd","title":"Short-term response of soil N-cycling genes and transcripts to fertilization with nitrification and urease inhibitors, and relationship with field-scale N2O emissions","type":"article-journal","volume":"142"},"uris":["http://www.mendeley.com/documents/?uuid=c583b0a5-62f7-4cbd-b65a-fe821cebe5c3"]},{"id":"ITEM-4","itemData":{"DOI":"10.1016/j.scitotenv.2018.07.437","ISSN":"18791026","PMID":"30092521","abstract":"Because of increases in atmospheric nitrogen (N) deposition worldwide, nutrient imbalances and phosphorus (P) limitations in soil are aggravated, with the result that P fertilizer applications to terrestrial ecosystems worldwide may increase. Nitrification and denitrification in soil are major sources of nitrous oxide emissions, especially in soils treated with fertilizers. However, few researchers have studied how forest soils respond to nutrient additions, so we are not sure how the potential nitrification and denitrification activities (PNA and PDA, respectively) and microbial communities involved in these processes might respond when N and P are added to temperate and subtropical forest soils. We investigated how the PNA, PDA, the abundances and community compositions of nitrifiers and denitrifiers, and environmental properties, including soil pH, soil total and dissolved organic carbon, total and available N and phosphorus P, changed when N and/or P were added to subtropical and temperate forest soils. We quantified the abundance, and analyzed the composition, of functional marker genes of nitrifiers (ammonia-oxidizing bacteria and archaea amoA) and denitrifiers (nirK and nirS) using quantitative PCR and sequencing, respectively. We found that the PNA and PDA in the subtropical soil increased when P was added and PNA in the temperate forest soil increased when either N or P was added. The PNA and PDA were positively correlated with the abundance of ammonia-oxidizing bacteria and nirK-denitrifiers, respectively, in the subtropical forest soil but were not correlated with changes in corresponding community compositions in either of the forest soils. The soil total N to total P ratio explained most of the variabilities in the PNA and PDA in the subtropical forest soils, and the soil exchangeable ammonium concentrations and pH were the main controls on the PNA and PDA, respectively, in the temperate forest soils. Our results indicate that soil environmental conditions have more influence on variations in the PNA and PDA in forest soils fertilized with N and P than the corresponding microbial properties.","author":[{"dropping-particle":"","family":"Tang","given":"Yuqian","non-dropping-particle":"","parse-names":false,"suffix":""},{"dropping-particle":"","family":"Yu","given":"Guirui","non-dropping-particle":"","parse-names":false,"suffix":""},{"dropping-particle":"","family":"Zhang","given":"Xinyu","non-dropping-particle":"","parse-names":false,"suffix":""},{"dropping-particle":"","family":"Wang","given":"Qiufeng","non-dropping-particle":"","parse-names":false,"suffix":""},{"dropping-particle":"","family":"Tian","given":"Dashuan","non-dropping-particle":"","parse-names":false,"suffix":""},{"dropping-particle":"","family":"Tian","given":"Jing","non-dropping-particle":"","parse-names":false,"suffix":""},{"dropping-particle":"","family":"Niu","given":"Shuli","non-dropping-particle":"","parse-names":false,"suffix":""},{"dropping-particle":"","family":"Ge","given":"Jianping","non-dropping-particle":"","parse-names":false,"suffix":""}],"container-title":"Science of the Total Environment","id":"ITEM-4","issued":{"date-parts":[["2019"]]},"page":"653-662","publisher":"Elsevier B.V.","title":"Environmental variables better explain changes in potential nitrification and denitrification activities than microbial properties in fertilized forest soils","type":"article-journal","volume":"647"},"uris":["http://www.mendeley.com/documents/?uuid=184251ec-f5f9-47a6-9546-226b0eacc30c"]},{"id":"ITEM-5","itemData":{"author":[{"dropping-p</w:instrText>
      </w:r>
      <w:r w:rsidRPr="00622616">
        <w:rPr>
          <w:rFonts w:cs="Times New Roman"/>
          <w:lang w:val="es-UY"/>
        </w:rPr>
        <w:instrText>article":"","family":"Hu","given":"Jialin","non-dropping-particle":"","parse-names":false,"suffix":""},{"dropping-particle":"","family":"Jin","given":"Virginia L","non-dropping-particle":"","parse-names":false,"suffix":""},{"dropping-particle":"","family":"Konkel","given":"Julie Y M","non-dropping-particle":"","parse-names":false,"suffix":""},{"dropping-particle":"","family":"Schaeffer","given":"Sean M","non-dropping-particle":"","parse-names":false,"suffix":""},{"dropping-particle":"","family":"Schneider","given":"Liesel G","non-dropping-particle":"","parse-names":false,"suffix":""},{"dropping-particle":"","family":"Debruyn","given":"Jennifer M","non-dropping-particle":"","parse-names":false,"suffix":""}],"container-title":"mSphere","id":"ITEM-5","issue":"1","issued":{"date-parts":[["2021"]]},"page":"1-19","title":"Soil health management enhances microbial nitrogen cycling capacity and activity","type":"article-journal","volume":"6"},"uris":["http://www.mendeley.com/documents/?uuid=d02898dd-f5b8-4e56-b537-b8ee019f6eb7"]}],"mendeley":{"formattedCitation":"(Yang et al., 2017, 2022; Tang et al., 2019; Tosi et al., 2020; Hu et al., 2021)","plainTextFormattedCitation":"(Yang et al., 2017, 2022; Tang et al., 2019; Tosi et al., 2020; Hu et al., 2021)","previouslyFormattedCitation":"(Yang et al., 2017, 2022; Tang et al., 2019; Tosi et al., 2020; Hu et al., 2021)"},"properties":{"noteIndex":0},"schema":"https://github.com/citation-style-language/schema/raw/master/csl-citation.json"}</w:instrText>
      </w:r>
      <w:r w:rsidRPr="00203EB0">
        <w:rPr>
          <w:rFonts w:cs="Times New Roman"/>
        </w:rPr>
        <w:fldChar w:fldCharType="separate"/>
      </w:r>
      <w:r w:rsidRPr="00622616">
        <w:rPr>
          <w:rFonts w:cs="Times New Roman"/>
          <w:noProof/>
          <w:lang w:val="es-UY"/>
        </w:rPr>
        <w:t>(Yang et al., 2017, 2022; Tang et al., 2019; Tosi et al., 2020; Hu et al., 2021)</w:t>
      </w:r>
      <w:r w:rsidRPr="00203EB0">
        <w:rPr>
          <w:rFonts w:cs="Times New Roman"/>
        </w:rPr>
        <w:fldChar w:fldCharType="end"/>
      </w:r>
      <w:r w:rsidRPr="00622616">
        <w:rPr>
          <w:rFonts w:cs="Times New Roman"/>
          <w:lang w:val="es-UY"/>
        </w:rPr>
        <w:t xml:space="preserve">. </w:t>
      </w:r>
      <w:r w:rsidRPr="00203EB0">
        <w:rPr>
          <w:rFonts w:cs="Times New Roman"/>
        </w:rPr>
        <w:t xml:space="preserve">Although these functional gene-based approaches provide valuable insights into the microbial potential for N transformations, they often lack consistent relationships between gene or transcripts abundance and actual process rates </w:t>
      </w:r>
      <w:r w:rsidRPr="00203EB0">
        <w:rPr>
          <w:rFonts w:cs="Times New Roman"/>
        </w:rPr>
        <w:fldChar w:fldCharType="begin" w:fldLock="1"/>
      </w:r>
      <w:r w:rsidRPr="00203EB0">
        <w:rPr>
          <w:rFonts w:cs="Times New Roman"/>
        </w:rPr>
        <w:instrText>ADDIN CSL_CITATION {"citationItems":[{"id":"ITEM-1","itemData":{"DOI":"10.1038/ismej.2014.252","ISSN":"17517370","PMID":"25535936","abstract":"For any enzyme-catalyzed reaction to occur, the corresponding protein-encoding genes and transcripts are necessary prerequisites. Thus, a positive relationship between the abundance of gene or transcripts and corresponding process rates is often assumed. To test this assumption, we conducted a meta-analysis of the relationships between gene and or transcript abundances and corresponding process rates. We identified 415 studies that quantified the abundance of genes or transcripts for enzymes involved in carbon or nitrogen cycling. However, in only 59 of these manuscripts did the authors report both gene or transcript abundance and rates of the appropriate process. We found that within studies there was a significant but weak positive relationship between gene abundance and the corresponding process. Correlations were not strengthened by accounting for habitat type, differences among genes or reaction products versus reactants, suggesting that other ecological and methodological factors may affect the strength of this relationship. Our findings highlight the need for fundamental research on the factors that control transcription, translation and enzyme function in natural systems to better link genomic and transcriptomic data to ecosystem processes.","author":[{"dropping-particle":"","family":"Rocca","given":"Jennifer D.","non-dropping-particle":"","parse-names":false,"suffix":""},{"dropping-particle":"","family":"Hall","given":"Edward K.","non-dropping-particle":"","parse-names":false,"suffix":""},{"dropping-particle":"","family":"Lennon","given":"Jay T.","non-dropping-particle":"","parse-names":false,"suffix":""},{"dropping-particle":"","family":"Evans","given":"Sarah E.","non-dropping-particle":"","parse-names":false,"suffix":""},{"dropping-particle":"","family":"Waldrop","given":"Mark P.","non-dropping-particle":"","parse-names":false,"suffix":""},{"dropping-particle":"","family":"Cotner","given":"James B.","non-dropping-particle":"","parse-names":false,"suffix":""},{"dropping-particle":"","family":"Nemergut","given":"Diana R.","non-dropping-particle":"","parse-names":false,"suffix":""},{"dropping-particle":"","family":"Graham","given":"Emily B.","non-dropping-particle":"","parse-names":false,"suffix":""},{"dropping-particle":"","family":"Wallenstein","given":"Matthew D.","non-dropping-particle":"","parse-names":false,"suffix":""}],"container-title":"ISME Journal","id":"ITEM-1","issue":"8","issued":{"date-parts":[["2015"]]},"page":"1693-1699","publisher":"Nature Publishing Group","title":"Relationships between protein-encoding gene abundance and corresponding process are commonly assumed yet rarely observed","type":"article-journal","volume":"9"},"uris":["http://www.mendeley.com/documents/?uuid=25f0e04d-fc80-423a-80f9-6bbd4fa1a049"]}],"mendeley":{"formattedCitation":"(Rocca et al., 2015)","plainTextFormattedCitation":"(Rocca et al., 2015)","previouslyFormattedCitation":"(Rocca et al., 2015)"},"properties":{"noteIndex":0},"schema":"https://github.com/citation-style-language/schema/raw/master/csl-citation.json"}</w:instrText>
      </w:r>
      <w:r w:rsidRPr="00203EB0">
        <w:rPr>
          <w:rFonts w:cs="Times New Roman"/>
        </w:rPr>
        <w:fldChar w:fldCharType="separate"/>
      </w:r>
      <w:r w:rsidRPr="00203EB0">
        <w:rPr>
          <w:rFonts w:cs="Times New Roman"/>
          <w:noProof/>
        </w:rPr>
        <w:t>(Rocca et al., 2015)</w:t>
      </w:r>
      <w:r w:rsidRPr="00203EB0">
        <w:rPr>
          <w:rFonts w:cs="Times New Roman"/>
        </w:rPr>
        <w:fldChar w:fldCharType="end"/>
      </w:r>
      <w:r w:rsidRPr="00203EB0">
        <w:rPr>
          <w:rFonts w:cs="Times New Roman"/>
        </w:rPr>
        <w:t>. This suggests that the presence or activity of N-cycling genes does not necessarily translate to in situ N</w:t>
      </w:r>
      <w:r w:rsidRPr="00203EB0">
        <w:rPr>
          <w:rFonts w:cs="Times New Roman"/>
          <w:vertAlign w:val="subscript"/>
        </w:rPr>
        <w:t>2</w:t>
      </w:r>
      <w:r w:rsidRPr="00203EB0">
        <w:rPr>
          <w:rFonts w:cs="Times New Roman"/>
        </w:rPr>
        <w:t xml:space="preserve">O fluxes, challenging the assumption that microbial functional potential alone can reliably predict emissions dynamics. </w:t>
      </w:r>
    </w:p>
    <w:p w14:paraId="140EC44F" w14:textId="77777777" w:rsidR="00025EEA" w:rsidRPr="00203EB0" w:rsidRDefault="00025EEA" w:rsidP="00680982">
      <w:pPr>
        <w:spacing w:after="160" w:line="480" w:lineRule="auto"/>
        <w:contextualSpacing/>
        <w:rPr>
          <w:rFonts w:cs="Times New Roman"/>
          <w:color w:val="1F1F1F"/>
        </w:rPr>
      </w:pPr>
      <w:r w:rsidRPr="00203EB0">
        <w:rPr>
          <w:rFonts w:cs="Times New Roman"/>
        </w:rPr>
        <w:t>Given these limitations, there is growing interest in exploring microbial community composition as a complementary approach for understanding N</w:t>
      </w:r>
      <w:r w:rsidRPr="00203EB0">
        <w:rPr>
          <w:rFonts w:cs="Times New Roman"/>
          <w:vertAlign w:val="subscript"/>
        </w:rPr>
        <w:t>2</w:t>
      </w:r>
      <w:r w:rsidRPr="00203EB0">
        <w:rPr>
          <w:rFonts w:cs="Times New Roman"/>
        </w:rPr>
        <w:t>O dynamics. Rather than focusing solely on functional gene abundance, identifying specific microbial taxa may provide a more direct link to N</w:t>
      </w:r>
      <w:r w:rsidRPr="00203EB0">
        <w:rPr>
          <w:rFonts w:cs="Times New Roman"/>
          <w:vertAlign w:val="subscript"/>
        </w:rPr>
        <w:t>2</w:t>
      </w:r>
      <w:r w:rsidRPr="00203EB0">
        <w:rPr>
          <w:rFonts w:cs="Times New Roman"/>
        </w:rPr>
        <w:t xml:space="preserve">O emissions. Although linking taxa to function is inherently challenging due to functional redundancy and the complexity of soil microbial networks </w:t>
      </w:r>
      <w:r w:rsidRPr="00203EB0">
        <w:rPr>
          <w:rFonts w:cs="Times New Roman"/>
        </w:rPr>
        <w:fldChar w:fldCharType="begin" w:fldLock="1"/>
      </w:r>
      <w:r w:rsidRPr="00203EB0">
        <w:rPr>
          <w:rFonts w:cs="Times New Roman"/>
        </w:rPr>
        <w:instrText>ADDIN CSL_CITATION {"citationItems":[{"id":"ITEM-1","itemData":{"DOI":"10.1038/nrmicro.2017.87","ISSN":"17401534","PMID":"28824177","abstract":"Soil microorganisms are clearly a key component of both natural and managed ecosystems. Despite the challenges of surviving in soil, a gram of soil can contain thousands of individual microbial taxa, including viruses and members of all three domains of life. Recent advances in marker gene, genomic and metagenomic analyses have greatly expanded our ability to characterize the soil microbiome and identify the factors that shape soil microbial communities across space and time. However, although most soil microorganisms remain undescribed, we can begin to categorize soil microorganisms on the basis of their ecological strategies. This is an approach that should prove fruitful for leveraging genomic information to predict the functional attributes of individual taxa. The field is now poised to identify how we can manipulate and manage the soil microbiome to increase soil fertility, improve crop production and improve our understanding of how terrestrial ecosystems will respond to environmental change.","author":[{"dropping-particle":"","family":"Fierer","given":"Noah","non-dropping-particle":"","parse-names":false,"suffix":""}],"container-title":"Nature Reviews Microbiology","id":"ITEM-1","issue":"10","issued":{"date-parts":[["2017"]]},"page":"579-590","publisher":"Nature Publishing Group","title":"Embracing the unknown: Disentangling the complexities of the soil microbiome","type":"article-journal","volume":"15"},"uris":["http://www.mendeley.com/documents/?uuid=f2a139b9-579b-42d4-9e89-8ac19995180c"]}],"mendeley":{"formattedCitation":"(Fierer, 2017)","plainTextFormattedCitation":"(Fierer, 2017)","previouslyFormattedCitation":"(Fierer, 2017)"},"properties":{"noteIndex":0},"schema":"https://github.com/citation-style-language/schema/raw/master/csl-citation.json"}</w:instrText>
      </w:r>
      <w:r w:rsidRPr="00203EB0">
        <w:rPr>
          <w:rFonts w:cs="Times New Roman"/>
        </w:rPr>
        <w:fldChar w:fldCharType="separate"/>
      </w:r>
      <w:r w:rsidRPr="00203EB0">
        <w:rPr>
          <w:rFonts w:cs="Times New Roman"/>
          <w:noProof/>
        </w:rPr>
        <w:t>(Fierer, 2017)</w:t>
      </w:r>
      <w:r w:rsidRPr="00203EB0">
        <w:rPr>
          <w:rFonts w:cs="Times New Roman"/>
        </w:rPr>
        <w:fldChar w:fldCharType="end"/>
      </w:r>
      <w:r w:rsidRPr="00203EB0">
        <w:rPr>
          <w:rFonts w:cs="Times New Roman"/>
        </w:rPr>
        <w:t>, emerging evidence suggests that certain microbial taxa disproportionately influence ecosystems functions, including N cycling, compared to the entire community</w:t>
      </w:r>
      <w:r w:rsidRPr="00203EB0">
        <w:rPr>
          <w:rFonts w:cs="Times New Roman"/>
          <w:color w:val="1F1F1F"/>
        </w:rPr>
        <w:t xml:space="preserve"> </w:t>
      </w:r>
      <w:r w:rsidRPr="00203EB0">
        <w:rPr>
          <w:rFonts w:cs="Times New Roman"/>
          <w:color w:val="1F1F1F"/>
        </w:rPr>
        <w:fldChar w:fldCharType="begin" w:fldLock="1"/>
      </w:r>
      <w:r w:rsidRPr="00203EB0">
        <w:rPr>
          <w:rFonts w:cs="Times New Roman"/>
          <w:color w:val="1F1F1F"/>
        </w:rPr>
        <w:instrText>ADDIN CSL_CITATION {"citationItems":[{"id":"ITEM-1","itemData":{"DOI":"10.1111/j.1462-2920.2007.01335.x","ISSN":"14622920","PMID":"17686019","abstract":"Analysing the consequences of the decrease in biodiversity for ecosystem functioning and stability has been a major concern in ecology. However, the impact of decline in soil microbial diversity on ecosystem sustainability remains largely unknown. This has been assessed for decomposition, which is insured by a large proportion of the soil microbial community, but not for more specialized and less diverse microbial groups. We determined the impact of a decrease in soil microbial diversity on the stability (i.e. resistance and resilience following disturbance) of two more specialized bacterial functional groups: denitrifiers and nitrite oxidizers. Soil microbial diversity was reduced using serial dilutions of a suspension obtained from a non-sterile soil that led to loss of species with low cell abundance, inoculation of microcosms of the same sterile soil with these serial dilutions, and subsequent incubation to enable establishment of similar cell abundances between treatments. The structure, cell abundance and activity of denitrifying and nitrite-oxidizing communities were characterized after incubation. Increasing dilution led to a progressive decrease in community diversity as assessed by the number of denaturating gradient gel electrophoresis (DGGE) bands, while community functioning was not impaired when cell abundance recovered after incubation. The microcosms were then subjected to a model disturbance: heating to 42°C for 24 h. Abundance, structure and activity of each community were measured 3 h after completion of the disturbance to assess resistance, and after incubation of microcosms for 1 month to assess resilience. Resistance and resilience to the disturbance differed between the two communities, nitrite oxidizers being more affected. However, reducing the diversity of the two microbial functional groups did not impair either their resistance or their resilience following the disturbance. These results demonstrate the low sensitivity of the resistance and resilience of both microbial groups to diversity decline provided that cell abundance is similar between treatments. © 2007 The Authors.","author":[{"dropping-particle":"","family":"Wertz","given":"Sophie","non-dropping-particle":"","parse-names":false,"suffix":""},{"dropping-particle":"","family":"Degrange","given":"Valérie","non-dropping-particle":"","parse-names":false,"suffix":""},{"dropping-particle":"","family":"Prosser","given":"James I.","non-dropping-particle":"","parse-names":false,"suffix":""},{"dropping-particle":"","family":"Poly","given":"Franck","non-dropping-particle":"","parse-names":false,"suffix":""},{"dropping-particle":"","family":"Commeaux","given":"Claire","non-dropping-particle":"","parse-names":false,"suffix":""},{"dropping-particle":"","family":"Guillaumaud","given":"Nadine","non-dropping-particle":"","parse-names":false,"suffix":""},{"dropping-particle":"","family":"Roux","given":"Xavier","non-dropping-particle":"Le","parse-names":false,"suffix":""}],"container-title":"Environmental Microbiology","id":"ITEM-1","issue":"9","issued":{"date-parts":[["2007"]]},"page":"2211-2219","title":"Decline of soil microbial diversity does not influence the resistance and resilience of key soil microbial functional groups following a model disturbance","type":"article-journal","volume":"9"},"uris":["http://www.mendeley.com/documents/?uuid=79ed218b-d5d7-4257-b81c-26682a42eac5"]},{"id":"ITEM-2","itemData":{"DOI":"10.1111/1462-2920.12392","ISSN":"14622920","PMID":"24428193","abstract":"Glaciers harbour diverse microorganisms, which upon ice melt can be released downstream. In glacier-fed streams microorganisms can attach to stones or sediments to form benthic biofilms. We used 454-pyrosequencing to explore the bulk (16S rDNA) and putatively active (16S rRNA) microbial communities of stone and sediment biofilms across 26 glacier-fed streams. We found differences in community composition between bulk and active communities among streams and a stronger congruence between biofilm types. Relative abundances of rRNA and rDNA were positively correlated across different taxa and taxonomic levels, but at lower taxonomic levels, the higher abundance in either the active or the bulk communities became more apparent. Here, environmental variables played a minor role in structuring active communities. However, we found a large number of rare taxa with higher relative abundances in rRNA compared with rDNA. This suggests that rare taxa contribute disproportionately to microbial community dynamics in glacier-fed streams. Our findings propose that high community turnover, where taxa repeatedly enter and leave the 'seed bank', contributes to the maintenance of microbial biodiversity in harsh ecosystems with continuous environmental perturbations, such as glacier-fed streams. © 2014 The Authors. Environmental Microbiology published by Society for Applied Microbiology and John Wiley &amp; Sons Ltd.","author":[{"dropping-particle":"","family":"Wilhelm","given":"Linda","non-dropping-particle":"","parse-names":false,"suffix":""},{"dropping-particle":"","family":"Besemer","given":"Katharina","non-dropping-particle":"","parse-names":false,"suffix":""},{"dropping-particle":"","family":"Fasching","given":"Christina","non-dropping-particle":"","parse-names":false,"suffix":""},{"dropping-particle":"","family":"Urich","given":"Tim","non-dropping-particle":"","parse-names":false,"suffix":""},{"dropping-particle":"","family":"Singer","given":"Gabriel A.","non-dropping-particle":"","parse-names":false,"suffix":""},{"dropping-particle":"","family":"Quince","given":"Christopher","non-dropping-particle":"","parse-names":false,"suffix":""},{"dropping-particle":"","family":"Battin","given":"Tom J.","non-dropping-particle":"","parse-names":false,"suffix":""}],"container-title":"Environmental Microbiology","id":"ITEM-2","issue":"8","issued":{"date-parts":[["2014"]]},"page":"2514-2524","title":"Rare but active taxa contribute to community dynamics of benthic biofilms in glacier-fed streams","type":"article-journal","volume":"16"},"uris":["http://www.mendeley.com/documents/?uuid=22c3831f-d11a-4ee2-88ed-b256e5361c81"]},{"id":"ITEM-3","itemData":{"DOI":"10.1038/s41559-018-0519-1","ISSN":"2397334X","PMID":"29662222","abstract":"Microbial communities often exhibit incredible taxonomic diversity, raising questions regarding the mechanisms enabling species coexistence and the role of this diversity in community functioning. On the one hand, many coexisting but taxonomically distinct microorganisms can encode the same energy-yielding metabolic functions, and this functional redundancy contrasts with the expectation that species should occupy distinct metabolic niches. On the other hand, the identity of taxa encoding each function can vary substantially across space or time with little effect on the function, and this taxonomic variability is frequently thought to result from ecological drift between equivalent organisms. Here, we synthesize the powerful paradigm emerging from these two patterns, connecting the roles of function, functional redundancy and taxonomy in microbial systems. We conclude that both patterns are unlikely to be the result of ecological drift, but are inevitable emergent properties of open microbial systems resulting mainly from biotic interactions and environmental and spatial processes.","author":[{"dropping-particle":"","family":"Louca","given":"Stilianos","non-dropping-particle":"","parse-names":false,"suffix":""},{"dropping-particle":"","family":"Polz","given":"Martin F.","non-dropping-particle":"","parse-names":false,"suffix":""},{"dropping-particle":"","family":"Mazel","given":"Florent","non-dropping-particle":"","parse-names":false,"suffix":""},{"dropping-particle":"","family":"Albright","given":"Michaeline B.N.","non-dropping-particle":"","parse-names":false,"suffix":""},{"dropping-particle":"","family":"Huber","given":"Julie A.","non-dropping-particle":"","parse-names":false,"suffix":""},{"dropping-particle":"","family":"O'Connor","given":"Mary I.","non-dropping-particle":"","parse-names":false,"suffix":""},{"dropping-particle":"","family":"Ackermann","given":"Martin","non-dropping-particle":"","parse-names":false,"suffix":""},{"dropping-particle":"","family":"Hahn","given":"Aria S.","non-dropping-particle":"","parse-names":false,"suffix":""},{"dropping-particle":"","family":"Srivastava","given":"Diane S.","non-dropping-particle":"","parse-names":false,"suffix":""},{"dropping-particle":"","family":"Crowe","given":"Sean A.","non-dropping-particle":"","parse-names":false,"suffix":""},{"dropping-particle":"","family":"Doebeli","given":"Michael","non-dropping-particle":"","parse-names":false,"suffix":""},{"dropping-particle":"","family":"Parfrey","given":"Laura Wegener","non-dropping-particle":"","parse-names":false,"suffix":""}],"container-title":"Nature Ecology and Evolution","id":"ITEM-3","issue":"6","issued":{"date-parts":[["2018"]]},"page":"936-943","publisher":"Springer US","title":"Function and functional redundancy in microbial systems","type":"article-journal","volume":"2"},"uris":["http://www.mendeley.com/documents/?uuid=b00d54ef-476c-49e5-8887-9d614e5285ba"]},{"id":"ITEM-4","itemData":{"DOI":"10.1007/s42832-024-0241-7","ISSN":"26622297","abstract":"Core taxa play an important role in regulating soil carbon metabolism. Ecological cluster with oligotrophic made key contributions to soil carbon metabolism. Microbial cluster characteristics link microorganisms to carbon metabolism. Characterizing the ecological roles of core soil microbial species in soil carbon metabolism is critically important for enhancing carbon sequestration in agricultural systems; however, no studies to date have determined the effects of core soil microbial taxa on carbon metabolism under various long-term fertilization practices. Here, we collected soil samples from field plots that had been subjected to different fertilization practices for nearly 30 years and examined the long-term effects of fertilization on the preferences of core soil bacterial taxa for different carbon sources. We also examined the relative contribution of core soil bacterial taxa in utilization of different carbon source types in Biolog Eco microplates. Long-term fertilization treatment had a significant effect on soil properties and bacterial community structure. The core taxa were closely related to soil carbon source utilization. The co-occurrence network showed that the major ecological clusters containing core taxa made key contributions to soil carbon source utilization. The organic fertilization increased the abundance of a core cluster with a low weighted average rrn copy number. This ecological cluster was the most important factor affecting soil carbon source utilization even among soil physicochemical factors considered. Our findings indicate that core taxa characterized by oligotrophic bacteria have a major effect on carbon source utilization in Ultisols.","author":[{"dropping-particle":"","family":"Mao","given":"Haoran","non-dropping-particle":"","parse-names":false,"suffix":""},{"dropping-particle":"","family":"Li","given":"Guilong","non-dropping-particle":"","parse-names":false,"suffix":""},{"dropping-particle":"","family":"Leng","given":"Ke","non-dropping-particle":"","parse-names":false,"suffix":""},{"dropping-particle":"","family":"Sun","given":"Luyuan","non-dropping-particle":"","parse-names":false,"suffix":""},{"dropping-particle":"","family":"Liu","given":"Kailou","non-dropping-particle":"","parse-names":false,"suffix":""},{"dropping-particle":"","family":"Lin","given":"Yongxin","non-dropping-particle":"","parse-names":false,"suffix":""},{"dropping-particle":"","family":"Liu","given":"Jia","non-dropping-particle":"","parse-names":false,"suffix":""},{"dropping-particle":"","family":"Xiang","given":"Xingjia","non-dropping-particle":"","parse-names":false,"suffix":""}],"container-title":"Soil Ecology Letters","id":"ITEM-4","issue":"4","issued":{"date-parts":[["2024"]]},"title":"Effects of core soil microbial taxa on soil carbon source utilization under different long-term fertilization treatments in Ultisol","type":"article-journal","volume":"6"},"uris":["http://www.mendeley.com/documents/?uuid=cac29f4c-7f62-4a79-9da2-0f5a67a05600"]},{"id":"ITEM-5","itemData":{"DOI":"10.1016/j.rcar.2024.04.002","ISSN":"29497302","abstract":"Soil microbial communities are pivotal in permafrost biogeochemical cycles, yet the variations of abundant and rare microbial taxa and their impacts on greenhouse gas emissions in different seasons, remain elusive, especially in the case of soil archaea. Here, we conducted a study on soil abundant and rare archaeal taxa during the growing and non-growing seasons in the active layer of alpine permafrost in the Qinghai-Tibetan Plateau. The results suggested that, for the archaeal communities in the sub-layer, abundant taxa exhibited higher diversity, while rare taxa maintained a more stable composition from the growing to non-growing season. Water soluble organic carbon and soil porosity were the most significant environmental variables affecting the compositions of abundant and rare taxa, respectively. Stochastic and deterministic processes dominated the assemblies of rare and abundant taxa, respectively. The archaeal ecological network influenced N2O flux through different modules. Rare taxa performed an essential role in stabilizing the network and exerting important effects on N2O flux. Our study provides a pioneering and comprehensive investigation aimed at unravelling the mechanisms by which archaea or other microorganisms influence greenhouse gas emissions in the alpine permafrost.","author":[{"dropping-particle":"","family":"Gu","given":"Yu Zheng","non-dropping-particle":"","parse-names":false,"suffix":""},{"dropping-particle":"","family":"Dong","given":"Chen Jie","non-dropping-particle":"","parse-names":false,"suffix":""},{"dropping-particle":"","family":"Chen","given":"Sheng Yun","non-dropping-particle":"","parse-names":false,"suffix":""},{"dropping-particle":"","family":"Jin","given":"Jing Wei","non-dropping-particle":"","parse-names":false,"suffix":""},{"dropping-particle":"","family":"Yang","given":"Pei Zhi","non-dropping-particle":"","parse-names":false,"suffix":""},{"dropping-particle":"","family":"Chen","given":"Jian Wei","non-dropping-particle":"","parse-names":false,"suffix":""},{"dropping-particle":"","family":"Wei","given":"Pei Jie","non-dropping-particle":"","parse-names":false,"suffix":""},{"dropping-particle":"","family":"Bahadur","given":"Ali","non-dropping-particle":"","parse-names":false,"suffix":""}],"container-title":"Research in Cold and Arid Regions","id":"ITEM-5","issue":"2","issued":{"date-parts":[["2024"]]},"page":"45-62","publisher":"Northwest Institute of Eco-Environment and Resources, CAS","title":"Effect of soil archaea on N2O emission in alpine permafrost","type":"article-journal","volume":"16"},"uris":["http://www.mendeley.com/documents/?uuid=4e2e266f-f9da-4bc7-9443-6df412db09a8"]}],"mendeley":{"formattedCitation":"(Wertz et al., 2007; Wilhelm et al., 2014; Louca et al., 2018; Gu et al., 2024; Mao et al., 2024)","plainTextFormattedCitation":"(Wertz et al., 2007; Wilhelm et al., 2014; Louca et al., 2018; Gu et al., 2024; Mao et al., 2024)","previouslyFormattedCitation":"(Wertz et al., 2007; Wilhelm et al., 2014; Louca et al., 2018; Gu et al., 2024; Mao et al., 2024)"},"properties":{"noteIndex":0},"schema":"https://github.com/citation-style-language/schema/raw/master/csl-citation.json"}</w:instrText>
      </w:r>
      <w:r w:rsidRPr="00203EB0">
        <w:rPr>
          <w:rFonts w:cs="Times New Roman"/>
          <w:color w:val="1F1F1F"/>
        </w:rPr>
        <w:fldChar w:fldCharType="separate"/>
      </w:r>
      <w:r w:rsidRPr="00203EB0">
        <w:rPr>
          <w:rFonts w:cs="Times New Roman"/>
          <w:noProof/>
          <w:color w:val="1F1F1F"/>
        </w:rPr>
        <w:t>(Wertz et al., 2007; Wilhelm et al., 2014; Louca et al., 2018; Gu et al., 2024; Mao et al., 2024)</w:t>
      </w:r>
      <w:r w:rsidRPr="00203EB0">
        <w:rPr>
          <w:rFonts w:cs="Times New Roman"/>
          <w:color w:val="1F1F1F"/>
        </w:rPr>
        <w:fldChar w:fldCharType="end"/>
      </w:r>
      <w:r w:rsidRPr="00203EB0">
        <w:rPr>
          <w:rFonts w:cs="Times New Roman"/>
          <w:color w:val="1F1F1F"/>
        </w:rPr>
        <w:t>. Integrating high-throughput sequencing with data driven modeling provides a promising avenue to detect these key taxa and evaluate their potential as indicators or drivers of N</w:t>
      </w:r>
      <w:r w:rsidRPr="00203EB0">
        <w:rPr>
          <w:rFonts w:cs="Times New Roman"/>
          <w:color w:val="1F1F1F"/>
          <w:vertAlign w:val="subscript"/>
        </w:rPr>
        <w:t>2</w:t>
      </w:r>
      <w:r w:rsidRPr="00203EB0">
        <w:rPr>
          <w:rFonts w:cs="Times New Roman"/>
          <w:color w:val="1F1F1F"/>
        </w:rPr>
        <w:t xml:space="preserve">O fluxes </w:t>
      </w:r>
      <w:r w:rsidRPr="00203EB0">
        <w:rPr>
          <w:rFonts w:cs="Times New Roman"/>
          <w:color w:val="1F1F1F"/>
        </w:rPr>
        <w:fldChar w:fldCharType="begin" w:fldLock="1"/>
      </w:r>
      <w:r w:rsidRPr="00203EB0">
        <w:rPr>
          <w:rFonts w:cs="Times New Roman"/>
          <w:color w:val="1F1F1F"/>
        </w:rPr>
        <w:instrText>ADDIN CSL_CITATION {"citationItems":[{"id":"ITEM-1","itemData":{"DOI":"10.1186/s40793-024-00643-9","ISSN":"25246372","abstract":"In agroecosystems, nitrous oxide (N₂O) emissions are influenced by both microbiome composition and soil properties, yet the relative importance of these factors in determining differential N₂O emissions remains unclear. This study investigates the impacts of these factors on N₂O emissions using two primary agricultural soils from northern China: fluvo-aquic soil (FS) from the North China Plain and black soil (BS) from Northeast China, which exhibit significant differences in physicochemical properties. In non-sterilized controls (NSC), we observed distinct denitrifying bacterial phenotypes between FS and BS, with BS exhibiting significantly higher N₂O emissions. Cross-inoculation experiments were conducted by introducing extracted microbiomes into sterile recipient soils of both types to disentangle the relative contributions of soil properties and microbiomes on N₂O emission potential. The results showed recipient-soil-dependent gas kinetics, with significantly higher N₂O/(N₂O + N₂) ratios in BS compared to FS, regardless of the inoculum type. Metagenomic analysis further revealed significant shifts in denitrification genes and microbial diversity of the inoculated bacteriomes influenced by the recipient soil. The higher ratios of nirS/nosZ in FS and nirK/nosZ in BS indicated that the recipient soil dictates the formation of different denitrifying guilds. Specifically, the BS environment fosters nirK-based denitrifiers like Rhodanobacter, contributing to higher N₂O accumulation, while FS supports a diverse array of denitrifiers, including Pseudomonas and Stutzerimonas, associated with complete denitrification and lower N₂O emissions. This study underscores the critical role of soil properties in shaping microbial community dynamics and greenhouse gas emissions. These findings highlight the importance of considering soil physicochemical properties in managing agricultural practices to mitigate N₂O emissions.","author":[{"dropping-particle":"","family":"Bano","given":"Saira","non-dropping-particle":"","parse-names":false,"suffix":""},{"dropping-particle":"","family":"Wu","given":"Qiaoyu","non-dropping-particle":"","parse-names":false,"suffix":""},{"dropping-particle":"","family":"Yu","given":"Siyu","non-dropping-particle":"","parse-names":false,"suffix":""},{"dropping-particle":"","family":"Wang","given":"Xinhui","non-dropping-particle":"","parse-names":false,"suffix":""},{"dropping-particle":"","family":"Zhang","given":"Xiaojun","non-dropping-particle":"","parse-names":false,"suffix":""}],"container-title":"Environmental Microbiome","id":"ITEM-1","issue":"1","issued":{"date-parts":[["2024"]]},"title":"Soil properties drive nitrous oxide accumulation patterns by shaping denitrifying bacteriomes","type":"article-journal","volume":"19"},"uris":["http://www.mendeley.com/documents/?uuid=0c8d92ee-76fd-40ee-8925-84dc00dd251a"]},{"id":"ITEM-2","itemData":{"DOI":"10.1016/j.soilbio.2024.109453","ISSN":"00380717","abstract":"Intensively fertilized acidic soils are global hotspots of nitrous oxide (N2O) emissions, contributing to net agronomic greenhouse gas outcomes. Identifying the key drivers of soil N2O emissions is hampered by the synergistic or antagonistic effects of multiple factors. Within a framework based on the predominant role of microbial communities producing N2O, the N2O emissions are affected either by proximal regulators: temporary soil property fluctuations affect N2O production transcriptionally, or by distal regulators: persistent genetic rearrangements in local microbial communities. The proximal regulators, individually or together, may spontaneously impact distal regulators. Here, we use acidic soils from tea (Camellia sinensis L.) plantations on a broader geographic scale as a model system. Based on amplicon sequencing and properties of 195 acidic (average pH = 5.0) soils, we determined the importance of proximal and distal regulation to N2O emissions. Microbial phylogenetic diversity as a distal regulator overwhelms mineral N content as a proximal regulator in explaining high N2O emissions. Low-abundance, diverse prokaryotic communities (e.g., Acidothermu) and specialized denitrifying fungal communities (e.g., Fusarium) were associated with high N2O emissions. Revisiting the impact of proximal regulators on distal regulators revealed that soil pH is the sole proximal regulator influencing the prokaryotic rare taxa that correlated with high N2O emissions. When considering proximal regulators together (here soil properties compiled as soil fertility index), the microbial diversity were independent of soil fertility. The microbial assembly was dominated by stochastic processes. Consequently, proximal regulators have a limited impact on distal regulators of N2O emissions from acidic soils. In conclusion, the framework underscored the importance of in situ microbial communities as distal regulators in explaining high N2O emissions from acidic soils.","author":[{"dropping-particle":"","family":"Xu","given":"Shengwen","non-dropping-particle":"","parse-names":false,"suffix":""},{"dropping-particle":"","family":"Yu","given":"Yongxiang","non-dropping-particle":"","parse-names":false,"suffix":""},{"dropping-particle":"","family":"Fan","given":"Haoxin","non-dropping-particle":"","parse-names":false,"suffix":""},{"dropping-particle":"","family":"Bilyera","given":"Nataliya","non-dropping-particle":"","parse-names":false,"suffix":""},{"dropping-particle":"","family":"Meng","given":"Xiangtian","non-dropping-particle":"","parse-names":false,"suffix":""},{"dropping-particle":"","family":"Xue","given":"Jiantao","non-dropping-particle":"","parse-names":false,"suffix":""},{"dropping-particle":"","family":"Lu","given":"Zhong","non-dropping-particle":"","parse-names":false,"suffix":""},{"dropping-particle":"","family":"Yang","given":"Zhihan","non-dropping-particle":"","parse-names":false,"suffix":""},{"dropping-particle":"","family":"Chapman","given":"Stephen J.","non-dropping-particle":"","parse-names":false,"suffix":""},{"dropping-particle":"","family":"Gao","given":"Fuyun","non-dropping-particle":"","parse-names":false,"suffix":""},{"dropping-particle":"","family":"Han","given":"Wenyan","non-dropping-particle":"","parse-names":false,"suffix":""},{"dropping-particle":"","family":"Li","given":"Yaying","non-dropping-particle":"","parse-names":false,"suffix":""},{"dropping-particle":"","family":"Zheng","given":"Ningguo","non-dropping-particle":"","parse-names":false,"suffix":""},{"dropping-particle":"","family":"Yao","given":"Huaiying","non-dropping-particle":"","parse-names":false,"suffix":""},{"dropping-particle":"","family":"Kuzyakov","given":"Yakov","non-dropping-particle":"","parse-names":false,"suffix":""}],"container-title":"Soil Biology and Biochemistry","id":"ITEM-2","issue":"April","issued":{"date-parts":[["2024"]]},"page":"109453","publisher":"Elsevier Ltd","title":"Microbial communities overwhelm environmental controls in explaining nitrous oxide emission in acidic soils","type":"article-journal","volume":"194"},"uris":["http://www.mendeley.com/documents/?uuid=e6656caa-026b-44fd-a61d-266956cdf0be"]}],"mendeley":{"formattedCitation":"(Bano et al., 2024; Xu et al., 2024)","plainTextFormattedCitation":"(Bano et al., 2024; Xu et al., 2024)","previouslyFormattedCitation":"(Bano et al., 2024; Xu et al., 2024)"},"properties":{"noteIndex":0},"schema":"https://github.com/citation-style-language/schema/raw/master/csl-citation.json"}</w:instrText>
      </w:r>
      <w:r w:rsidRPr="00203EB0">
        <w:rPr>
          <w:rFonts w:cs="Times New Roman"/>
          <w:color w:val="1F1F1F"/>
        </w:rPr>
        <w:fldChar w:fldCharType="separate"/>
      </w:r>
      <w:r w:rsidRPr="00203EB0">
        <w:rPr>
          <w:rFonts w:cs="Times New Roman"/>
          <w:noProof/>
          <w:color w:val="1F1F1F"/>
        </w:rPr>
        <w:t>(Bano et al., 2024; Xu et al., 2024)</w:t>
      </w:r>
      <w:r w:rsidRPr="00203EB0">
        <w:rPr>
          <w:rFonts w:cs="Times New Roman"/>
          <w:color w:val="1F1F1F"/>
        </w:rPr>
        <w:fldChar w:fldCharType="end"/>
      </w:r>
      <w:r w:rsidRPr="00203EB0">
        <w:rPr>
          <w:rFonts w:cs="Times New Roman"/>
          <w:color w:val="1F1F1F"/>
        </w:rPr>
        <w:t xml:space="preserve">. </w:t>
      </w:r>
    </w:p>
    <w:p w14:paraId="158DCB5E" w14:textId="0E896BF4" w:rsidR="00025EEA" w:rsidRPr="00203EB0" w:rsidRDefault="00025EEA" w:rsidP="00680982">
      <w:pPr>
        <w:spacing w:after="160" w:line="480" w:lineRule="auto"/>
        <w:contextualSpacing/>
        <w:rPr>
          <w:rFonts w:cs="Times New Roman"/>
          <w:color w:val="1F1F1F"/>
        </w:rPr>
      </w:pPr>
      <w:r w:rsidRPr="00203EB0">
        <w:rPr>
          <w:rFonts w:cs="Times New Roman"/>
          <w:color w:val="1F1F1F"/>
        </w:rPr>
        <w:t>Understanding these relationship is further complicated by the high temporal and spatial variability of N</w:t>
      </w:r>
      <w:r w:rsidRPr="00203EB0">
        <w:rPr>
          <w:rFonts w:cs="Times New Roman"/>
          <w:color w:val="1F1F1F"/>
          <w:vertAlign w:val="subscript"/>
        </w:rPr>
        <w:t>2</w:t>
      </w:r>
      <w:r w:rsidRPr="00203EB0">
        <w:rPr>
          <w:rFonts w:cs="Times New Roman"/>
          <w:color w:val="1F1F1F"/>
        </w:rPr>
        <w:t xml:space="preserve">O emissions, often driven by hot-spots and hot-moments associated with weather (e.g., precipitation) and management shifts (e.g., N fertilization, tillage) </w:t>
      </w:r>
      <w:r w:rsidRPr="00203EB0">
        <w:rPr>
          <w:rFonts w:cs="Times New Roman"/>
          <w:color w:val="1F1F1F"/>
        </w:rPr>
        <w:fldChar w:fldCharType="begin" w:fldLock="1"/>
      </w:r>
      <w:r w:rsidR="00EB2F35" w:rsidRPr="00203EB0">
        <w:rPr>
          <w:rFonts w:cs="Times New Roman"/>
          <w:color w:val="1F1F1F"/>
        </w:rPr>
        <w:instrText>ADDIN CSL_CITATION {"citationItems":[{"id":"ITEM-1","itemData":{"DOI":"10.1016/j.cosust.2020.08.002","ISSN":"18773435","abstract":"Across landscape and field scales, nitrogen (N) transformation rates are enhanced in hot spots (HS) and transient hot moments (HM), leading to losses of environmentally reactive N. Nitrous oxide (N2O) emission trends follow these spatial and temporal patterns. Consequently, landscape features can accelerate N2O emissions, and significant fractions of total annual emissions occur in these N2O emissions HS and HM. In agroecosystems, naturally occurring and management-induced HS and HM can be exacerbated or ameliorated through mitigation management practices. Although mitigation practices have been recommended for reduction of N2O emissions, these have not explicitly targeted HS and HM. Here we review, and synthesize, N2O mitigation practices with an emphasis on how they can be aligned to reduce the occurrence of HS and HM of N2O emission.","author":[{"dropping-particle":"","family":"Wagner-Riddle","given":"Claudia","non-dropping-particle":"","parse-names":false,"suffix":""},{"dropping-particle":"","family":"Baggs","given":"Elizabeth M.","non-dropping-particle":"","parse-names":false,"suffix":""},{"dropping-particle":"","family":"Clough","given":"Tim J.","non-dropping-particle":"","parse-names":false,"suffix":""},{"dropping-particle":"","family":"Fuchs","given":"Kathrin","non-dropping-particle":"","parse-names":false,"suffix":""},{"dropping-particle":"","family":"Petersen","given":"Søren O.","non-dropping-particle":"","parse-names":false,"suffix":""}],"container-title":"Current Opinion in Environmental Sustainability","id":"ITEM-1","issued":{"date-parts":[["2020"]]},"page":"46-53","title":"Mitigation of nitrous oxide emissions in the context of nitrogen loss reduction from agroecosystems: managing hot spots and hot moments","type":"article-journal","volume":"47"},"uris":["http://www.mendeley.com/documents/?uuid=2db9df85-999e-4952-941e-d76449313a9a"]},{"id":"ITEM-2","itemData":{"DOI":"10.1016/j.envpol.2021.118345","ISSN":"18736424","PMID":"34648834","abstract":"Hot moments of nitrous oxide (N2O) emissions induced by interactions between weather and management make a major contribution to annual N2O budgets in agricultural soils. The causes of N2O production during hot moments are not well understood under field conditions, but emerging evidence suggests that short-term fluctuations in soil oxygen (O2) concentration can be critically important. We conducted high time-resolution field observations of O2 and N2O concentrations during hot moments in a dryland agricultural soil in Northern China. Three typical management and weather events, including irrigation (Irr.), fertilization coupled with irrigation (Fer.+Irr.) or with extreme precipitation (Fer.+Pre.), were observed. Soil O2 and N2O concentrations were measured hourly for 24 h immediately following events and measured daily for at least one week before and after the events. Soil moisture, temperature, and mineral N were simultaneously measured. Soil O2 concentrations decreased rapidly within 4 h following irrigation in both the Irr. and Fer.+Irr. events. In the Fer.+Pre. event, soil O2 depletion did not occur immediately following fertilization but began following subsequent continuous rainfall. The soil O2 concentration dropped to as low as 0.2% (with the highest soil N2O concentration of up to 180 ppmv) following the Fer.+Pre. event, but only fell to 11.7% and 13.6% after the Fer.+Irr. and Irr. events, which were associated with soil N2O concentrations of 27 ppmv and 3 ppmv, respectively. During the hot moments of all three events, soil N2O concentrations were negatively correlated with soil O2 concentrations (r = −0.5, P &lt; 0.01), showing a quadratic increase as soil O2 concentrations declined. Our results provide new understanding of the rapid short response of N2O production to O2 dynamics driven by changes in soil environmental factors during hot moments. Such understanding helps improve soil management to avoid transitory O2 depletion and reduce the risk of N2O production.","author":[{"dropping-particle":"","family":"Song","given":"Xiaotong","non-dropping-particle":"","parse-names":false,"suffix":""},{"dropping-particle":"","family":"Wei","given":"Huanhuan","non-dropping-particle":"","parse-names":false,"suffix":""},{"dropping-particle":"","family":"Rees","given":"Robert M.","non-dropping-particle":"","parse-names":false,"suffix":""},{"dropping-particle":"","family":"Ju","given":"Xiaotang","non-dropping-particle":"","parse-names":false,"suffix":""}],"container-title":"Environmental Pollution","id":"ITEM-2","issue":"PA","issued":{"date-parts":[["2022"]]},"page":"118345","publisher":"Elsevier Ltd","title":"Soil oxygen depletion and corresponding nitrous oxide production at hot moments in an agricultural soil","type":"article-journal","volume":"292"},"uris":["http://www.mendeley.com/documents/?uuid=73de8b3a-3363-4e24-a82f-42ce5ac396d5"]}],"mendeley":{"formattedCitation":"(Wagner-Riddle et al., 2020; Song et al., 2022b)","plainTextFormattedCitation":"(Wagner-Riddle et al., 2020; Song et al., 2022b)","previouslyFormattedCitation":"(Wagner-Riddle et al., 2020; Song et al., 2022b)"},"properties":{"noteIndex":0},"schema":"https://github.com/citation-style-language/schema/raw/master/csl-citation.json"}</w:instrText>
      </w:r>
      <w:r w:rsidRPr="00203EB0">
        <w:rPr>
          <w:rFonts w:cs="Times New Roman"/>
          <w:color w:val="1F1F1F"/>
        </w:rPr>
        <w:fldChar w:fldCharType="separate"/>
      </w:r>
      <w:r w:rsidR="00EB2F35" w:rsidRPr="00203EB0">
        <w:rPr>
          <w:rFonts w:cs="Times New Roman"/>
          <w:noProof/>
          <w:color w:val="1F1F1F"/>
        </w:rPr>
        <w:t>(Wagner-</w:t>
      </w:r>
      <w:r w:rsidR="00EB2F35" w:rsidRPr="00203EB0">
        <w:rPr>
          <w:rFonts w:cs="Times New Roman"/>
          <w:noProof/>
          <w:color w:val="1F1F1F"/>
        </w:rPr>
        <w:lastRenderedPageBreak/>
        <w:t>Riddle et al., 2020; Song et al., 2022b)</w:t>
      </w:r>
      <w:r w:rsidRPr="00203EB0">
        <w:rPr>
          <w:rFonts w:cs="Times New Roman"/>
          <w:color w:val="1F1F1F"/>
        </w:rPr>
        <w:fldChar w:fldCharType="end"/>
      </w:r>
      <w:r w:rsidRPr="00203EB0">
        <w:rPr>
          <w:rFonts w:cs="Times New Roman"/>
          <w:color w:val="1F1F1F"/>
        </w:rPr>
        <w:t>. However, microbial assessments are commonly limited to single time point measurements, overlooking the temporal dynamics essential to linking microbial activity with emission patterns.</w:t>
      </w:r>
      <w:r w:rsidR="00447161" w:rsidRPr="00447161">
        <w:rPr>
          <w:rFonts w:cs="Times New Roman"/>
          <w:color w:val="1F1F1F"/>
        </w:rPr>
        <w:t xml:space="preserve"> </w:t>
      </w:r>
      <w:r w:rsidR="00447161">
        <w:rPr>
          <w:rFonts w:cs="Times New Roman"/>
          <w:color w:val="1F1F1F"/>
        </w:rPr>
        <w:t xml:space="preserve">Such temporal dynamics are increasingly recognized as critical, since management effects on microbial communities may vary across crop growth stages and environmental conditions. For example, fertilization and tillage effects on bacterial community structure have been shown to shift across multiple sampling dates, whereas cover cropping and soil moisture effects may only emerge at specific phenological stages </w:t>
      </w:r>
      <w:r w:rsidR="00447161">
        <w:rPr>
          <w:rFonts w:cs="Times New Roman"/>
          <w:color w:val="1F1F1F"/>
        </w:rPr>
        <w:fldChar w:fldCharType="begin" w:fldLock="1"/>
      </w:r>
      <w:r w:rsidR="00447161">
        <w:rPr>
          <w:rFonts w:cs="Times New Roman"/>
          <w:color w:val="1F1F1F"/>
        </w:rPr>
        <w:instrText xml:space="preserve">ADDIN CSL_CITATION {"citationItems":[{"id":"ITEM-1","itemData":{"DOI":"10.3389/fmicb.2022.847005","ISSN":"1664302X","abstract":"Agricultural practices alter the structure and functions of soil microbial community. However, few studies have documented the alterations of bacterial communities in soils under long-term conservation management practices for continuous crop production. In this study, we evaluated soil bacterial diversity using 16S rRNA gene sequencing and soil physical and chemical properties within 12 combinations of inorganic N fertilization, cover cropping, and tillage throughout a cotton production cycle. Soil was collected from field plots of the West Tennessee Agriculture Research and Education Center in Jackson, TN, United States. The site has been under continuous cotton production for 38 years. A total of 38,038 OTUs were detected across 171 soil samples. The dominant bacterial phyla were Proteobacteria, Acidobacteria, Actinobacteria, Verrucomicrobia, and Chloroflexi, accounting for </w:instrText>
      </w:r>
      <w:r w:rsidR="00447161">
        <w:rPr>
          <w:rFonts w:ascii="Cambria Math" w:hAnsi="Cambria Math" w:cs="Cambria Math"/>
          <w:color w:val="1F1F1F"/>
        </w:rPr>
        <w:instrText>∼</w:instrText>
      </w:r>
      <w:r w:rsidR="00447161">
        <w:rPr>
          <w:rFonts w:cs="Times New Roman"/>
          <w:color w:val="1F1F1F"/>
        </w:rPr>
        <w:instrText>70% of the total bacterial community membership. Conventional tillage increased alpha diversity in soil samples collected in different stages of cotton production. The effects of inorganic N fertilization and conventional tillage on the structure of bacterial communities were significant at all four sampling dates (p &lt; 0.01). However, cover cropping (p &lt; 0.05) and soil moisture content (p &lt; 0.05) only showed significant influence on the bacterial community structure after burn-down of the cover crops and before planting of cotton (May). Nitrate-N appeared to have a significant effect on the structure of bacterial communities after inorganic fertilization and at the peak of cotton growth (p &lt; 0.01). Structural equation modeling revealed that the relative abundances of denitrifying and nitrifying bacteria were higher when conventional tillage and vetch cover crop practices were applied, respectively. Our results indicate that long-term tillage and fertilization are key factors increasing the diversity and restructuring the composition of bacterial communities, whereas cover cropping may have shorter-term effects on soil bacteria community structure. In this study, management practices might positively influence relative abundances of bacterial functional groups associated with N cycling. The bacteria functional groups may build a network for providing N and meet microbial N needs in the long term.","author":[{"dropping-particle":"","family":"Duan","given":"Ning","non-dropping-particle":"","parse-names":false,"suffix":""},{"dropping-particle":"","family":"Li","given":"Lidong","non-dropping-particle":"","parse-names":false,"suffix":""},{"dropping-particle":"","family":"Liang","given":"Xiaolong","non-dropping-particle":"","parse-names":false,"suffix":""},{"dropping-particle":"","family":"Fine","given":"Aubrey","non-dropping-particle":"","parse-names":false,"suffix":""},{"dropping-particle":"","family":"Zhuang","given":"Jie","non-dropping-particle":"","parse-names":false,"suffix":""},{"dropping-particle":"","family":"Radosevich","given":"Mark","non-dropping-particle":"","parse-names":false,"suffix":""},{"dropping-particle":"","family":"Schaeffer","given":"Sean M.","non-dropping-particle":"","parse-names":false,"suffix":""}],"container-title":"Frontiers in Microbiology","id":"ITEM-1","issue":"April","issued":{"date-parts":[["2022"]]},"page":"1-14","title":"Variation in bacterial community structure under long-term fertilization, tillage, and cover cropping in continuous cotton production","type":"article-journal","volume":"13"},"uris":["http://www.mendeley.com/documents/?uuid=006864a5-e734-4513-9e34-9e9e655059f0"]}],"mendeley":{"formattedCitation":"(Duan et al., 2022)","plainTextFormattedCitation":"(Duan et al., 2022)","previouslyFormattedCitation":"(Duan et al., 2022)"},"properties":{"noteIndex":0},"schema":"https://github.com/citation-style-language/schema/raw/master/csl-citation.json"}</w:instrText>
      </w:r>
      <w:r w:rsidR="00447161">
        <w:rPr>
          <w:rFonts w:cs="Times New Roman"/>
          <w:color w:val="1F1F1F"/>
        </w:rPr>
        <w:fldChar w:fldCharType="separate"/>
      </w:r>
      <w:r w:rsidR="00447161" w:rsidRPr="00620CD8">
        <w:rPr>
          <w:rFonts w:cs="Times New Roman"/>
          <w:noProof/>
          <w:color w:val="1F1F1F"/>
        </w:rPr>
        <w:t>(Duan et al., 2022)</w:t>
      </w:r>
      <w:r w:rsidR="00447161">
        <w:rPr>
          <w:rFonts w:cs="Times New Roman"/>
          <w:color w:val="1F1F1F"/>
        </w:rPr>
        <w:fldChar w:fldCharType="end"/>
      </w:r>
      <w:r w:rsidR="00447161">
        <w:rPr>
          <w:rFonts w:cs="Times New Roman"/>
          <w:color w:val="1F1F1F"/>
        </w:rPr>
        <w:t xml:space="preserve">. Similarly, tillage-driven differences in bacterial and fungal communities can weaken or intensify depending on the timing of measurement </w:t>
      </w:r>
      <w:r w:rsidR="00447161">
        <w:rPr>
          <w:rFonts w:cs="Times New Roman"/>
          <w:color w:val="1F1F1F"/>
        </w:rPr>
        <w:fldChar w:fldCharType="begin" w:fldLock="1"/>
      </w:r>
      <w:r w:rsidR="00447161">
        <w:rPr>
          <w:rFonts w:cs="Times New Roman"/>
          <w:color w:val="1F1F1F"/>
        </w:rPr>
        <w:instrText>ADDIN CSL_CITATION {"citationItems":[{"id":"ITEM-1","itemData":{"DOI":"10.3389/fmicb.2017.01127","ISSN":"1664302X","abstract":"Agricultural productivity relies on a wide range of ecosystem services provided by the soil biota. Plowing is a fundamental component of conventional farming, but long-term detrimental effects such as soil erosion and loss of soil organic matter have been recognized. Moving towards more sustainable management practices such as reduced tillage or crop residue retention can reduce these detrimental effects, but will also influence structure and function of the soil microbiota with direct consequences for the associated ecosystem services. Although there is increasing evidence that different tillage regimes alter the soil microbiome, we have a limited understanding of the temporal dynamics of these effects. Here, we used high-throughput sequencing of bacterial and fungal ribosomal markers to explore changes in soil microbial community structure under two contrasting tillage regimes (conventional and reduced tillage) either with or without crop residue retention. Soil samples were collected over the growing season of two crops (Vicia faba and Triticum aestivum) below the seedbed (15-20 cm). Tillage, crop and growing stage were significant determinants of microbial community structure, but the impact of tillage showed only moderate temporal dependency. Whereas the tillage effect on soil bacteria showed some temporal dependency and became less strong at later growing stages, the tillage effect on soil fungi was more consistent over time. Crop residue retention had only a minor influence on the community. Six years after the conversion from conventional to reduced tillage, soil moisture contents and nutrient levels were significantly lower under reduced than under conventional tillage. These changes in edaphic properties were related to specific shifts in microbial community structure. Notably, bacterial groups featuring copiotrophic lifestyles or potentially carrying the ability to degrade more recalcitrant compounds were favored under conventional tillage, whereas taxa featuring more oligotrophic lifestyles were more abundant under reduced tillage. Our study found that, under the specific edaphic and climatic context of central Belgium, different tillage regimes created different ecological niches that select for different microbial lifestyles with potential consequences for the ecosystem services provided to the plants and their environment.","author":[{"dropping-particle":"","family":"Degrune","given":"Florine","non-dropping-particle":"","parse-names":false,"suffix":""},{"dropping-particle":"","family":"Theodorakopoulos","given":"Nicolas","non-dropping-particle":"","parse-names":false,"suffix":""},{"dropping-particle":"","family":"Colinet","given":"Gilles","non-dropping-particle":"","parse-names":false,"suffix":""},{"dropping-particle":"","family":"Hiel","given":"Marie Pierre","non-dropping-particle":"","parse-names":false,"suffix":""},{"dropping-particle":"","family":"Bodson","given":"Bernard","non-dropping-particle":"","parse-names":false,"suffix":""},{"dropping-particle":"","family":"Taminiau","given":"Bernard","non-dropping-particle":"","parse-names":false,"suffix":""},{"dropping-particle":"","family":"Daube","given":"Georges","non-dropping-particle":"","parse-names":false,"suffix":""},{"dropping-particle":"","family":"Vandenbol","given":"Micheline","non-dropping-particle":"","parse-names":false,"suffix":""},{"dropping-particle":"","family":"Hartmann","given":"Martin","non-dropping-particle":"","parse-names":false,"suffix":""}],"container-title":"Frontiers in Microbiology","id":"ITEM-1","issue":"JUN","issued":{"date-parts":[["2017"]]},"title":"Temporal dynamics of soil microbial communities below the seedbed under two contrasting tillage regimes","type":"article-journal","volume":"8"},"uris":["http://www.mendeley.com/documents/?uuid=200eb390-00ee-4141-aea5-2e4180a5eab8"]}],"mendeley":{"formattedCitation":"(Degrune et al., 2017)","plainTextFormattedCitation":"(Degrune et al., 2017)","previouslyFormattedCitation":"(Degrune et al., 2017)"},"properties":{"noteIndex":0},"schema":"https://github.com/citation-style-language/schema/raw/master/csl-citation.json"}</w:instrText>
      </w:r>
      <w:r w:rsidR="00447161">
        <w:rPr>
          <w:rFonts w:cs="Times New Roman"/>
          <w:color w:val="1F1F1F"/>
        </w:rPr>
        <w:fldChar w:fldCharType="separate"/>
      </w:r>
      <w:r w:rsidR="00447161" w:rsidRPr="00240189">
        <w:rPr>
          <w:rFonts w:cs="Times New Roman"/>
          <w:noProof/>
          <w:color w:val="1F1F1F"/>
        </w:rPr>
        <w:t>(Degrune et al., 2017)</w:t>
      </w:r>
      <w:r w:rsidR="00447161">
        <w:rPr>
          <w:rFonts w:cs="Times New Roman"/>
          <w:color w:val="1F1F1F"/>
        </w:rPr>
        <w:fldChar w:fldCharType="end"/>
      </w:r>
      <w:r w:rsidR="00447161">
        <w:rPr>
          <w:rFonts w:cs="Times New Roman"/>
          <w:color w:val="1F1F1F"/>
        </w:rPr>
        <w:t>. Consequently, single time-point sampling can mask management-induced microbial responses and limit the ability to link community changes with episodic N</w:t>
      </w:r>
      <w:r w:rsidR="00447161" w:rsidRPr="00DD2BE9">
        <w:rPr>
          <w:rFonts w:cs="Times New Roman"/>
          <w:color w:val="1F1F1F"/>
          <w:vertAlign w:val="subscript"/>
        </w:rPr>
        <w:t>2</w:t>
      </w:r>
      <w:r w:rsidR="00447161">
        <w:rPr>
          <w:rFonts w:cs="Times New Roman"/>
          <w:color w:val="1F1F1F"/>
        </w:rPr>
        <w:t xml:space="preserve">O fluxes. </w:t>
      </w:r>
      <w:r w:rsidRPr="00203EB0">
        <w:rPr>
          <w:rFonts w:cs="Times New Roman"/>
          <w:color w:val="1F1F1F"/>
        </w:rPr>
        <w:t>Additionally, the role of soil depth is often neglected, despite its critical influence on microbial processes due to biogeochemical stratification of the soil profile. Long-term experiments incorporating contrasting tillage, cover crops, and N fertilization levels offer a unique opportunity to explore how management practices shape microbial communities over time and depth, and how these shifts, in turn, relate to N</w:t>
      </w:r>
      <w:r w:rsidRPr="00203EB0">
        <w:rPr>
          <w:rFonts w:cs="Times New Roman"/>
          <w:color w:val="1F1F1F"/>
          <w:vertAlign w:val="subscript"/>
        </w:rPr>
        <w:t>2</w:t>
      </w:r>
      <w:r w:rsidRPr="00203EB0">
        <w:rPr>
          <w:rFonts w:cs="Times New Roman"/>
          <w:color w:val="1F1F1F"/>
        </w:rPr>
        <w:t xml:space="preserve">O emission dynamics. </w:t>
      </w:r>
    </w:p>
    <w:p w14:paraId="2A405DD5" w14:textId="15250567" w:rsidR="00070085" w:rsidRPr="00203EB0" w:rsidRDefault="00025EEA" w:rsidP="00680982">
      <w:pPr>
        <w:spacing w:after="160" w:line="480" w:lineRule="auto"/>
        <w:contextualSpacing/>
        <w:rPr>
          <w:rFonts w:cs="Times New Roman"/>
          <w:bCs/>
        </w:rPr>
      </w:pPr>
      <w:r w:rsidRPr="00203EB0">
        <w:rPr>
          <w:rFonts w:cs="Times New Roman"/>
          <w:color w:val="1F1F1F"/>
        </w:rPr>
        <w:t xml:space="preserve">Leveraging a 41-year </w:t>
      </w:r>
      <w:r w:rsidRPr="00203EB0">
        <w:rPr>
          <w:rFonts w:cs="Times New Roman"/>
        </w:rPr>
        <w:t xml:space="preserve">continuous cotton cropping experiment with contrasting tillage, cover cropping, and N fertilization treatments, this study aimed to: </w:t>
      </w:r>
      <w:proofErr w:type="spellStart"/>
      <w:r w:rsidRPr="00203EB0">
        <w:rPr>
          <w:rFonts w:cs="Times New Roman"/>
        </w:rPr>
        <w:t>i</w:t>
      </w:r>
      <w:proofErr w:type="spellEnd"/>
      <w:r w:rsidRPr="00203EB0">
        <w:rPr>
          <w:rFonts w:cs="Times New Roman"/>
        </w:rPr>
        <w:t xml:space="preserve">) </w:t>
      </w:r>
      <w:r w:rsidRPr="00203EB0">
        <w:rPr>
          <w:rFonts w:cs="Times New Roman"/>
          <w:bCs/>
        </w:rPr>
        <w:t>identify associations between surface and subsurface archaeal/bacterial taxa and temporal N</w:t>
      </w:r>
      <w:r w:rsidRPr="00203EB0">
        <w:rPr>
          <w:rFonts w:cs="Times New Roman"/>
          <w:bCs/>
          <w:vertAlign w:val="subscript"/>
        </w:rPr>
        <w:t>2</w:t>
      </w:r>
      <w:r w:rsidRPr="00203EB0">
        <w:rPr>
          <w:rFonts w:cs="Times New Roman"/>
          <w:bCs/>
        </w:rPr>
        <w:t>O emissions during the growing season using high-throughput sequencing</w:t>
      </w:r>
      <w:r w:rsidRPr="00203EB0">
        <w:rPr>
          <w:rFonts w:cs="Times New Roman"/>
        </w:rPr>
        <w:t xml:space="preserve">, and ii) </w:t>
      </w:r>
      <w:r w:rsidRPr="00203EB0">
        <w:rPr>
          <w:rFonts w:cs="Times New Roman"/>
          <w:bCs/>
        </w:rPr>
        <w:t>evaluate</w:t>
      </w:r>
      <w:r w:rsidRPr="00203EB0">
        <w:rPr>
          <w:rFonts w:cs="Times New Roman"/>
        </w:rPr>
        <w:t xml:space="preserve"> how these </w:t>
      </w:r>
      <w:r w:rsidRPr="00203EB0">
        <w:rPr>
          <w:rFonts w:cs="Times New Roman"/>
          <w:bCs/>
        </w:rPr>
        <w:t xml:space="preserve">taxa </w:t>
      </w:r>
      <w:r w:rsidRPr="00203EB0">
        <w:rPr>
          <w:rFonts w:cs="Times New Roman"/>
        </w:rPr>
        <w:t xml:space="preserve">are </w:t>
      </w:r>
      <w:r w:rsidRPr="00203EB0">
        <w:rPr>
          <w:rFonts w:cs="Times New Roman"/>
          <w:bCs/>
        </w:rPr>
        <w:t>influenced</w:t>
      </w:r>
      <w:r w:rsidRPr="00203EB0">
        <w:rPr>
          <w:rFonts w:cs="Times New Roman"/>
        </w:rPr>
        <w:t xml:space="preserve"> by management practices and key soil </w:t>
      </w:r>
      <w:r w:rsidRPr="00203EB0">
        <w:rPr>
          <w:rFonts w:cs="Times New Roman"/>
          <w:bCs/>
        </w:rPr>
        <w:t xml:space="preserve">biogeochemical drivers. We </w:t>
      </w:r>
      <w:r w:rsidRPr="00203EB0">
        <w:rPr>
          <w:rFonts w:cs="Times New Roman"/>
          <w:bCs/>
        </w:rPr>
        <w:lastRenderedPageBreak/>
        <w:t>hypothesized that N fertilization, tillage, and cover cropping would differentially influence N</w:t>
      </w:r>
      <w:r w:rsidRPr="00203EB0">
        <w:rPr>
          <w:rFonts w:cs="Times New Roman"/>
          <w:bCs/>
          <w:vertAlign w:val="subscript"/>
        </w:rPr>
        <w:t>2</w:t>
      </w:r>
      <w:r w:rsidRPr="00203EB0">
        <w:rPr>
          <w:rFonts w:cs="Times New Roman"/>
          <w:bCs/>
        </w:rPr>
        <w:t>O emissions by altering the abundance and composition of microbial taxa, particularly in the surface soil layer where management impacts are most realized.</w:t>
      </w:r>
      <w:r w:rsidR="001B6AE5">
        <w:rPr>
          <w:rFonts w:cs="Times New Roman"/>
          <w:bCs/>
        </w:rPr>
        <w:t xml:space="preserve"> Because nutrient availability and soil O</w:t>
      </w:r>
      <w:r w:rsidR="001B6AE5" w:rsidRPr="001B6AE5">
        <w:rPr>
          <w:rFonts w:cs="Times New Roman"/>
          <w:bCs/>
          <w:vertAlign w:val="subscript"/>
        </w:rPr>
        <w:t>2</w:t>
      </w:r>
      <w:r w:rsidR="001B6AE5">
        <w:rPr>
          <w:rFonts w:cs="Times New Roman"/>
          <w:bCs/>
        </w:rPr>
        <w:t xml:space="preserve"> dynamics vary with depth, we further expected that management-induced changes in microbial communities would be strongest in the surface soil, where greater fluctuations in moisture, redox conditions, and inputs occur, and progressively weaker with depth. Consequently, the strength of taxa-N</w:t>
      </w:r>
      <w:r w:rsidR="001B6AE5" w:rsidRPr="001B6AE5">
        <w:rPr>
          <w:rFonts w:cs="Times New Roman"/>
          <w:bCs/>
          <w:vertAlign w:val="subscript"/>
        </w:rPr>
        <w:t>2</w:t>
      </w:r>
      <w:r w:rsidR="001B6AE5">
        <w:rPr>
          <w:rFonts w:cs="Times New Roman"/>
          <w:bCs/>
        </w:rPr>
        <w:t>O relationships was predicted to decline with increasing soil depth.</w:t>
      </w:r>
      <w:r w:rsidRPr="00203EB0">
        <w:rPr>
          <w:rFonts w:cs="Times New Roman"/>
          <w:bCs/>
        </w:rPr>
        <w:t xml:space="preserve"> Specifically, we expected temporal patterns in N</w:t>
      </w:r>
      <w:r w:rsidRPr="00203EB0">
        <w:rPr>
          <w:rFonts w:cs="Times New Roman"/>
          <w:bCs/>
          <w:vertAlign w:val="subscript"/>
        </w:rPr>
        <w:t>2</w:t>
      </w:r>
      <w:r w:rsidRPr="00203EB0">
        <w:rPr>
          <w:rFonts w:cs="Times New Roman"/>
          <w:bCs/>
        </w:rPr>
        <w:t xml:space="preserve">O fluxes to coincide with </w:t>
      </w:r>
      <w:r w:rsidR="001B6AE5">
        <w:rPr>
          <w:rFonts w:cs="Times New Roman"/>
          <w:bCs/>
        </w:rPr>
        <w:t xml:space="preserve">depth-dependent </w:t>
      </w:r>
      <w:r w:rsidRPr="00203EB0">
        <w:rPr>
          <w:rFonts w:cs="Times New Roman"/>
          <w:bCs/>
        </w:rPr>
        <w:t xml:space="preserve">shifts in the relative abundance of key microbial groups functionally relevant to N cycling. Furthermore, we anticipated that long-term management practices would exert legacy effects on microbial community structure, driven by cumulative changes in soil properties such as pH and organic matter content.   </w:t>
      </w:r>
    </w:p>
    <w:p w14:paraId="028CBC13" w14:textId="71AA68C4" w:rsidR="00070085" w:rsidRPr="00203EB0" w:rsidRDefault="00070085" w:rsidP="00A61CF4">
      <w:pPr>
        <w:pStyle w:val="Heading2"/>
      </w:pPr>
      <w:bookmarkStart w:id="85" w:name="_Toc206669142"/>
      <w:r w:rsidRPr="00203EB0">
        <w:t>Materials and Methods</w:t>
      </w:r>
      <w:bookmarkEnd w:id="85"/>
    </w:p>
    <w:p w14:paraId="318211AD" w14:textId="30DF7828" w:rsidR="00070085" w:rsidRPr="00203EB0" w:rsidRDefault="00070085" w:rsidP="009D0BAC">
      <w:pPr>
        <w:pStyle w:val="Heading3"/>
        <w:spacing w:line="480" w:lineRule="auto"/>
      </w:pPr>
      <w:bookmarkStart w:id="86" w:name="_Toc206669143"/>
      <w:r w:rsidRPr="00203EB0">
        <w:t>Experimental site and soil sample collection</w:t>
      </w:r>
      <w:bookmarkEnd w:id="86"/>
    </w:p>
    <w:p w14:paraId="669FD03E" w14:textId="7313581A" w:rsidR="00070085" w:rsidRPr="00203EB0" w:rsidRDefault="00070085" w:rsidP="009D0BAC">
      <w:pPr>
        <w:spacing w:line="480" w:lineRule="auto"/>
        <w:rPr>
          <w:rFonts w:cs="Times New Roman"/>
        </w:rPr>
      </w:pPr>
      <w:r w:rsidRPr="00203EB0">
        <w:rPr>
          <w:rFonts w:cs="Times New Roman"/>
          <w:iCs/>
        </w:rPr>
        <w:t xml:space="preserve">This study was conducted in </w:t>
      </w:r>
      <w:r w:rsidRPr="00203EB0">
        <w:rPr>
          <w:rFonts w:cs="Times New Roman"/>
        </w:rPr>
        <w:t>a long-term continuous cotton (</w:t>
      </w:r>
      <w:r w:rsidRPr="00203EB0">
        <w:rPr>
          <w:rFonts w:cs="Times New Roman"/>
          <w:i/>
        </w:rPr>
        <w:t>Gossypium hirsutum L</w:t>
      </w:r>
      <w:r w:rsidRPr="00203EB0">
        <w:rPr>
          <w:rFonts w:cs="Times New Roman"/>
        </w:rPr>
        <w:t xml:space="preserve">.) experiment, established in 1981 at the University of Tennessee’s West Tennessee Research and Education Center in Jackson, Tennessee (35°37′23.1″ N, 88°50′47.4″ W; elevation 125 m). The soil at the site is Lexington silt loam (fine-silty, mixed, thermic, </w:t>
      </w:r>
      <w:proofErr w:type="spellStart"/>
      <w:r w:rsidRPr="00203EB0">
        <w:rPr>
          <w:rFonts w:cs="Times New Roman"/>
        </w:rPr>
        <w:t>Ultic</w:t>
      </w:r>
      <w:proofErr w:type="spellEnd"/>
      <w:r w:rsidRPr="00203EB0">
        <w:rPr>
          <w:rFonts w:cs="Times New Roman"/>
        </w:rPr>
        <w:t xml:space="preserve"> </w:t>
      </w:r>
      <w:proofErr w:type="spellStart"/>
      <w:r w:rsidRPr="00203EB0">
        <w:rPr>
          <w:rFonts w:cs="Times New Roman"/>
        </w:rPr>
        <w:t>Hapludalfs</w:t>
      </w:r>
      <w:proofErr w:type="spellEnd"/>
      <w:r w:rsidRPr="00203EB0">
        <w:rPr>
          <w:rFonts w:cs="Times New Roman"/>
        </w:rPr>
        <w:t xml:space="preserve">), with a mean annual precipitation of 1415 mm and an average air temperature of 15.6 º C. The experiment follows a randomized complete block design with split-split plots, including four replications and a total of 128 experimental units (12 m × 8 m). The long-term conservation management practices in the field involved different N fertilization </w:t>
      </w:r>
      <w:r w:rsidRPr="00203EB0">
        <w:rPr>
          <w:rFonts w:cs="Times New Roman"/>
        </w:rPr>
        <w:lastRenderedPageBreak/>
        <w:t xml:space="preserve">rates, winter cover cropping, and no-till. Detailed descriptions of the experimental design, treatments, and management practices can be found in </w:t>
      </w:r>
      <w:r w:rsidRPr="00203EB0">
        <w:rPr>
          <w:rFonts w:cs="Times New Roman"/>
        </w:rPr>
        <w:fldChar w:fldCharType="begin" w:fldLock="1"/>
      </w:r>
      <w:r w:rsidR="00EB2F35" w:rsidRPr="00203EB0">
        <w:rPr>
          <w:rFonts w:cs="Times New Roman"/>
        </w:rPr>
        <w:instrText>ADDIN CSL_CITATION {"citationItems":[{"id":"ITEM-1","itemData":{"ISBN":"1600-051X (Electronic)\\r0303-6979 (Linking)","ISSN":"1600051X","PMID":"25808877","abstract":"An efficient method for the synthesis of 2-amino-3-cyano-4-aryl-5,10-dioxo-5,10-dihydro-4H-benzo[g]chromenes and hydroxy-substituted naphthalene-1,4-dione derivatives, using silica-bonded propylpiperazine-N-sulfamic acid as a solid acid, green, heterogeneous catalyst, under ambient and solvent-free conditions, is described. A simple procedure, high yields, short reaction time, safety, and reusability of the catalyst are advantages of these protocols.","author":[{"dropping-particle":"","family":"Dhaliwal","given":"J.K;","non-dropping-particle":"","parse-names":false,"suffix":""},{"dropping-particle":"","family":"Lussich","given":"Facundo;","non-dropping-particle":"","parse-names":false,"suffix":""},{"dropping-particle":"","family":"Jagadamma","given":"Sindhu;","non-dropping-particle":"","parse-names":false,"suffix":""},{"dropping-particle":"","family":"Schaeffer","given":"Sean M.;","non-dropping-particle":"","parse-names":false,"suffix":""},{"dropping-particle":"","family":"Saha","given":"Debasish","non-dropping-particle":"","parse-names":false,"suffix":""}],"container-title":"Agronomy Journal","id":"ITEM-1","issued":{"date-parts":[["2024"]]},"page":"22","title":"Long-term tillage and cover cropping differentially influenced soil nitrous oxide emissions from cotton cropping system","type":"article-journal"},"uris":["http://www.mendeley.com/documents/?uuid=5d6fc41e-f445-4fb6-9365-0633845277d2"]}],"mendeley":{"formattedCitation":"(Dhaliwal et al., 2024b)","manualFormatting":"Dhaliwal et al. (2024)","plainTextFormattedCitation":"(Dhaliwal et al., 2024b)","previouslyFormattedCitation":"(Dhaliwal et al., 2024b)"},"properties":{"noteIndex":0},"schema":"https://github.com/citation-style-language/schema/raw/master/csl-citation.json"}</w:instrText>
      </w:r>
      <w:r w:rsidRPr="00203EB0">
        <w:rPr>
          <w:rFonts w:cs="Times New Roman"/>
        </w:rPr>
        <w:fldChar w:fldCharType="separate"/>
      </w:r>
      <w:r w:rsidRPr="00203EB0">
        <w:rPr>
          <w:rFonts w:cs="Times New Roman"/>
          <w:noProof/>
        </w:rPr>
        <w:t>Dhaliwal et al. (2024)</w:t>
      </w:r>
      <w:r w:rsidRPr="00203EB0">
        <w:rPr>
          <w:rFonts w:cs="Times New Roman"/>
        </w:rPr>
        <w:fldChar w:fldCharType="end"/>
      </w:r>
      <w:r w:rsidRPr="00203EB0">
        <w:rPr>
          <w:rFonts w:cs="Times New Roman"/>
        </w:rPr>
        <w:t>. For this study, a subset of 32 plots was selected, including two levels of N (0; 67 kg N ha</w:t>
      </w:r>
      <w:r w:rsidRPr="00203EB0">
        <w:rPr>
          <w:rFonts w:cs="Times New Roman"/>
          <w:vertAlign w:val="superscript"/>
        </w:rPr>
        <w:t>-1</w:t>
      </w:r>
      <w:r w:rsidRPr="00203EB0">
        <w:rPr>
          <w:rFonts w:cs="Times New Roman"/>
        </w:rPr>
        <w:t>), two levels of cover crop (no cover crop, NC; hairy vetch, HV), and two levels of tillage (no-tillage, NT; conventional disk tillage, CT), across four blocks.</w:t>
      </w:r>
      <w:r w:rsidR="00BC5993">
        <w:rPr>
          <w:rFonts w:cs="Times New Roman"/>
        </w:rPr>
        <w:t xml:space="preserve"> This subset was chosen to represent common management practices while balancing the resource limitations associated with intensive microbial and gas flux analyses. </w:t>
      </w:r>
      <w:r w:rsidRPr="00203EB0">
        <w:rPr>
          <w:rFonts w:cs="Times New Roman"/>
        </w:rPr>
        <w:t xml:space="preserve">This combination resulted in eight treatments: CT-NC-0, CT-NC-67, CT-HV-0, CT-HV-67, NT-NC-0, NT-NC-67, NT-HV-0, and NT-HV-67. Although the experiment is generally rainfed, two critical irrigation events were applied during the 2022 cotton growing season (July 7 and July 26), each delivering 55 mm of water, to alleviate severe drought stress observed in June and July. </w:t>
      </w:r>
    </w:p>
    <w:p w14:paraId="1C04C599" w14:textId="458A8DB7" w:rsidR="00070085" w:rsidRPr="00203EB0" w:rsidRDefault="00070085" w:rsidP="00070085">
      <w:pPr>
        <w:spacing w:line="480" w:lineRule="auto"/>
        <w:rPr>
          <w:rFonts w:cs="Times New Roman"/>
        </w:rPr>
      </w:pPr>
      <w:r w:rsidRPr="00203EB0">
        <w:rPr>
          <w:rFonts w:cs="Times New Roman"/>
        </w:rPr>
        <w:t>Soil samples were collected five times during the 2022 cotton growing season, aligned with key management timings and crop growth stages from two soil depths (0-10 cm and 10-20 cm). An exception was made for the final sampling event, where only surface soil (0-10 cm) was collected</w:t>
      </w:r>
      <w:r w:rsidR="00674CDC">
        <w:rPr>
          <w:rFonts w:cs="Times New Roman"/>
        </w:rPr>
        <w:t>, as dry late-season conditions made deep sampling difficult without compromising sample integrity.</w:t>
      </w:r>
      <w:r w:rsidRPr="00203EB0">
        <w:rPr>
          <w:rFonts w:cs="Times New Roman"/>
        </w:rPr>
        <w:t xml:space="preserve"> The first sampling occurred on April 27, 2022, the day before cover crop termination as baseline, followed by the second on June 17, 2022, shortly after tillage and cotton planting. The third sampling took place on August 2, 2022, 10 days after fertilization, and the fourth on August 30, 2022, 40 days after fertilization. The final sampling was conducted on October 20, 2022, shortly after cotton harvest. After each sampling event, soil samples were divided into two subsamples: one stored at -80°C until sequencing analyses and the other used for soil chemical property analysis. </w:t>
      </w:r>
    </w:p>
    <w:p w14:paraId="58AD5037" w14:textId="2F3C3E7E" w:rsidR="00070085" w:rsidRPr="00203EB0" w:rsidRDefault="00070085" w:rsidP="00070085">
      <w:pPr>
        <w:pStyle w:val="Heading3"/>
        <w:spacing w:line="480" w:lineRule="auto"/>
      </w:pPr>
      <w:bookmarkStart w:id="87" w:name="_Toc206669144"/>
      <w:r w:rsidRPr="00203EB0">
        <w:lastRenderedPageBreak/>
        <w:t>Soil chemical properties, greenhouse gas, and environmental data collection</w:t>
      </w:r>
      <w:bookmarkEnd w:id="87"/>
    </w:p>
    <w:p w14:paraId="4DB240AA" w14:textId="77777777" w:rsidR="00070085" w:rsidRPr="00203EB0" w:rsidRDefault="00070085" w:rsidP="00070085">
      <w:pPr>
        <w:spacing w:line="480" w:lineRule="auto"/>
        <w:rPr>
          <w:rFonts w:cs="Times New Roman"/>
        </w:rPr>
      </w:pPr>
      <w:r w:rsidRPr="00203EB0">
        <w:rPr>
          <w:rFonts w:cs="Times New Roman"/>
        </w:rPr>
        <w:t xml:space="preserve">Soil samples from the first sampling time-point were analyzed for soil organic C and total N concentrations using the dry combustion method with an </w:t>
      </w:r>
      <w:proofErr w:type="spellStart"/>
      <w:r w:rsidRPr="00203EB0">
        <w:rPr>
          <w:rFonts w:cs="Times New Roman"/>
        </w:rPr>
        <w:t>Elementar</w:t>
      </w:r>
      <w:proofErr w:type="spellEnd"/>
      <w:r w:rsidRPr="00203EB0">
        <w:rPr>
          <w:rFonts w:cs="Times New Roman"/>
        </w:rPr>
        <w:t xml:space="preserve"> </w:t>
      </w:r>
      <w:proofErr w:type="spellStart"/>
      <w:r w:rsidRPr="00203EB0">
        <w:rPr>
          <w:rFonts w:cs="Times New Roman"/>
        </w:rPr>
        <w:t>vario</w:t>
      </w:r>
      <w:proofErr w:type="spellEnd"/>
      <w:r w:rsidRPr="00203EB0">
        <w:rPr>
          <w:rFonts w:cs="Times New Roman"/>
        </w:rPr>
        <w:t xml:space="preserve"> Max cube CN analyzer, which was then used to estimate soil organic matter (SOM). At each sampling events, soil samples were analyzed for inorganic N (</w:t>
      </w:r>
      <m:oMath>
        <m:sSubSup>
          <m:sSubSupPr>
            <m:ctrlPr>
              <w:rPr>
                <w:rFonts w:ascii="Cambria Math" w:hAnsi="Cambria Math" w:cs="Times New Roman"/>
                <w:iCs/>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203EB0">
        <w:rPr>
          <w:rFonts w:cs="Times New Roman"/>
          <w:vertAlign w:val="superscript"/>
        </w:rPr>
        <w:t xml:space="preserve"> </w:t>
      </w:r>
      <w:r w:rsidRPr="00203EB0">
        <w:rPr>
          <w:rFonts w:cs="Times New Roman"/>
        </w:rPr>
        <w:t xml:space="preserve">and </w:t>
      </w:r>
      <m:oMath>
        <m:sSubSup>
          <m:sSubSupPr>
            <m:ctrlPr>
              <w:rPr>
                <w:rFonts w:ascii="Cambria Math" w:hAnsi="Cambria Math" w:cs="Times New Roman"/>
                <w:iCs/>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203EB0">
        <w:rPr>
          <w:rFonts w:cs="Times New Roman"/>
        </w:rPr>
        <w:t xml:space="preserve">) availability by 2M KCl extraction </w:t>
      </w:r>
      <w:r w:rsidRPr="00203EB0">
        <w:rPr>
          <w:rFonts w:cs="Times New Roman"/>
        </w:rPr>
        <w:fldChar w:fldCharType="begin" w:fldLock="1"/>
      </w:r>
      <w:r w:rsidRPr="00203EB0">
        <w:rPr>
          <w:rFonts w:cs="Times New Roman"/>
        </w:rPr>
        <w:instrText>ADDIN CSL_CITATION {"citationItems":[{"id":"ITEM-1","itemData":{"DOI":"10.1081/AL-120024647","ISSN":"00032719","abstract":"A spectrophotometric procedure for determination of nitrate in water, soil extracts, and a variety of other sample types is described using one reagent solution which is easily prepared and stored. Sample and equipment requirements are minimal. Reduced chemical hazard, simplicity, and versatility represent improvements over existing methods. Limit of detection is 0.01 μg N mL -1 (0.72 μM NO3-) or less, depending on the matrix.","author":[{"dropping-particle":"","family":"Doane","given":"Timothy A.","non-dropping-particle":"","parse-names":false,"suffix":""},{"dropping-particle":"","family":"Horwáth","given":"William R.","non-dropping-particle":"","parse-names":false,"suffix":""}],"container-title":"Analytical Letters","id":"ITEM-1","issue":"12","issued":{"date-parts":[["2003"]]},"page":"2713-2722","title":"Spectrophotometric determination of nitrate with a single reagent","type":"article-journal","volume":"36"},"uris":["http://www.mendeley.com/documents/?uuid=ce5d9156-97fe-44c1-a3f8-43c21a16defb"]},{"id":"ITEM-2","itemData":{"author":[{"dropping-particle":"","family":"Forster","given":"JC","non-dropping-particle":"","parse-names":false,"suffix":""}],"container-title":"Methods in Applied Soil Microbiology and Biochemistry","editor":[{"dropping-particle":"","family":"Alef","given":"K","non-dropping-particle":"","parse-names":false,"suffix":""},{"dropping-particle":"","family":"Nannipieri","given":"P","non-dropping-particle":"","parse-names":false,"suffix":""}],"id":"ITEM-2","issued":{"date-parts":[["1995"]]},"page":"79-87","publisher":"Academic Press","publisher-place":"San Diego","title":"Soil nitrogen","type":"chapter"},"uris":["http://www.mendeley.com/documents/?uuid=62cf468d-bcdf-4416-8c5e-2bea12ea24d7"]}],"mendeley":{"formattedCitation":"(Forster, 1995; Doane and Horwáth, 2003)","plainTextFormattedCitation":"(Forster, 1995; Doane and Horwáth, 2003)","previouslyFormattedCitation":"(Forster, 1995; Doane and Horwáth, 2003)"},"properties":{"noteIndex":0},"schema":"https://github.com/citation-style-language/schema/raw/master/csl-citation.json"}</w:instrText>
      </w:r>
      <w:r w:rsidRPr="00203EB0">
        <w:rPr>
          <w:rFonts w:cs="Times New Roman"/>
        </w:rPr>
        <w:fldChar w:fldCharType="separate"/>
      </w:r>
      <w:r w:rsidRPr="00203EB0">
        <w:rPr>
          <w:rFonts w:cs="Times New Roman"/>
          <w:noProof/>
        </w:rPr>
        <w:t>(Forster, 1995; Doane and Horwáth, 2003)</w:t>
      </w:r>
      <w:r w:rsidRPr="00203EB0">
        <w:rPr>
          <w:rFonts w:cs="Times New Roman"/>
        </w:rPr>
        <w:fldChar w:fldCharType="end"/>
      </w:r>
      <w:r w:rsidRPr="00203EB0">
        <w:rPr>
          <w:rFonts w:cs="Times New Roman"/>
        </w:rPr>
        <w:t xml:space="preserve">, permanganate oxidizable C (POXC) based on the method described by </w:t>
      </w:r>
      <w:r w:rsidRPr="00203EB0">
        <w:rPr>
          <w:rFonts w:cs="Times New Roman"/>
        </w:rPr>
        <w:fldChar w:fldCharType="begin" w:fldLock="1"/>
      </w:r>
      <w:r w:rsidRPr="00203EB0">
        <w:rPr>
          <w:rFonts w:cs="Times New Roman"/>
        </w:rPr>
        <w:instrText>ADDIN CSL_CITATION {"citationItems":[{"id":"ITEM-1","itemData":{"ISBN":"08891893","ISSN":"08891893","author":[{"dropping-particle":"","family":"Weil","given":"Ray R.","non-dropping-particle":"","parse-names":false,"suffix":""},{"dropping-particle":"","family":"Islam","given":"Kandikar R.","non-dropping-particle":"","parse-names":false,"suffix":""},{"dropping-particle":"","family":"Stine","given":"Melissa A.","non-dropping-particle":"","parse-names":false,"suffix":""},{"dropping-particle":"","family":"Gruver","given":"Joel B.","non-dropping-particle":"","parse-names":false,"suffix":""},{"dropping-particle":"","family":"Samson-Liebig","given":"Susan E.","non-dropping-particle":"","parse-names":false,"suffix":""}],"container-title":"American Journal of Alternative Agriculture","id":"ITEM-1","issue":"1","issued":{"date-parts":[["2003"]]},"page":"1-17","title":"Estimating active carbon for soil quality assessment: A simplified method for laboratory and field use","type":"article-journal","volume":"18"},"uris":["http://www.mendeley.com/documents/?uuid=a3a809c5-8e3c-438d-9349-5dbff7908f9c"]}],"mendeley":{"formattedCitation":"(Weil et al., 2003)","manualFormatting":"Weil et al. (2003)","plainTextFormattedCitation":"(Weil et al., 2003)","previouslyFormattedCitation":"(Weil et al., 2003)"},"properties":{"noteIndex":0},"schema":"https://github.com/citation-style-language/schema/raw/master/csl-citation.json"}</w:instrText>
      </w:r>
      <w:r w:rsidRPr="00203EB0">
        <w:rPr>
          <w:rFonts w:cs="Times New Roman"/>
        </w:rPr>
        <w:fldChar w:fldCharType="separate"/>
      </w:r>
      <w:r w:rsidRPr="00203EB0">
        <w:rPr>
          <w:rFonts w:cs="Times New Roman"/>
          <w:noProof/>
        </w:rPr>
        <w:t>Weil et al. (2003)</w:t>
      </w:r>
      <w:r w:rsidRPr="00203EB0">
        <w:rPr>
          <w:rFonts w:cs="Times New Roman"/>
        </w:rPr>
        <w:fldChar w:fldCharType="end"/>
      </w:r>
      <w:r w:rsidRPr="00203EB0">
        <w:rPr>
          <w:rFonts w:cs="Times New Roman"/>
        </w:rPr>
        <w:t xml:space="preserve">, and soil pH using a pH electrode at a 1:2 ratio of soil to water. Local daily air temperature and precipitation were recorded throughout the entire growing season using an on-site meteorological station. </w:t>
      </w:r>
    </w:p>
    <w:p w14:paraId="4A679C83" w14:textId="250F684F" w:rsidR="00070085" w:rsidRPr="00203EB0" w:rsidRDefault="00070085" w:rsidP="00070085">
      <w:pPr>
        <w:spacing w:line="480" w:lineRule="auto"/>
        <w:rPr>
          <w:rFonts w:cs="Times New Roman"/>
        </w:rPr>
      </w:pPr>
      <w:r w:rsidRPr="00203EB0">
        <w:rPr>
          <w:rFonts w:cs="Times New Roman"/>
        </w:rPr>
        <w:t>The N</w:t>
      </w:r>
      <w:r w:rsidRPr="00203EB0">
        <w:rPr>
          <w:rFonts w:cs="Times New Roman"/>
          <w:vertAlign w:val="subscript"/>
        </w:rPr>
        <w:t>2</w:t>
      </w:r>
      <w:r w:rsidRPr="00203EB0">
        <w:rPr>
          <w:rFonts w:cs="Times New Roman"/>
        </w:rPr>
        <w:t>O and carbon dioxide (CO</w:t>
      </w:r>
      <w:r w:rsidRPr="00203EB0">
        <w:rPr>
          <w:rFonts w:cs="Times New Roman"/>
          <w:vertAlign w:val="subscript"/>
        </w:rPr>
        <w:t>2</w:t>
      </w:r>
      <w:r w:rsidRPr="00203EB0">
        <w:rPr>
          <w:rFonts w:cs="Times New Roman"/>
        </w:rPr>
        <w:t>) fluxes were measured using a static closed chamber technique, consistently conducted between 8:00 am and 12:00 pm on each sampling day. N</w:t>
      </w:r>
      <w:r w:rsidRPr="00203EB0">
        <w:rPr>
          <w:rFonts w:cs="Times New Roman"/>
          <w:vertAlign w:val="subscript"/>
        </w:rPr>
        <w:t>2</w:t>
      </w:r>
      <w:r w:rsidRPr="00203EB0">
        <w:rPr>
          <w:rFonts w:cs="Times New Roman"/>
        </w:rPr>
        <w:t>O fluxes were measured using a portable Integrated Cavity Output Spectroscopy (ICOS) instrument (Los Gatos Research Inc., Quebec, Canada), while CO</w:t>
      </w:r>
      <w:r w:rsidRPr="00203EB0">
        <w:rPr>
          <w:rFonts w:cs="Times New Roman"/>
          <w:vertAlign w:val="subscript"/>
        </w:rPr>
        <w:t>2</w:t>
      </w:r>
      <w:r w:rsidRPr="00203EB0">
        <w:rPr>
          <w:rFonts w:cs="Times New Roman"/>
        </w:rPr>
        <w:t xml:space="preserve"> fluxes were measured using an infrared gas analyzer (LI-850, LI-COR Biosciences NE, USA). Both instruments operated in a closed loop with the chambers </w:t>
      </w:r>
      <w:r w:rsidRPr="00203EB0">
        <w:rPr>
          <w:rFonts w:cs="Times New Roman"/>
        </w:rPr>
        <w:fldChar w:fldCharType="begin" w:fldLock="1"/>
      </w:r>
      <w:r w:rsidR="00EB2F35" w:rsidRPr="00203EB0">
        <w:rPr>
          <w:rFonts w:cs="Times New Roman"/>
        </w:rPr>
        <w:instrText>ADDIN CSL_CITATION {"citationItems":[{"id":"ITEM-1","itemData":{"ISBN":"1600-051X (Electronic)\\r0303-6979 (Linking)","ISSN":"1600051X","PMID":"25808877","abstract":"An efficient method for the synthesis of 2-amino-3-cyano-4-aryl-5,10-dioxo-5,10-dihydro-4H-benzo[g]chromenes and hydroxy-substituted naphthalene-1,4-dione derivatives, using silica-bonded propylpiperazine-N-sulfamic acid as a solid acid, green, heterogeneous catalyst, under ambient and solvent-free conditions, is described. A simple procedure, high yields, short reaction time, safety, and reusability of the catalyst are advantages of these protocols.","author":[{"dropping-particle":"","family":"Dhaliwal","given":"J.K;","non-dropping-particle":"","parse-names":false,"suffix":""},{"dropping-particle":"","family":"Lussich","given":"Facundo;","non-dropping-particle":"","parse-names":false,"suffix":""},{"dropping-particle":"","family":"Jagadamma","given":"Sindhu;","non-dropping-particle":"","parse-names":false,"suffix":""},{"dropping-particle":"","family":"Schaeffer","given":"Sean M.;","non-dropping-particle":"","parse-names":false,"suffix":""},{"dropping-particle":"","family":"Saha","given":"Debasish","non-dropping-particle":"","parse-names":false,"suffix":""}],"container-title":"Agronomy Journal","id":"ITEM-1","issued":{"date-parts":[["2024"]]},"page":"22","title":"Long-term tillage and cover cropping differentially influenced soil nitrous oxide emissions from cotton cropping system","type":"article-journal"},"uris":["http://www.mendeley.com/documents/?uuid=5d6fc41e-f445-4fb6-9365-0633845277d2"]}],"mendeley":{"formattedCitation":"(Dhaliwal et al., 2024b)","plainTextFormattedCitation":"(Dhaliwal et al., 2024b)","previouslyFormattedCitation":"(Dhaliwal et al., 2024b)"},"properties":{"noteIndex":0},"schema":"https://github.com/citation-style-language/schema/raw/master/csl-citation.json"}</w:instrText>
      </w:r>
      <w:r w:rsidRPr="00203EB0">
        <w:rPr>
          <w:rFonts w:cs="Times New Roman"/>
        </w:rPr>
        <w:fldChar w:fldCharType="separate"/>
      </w:r>
      <w:r w:rsidR="00EB2F35" w:rsidRPr="00203EB0">
        <w:rPr>
          <w:rFonts w:cs="Times New Roman"/>
          <w:noProof/>
        </w:rPr>
        <w:t>(Dhaliwal et al., 2024b)</w:t>
      </w:r>
      <w:r w:rsidRPr="00203EB0">
        <w:rPr>
          <w:rFonts w:cs="Times New Roman"/>
        </w:rPr>
        <w:fldChar w:fldCharType="end"/>
      </w:r>
      <w:r w:rsidRPr="00203EB0">
        <w:rPr>
          <w:rFonts w:cs="Times New Roman"/>
        </w:rPr>
        <w:t>. Greenhouse gases (GHG) fluxes were collected intensively following cover crop termination, tillage, fertilizer application, and heavy precipitation events, totaling 24 sampling events during the cotton growing season in 2022. However, the more frequent gas flux measurements were aligned with soil sampling events by averaging flux values over the intervals between consecutive soil sampling dates.</w:t>
      </w:r>
    </w:p>
    <w:p w14:paraId="03EC36DE" w14:textId="1FB00B9D" w:rsidR="00070085" w:rsidRPr="00203EB0" w:rsidRDefault="00070085" w:rsidP="00070085">
      <w:pPr>
        <w:spacing w:line="480" w:lineRule="auto"/>
        <w:rPr>
          <w:rFonts w:cs="Times New Roman"/>
        </w:rPr>
      </w:pPr>
      <w:r w:rsidRPr="00203EB0">
        <w:rPr>
          <w:rFonts w:cs="Times New Roman"/>
        </w:rPr>
        <w:t xml:space="preserve">Soil temperature and volumetric moisture were recorded to a depth of 20 cm on each sampling day using a thermocouple temperature sensor and </w:t>
      </w:r>
      <w:proofErr w:type="spellStart"/>
      <w:r w:rsidRPr="00203EB0">
        <w:rPr>
          <w:rFonts w:cs="Times New Roman"/>
        </w:rPr>
        <w:t>HydroSense</w:t>
      </w:r>
      <w:proofErr w:type="spellEnd"/>
      <w:r w:rsidRPr="00203EB0">
        <w:rPr>
          <w:rFonts w:cs="Times New Roman"/>
        </w:rPr>
        <w:t xml:space="preserve"> II portable soil </w:t>
      </w:r>
      <w:r w:rsidRPr="00203EB0">
        <w:rPr>
          <w:rFonts w:cs="Times New Roman"/>
        </w:rPr>
        <w:lastRenderedPageBreak/>
        <w:t>moisture sensor, respectively. Water-filled pore space (WFPS) was calculated based on bulk density and volumetric soil moisture data.</w:t>
      </w:r>
    </w:p>
    <w:p w14:paraId="3FBA52D6" w14:textId="69177929" w:rsidR="00E814D7" w:rsidRPr="00203EB0" w:rsidRDefault="00E814D7" w:rsidP="00E814D7">
      <w:pPr>
        <w:pStyle w:val="Heading3"/>
        <w:spacing w:line="480" w:lineRule="auto"/>
      </w:pPr>
      <w:bookmarkStart w:id="88" w:name="_Toc206669145"/>
      <w:r w:rsidRPr="00203EB0">
        <w:t xml:space="preserve">DNA extraction and </w:t>
      </w:r>
      <w:proofErr w:type="spellStart"/>
      <w:r w:rsidRPr="00203EB0">
        <w:t>MiSeq</w:t>
      </w:r>
      <w:proofErr w:type="spellEnd"/>
      <w:r w:rsidRPr="00203EB0">
        <w:t xml:space="preserve"> sequencing</w:t>
      </w:r>
      <w:bookmarkEnd w:id="88"/>
      <w:r w:rsidRPr="00203EB0">
        <w:t xml:space="preserve"> </w:t>
      </w:r>
    </w:p>
    <w:p w14:paraId="04557074" w14:textId="77777777" w:rsidR="00E814D7" w:rsidRPr="00203EB0" w:rsidRDefault="00E814D7" w:rsidP="00E814D7">
      <w:pPr>
        <w:spacing w:line="480" w:lineRule="auto"/>
        <w:rPr>
          <w:rFonts w:cs="Times New Roman"/>
        </w:rPr>
      </w:pPr>
      <w:r w:rsidRPr="00203EB0">
        <w:rPr>
          <w:rFonts w:cs="Times New Roman"/>
        </w:rPr>
        <w:t xml:space="preserve">Total soil DNA was extracted using a </w:t>
      </w:r>
      <w:proofErr w:type="spellStart"/>
      <w:r w:rsidRPr="00203EB0">
        <w:rPr>
          <w:rFonts w:cs="Times New Roman"/>
        </w:rPr>
        <w:t>DNeasy</w:t>
      </w:r>
      <w:proofErr w:type="spellEnd"/>
      <w:r w:rsidRPr="00203EB0">
        <w:rPr>
          <w:rFonts w:cs="Times New Roman"/>
        </w:rPr>
        <w:t xml:space="preserve"> </w:t>
      </w:r>
      <w:proofErr w:type="spellStart"/>
      <w:r w:rsidRPr="00203EB0">
        <w:rPr>
          <w:rFonts w:cs="Times New Roman"/>
        </w:rPr>
        <w:t>PowerSoil</w:t>
      </w:r>
      <w:proofErr w:type="spellEnd"/>
      <w:r w:rsidRPr="00203EB0">
        <w:rPr>
          <w:rFonts w:cs="Times New Roman"/>
          <w:vertAlign w:val="superscript"/>
        </w:rPr>
        <w:t>®</w:t>
      </w:r>
      <w:r w:rsidRPr="00203EB0">
        <w:rPr>
          <w:rFonts w:cs="Times New Roman"/>
        </w:rPr>
        <w:t xml:space="preserve"> Kit (QIAGEN, Germantown, MD, USA) from 0.25 g of soil per sample using standard procedures. DNA quality and concentration were measured using a Nanophotometer (N60, </w:t>
      </w:r>
      <w:proofErr w:type="spellStart"/>
      <w:r w:rsidRPr="00203EB0">
        <w:rPr>
          <w:rFonts w:cs="Times New Roman"/>
        </w:rPr>
        <w:t>Implen</w:t>
      </w:r>
      <w:proofErr w:type="spellEnd"/>
      <w:r w:rsidRPr="00203EB0">
        <w:rPr>
          <w:rFonts w:cs="Times New Roman"/>
        </w:rPr>
        <w:t>, Munich, Germany) and DNA concentrations were standardized to 20 ng/</w:t>
      </w:r>
      <w:proofErr w:type="spellStart"/>
      <w:r w:rsidRPr="00203EB0">
        <w:rPr>
          <w:rFonts w:cs="Times New Roman"/>
        </w:rPr>
        <w:t>μL</w:t>
      </w:r>
      <w:proofErr w:type="spellEnd"/>
      <w:r w:rsidRPr="00203EB0">
        <w:rPr>
          <w:rFonts w:cs="Times New Roman"/>
        </w:rPr>
        <w:t xml:space="preserve">. </w:t>
      </w:r>
    </w:p>
    <w:p w14:paraId="5CC7CCCF" w14:textId="77777777" w:rsidR="00E814D7" w:rsidRPr="00203EB0" w:rsidRDefault="00E814D7" w:rsidP="00EB7F86">
      <w:pPr>
        <w:pStyle w:val="NormalWeb"/>
        <w:shd w:val="clear" w:color="auto" w:fill="FFFFFF"/>
        <w:spacing w:before="0" w:beforeAutospacing="0" w:after="360" w:afterAutospacing="0" w:line="480" w:lineRule="auto"/>
        <w:contextualSpacing/>
      </w:pPr>
      <w:r w:rsidRPr="00203EB0">
        <w:t xml:space="preserve">To generate amplicon sequencing libraries, a two-step PCR approach was used </w:t>
      </w:r>
      <w:r w:rsidRPr="00203EB0">
        <w:fldChar w:fldCharType="begin" w:fldLock="1"/>
      </w:r>
      <w:r w:rsidRPr="00203EB0">
        <w:instrText>ADDIN CSL_CITATION {"citationItems":[{"id":"ITEM-1","itemData":{"DOI":"10.1007/978-1-4939-8724-5_4","ISBN":"9781493987245","ISSN":"10643745","PMID":"30182227","abstract":"High-throughput sequencing of taxon-specific loci, or DNA metabarcoding, has become an invaluable tool for investigating the composition of plant-associated fungal communities and for elucidating plant–fungal interactions. While sequencing fungal communities has become routine, there remain numerous potential sources of systematic error that can introduce biases and compromise metabarcoding data. This chapter presents a protocol for DNA metabarcoding of the leaf mycobiome based on current best practices to minimize errors through careful laboratory practices and validation.","author":[{"dropping-particle":"","family":"Brown","given":"Shawn P.","non-dropping-particle":"","parse-names":false,"suffix":""},{"dropping-particle":"","family":"Leopold","given":"Devin R.","non-dropping-particle":"","parse-names":false,"suffix":""},{"dropping-particle":"","family":"Busby","given":"Posy E.","non-dropping-particle":"","parse-names":false,"suffix":""}],"chapter-number":"Plant Path","container-title":"Methods in Molecular Biology","editor":[{"dropping-particle":"","family":"Ma","given":"W","non-dropping-particle":"","parse-names":false,"suffix":""},{"dropping-particle":"","family":"Wolpert","given":"T","non-dropping-particle":"","parse-names":false,"suffix":""}],"id":"ITEM-1","issued":{"date-parts":[["2018"]]},"page":"39-51","publisher":"Springer","publisher-place":"New York, NY, USA.","title":"Protocols for investigating the leaf mycobiome using high-throughput DNA sequencing","type":"chapter","volume":"1848"},"uris":["http://www.mendeley.com/documents/?uuid=50e309a7-be20-4fab-a65c-0ff630d32dbf"]}],"mendeley":{"formattedCitation":"(Brown et al., 2018)","plainTextFormattedCitation":"(Brown et al., 2018)","previouslyFormattedCitation":"(Brown et al., 2018)"},"properties":{"noteIndex":0},"schema":"https://github.com/citation-style-language/schema/raw/master/csl-citation.json"}</w:instrText>
      </w:r>
      <w:r w:rsidRPr="00203EB0">
        <w:fldChar w:fldCharType="separate"/>
      </w:r>
      <w:r w:rsidRPr="00203EB0">
        <w:rPr>
          <w:noProof/>
        </w:rPr>
        <w:t>(Brown et al., 2018)</w:t>
      </w:r>
      <w:r w:rsidRPr="00203EB0">
        <w:fldChar w:fldCharType="end"/>
      </w:r>
      <w:r w:rsidRPr="00203EB0">
        <w:t xml:space="preserve">. Primary amplicon libraries for bacteria were generated by targeting the V4 hypervariable region of 16S rDNA with the modified primers 515f and 806r </w:t>
      </w:r>
      <w:r w:rsidRPr="00203EB0">
        <w:fldChar w:fldCharType="begin" w:fldLock="1"/>
      </w:r>
      <w:r w:rsidRPr="00203EB0">
        <w:instrText>ADDIN CSL_CITATION {"citationItems":[{"id":"ITEM-1","itemData":{"DOI":"10.1073/pnas.1000080107","ISSN":"10916490","PMID":"20534432","abstract":"The ongoing revolution in high-throughput sequencing continues to democratize the ability of small groups of investigators to map the microbial component of the biosphere. In particular, the coevolution of new sequencing platforms and new software tools allows data acquisition and analysis on an unprecedented scale. Here we report the next stage in this coevolutionary arms race, using the Illumina GAIIx platform to sequence a diverse array of 25 environmental samples and three known \"mock communities\" at a depth averaging 3.1 million reads per sample. We demonstrate excellent consistency in taxonomic recovery and recapture diversity patterns that were previously reported on the basis of meta-analysis of many studies from the literature (notably, the saline/nonsaline split in environmental samples and the split between host-associated and free-living communities). We also demonstrate that 2,000 Illumina single-end reads are sufficient to recapture the same relationships among samples that we observe with the full dataset. The results thus open up the possibility of conducting large-scale studies analyzing thousands of samples simultaneously to survey microbial communities at an unprecedented spatial and temporal resolution.","author":[{"dropping-particle":"","family":"Caporaso","given":"J. Gregory","non-dropping-particle":"","parse-names":false,"suffix":""},{"dropping-particle":"","family":"Lauber","given":"Christian L.","non-dropping-particle":"","parse-names":false,"suffix":""},{"dropping-particle":"","family":"Walters","given":"William A.","non-dropping-particle":"","parse-names":false,"suffix":""},{"dropping-particle":"","family":"Berg-Lyons","given":"Donna","non-dropping-particle":"","parse-names":false,"suffix":""},{"dropping-particle":"","family":"Lozupone","given":"Catherine A.","non-dropping-particle":"","parse-names":false,"suffix":""},{"dropping-particle":"","family":"Turnbaugh","given":"Peter J.","non-dropping-particle":"","parse-names":false,"suffix":""},{"dropping-particle":"","family":"Fierer","given":"Noah","non-dropping-particle":"","parse-names":false,"suffix":""},{"dropping-particle":"","family":"Knight","given":"Rob","non-dropping-particle":"","parse-names":false,"suffix":""}],"container-title":"Proceedings of the National Academy of Sciences of the United States of America","id":"ITEM-1","issue":"SUPPL. 1","issued":{"date-parts":[["2011"]]},"page":"4516-4522","title":"Global patterns of 16S rRNA diversity at a depth of millions of sequences per sample","type":"article-journal","volume":"108"},"uris":["http://www.mendeley.com/documents/?uuid=08e9ebe0-882f-4fed-8e4d-79682d5cf351"]},{"id":"ITEM-2","itemData":{"DOI":"10.3354/ame01753","ISSN":"09483055","abstract":"High-throughput sequencing of small subunit ribosomal RNA (SSU rRNA) genes from marine environments is a widely applied method used to uncover the composition of microbial communities. We conducted an analysis of surface ocean waters with the commonly employed hypervariable 4 region SSU rRNA gene primers 515F and 806R, and found that bacteria belonging to the SAR11 clade of Alphaproteobacteria, a group typically making up 20 to 40% of the bacterioplankton in this environment, were greatly underrepresented and comprised &lt; 4% of the total community. Using the SILVA reference database, we found a single nucleotide mismatch to nearly all SAR11 subclades, and revised the 806R primer so that it increased the detection of SAR11 clade sequences in the database from 2.6 to 96.7%. We then compared the performance of the original and revised 806R primers in surface seawater samples, and found that SAR11 comprised 0.3 to 3.9% of sequences with the original primers and 17.5 to 30.5% of the sequences with the revised 806R primer. Furthermore, an investigation of seawater obtained from aquaria re - vealed that SAR11 sequences acquired with the revised 806R primer were more similar to natural cellular abundances of SAR11 detected using fluorescence in situ hybridization counts. Collectively, these results demonstrate that a minor adjustment to the 806R primer will greatly increase detection of the globally abundant SAR11 clade in marine and lake environments, and enable inclusion of this important bacterial lineage in experimental and environmental-based studies.","author":[{"dropping-particle":"","family":"Apprill","given":"Amy","non-dropping-particle":"","parse-names":false,"suffix":""},{"dropping-particle":"","family":"Mcnally","given":"Sean","non-dropping-particle":"","parse-names":false,"suffix":""},{"dropping-particle":"","family":"Parsons","given":"Rachel","non-dropping-particle":"","parse-names":false,"suffix":""},{"dropping-particle":"","family":"Weber","given":"Laura","non-dropping-particle":"","parse-names":false,"suffix":""}],"container-title":"Aquatic Microbial Ecology","id":"ITEM-2","issue":"2","issued":{"date-parts":[["2015"]]},"page":"129-137","title":"Minor revision to V4 region SSU rRNA 806R gene primer greatly increases detection of SAR11 bacterioplankton","type":"article-journal","volume":"75"},"uris":["http://www.mendeley.com/documents/?uuid=37396a51-8e16-473f-b9fd-e252aaf6541d"]},{"id":"ITEM-3","itemData":{"DOI":"10.1111/1462-2920.13023","ISSN":"14622920","PMID":"26271760","abstract":"Microbial community analysis via high-throughput sequencing of amplified 16S rRNA genes is an essential microbiology tool. We found the popular primer pair 515F (515F-C) and 806R greatly underestimated (e.g. SAR11) or overestimated (e.g. Gammaproteobacteria) common marine taxa. We evaluated marine samples and mock communities (containing 11 or 27 marine 16S clones), showing alternative primers 515F-Y (5′-GTGYCAGCMGCCGCGGTAA) and 926R (5′-CCGYCAATTYMTTTRAGTTT) yield more accurate estimates of mock community abundances, produce longer amplicons that can differentiate taxa unresolvable with 515F-C/806R, and amplify eukaryotic 18S rRNA. Mock communities amplified with 515F-Y/926R yielded closer observed community composition versus expected (r2=0.95) compared with 515F-Y/806R (r2</w:instrText>
      </w:r>
      <w:r w:rsidRPr="00203EB0">
        <w:rPr>
          <w:rFonts w:ascii="Cambria Math" w:hAnsi="Cambria Math" w:cs="Cambria Math"/>
        </w:rPr>
        <w:instrText>∼</w:instrText>
      </w:r>
      <w:r w:rsidRPr="00203EB0">
        <w:instrText>0.5). Unexpectedly, biases with 515F-Y/806R against SAR11 in field samples (</w:instrText>
      </w:r>
      <w:r w:rsidRPr="00203EB0">
        <w:rPr>
          <w:rFonts w:ascii="Cambria Math" w:hAnsi="Cambria Math" w:cs="Cambria Math"/>
        </w:rPr>
        <w:instrText>∼</w:instrText>
      </w:r>
      <w:r w:rsidRPr="00203EB0">
        <w:instrText>4-10-fold) were stronger than in mock communities (</w:instrText>
      </w:r>
      <w:r w:rsidRPr="00203EB0">
        <w:rPr>
          <w:rFonts w:ascii="Cambria Math" w:hAnsi="Cambria Math" w:cs="Cambria Math"/>
        </w:rPr>
        <w:instrText>∼</w:instrText>
      </w:r>
      <w:r w:rsidRPr="00203EB0">
        <w:instrText xml:space="preserve">2-fold). Correcting a mismatch to Thaumarchaea in the 515F-C increased their apparent abundance in field samples, but not as much as using 926R rather than 806R. With plankton samples rich in eukaryotic DNA (&gt;1μm size fraction), 18S sequences averaged </w:instrText>
      </w:r>
      <w:r w:rsidRPr="00203EB0">
        <w:rPr>
          <w:rFonts w:ascii="Cambria Math" w:hAnsi="Cambria Math" w:cs="Cambria Math"/>
        </w:rPr>
        <w:instrText>∼</w:instrText>
      </w:r>
      <w:r w:rsidRPr="00203EB0">
        <w:instrText>17% of all sequences. A single mismatch can strongly bias amplification, but even perfectly matched primers can exhibit preferential amplification. We show that beyond in silico predictions, testing with mock communities and field samples is important in primer selection.","author":[{"dropping-particle":"","family":"Parada","given":"Alma E.","non-dropping-particle":"","parse-names":false,"suffix":""},{"dropping-particle":"","family":"Needham","given":"David M.","non-dropping-particle":"","parse-names":false,"suffix":""},{"dropping-particle":"","family":"Fuhrman","given":"Jed A.","non-dropping-particle":"","parse-names":false,"suffix":""}],"container-title":"Environmental Microbiology","id":"ITEM-3","issue":"5","issued":{"date-parts":[["2016"]]},"page":"1403-1414","title":"Every base matters: Assessing small subunit rRNA primers for marine microbiomes with mock communities, time series and global field samples","type":"article-journal","volume":"18"},"uris":["http://www.mendeley.com/documents/?uuid=2d6defb8-e907-4149-bde3-b9788dcfb9a8"]}],"mendeley":{"formattedCitation":"(Caporaso et al., 2011; Apprill et al., 2015; Parada et al., 2016)","plainTextFormattedCitation":"(Caporaso et al., 2011; Apprill et al., 2015; Parada et al., 2016)","previouslyFormattedCitation":"(Caporaso et al., 2011; Apprill et al., 2015; Parada et al., 2016)"},"properties":{"noteIndex":0},"schema":"https://github.com/citation-style-language/schema/raw/master/csl-citation.json"}</w:instrText>
      </w:r>
      <w:r w:rsidRPr="00203EB0">
        <w:fldChar w:fldCharType="separate"/>
      </w:r>
      <w:r w:rsidRPr="00203EB0">
        <w:rPr>
          <w:noProof/>
        </w:rPr>
        <w:t>(Caporaso et al., 2011; Apprill et al., 2015; Parada et al., 2016)</w:t>
      </w:r>
      <w:r w:rsidRPr="00203EB0">
        <w:fldChar w:fldCharType="end"/>
      </w:r>
      <w:r w:rsidRPr="00203EB0">
        <w:t xml:space="preserve">. Primary PCR primer constructs also included </w:t>
      </w:r>
      <w:proofErr w:type="spellStart"/>
      <w:r w:rsidRPr="00203EB0">
        <w:t>Nextera</w:t>
      </w:r>
      <w:proofErr w:type="spellEnd"/>
      <w:r w:rsidRPr="00203EB0">
        <w:t xml:space="preserve"> sequencing primers (</w:t>
      </w:r>
      <w:proofErr w:type="spellStart"/>
      <w:r w:rsidRPr="00203EB0">
        <w:t>nexF</w:t>
      </w:r>
      <w:proofErr w:type="spellEnd"/>
      <w:r w:rsidRPr="00203EB0">
        <w:t xml:space="preserve"> and </w:t>
      </w:r>
      <w:proofErr w:type="spellStart"/>
      <w:r w:rsidRPr="00203EB0">
        <w:t>nexR</w:t>
      </w:r>
      <w:proofErr w:type="spellEnd"/>
      <w:r w:rsidRPr="00203EB0">
        <w:t>) as well as a range of ambiguous nucleotides (</w:t>
      </w:r>
      <w:proofErr w:type="gramStart"/>
      <w:r w:rsidRPr="00203EB0">
        <w:t>N[</w:t>
      </w:r>
      <w:proofErr w:type="gramEnd"/>
      <w:r w:rsidRPr="00203EB0">
        <w:t xml:space="preserve">3-6]) and were constructed as follows: </w:t>
      </w:r>
      <w:proofErr w:type="spellStart"/>
      <w:r w:rsidRPr="00203EB0">
        <w:t>nexF</w:t>
      </w:r>
      <w:proofErr w:type="spellEnd"/>
      <w:r w:rsidRPr="00203EB0">
        <w:t>-</w:t>
      </w:r>
      <w:proofErr w:type="gramStart"/>
      <w:r w:rsidRPr="00203EB0">
        <w:t>N[</w:t>
      </w:r>
      <w:proofErr w:type="gramEnd"/>
      <w:r w:rsidRPr="00203EB0">
        <w:t xml:space="preserve">3-6]-515f and </w:t>
      </w:r>
      <w:proofErr w:type="spellStart"/>
      <w:r w:rsidRPr="00203EB0">
        <w:t>nexR</w:t>
      </w:r>
      <w:proofErr w:type="spellEnd"/>
      <w:r w:rsidRPr="00203EB0">
        <w:t>-</w:t>
      </w:r>
      <w:proofErr w:type="gramStart"/>
      <w:r w:rsidRPr="00203EB0">
        <w:t>N[</w:t>
      </w:r>
      <w:proofErr w:type="gramEnd"/>
      <w:r w:rsidRPr="00203EB0">
        <w:t xml:space="preserve">3-6]-806r for bacteria and archaea. PCRs were conducted in 25 </w:t>
      </w:r>
      <w:proofErr w:type="spellStart"/>
      <w:r w:rsidRPr="00203EB0">
        <w:t>μL</w:t>
      </w:r>
      <w:proofErr w:type="spellEnd"/>
      <w:r w:rsidRPr="00203EB0">
        <w:t xml:space="preserve"> reactions containing: 2 </w:t>
      </w:r>
      <w:proofErr w:type="spellStart"/>
      <w:r w:rsidRPr="00203EB0">
        <w:t>μL</w:t>
      </w:r>
      <w:proofErr w:type="spellEnd"/>
      <w:r w:rsidRPr="00203EB0">
        <w:t xml:space="preserve"> DNA template (40ng), 12.5 </w:t>
      </w:r>
      <w:proofErr w:type="spellStart"/>
      <w:r w:rsidRPr="00203EB0">
        <w:t>μL</w:t>
      </w:r>
      <w:proofErr w:type="spellEnd"/>
      <w:r w:rsidRPr="00203EB0">
        <w:t xml:space="preserve"> Phusion Green™ Hot Start II High-Fidelity Master Mix (</w:t>
      </w:r>
      <w:proofErr w:type="spellStart"/>
      <w:r w:rsidRPr="00203EB0">
        <w:t>ThemoFisher</w:t>
      </w:r>
      <w:proofErr w:type="spellEnd"/>
      <w:r w:rsidRPr="00203EB0">
        <w:t xml:space="preserve"> Scientific, Waltham, MA, USA), 5.5 </w:t>
      </w:r>
      <w:proofErr w:type="spellStart"/>
      <w:r w:rsidRPr="00203EB0">
        <w:t>μL</w:t>
      </w:r>
      <w:proofErr w:type="spellEnd"/>
      <w:r w:rsidRPr="00203EB0">
        <w:t xml:space="preserve"> nuclease-free H</w:t>
      </w:r>
      <w:r w:rsidRPr="00203EB0">
        <w:rPr>
          <w:vertAlign w:val="subscript"/>
        </w:rPr>
        <w:t>2</w:t>
      </w:r>
      <w:r w:rsidRPr="00203EB0">
        <w:t xml:space="preserve">O, and 2.5 </w:t>
      </w:r>
      <w:proofErr w:type="spellStart"/>
      <w:r w:rsidRPr="00203EB0">
        <w:t>μL</w:t>
      </w:r>
      <w:proofErr w:type="spellEnd"/>
      <w:r w:rsidRPr="00203EB0">
        <w:t xml:space="preserve"> each of the forward and reverse primers (at 1 </w:t>
      </w:r>
      <w:proofErr w:type="spellStart"/>
      <w:r w:rsidRPr="00203EB0">
        <w:t>μM</w:t>
      </w:r>
      <w:proofErr w:type="spellEnd"/>
      <w:r w:rsidRPr="00203EB0">
        <w:t>). PCR parameters were set for: initial denaturation (98 °C; 30 s); 25 cycles of denaturation (98 °C; 10 s), primer annealing (52.5 °C; 30 s), extension (72 °C; 40 s); final extension step (72 °C; 10 min). The ramp rate was 1.0 °C s</w:t>
      </w:r>
      <w:r w:rsidRPr="00203EB0">
        <w:rPr>
          <w:vertAlign w:val="superscript"/>
        </w:rPr>
        <w:t>−1</w:t>
      </w:r>
      <w:r w:rsidRPr="00203EB0">
        <w:t> for annealing steps. All amplifications were visually confirmed with gel electrophoresis.</w:t>
      </w:r>
    </w:p>
    <w:p w14:paraId="780903A7" w14:textId="77777777" w:rsidR="00E814D7" w:rsidRPr="00203EB0" w:rsidRDefault="00E814D7" w:rsidP="00EB7F86">
      <w:pPr>
        <w:pStyle w:val="NormalWeb"/>
        <w:shd w:val="clear" w:color="auto" w:fill="FFFFFF"/>
        <w:spacing w:before="0" w:beforeAutospacing="0" w:after="360" w:afterAutospacing="0" w:line="480" w:lineRule="auto"/>
        <w:contextualSpacing/>
      </w:pPr>
      <w:r w:rsidRPr="00203EB0">
        <w:lastRenderedPageBreak/>
        <w:t xml:space="preserve">Secondary PCR was conducted using respective forward and reverse primer pairs P5-i5-overlap and P7-i7-overlap, comprised of unique dual-barcoded MIDs (i5 and i7), Illumina Adaptor sequence (P5 and P7) and partial overlap with the </w:t>
      </w:r>
      <w:proofErr w:type="spellStart"/>
      <w:r w:rsidRPr="00203EB0">
        <w:t>nexF</w:t>
      </w:r>
      <w:proofErr w:type="spellEnd"/>
      <w:r w:rsidRPr="00203EB0">
        <w:t xml:space="preserve"> and </w:t>
      </w:r>
      <w:proofErr w:type="spellStart"/>
      <w:r w:rsidRPr="00203EB0">
        <w:t>nexR</w:t>
      </w:r>
      <w:proofErr w:type="spellEnd"/>
      <w:r w:rsidRPr="00203EB0">
        <w:t xml:space="preserve"> sequences that </w:t>
      </w:r>
      <w:proofErr w:type="gramStart"/>
      <w:r w:rsidRPr="00203EB0">
        <w:t>acts</w:t>
      </w:r>
      <w:proofErr w:type="gramEnd"/>
      <w:r w:rsidRPr="00203EB0">
        <w:t xml:space="preserve"> as the annealing site for primers. Forward and reverse secondary primers were mixed to generate unique dual-barcoded primers. Multiplexed amplicons were generated by PCR in a 25 </w:t>
      </w:r>
      <w:proofErr w:type="spellStart"/>
      <w:r w:rsidRPr="00203EB0">
        <w:t>μL</w:t>
      </w:r>
      <w:proofErr w:type="spellEnd"/>
      <w:r w:rsidRPr="00203EB0">
        <w:t xml:space="preserve"> reaction containing: 2.5 </w:t>
      </w:r>
      <w:proofErr w:type="spellStart"/>
      <w:r w:rsidRPr="00203EB0">
        <w:t>μL</w:t>
      </w:r>
      <w:proofErr w:type="spellEnd"/>
      <w:r w:rsidRPr="00203EB0">
        <w:t xml:space="preserve"> primary PCR product, 12.5 </w:t>
      </w:r>
      <w:proofErr w:type="spellStart"/>
      <w:r w:rsidRPr="00203EB0">
        <w:t>μL</w:t>
      </w:r>
      <w:proofErr w:type="spellEnd"/>
      <w:r w:rsidRPr="00203EB0">
        <w:t xml:space="preserve"> Phusion Green Hot Start II High-Fidelity PCR Master Mix, 7.5 </w:t>
      </w:r>
      <w:proofErr w:type="spellStart"/>
      <w:r w:rsidRPr="00203EB0">
        <w:t>μL</w:t>
      </w:r>
      <w:proofErr w:type="spellEnd"/>
      <w:r w:rsidRPr="00203EB0">
        <w:t xml:space="preserve"> molecular grade nuclease-free H</w:t>
      </w:r>
      <w:r w:rsidRPr="00203EB0">
        <w:rPr>
          <w:vertAlign w:val="subscript"/>
        </w:rPr>
        <w:t>2</w:t>
      </w:r>
      <w:r w:rsidRPr="00203EB0">
        <w:t xml:space="preserve">O, and 2.5 </w:t>
      </w:r>
      <w:proofErr w:type="spellStart"/>
      <w:r w:rsidRPr="00203EB0">
        <w:t>μL</w:t>
      </w:r>
      <w:proofErr w:type="spellEnd"/>
      <w:r w:rsidRPr="00203EB0">
        <w:t xml:space="preserve"> of dual-barcoded primer mix (0.5 </w:t>
      </w:r>
      <w:proofErr w:type="spellStart"/>
      <w:r w:rsidRPr="00203EB0">
        <w:t>μM</w:t>
      </w:r>
      <w:proofErr w:type="spellEnd"/>
      <w:r w:rsidRPr="00203EB0">
        <w:t xml:space="preserve"> each primer). PCR parameters were set for: denaturation (98 °C; 30 s); 10 cycles of denaturation (98 °C; 20 s), primer annealing (50 °C; 20 s), and elongation (72 °C; 50 s); a final extension step (72 °C; 10 min). In total, 35 cycles were run. All amplification was confirmed visually and negative controls consisting of sterile water were extracted, amplified, and sequenced and remained free of contamination.</w:t>
      </w:r>
    </w:p>
    <w:p w14:paraId="31C40974" w14:textId="48A2FEB7" w:rsidR="004D2011" w:rsidRPr="00203EB0" w:rsidRDefault="00E814D7" w:rsidP="004D2011">
      <w:pPr>
        <w:pStyle w:val="NormalWeb"/>
        <w:shd w:val="clear" w:color="auto" w:fill="FFFFFF"/>
        <w:spacing w:before="0" w:beforeAutospacing="0" w:after="360" w:afterAutospacing="0" w:line="480" w:lineRule="auto"/>
      </w:pPr>
      <w:r w:rsidRPr="00203EB0">
        <w:t xml:space="preserve">PCR products were cleaned using </w:t>
      </w:r>
      <w:proofErr w:type="spellStart"/>
      <w:r w:rsidRPr="00203EB0">
        <w:t>AxyPrep</w:t>
      </w:r>
      <w:proofErr w:type="spellEnd"/>
      <w:r w:rsidRPr="00203EB0">
        <w:t xml:space="preserve">™ Mag PCR Clean-up kits using a 1:1 ratio of PCR product to beads </w:t>
      </w:r>
      <w:r w:rsidRPr="00203EB0">
        <w:fldChar w:fldCharType="begin" w:fldLock="1"/>
      </w:r>
      <w:r w:rsidRPr="00203EB0">
        <w:instrText>ADDIN CSL_CITATION {"citationItems":[{"id":"ITEM-1","itemData":{"DOI":"10.1111/mec.12487","ISSN":"09621083","PMID":"24112459","abstract":"Early community assembly of soil microbial communities is essential for pedogenesis and development of organic legacies. We examined fungal and bacterial successions along a well-established temperate glacier forefront chronosequence representing ~70 years of deglaciation to determine community assembly. As microbial communities may be heavily structured by establishing vegetation, we included nonvegetated soils as well as soils from underneath four plant species with differing mycorrhizal ecologies (Abies lasiocarpa, ectomycorrhizal; Luetkea pectinata, arbuscular mycorrhizal; Phyllodoce empetriformis, ericoid mycorrhizal; Saxifraga ferruginea, nonmycorrhizal). Our main objectives were to contrast fungal and bacterial successional dynamics and community assembly as well as to decouple the effects of plant establishment and time since deglaciation on microbial trajectories using high-throughput sequencing. Our data indicate that distance from glacier terminus has large effects on biomass accumulation, community membership, and distribution for both fungi and bacteria. Surprisingly, presence of plants rather than their identity was more important in structuring bacterial communities along the chronosequence and played only a very minor role in structuring the fungal communities. Further, our analyses suggest that bacterial communities may converge during assembly supporting determinism, whereas fungal communities show no such patterns. Although fungal communities provided little evidence of convergence in community structure, many taxa were nonrandomly distributed across the glacier foreland; similar taxon-level responses were observed in bacterial communities. Overall, our data highlight differing drivers for fungal and bacterial trajectories during early primary succession in recently deglaciated soils. See also the Perspective by Schmidt et al. © 2013 John Wiley &amp; Sons Ltd.","author":[{"dropping-particle":"","family":"Brown","given":"Shawn P.","non-dropping-particle":"","parse-names":false,"suffix":""},{"dropping-particle":"","family":"Jumpponen","given":"Ari","non-dropping-particle":"","parse-names":false,"suffix":""}],"container-title":"Molecular Ecology","id":"ITEM-1","issue":"2","issued":{"date-parts":[["2014"]]},"page":"481-497","title":"Contrasting primary successional trajectories of fungi and bacteria in retreating glacier soils","type":"article-journal","volume":"23"},"uris":["http://www.mendeley.com/documents/?uuid=5dfae288-95e3-4eca-a794-6a34f9be5406"]}],"mendeley":{"formattedCitation":"(Brown and Jumpponen, 2014)","plainTextFormattedCitation":"(Brown and Jumpponen, 2014)","previouslyFormattedCitation":"(Brown and Jumpponen, 2014)"},"properties":{"noteIndex":0},"schema":"https://github.com/citation-style-language/schema/raw/master/csl-citation.json"}</w:instrText>
      </w:r>
      <w:r w:rsidRPr="00203EB0">
        <w:fldChar w:fldCharType="separate"/>
      </w:r>
      <w:r w:rsidRPr="00203EB0">
        <w:rPr>
          <w:noProof/>
        </w:rPr>
        <w:t>(Brown and Jumpponen, 2014)</w:t>
      </w:r>
      <w:r w:rsidRPr="00203EB0">
        <w:fldChar w:fldCharType="end"/>
      </w:r>
      <w:r w:rsidRPr="00203EB0">
        <w:t>. Cleaned PCR products were quantified using a Qubit 3.0 fluorometer with Qubit</w:t>
      </w:r>
      <w:r w:rsidRPr="00203EB0">
        <w:rPr>
          <w:rStyle w:val="stix"/>
          <w:rFonts w:ascii="MS Gothic" w:eastAsia="MS Gothic" w:hAnsi="MS Gothic" w:cs="MS Gothic" w:hint="eastAsia"/>
          <w:vertAlign w:val="superscript"/>
        </w:rPr>
        <w:t>Ⓡ</w:t>
      </w:r>
      <w:r w:rsidRPr="00203EB0">
        <w:t xml:space="preserve"> dsDNA HS assay kits and pooled at equal concentrations and cleaned once again as above. Libraries were sequenced on a single Illumina </w:t>
      </w:r>
      <w:proofErr w:type="spellStart"/>
      <w:r w:rsidRPr="00203EB0">
        <w:t>MiSeq</w:t>
      </w:r>
      <w:proofErr w:type="spellEnd"/>
      <w:r w:rsidRPr="00203EB0">
        <w:t xml:space="preserve"> (300PE) at the Integrated Genomics Facility (Manhattan, KS, USA). Sequence data were demultiplexed using the unique i5 and i7 sequence combinations to produce </w:t>
      </w:r>
      <w:proofErr w:type="spellStart"/>
      <w:r w:rsidRPr="00203EB0">
        <w:t>fastq</w:t>
      </w:r>
      <w:proofErr w:type="spellEnd"/>
      <w:r w:rsidRPr="00203EB0">
        <w:t xml:space="preserve"> files for each sample. </w:t>
      </w:r>
    </w:p>
    <w:p w14:paraId="30129191" w14:textId="0B25C560" w:rsidR="004D2011" w:rsidRPr="00203EB0" w:rsidRDefault="004D2011" w:rsidP="004D2011">
      <w:pPr>
        <w:pStyle w:val="Heading3"/>
        <w:spacing w:line="480" w:lineRule="auto"/>
      </w:pPr>
      <w:bookmarkStart w:id="89" w:name="_Toc206669146"/>
      <w:r w:rsidRPr="00203EB0">
        <w:lastRenderedPageBreak/>
        <w:t>Bioinformatics and statistical analys</w:t>
      </w:r>
      <w:r w:rsidR="00C75094" w:rsidRPr="00203EB0">
        <w:t>i</w:t>
      </w:r>
      <w:r w:rsidRPr="00203EB0">
        <w:t>s</w:t>
      </w:r>
      <w:bookmarkEnd w:id="89"/>
      <w:r w:rsidRPr="00203EB0">
        <w:t xml:space="preserve"> </w:t>
      </w:r>
    </w:p>
    <w:p w14:paraId="4B148535" w14:textId="187BCBCA" w:rsidR="004D2011" w:rsidRPr="00203EB0" w:rsidRDefault="004D2011" w:rsidP="004D2011">
      <w:pPr>
        <w:spacing w:line="480" w:lineRule="auto"/>
        <w:rPr>
          <w:rFonts w:cs="Times New Roman"/>
        </w:rPr>
      </w:pPr>
      <w:r w:rsidRPr="00203EB0">
        <w:rPr>
          <w:rFonts w:cs="Times New Roman"/>
        </w:rPr>
        <w:t>All bioinformatics and statistical analys</w:t>
      </w:r>
      <w:r w:rsidR="00C75094" w:rsidRPr="00203EB0">
        <w:rPr>
          <w:rFonts w:cs="Times New Roman"/>
        </w:rPr>
        <w:t>i</w:t>
      </w:r>
      <w:r w:rsidRPr="00203EB0">
        <w:rPr>
          <w:rFonts w:cs="Times New Roman"/>
        </w:rPr>
        <w:t xml:space="preserve">s were conducted using R (version 4.2.764) and Python (version 3.10.12). Sequence processing was carried out using the Dada2 pipeline </w:t>
      </w:r>
      <w:r w:rsidRPr="00203EB0">
        <w:rPr>
          <w:rFonts w:cs="Times New Roman"/>
        </w:rPr>
        <w:fldChar w:fldCharType="begin" w:fldLock="1"/>
      </w:r>
      <w:r w:rsidRPr="00203EB0">
        <w:rPr>
          <w:rFonts w:cs="Times New Roman"/>
        </w:rPr>
        <w:instrText>ADDIN CSL_CITATION {"citationItems":[{"id":"ITEM-1","itemData":{"DOI":"10.1038/nmeth.3869","ISSN":"15487105","PMID":"27214047","abstract":"We present the open-source software package DADA2 for modeling and correcting Illumina-sequenced amplicon errors (https://github.com/benjjneb/dada2). DADA2 infers sample sequences exactly and resolves differences of as little as 1 nucleotide. In several mock communities, DADA2 identified more real variants and output fewer spurious sequences than other methods. We applied DADA2 to vaginal samples from a cohort of pregnant women, revealing a diversity of previously undetected Lactobacillus crispatus variants.","author":[{"dropping-particle":"","family":"Callahan","given":"Benjamin J.","non-dropping-particle":"","parse-names":false,"suffix":""},{"dropping-particle":"","family":"McMurdie","given":"Paul J.","non-dropping-particle":"","parse-names":false,"suffix":""},{"dropping-particle":"","family":"Rosen","given":"Michael J.","non-dropping-particle":"","parse-names":false,"suffix":""},{"dropping-particle":"","family":"Han","given":"Andrew W.","non-dropping-particle":"","parse-names":false,"suffix":""},{"dropping-particle":"","family":"Johnson","given":"Amy Jo A.","non-dropping-particle":"","parse-names":false,"suffix":""},{"dropping-particle":"","family":"Holmes","given":"Susan P.","non-dropping-particle":"","parse-names":false,"suffix":""}],"container-title":"Nature Methods","id":"ITEM-1","issue":"7","issued":{"date-parts":[["2016"]]},"page":"581-583","title":"DADA2: High-resolution sample inference from Illumina amplicon data","type":"article-journal","volume":"13"},"uris":["http://www.mendeley.com/documents/?uuid=9b7ad8b2-ff7b-49ed-9727-b3b536a6b492"]}],"mendeley":{"formattedCitation":"(Callahan et al., 2016)","plainTextFormattedCitation":"(Callahan et al., 2016)","previouslyFormattedCitation":"(Callahan et al., 2016)"},"properties":{"noteIndex":0},"schema":"https://github.com/citation-style-language/schema/raw/master/csl-citation.json"}</w:instrText>
      </w:r>
      <w:r w:rsidRPr="00203EB0">
        <w:rPr>
          <w:rFonts w:cs="Times New Roman"/>
        </w:rPr>
        <w:fldChar w:fldCharType="separate"/>
      </w:r>
      <w:r w:rsidRPr="00203EB0">
        <w:rPr>
          <w:rFonts w:cs="Times New Roman"/>
          <w:noProof/>
        </w:rPr>
        <w:t>(Callahan et al., 2016)</w:t>
      </w:r>
      <w:r w:rsidRPr="00203EB0">
        <w:rPr>
          <w:rFonts w:cs="Times New Roman"/>
        </w:rPr>
        <w:fldChar w:fldCharType="end"/>
      </w:r>
      <w:r w:rsidRPr="00203EB0">
        <w:rPr>
          <w:rFonts w:cs="Times New Roman"/>
        </w:rPr>
        <w:t xml:space="preserve">. Primer sequences were removed with </w:t>
      </w:r>
      <w:proofErr w:type="spellStart"/>
      <w:r w:rsidRPr="00203EB0">
        <w:rPr>
          <w:rFonts w:cs="Times New Roman"/>
        </w:rPr>
        <w:t>Cutadapt</w:t>
      </w:r>
      <w:proofErr w:type="spellEnd"/>
      <w:r w:rsidRPr="00203EB0">
        <w:rPr>
          <w:rFonts w:cs="Times New Roman"/>
        </w:rPr>
        <w:t xml:space="preserve"> (version 3.5; </w:t>
      </w:r>
      <w:r w:rsidRPr="00203EB0">
        <w:rPr>
          <w:rFonts w:cs="Times New Roman"/>
        </w:rPr>
        <w:fldChar w:fldCharType="begin" w:fldLock="1"/>
      </w:r>
      <w:r w:rsidRPr="00203EB0">
        <w:rPr>
          <w:rFonts w:cs="Times New Roman"/>
        </w:rPr>
        <w:instrText>ADDIN CSL_CITATION {"citationItems":[{"id":"ITEM-1","itemData":{"ISSN":"19950756","abstract":"In the present research it is investigated the relationship between organizational culture and knowledge management as well their simultaneous effects on performing customer relation management. The picked procedure is descriptive one. The findings show that there is a significant relation between organizational culture and knowledge management, besides every change in each of them can affect justly the successful management in communication with customer. Therefore having a correct understanding of CRM concept as one of up-to-date and effective technology indexes, flexible and entrepreneur cultures as well their simultaneous influence would bring more succeeded CRM performance in an organization also rising values for customer and organization. © 2013 AENSI Publisher All rights reserved.","author":[{"dropping-particle":"","family":"Martin","given":"Marcel","non-dropping-particle":"","parse-names":false,"suffix":""}],"container-title":"EMBnet.journal","id":"ITEM-1","issue":"17","issued":{"date-parts":[["2011"]]},"page":"10-12","title":"Cutadapt removes adapter sequences from high-throughput sequencing reads","type":"article-journal","volume":"17"},"uris":["http://www.mendeley.com/documents/?uuid=7c4df4d5-53eb-4891-ad10-32419a3f4074"]}],"mendeley":{"formattedCitation":"(Martin, 2011)","manualFormatting":"Martin 2011)","plainTextFormattedCitation":"(Martin, 2011)","previouslyFormattedCitation":"(Martin, 2011)"},"properties":{"noteIndex":0},"schema":"https://github.com/citation-style-language/schema/raw/master/csl-citation.json"}</w:instrText>
      </w:r>
      <w:r w:rsidRPr="00203EB0">
        <w:rPr>
          <w:rFonts w:cs="Times New Roman"/>
        </w:rPr>
        <w:fldChar w:fldCharType="separate"/>
      </w:r>
      <w:r w:rsidRPr="00203EB0">
        <w:rPr>
          <w:rFonts w:cs="Times New Roman"/>
          <w:noProof/>
        </w:rPr>
        <w:t>Martin 2011)</w:t>
      </w:r>
      <w:r w:rsidRPr="00203EB0">
        <w:rPr>
          <w:rFonts w:cs="Times New Roman"/>
        </w:rPr>
        <w:fldChar w:fldCharType="end"/>
      </w:r>
      <w:r w:rsidRPr="00203EB0">
        <w:rPr>
          <w:rFonts w:cs="Times New Roman"/>
        </w:rPr>
        <w:t xml:space="preserve">, followed by denoising, dereplication, error model training, merging of forward and reverse reads, and chimera removal. Taxonomic assignment was performed using the SILVA reference database (version 138.1). To ensure standardized estimates of diversity across samples, all sequences were rarefied to a depth of 3351 reads per sample. </w:t>
      </w:r>
    </w:p>
    <w:p w14:paraId="6D4720D0" w14:textId="77777777" w:rsidR="004D2011" w:rsidRPr="00203EB0" w:rsidRDefault="004D2011" w:rsidP="004D2011">
      <w:pPr>
        <w:spacing w:line="480" w:lineRule="auto"/>
        <w:rPr>
          <w:rFonts w:cs="Times New Roman"/>
        </w:rPr>
      </w:pPr>
      <w:r w:rsidRPr="00203EB0">
        <w:rPr>
          <w:rFonts w:cs="Times New Roman"/>
        </w:rPr>
        <w:t>To evaluate the effects of management practices and sampling time-point on N</w:t>
      </w:r>
      <w:r w:rsidRPr="00203EB0">
        <w:rPr>
          <w:rFonts w:cs="Times New Roman"/>
          <w:vertAlign w:val="subscript"/>
        </w:rPr>
        <w:t>2</w:t>
      </w:r>
      <w:r w:rsidRPr="00203EB0">
        <w:rPr>
          <w:rFonts w:cs="Times New Roman"/>
        </w:rPr>
        <w:t xml:space="preserve">O fluxes, a linear mixed effects model was fitted using the </w:t>
      </w:r>
      <w:r w:rsidRPr="00203EB0">
        <w:rPr>
          <w:rFonts w:cs="Times New Roman"/>
          <w:i/>
        </w:rPr>
        <w:t>lme4</w:t>
      </w:r>
      <w:r w:rsidRPr="00203EB0">
        <w:rPr>
          <w:rFonts w:cs="Times New Roman"/>
        </w:rPr>
        <w:t xml:space="preserve"> package in R </w:t>
      </w:r>
      <w:r w:rsidRPr="00203EB0">
        <w:rPr>
          <w:rFonts w:cs="Times New Roman"/>
        </w:rPr>
        <w:fldChar w:fldCharType="begin" w:fldLock="1"/>
      </w:r>
      <w:r w:rsidRPr="00203EB0">
        <w:rPr>
          <w:rFonts w:cs="Times New Roman"/>
        </w:rPr>
        <w:instrText>ADDIN CSL_CITATION {"citationItems":[{"id":"ITEM-1","itemData":{"DOI":"doi:10.18637/jss.v067.i01","author":[{"dropping-particle":"","family":"Bates","given":"D","non-dropping-particle":"","parse-names":false,"suffix":""},{"dropping-particle":"","family":"Mächler","given":"M","non-dropping-particle":"","parse-names":false,"suffix":""},{"dropping-particle":"","family":"Bolker","given":"B","non-dropping-particle":"","parse-names":false,"suffix":""},{"dropping-particle":"","family":"Walker","given":"S","non-dropping-particle":"","parse-names":false,"suffix":""}],"container-title":"Journal of Statistical Software","id":"ITEM-1","issue":"1","issued":{"date-parts":[["2015"]]},"page":"1-48","title":"Fitting linear mixed-effects models using lme4","type":"article-journal","volume":"67"},"uris":["http://www.mendeley.com/documents/?uuid=2221b0c2-82c7-45c3-9850-4b0d75e5f592"]}],"mendeley":{"formattedCitation":"(Bates et al., 2015)","plainTextFormattedCitation":"(Bates et al., 2015)","previouslyFormattedCitation":"(Bates et al., 2015)"},"properties":{"noteIndex":0},"schema":"https://github.com/citation-style-language/schema/raw/master/csl-citation.json"}</w:instrText>
      </w:r>
      <w:r w:rsidRPr="00203EB0">
        <w:rPr>
          <w:rFonts w:cs="Times New Roman"/>
        </w:rPr>
        <w:fldChar w:fldCharType="separate"/>
      </w:r>
      <w:r w:rsidRPr="00203EB0">
        <w:rPr>
          <w:rFonts w:cs="Times New Roman"/>
          <w:noProof/>
        </w:rPr>
        <w:t>(Bates et al., 2015)</w:t>
      </w:r>
      <w:r w:rsidRPr="00203EB0">
        <w:rPr>
          <w:rFonts w:cs="Times New Roman"/>
        </w:rPr>
        <w:fldChar w:fldCharType="end"/>
      </w:r>
      <w:r w:rsidRPr="00203EB0">
        <w:rPr>
          <w:rFonts w:cs="Times New Roman"/>
        </w:rPr>
        <w:t xml:space="preserve">. Nitrous oxide flux data were transformed using the Box-Cox method to meet assumption of normality, which was tested using the Shapiro-Wilk test. The model included N fertilization rate, cover cropping, tillage, and sampling time-point as fixed effects, along with their interactions. Block was included as a random effect. When main effects or interactions were statistically significant at α = 0.05, pairwise comparisons were performed using estimated marginal means from the </w:t>
      </w:r>
      <w:proofErr w:type="spellStart"/>
      <w:r w:rsidRPr="00203EB0">
        <w:rPr>
          <w:rFonts w:cs="Times New Roman"/>
          <w:i/>
          <w:iCs/>
        </w:rPr>
        <w:t>emmeans</w:t>
      </w:r>
      <w:proofErr w:type="spellEnd"/>
      <w:r w:rsidRPr="00203EB0">
        <w:rPr>
          <w:rFonts w:cs="Times New Roman"/>
        </w:rPr>
        <w:t xml:space="preserve"> package in R </w:t>
      </w:r>
      <w:r w:rsidRPr="00203EB0">
        <w:rPr>
          <w:rFonts w:cs="Times New Roman"/>
        </w:rPr>
        <w:fldChar w:fldCharType="begin" w:fldLock="1"/>
      </w:r>
      <w:r w:rsidRPr="00203EB0">
        <w:rPr>
          <w:rFonts w:cs="Times New Roman"/>
        </w:rPr>
        <w:instrText>ADDIN CSL_CITATION {"citationItems":[{"id":"ITEM-1","itemData":{"author":[{"dropping-particle":"","family":"Lenth","given":"Russell","non-dropping-particle":"","parse-names":false,"suffix":""}],"id":"ITEM-1","issued":{"date-parts":[["2025"]]},"title":"emmeans: Estimated marginal means, aka least-squares means","type":"article-journal"},"uris":["http://www.mendeley.com/documents/?uuid=16b63764-a953-47fc-9e82-174d3fe4476a"]}],"mendeley":{"formattedCitation":"(Lenth, 2025)","plainTextFormattedCitation":"(Lenth, 2025)","previouslyFormattedCitation":"(Lenth, 2025)"},"properties":{"noteIndex":0},"schema":"https://github.com/citation-style-language/schema/raw/master/csl-citation.json"}</w:instrText>
      </w:r>
      <w:r w:rsidRPr="00203EB0">
        <w:rPr>
          <w:rFonts w:cs="Times New Roman"/>
        </w:rPr>
        <w:fldChar w:fldCharType="separate"/>
      </w:r>
      <w:r w:rsidRPr="00203EB0">
        <w:rPr>
          <w:rFonts w:cs="Times New Roman"/>
          <w:noProof/>
        </w:rPr>
        <w:t>(Lenth, 2025)</w:t>
      </w:r>
      <w:r w:rsidRPr="00203EB0">
        <w:rPr>
          <w:rFonts w:cs="Times New Roman"/>
        </w:rPr>
        <w:fldChar w:fldCharType="end"/>
      </w:r>
      <w:r w:rsidRPr="00203EB0">
        <w:rPr>
          <w:rFonts w:cs="Times New Roman"/>
        </w:rPr>
        <w:t>, followed by Tukey’s HSD test to determine differences between groups.</w:t>
      </w:r>
    </w:p>
    <w:p w14:paraId="5CC2AE3E" w14:textId="48230A4E" w:rsidR="004D2011" w:rsidRPr="00203EB0" w:rsidRDefault="004D2011" w:rsidP="004D2011">
      <w:pPr>
        <w:spacing w:line="480" w:lineRule="auto"/>
        <w:rPr>
          <w:rFonts w:cs="Times New Roman"/>
        </w:rPr>
      </w:pPr>
      <w:r w:rsidRPr="00203EB0">
        <w:rPr>
          <w:rFonts w:cs="Times New Roman"/>
        </w:rPr>
        <w:t>To examine the influence of long-term management on microbial community structure, a four-way factorial permutational multivariate analysis of variance (P</w:t>
      </w:r>
      <w:r w:rsidR="002B12B0" w:rsidRPr="00203EB0">
        <w:rPr>
          <w:rFonts w:cs="Times New Roman"/>
        </w:rPr>
        <w:t>ER</w:t>
      </w:r>
      <w:r w:rsidRPr="00203EB0">
        <w:rPr>
          <w:rFonts w:cs="Times New Roman"/>
        </w:rPr>
        <w:t xml:space="preserve">MANOVA, </w:t>
      </w:r>
      <w:r w:rsidRPr="00203EB0">
        <w:rPr>
          <w:rFonts w:cs="Times New Roman"/>
        </w:rPr>
        <w:fldChar w:fldCharType="begin" w:fldLock="1"/>
      </w:r>
      <w:r w:rsidRPr="00203EB0">
        <w:rPr>
          <w:rFonts w:cs="Times New Roman"/>
        </w:rPr>
        <w:instrText>ADDIN CSL_CITATION {"citationItems":[{"id":"ITEM-1","itemData":{"DOI":"10.1002/9781118445112.stat07841","ISBN":"9781118445112","abstract":"PERMANOVA is a computer program for testing the simultaneous response of one or more variables to one or more factors in an ANOVA experimental design on the basis of any distance measure, using permutation methods. These notes for users assume knowledge of multi-factorial ANOVA, which has the same basic logic in multivariate as in univariate analysis, and an understanding of what it means to test a multivariate hypothesis. A more complete description of the method is given in Anderson (2001a) and McArdle &amp; Anderson (2001). The program includes: choice of appropriate transformation and/or standardization of the data; choice of 19 distance (or dissimilarity) measures to use as the basis of the analysis; option to rank the distances in the distance matrix before the analysis; analysis and partitioning of the total sum of squares according to the full model, including appropriate treatment of factors that are fixed or random, crossed (orthogonal) or nested (hierarchical), and all interaction terms; correct calculation of an appropriate distance-based pseudo F-statistic for each term in the model, based on expected mean squares as in univariate ANOVA (Winer et al. 1991, Searle et al.1992); correct permutation procedures to obtain P-values for each term in the model, using the correct permutable units (Anderson &amp; ter Braak 2003); choice of permutation method: raw data units or residuals under either a reduced or a full model (Anderson 2001b, Anderson &amp; Legendre 1999, Anderson &amp; Robinson 2001); correct P-values also obtained through Monte Carlo random draws from the asymptotic permutation distribution (Anderson &amp; Robinson 2003); option to include one or more covariables (i.e., to perform ANCOVA or MANCOVA); pair-wise a posteriori comparisons of levels for single factors, including within individual levels of other factors in the case of significant interactions and the use of correct permutable units in each case.","author":[{"dropping-particle":"","family":"Anderson","given":"Marti J.","non-dropping-particle":"","parse-names":false,"suffix":""}],"container-title":"Wiley StatsRef: Statistics Reference Online","id":"ITEM-1","issued":{"date-parts":[["2017"]]},"page":"1-15","title":"Permutational multivariate analysis of variance (PERMANOVA)","type":"article-journal"},"uris":["http://www.mendeley.com/documents/?uuid=5a6ed788-6cd8-4c16-83f8-ea2e82832ca3"]}],"mendeley":{"formattedCitation":"(Anderson, 2017)","manualFormatting":"Anderson, 2017)","plainTextFormattedCitation":"(Anderson, 2017)","previouslyFormattedCitation":"(Anderson, 2017)"},"properties":{"noteIndex":0},"schema":"https://github.com/citation-style-language/schema/raw/master/csl-citation.json"}</w:instrText>
      </w:r>
      <w:r w:rsidRPr="00203EB0">
        <w:rPr>
          <w:rFonts w:cs="Times New Roman"/>
        </w:rPr>
        <w:fldChar w:fldCharType="separate"/>
      </w:r>
      <w:r w:rsidRPr="00203EB0">
        <w:rPr>
          <w:rFonts w:cs="Times New Roman"/>
          <w:noProof/>
        </w:rPr>
        <w:t>Anderson, 2017)</w:t>
      </w:r>
      <w:r w:rsidRPr="00203EB0">
        <w:rPr>
          <w:rFonts w:cs="Times New Roman"/>
        </w:rPr>
        <w:fldChar w:fldCharType="end"/>
      </w:r>
      <w:r w:rsidRPr="00203EB0">
        <w:rPr>
          <w:rFonts w:cs="Times New Roman"/>
        </w:rPr>
        <w:t xml:space="preserve"> was conducted using the </w:t>
      </w:r>
      <w:r w:rsidRPr="00203EB0">
        <w:rPr>
          <w:rFonts w:cs="Times New Roman"/>
          <w:i/>
        </w:rPr>
        <w:t>adonis2</w:t>
      </w:r>
      <w:r w:rsidRPr="00203EB0">
        <w:rPr>
          <w:rFonts w:cs="Times New Roman"/>
        </w:rPr>
        <w:t xml:space="preserve"> function from the </w:t>
      </w:r>
      <w:r w:rsidRPr="00203EB0">
        <w:rPr>
          <w:rFonts w:cs="Times New Roman"/>
          <w:i/>
        </w:rPr>
        <w:t xml:space="preserve">vegan </w:t>
      </w:r>
      <w:r w:rsidRPr="00203EB0">
        <w:rPr>
          <w:rFonts w:cs="Times New Roman"/>
        </w:rPr>
        <w:t xml:space="preserve">package in R </w:t>
      </w:r>
      <w:r w:rsidRPr="00203EB0">
        <w:rPr>
          <w:rFonts w:cs="Times New Roman"/>
        </w:rPr>
        <w:fldChar w:fldCharType="begin" w:fldLock="1"/>
      </w:r>
      <w:r w:rsidR="004179E3" w:rsidRPr="00203EB0">
        <w:rPr>
          <w:rFonts w:cs="Times New Roman"/>
        </w:rPr>
        <w:instrText>ADDIN CSL_CITATION {"citationItems":[{"id":"ITEM-1","itemData":{"DOI":"10.32614/CRAN.package.vegan","author":[{"dropping-particle":"","family":"Oksanen","given":"J","non-dropping-particle":"","parse-names":false,"suffix":""},{"dropping-particle":"","family":"Simpson","given":"G","non-dropping-particle":"","parse-names":false,"suffix":""},{"dropping-particle":"","family":"Blanchet","given":"F","non-dropping-particle":"","parse-names":false,"suffix":""},{"dropping-particle":"","family":"Kindt","given":"R","non-dropping-particle":"","parse-names":false,"suffix":""},{"dropping-particle":"","family":"Legendre","given":"P","non-dropping-particle":"","parse-names":false,"suffix":""},{"dropping-particle":"","family":"Minchin","given":"P","non-dropping-particle":"","parse-names":false,"suffix":""}],"id":"ITEM-1","issued":{"date-parts":[["2025"]]},"title":"vegan: Community ecology package","type":"article-journal"},"uris":["http://www.mendeley.com/documents/?uuid=518cd463-092e-4818-9a31-f18c679e8285"]}],"mendeley":{"formattedCitation":"(Oksanen et al., 2025)","plainTextFormattedCitation":"(Oksanen et al., 2025)","previouslyFormattedCitation":"(Oksanen et al., 2025)"},"properties":{"noteIndex":0},"schema":"https://github.com/citation-style-language/schema/raw/master/csl-citation.json"}</w:instrText>
      </w:r>
      <w:r w:rsidRPr="00203EB0">
        <w:rPr>
          <w:rFonts w:cs="Times New Roman"/>
        </w:rPr>
        <w:fldChar w:fldCharType="separate"/>
      </w:r>
      <w:r w:rsidRPr="00203EB0">
        <w:rPr>
          <w:rFonts w:cs="Times New Roman"/>
          <w:noProof/>
        </w:rPr>
        <w:t>(Oksanen et al., 2025)</w:t>
      </w:r>
      <w:r w:rsidRPr="00203EB0">
        <w:rPr>
          <w:rFonts w:cs="Times New Roman"/>
        </w:rPr>
        <w:fldChar w:fldCharType="end"/>
      </w:r>
      <w:r w:rsidRPr="00203EB0">
        <w:rPr>
          <w:rFonts w:cs="Times New Roman"/>
        </w:rPr>
        <w:t>, with 999 permutations. Effect sizes for each factor were calculated as partial omega squared (</w:t>
      </w:r>
      <m:oMath>
        <m:sSubSup>
          <m:sSubSupPr>
            <m:ctrlPr>
              <w:rPr>
                <w:rFonts w:ascii="Cambria Math" w:hAnsi="Cambria Math" w:cs="Times New Roman"/>
                <w:i/>
              </w:rPr>
            </m:ctrlPr>
          </m:sSubSupPr>
          <m:e>
            <m:r>
              <w:rPr>
                <w:rFonts w:ascii="Cambria Math" w:hAnsi="Cambria Math" w:cs="Times New Roman"/>
              </w:rPr>
              <m:t>ω</m:t>
            </m:r>
          </m:e>
          <m:sub>
            <m:r>
              <w:rPr>
                <w:rFonts w:ascii="Cambria Math" w:hAnsi="Cambria Math" w:cs="Times New Roman"/>
              </w:rPr>
              <m:t>p</m:t>
            </m:r>
          </m:sub>
          <m:sup>
            <m:r>
              <w:rPr>
                <w:rFonts w:ascii="Cambria Math" w:hAnsi="Cambria Math" w:cs="Times New Roman"/>
              </w:rPr>
              <m:t>2</m:t>
            </m:r>
          </m:sup>
        </m:sSubSup>
      </m:oMath>
      <w:r w:rsidRPr="00203EB0">
        <w:rPr>
          <w:rFonts w:cs="Times New Roman"/>
        </w:rPr>
        <w:t xml:space="preserve">), following </w:t>
      </w:r>
      <w:r w:rsidRPr="00203EB0">
        <w:rPr>
          <w:rFonts w:cs="Times New Roman"/>
        </w:rPr>
        <w:fldChar w:fldCharType="begin" w:fldLock="1"/>
      </w:r>
      <w:r w:rsidRPr="00203EB0">
        <w:rPr>
          <w:rFonts w:cs="Times New Roman"/>
        </w:rPr>
        <w:instrText>ADDIN CSL_CITATION {"citationItems":[{"id":"ITEM-1","itemData":{"DOI":"10.4324/9780203807002","ISBN":"9780415879675","abstract":"We need to make substantial changes to how we conduct research. First, in response to heightened concern that our published research literature is incomplete and untrustworthy, we need new requirements to ensure research integrity. These include prespecification of studies whenever possible, avoidance of selection and other inappropriate data-analytic practices, complete reporting, and encouragement of replication. Second, in response to renewed recognition of the severe flaws of null-hypothesis significance testing (NHST), we need to shift from reliance on NHST to estimation and other preferred techniques. The new statistics refers to recommended practices, including estimation based on effect sizes, confidence intervals, and meta-analysis. The techniques are not new, but adopting them widely would be new for many researchers, as well as highly beneficial. This article explains why the new statistics are important and offers guidance for their use. It describes an eight-step new-statistics strategy for r...","author":[{"dropping-particle":"","family":"Cumming","given":"Geoff","non-dropping-particle":"","parse-names":false,"suffix":""}],"container-title":"Understanding The New Statistics","id":"ITEM-1","issued":{"date-parts":[["2013"]]},"number-of-pages":"1-522","publisher":"Taylor and Francis.","title":"Understanding the new statistics: effect sizes, confidence intervals, and meta-analysis.","type":"book"},"uris":["http://www.mendeley.com/documents/?uuid=3370ac63-b616-4840-b651-c34dba98d4af"]}],"mendeley":{"formattedCitation":"(Cumming, 2013)","manualFormatting":"Cumming (2013)","plainTextFormattedCitation":"(Cumming, 2013)","previouslyFormattedCitation":"(Cumming, 2013)"},"properties":{"noteIndex":0},"schema":"https://github.com/citation-style-language/schema/raw/master/csl-citation.json"}</w:instrText>
      </w:r>
      <w:r w:rsidRPr="00203EB0">
        <w:rPr>
          <w:rFonts w:cs="Times New Roman"/>
        </w:rPr>
        <w:fldChar w:fldCharType="separate"/>
      </w:r>
      <w:r w:rsidRPr="00203EB0">
        <w:rPr>
          <w:rFonts w:cs="Times New Roman"/>
          <w:noProof/>
        </w:rPr>
        <w:t>Cumming (2013)</w:t>
      </w:r>
      <w:r w:rsidRPr="00203EB0">
        <w:rPr>
          <w:rFonts w:cs="Times New Roman"/>
        </w:rPr>
        <w:fldChar w:fldCharType="end"/>
      </w:r>
      <w:r w:rsidRPr="00203EB0">
        <w:rPr>
          <w:rFonts w:cs="Times New Roman"/>
        </w:rPr>
        <w:t xml:space="preserve">. When factors were statistically </w:t>
      </w:r>
      <w:r w:rsidRPr="00203EB0">
        <w:rPr>
          <w:rFonts w:cs="Times New Roman"/>
        </w:rPr>
        <w:lastRenderedPageBreak/>
        <w:t xml:space="preserve">significant, effect sizes were interpreted based on thresholds proposed by </w:t>
      </w:r>
      <w:r w:rsidRPr="00203EB0">
        <w:rPr>
          <w:rFonts w:cs="Times New Roman"/>
        </w:rPr>
        <w:fldChar w:fldCharType="begin" w:fldLock="1"/>
      </w:r>
      <w:r w:rsidRPr="00203EB0">
        <w:rPr>
          <w:rFonts w:cs="Times New Roman"/>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approach.","author":[{"dropping-particle":"","family":"Cohen","given":"Jacob","non-dropping-particle":"","parse-names":false,"suffix":""}],"container-title":"Sustainability (Switzerland)","edition":"Second Edi","id":"ITEM-1","issue":"1","issued":{"date-parts":[["1988"]]},"number-of-pages":"1-14","publisher":"Lawrence erlbaum associates","publisher-place":"New York, NY, USA.","title":"Statistical power analysis for the behavioral sciences","type":"book","volume":"11"},"uris":["http://www.mendeley.com/documents/?uuid=df6efd32-3b72-4cd1-9c2e-609109009595"]}],"mendeley":{"formattedCitation":"(Cohen, 1988)","manualFormatting":"Cohen (1988)","plainTextFormattedCitation":"(Cohen, 1988)","previouslyFormattedCitation":"(Cohen, 1988)"},"properties":{"noteIndex":0},"schema":"https://github.com/citation-style-language/schema/raw/master/csl-citation.json"}</w:instrText>
      </w:r>
      <w:r w:rsidRPr="00203EB0">
        <w:rPr>
          <w:rFonts w:cs="Times New Roman"/>
        </w:rPr>
        <w:fldChar w:fldCharType="separate"/>
      </w:r>
      <w:r w:rsidRPr="00203EB0">
        <w:rPr>
          <w:rFonts w:cs="Times New Roman"/>
          <w:noProof/>
        </w:rPr>
        <w:t>Cohen (1988)</w:t>
      </w:r>
      <w:r w:rsidRPr="00203EB0">
        <w:rPr>
          <w:rFonts w:cs="Times New Roman"/>
        </w:rPr>
        <w:fldChar w:fldCharType="end"/>
      </w:r>
      <w:r w:rsidRPr="00203EB0">
        <w:rPr>
          <w:rFonts w:cs="Times New Roman"/>
        </w:rPr>
        <w:t xml:space="preserve">: </w:t>
      </w:r>
      <m:oMath>
        <m:sSubSup>
          <m:sSubSupPr>
            <m:ctrlPr>
              <w:rPr>
                <w:rFonts w:ascii="Cambria Math" w:hAnsi="Cambria Math" w:cs="Times New Roman"/>
                <w:i/>
              </w:rPr>
            </m:ctrlPr>
          </m:sSubSupPr>
          <m:e>
            <m:r>
              <w:rPr>
                <w:rFonts w:ascii="Cambria Math" w:hAnsi="Cambria Math" w:cs="Times New Roman"/>
              </w:rPr>
              <m:t>ω</m:t>
            </m:r>
          </m:e>
          <m:sub>
            <m:r>
              <w:rPr>
                <w:rFonts w:ascii="Cambria Math" w:hAnsi="Cambria Math" w:cs="Times New Roman"/>
              </w:rPr>
              <m:t>p</m:t>
            </m:r>
          </m:sub>
          <m:sup>
            <m:r>
              <w:rPr>
                <w:rFonts w:ascii="Cambria Math" w:hAnsi="Cambria Math" w:cs="Times New Roman"/>
              </w:rPr>
              <m:t>2</m:t>
            </m:r>
          </m:sup>
        </m:sSubSup>
      </m:oMath>
      <w:r w:rsidRPr="00203EB0">
        <w:rPr>
          <w:rFonts w:eastAsiaTheme="minorEastAsia" w:cs="Times New Roman"/>
        </w:rPr>
        <w:t xml:space="preserve"> = 0.01 (small effect), </w:t>
      </w:r>
      <m:oMath>
        <m:sSubSup>
          <m:sSubSupPr>
            <m:ctrlPr>
              <w:rPr>
                <w:rFonts w:ascii="Cambria Math" w:hAnsi="Cambria Math" w:cs="Times New Roman"/>
                <w:i/>
              </w:rPr>
            </m:ctrlPr>
          </m:sSubSupPr>
          <m:e>
            <m:r>
              <w:rPr>
                <w:rFonts w:ascii="Cambria Math" w:hAnsi="Cambria Math" w:cs="Times New Roman"/>
              </w:rPr>
              <m:t>ω</m:t>
            </m:r>
          </m:e>
          <m:sub>
            <m:r>
              <w:rPr>
                <w:rFonts w:ascii="Cambria Math" w:hAnsi="Cambria Math" w:cs="Times New Roman"/>
              </w:rPr>
              <m:t>p</m:t>
            </m:r>
          </m:sub>
          <m:sup>
            <m:r>
              <w:rPr>
                <w:rFonts w:ascii="Cambria Math" w:hAnsi="Cambria Math" w:cs="Times New Roman"/>
              </w:rPr>
              <m:t>2</m:t>
            </m:r>
          </m:sup>
        </m:sSubSup>
      </m:oMath>
      <w:r w:rsidRPr="00203EB0">
        <w:rPr>
          <w:rFonts w:eastAsiaTheme="minorEastAsia" w:cs="Times New Roman"/>
        </w:rPr>
        <w:t xml:space="preserve"> = 0.06 (medium effect), and </w:t>
      </w:r>
      <m:oMath>
        <m:sSubSup>
          <m:sSubSupPr>
            <m:ctrlPr>
              <w:rPr>
                <w:rFonts w:ascii="Cambria Math" w:hAnsi="Cambria Math" w:cs="Times New Roman"/>
                <w:i/>
              </w:rPr>
            </m:ctrlPr>
          </m:sSubSupPr>
          <m:e>
            <m:r>
              <w:rPr>
                <w:rFonts w:ascii="Cambria Math" w:hAnsi="Cambria Math" w:cs="Times New Roman"/>
              </w:rPr>
              <m:t>ω</m:t>
            </m:r>
          </m:e>
          <m:sub>
            <m:r>
              <w:rPr>
                <w:rFonts w:ascii="Cambria Math" w:hAnsi="Cambria Math" w:cs="Times New Roman"/>
              </w:rPr>
              <m:t>p</m:t>
            </m:r>
          </m:sub>
          <m:sup>
            <m:r>
              <w:rPr>
                <w:rFonts w:ascii="Cambria Math" w:hAnsi="Cambria Math" w:cs="Times New Roman"/>
              </w:rPr>
              <m:t>2</m:t>
            </m:r>
          </m:sup>
        </m:sSubSup>
      </m:oMath>
      <w:r w:rsidRPr="00203EB0">
        <w:rPr>
          <w:rFonts w:eastAsiaTheme="minorEastAsia" w:cs="Times New Roman"/>
        </w:rPr>
        <w:t xml:space="preserve"> = 0.14 (large effect)</w:t>
      </w:r>
      <w:r w:rsidRPr="00203EB0">
        <w:rPr>
          <w:rFonts w:cs="Times New Roman"/>
        </w:rPr>
        <w:t>. To assess the influence of soil biochemical variables on microbial community composition, a distance-based redundancy analysis (</w:t>
      </w:r>
      <w:proofErr w:type="spellStart"/>
      <w:r w:rsidRPr="00203EB0">
        <w:rPr>
          <w:rFonts w:cs="Times New Roman"/>
        </w:rPr>
        <w:t>db</w:t>
      </w:r>
      <w:proofErr w:type="spellEnd"/>
      <w:r w:rsidRPr="00203EB0">
        <w:rPr>
          <w:rFonts w:cs="Times New Roman"/>
        </w:rPr>
        <w:t>-RDA) was performed using Bray-</w:t>
      </w:r>
      <w:proofErr w:type="gramStart"/>
      <w:r w:rsidRPr="00203EB0">
        <w:rPr>
          <w:rFonts w:cs="Times New Roman"/>
        </w:rPr>
        <w:t>Curtis</w:t>
      </w:r>
      <w:proofErr w:type="gramEnd"/>
      <w:r w:rsidRPr="00203EB0">
        <w:rPr>
          <w:rFonts w:cs="Times New Roman"/>
        </w:rPr>
        <w:t xml:space="preserve"> dissimilarity matrices with the </w:t>
      </w:r>
      <w:proofErr w:type="spellStart"/>
      <w:r w:rsidRPr="00203EB0">
        <w:rPr>
          <w:rFonts w:cs="Times New Roman"/>
          <w:i/>
        </w:rPr>
        <w:t>capscale</w:t>
      </w:r>
      <w:proofErr w:type="spellEnd"/>
      <w:r w:rsidRPr="00203EB0">
        <w:rPr>
          <w:rFonts w:cs="Times New Roman"/>
        </w:rPr>
        <w:t xml:space="preserve"> function from the </w:t>
      </w:r>
      <w:r w:rsidRPr="00203EB0">
        <w:rPr>
          <w:rFonts w:cs="Times New Roman"/>
          <w:i/>
        </w:rPr>
        <w:t xml:space="preserve">vegan </w:t>
      </w:r>
      <w:r w:rsidRPr="00203EB0">
        <w:rPr>
          <w:rFonts w:cs="Times New Roman"/>
        </w:rPr>
        <w:t xml:space="preserve">package in R. Analyses were conducted separately for each significant management factor with sampling time-point and block included as conditioning variables. Explanatory biochemical variables with </w:t>
      </w:r>
      <w:r w:rsidRPr="00203EB0">
        <w:rPr>
          <w:rFonts w:eastAsiaTheme="minorEastAsia" w:cs="Times New Roman"/>
        </w:rPr>
        <w:t xml:space="preserve">permutation tests </w:t>
      </w:r>
      <w:r w:rsidRPr="00203EB0">
        <w:rPr>
          <w:rFonts w:cs="Times New Roman"/>
        </w:rPr>
        <w:t xml:space="preserve">p-values </w:t>
      </w:r>
      <m:oMath>
        <m:r>
          <w:rPr>
            <w:rFonts w:ascii="Cambria Math" w:hAnsi="Cambria Math" w:cs="Times New Roman"/>
          </w:rPr>
          <m:t>≤</m:t>
        </m:r>
      </m:oMath>
      <w:r w:rsidRPr="00203EB0">
        <w:rPr>
          <w:rFonts w:eastAsiaTheme="minorEastAsia" w:cs="Times New Roman"/>
        </w:rPr>
        <w:t xml:space="preserve"> 0.10 (</w:t>
      </w:r>
      <w:proofErr w:type="spellStart"/>
      <w:r w:rsidRPr="00203EB0">
        <w:rPr>
          <w:rFonts w:eastAsiaTheme="minorEastAsia" w:cs="Times New Roman"/>
          <w:i/>
        </w:rPr>
        <w:t>anova.cca</w:t>
      </w:r>
      <w:proofErr w:type="spellEnd"/>
      <w:r w:rsidRPr="00203EB0">
        <w:rPr>
          <w:rFonts w:eastAsiaTheme="minorEastAsia" w:cs="Times New Roman"/>
          <w:i/>
        </w:rPr>
        <w:t xml:space="preserve"> </w:t>
      </w:r>
      <w:r w:rsidRPr="00203EB0">
        <w:rPr>
          <w:rFonts w:eastAsiaTheme="minorEastAsia" w:cs="Times New Roman"/>
        </w:rPr>
        <w:t>function) were retained for final visualization</w:t>
      </w:r>
      <w:r w:rsidRPr="00203EB0">
        <w:rPr>
          <w:rFonts w:cs="Times New Roman"/>
        </w:rPr>
        <w:t xml:space="preserve">. </w:t>
      </w:r>
    </w:p>
    <w:p w14:paraId="33A362E8" w14:textId="77777777" w:rsidR="004D2011" w:rsidRPr="00203EB0" w:rsidRDefault="004D2011" w:rsidP="004D2011">
      <w:pPr>
        <w:autoSpaceDE w:val="0"/>
        <w:autoSpaceDN w:val="0"/>
        <w:adjustRightInd w:val="0"/>
        <w:spacing w:line="480" w:lineRule="auto"/>
        <w:rPr>
          <w:rFonts w:eastAsiaTheme="minorEastAsia" w:cs="Times New Roman"/>
        </w:rPr>
      </w:pPr>
      <w:r w:rsidRPr="00203EB0">
        <w:rPr>
          <w:rFonts w:cs="Times New Roman"/>
        </w:rPr>
        <w:t>To examine the relationship between microbial taxa and N</w:t>
      </w:r>
      <w:r w:rsidRPr="00203EB0">
        <w:rPr>
          <w:rFonts w:cs="Times New Roman"/>
          <w:vertAlign w:val="subscript"/>
        </w:rPr>
        <w:t>2</w:t>
      </w:r>
      <w:r w:rsidRPr="00203EB0">
        <w:rPr>
          <w:rFonts w:cs="Times New Roman"/>
        </w:rPr>
        <w:t>O emissions, Spearman’s correlation coefficients were calculated between N</w:t>
      </w:r>
      <w:r w:rsidRPr="00203EB0">
        <w:rPr>
          <w:rFonts w:cs="Times New Roman"/>
          <w:vertAlign w:val="subscript"/>
        </w:rPr>
        <w:t>2</w:t>
      </w:r>
      <w:r w:rsidRPr="00203EB0">
        <w:rPr>
          <w:rFonts w:cs="Times New Roman"/>
        </w:rPr>
        <w:t xml:space="preserve">O fluxes and the relative abundance of each taxon. Although correlations were computed at the ASV level, results are presented using the lowest available taxonomic classification for each ASV to aid interpretability. Correlations were calculated using the </w:t>
      </w:r>
      <w:proofErr w:type="spellStart"/>
      <w:r w:rsidRPr="00203EB0">
        <w:rPr>
          <w:rFonts w:cs="Times New Roman"/>
          <w:i/>
        </w:rPr>
        <w:t>cor</w:t>
      </w:r>
      <w:proofErr w:type="spellEnd"/>
      <w:r w:rsidRPr="00203EB0">
        <w:rPr>
          <w:rFonts w:cs="Times New Roman"/>
        </w:rPr>
        <w:t xml:space="preserve"> and </w:t>
      </w:r>
      <w:proofErr w:type="spellStart"/>
      <w:r w:rsidRPr="00203EB0">
        <w:rPr>
          <w:rFonts w:cs="Times New Roman"/>
          <w:i/>
        </w:rPr>
        <w:t>cor.test</w:t>
      </w:r>
      <w:proofErr w:type="spellEnd"/>
      <w:r w:rsidRPr="00203EB0">
        <w:rPr>
          <w:rFonts w:cs="Times New Roman"/>
        </w:rPr>
        <w:t xml:space="preserve"> functions from the </w:t>
      </w:r>
      <w:r w:rsidRPr="00203EB0">
        <w:rPr>
          <w:rFonts w:cs="Times New Roman"/>
          <w:i/>
        </w:rPr>
        <w:t>stats</w:t>
      </w:r>
      <w:r w:rsidRPr="00203EB0">
        <w:rPr>
          <w:rFonts w:cs="Times New Roman"/>
        </w:rPr>
        <w:t xml:space="preserve"> package in R </w:t>
      </w:r>
      <w:r w:rsidRPr="00203EB0">
        <w:rPr>
          <w:rFonts w:cs="Times New Roman"/>
        </w:rPr>
        <w:fldChar w:fldCharType="begin" w:fldLock="1"/>
      </w:r>
      <w:r w:rsidRPr="00203EB0">
        <w:rPr>
          <w:rFonts w:cs="Times New Roman"/>
        </w:rPr>
        <w:instrText>ADDIN CSL_CITATION {"citationItems":[{"id":"ITEM-1","itemData":{"DOI":"10.32614/CRAN.package.STAT","author":[{"dropping-particle":"","family":"Bolar","given":"Kartikeya","non-dropping-particle":"","parse-names":false,"suffix":""}],"id":"ITEM-1","issued":{"date-parts":[["2019"]]},"title":"STAT: Interactive document for working with basic statistical analysis","type":"article-journal"},"uris":["http://www.mendeley.com/documents/?uuid=529c87da-6382-4b2d-85d5-a10ccace5394"]}],"mendeley":{"formattedCitation":"(Bolar, 2019)","plainTextFormattedCitation":"(Bolar, 2019)","previouslyFormattedCitation":"(Bolar, 2019)"},"properties":{"noteIndex":0},"schema":"https://github.com/citation-style-language/schema/raw/master/csl-citation.json"}</w:instrText>
      </w:r>
      <w:r w:rsidRPr="00203EB0">
        <w:rPr>
          <w:rFonts w:cs="Times New Roman"/>
        </w:rPr>
        <w:fldChar w:fldCharType="separate"/>
      </w:r>
      <w:r w:rsidRPr="00203EB0">
        <w:rPr>
          <w:rFonts w:cs="Times New Roman"/>
          <w:noProof/>
        </w:rPr>
        <w:t>(Bolar, 2019)</w:t>
      </w:r>
      <w:r w:rsidRPr="00203EB0">
        <w:rPr>
          <w:rFonts w:cs="Times New Roman"/>
        </w:rPr>
        <w:fldChar w:fldCharType="end"/>
      </w:r>
      <w:r w:rsidRPr="00203EB0">
        <w:rPr>
          <w:rFonts w:cs="Times New Roman"/>
        </w:rPr>
        <w:t xml:space="preserve">, following methods adapted from </w:t>
      </w:r>
      <w:r w:rsidRPr="00203EB0">
        <w:rPr>
          <w:rFonts w:cs="Times New Roman"/>
        </w:rPr>
        <w:fldChar w:fldCharType="begin" w:fldLock="1"/>
      </w:r>
      <w:r w:rsidRPr="00203EB0">
        <w:rPr>
          <w:rFonts w:cs="Times New Roman"/>
        </w:rPr>
        <w:instrText>ADDIN CSL_CITATION {"citationItems":[{"id":"ITEM-1","itemData":{"DOI":"10.3389/fmicb.2022.1033631","ISSN":"1664302X","abstract":"Plants are colonized by numerous microorganisms serving important symbiotic functions that are vital to plant growth and success. Understanding and harnessing these interactions will be useful in both managed and natural ecosystems faced with global change, but it is still unclear how variation in environmental conditions and soils influence the trajectory of these interactions. In this study, we examine how nitrogen addition alters plant-fungal interactions within two species of Populus - Populus deltoides and P. trichocarpa. In this experiment, we manipulated plant host, starting soil (native vs. away for each tree species), and nitrogen addition in a fully factorial replicated design. After ~10 weeks of growth, we destructively harvested the plants and characterized plant growth factors and the soil and root endosphere fungal communities using targeted amplicon sequencing of the ITS2 gene region. Overall, we found nitrogen addition altered plant growth factors, e.g., plant height, chlorophyll density, and plant N content. Interestingly, nitrogen addition resulted in a lower fungal alpha diversity in soils but not plant roots. Further, there was an interactive effect of tree species, soil origin, and nitrogen addition on soil fungal community composition. Starting soils collected from Oregon and West Virginia were dominated by the ectomycorrhizal fungi Inocybe (55.8% relative abundance), but interestingly when P. deltoides was grown in its native West Virginia soil, the roots selected for a high abundance of the arbuscular mycorrhizal fungi, Rhizophagus. These results highlight the importance of soil origin and plant species on establishing plant-fungal interactions.","author":[{"dropping-particle":"","family":"Carrell","given":"Alyssa A.","non-dropping-particle":"","parse-names":false,"suffix":""},{"dropping-particle":"","family":"Hicks","given":"Brittany B.","non-dropping-particle":"","parse-names":false,"suffix":""},{"dropping-particle":"","family":"Sidelinger","given":"Emilie","non-dropping-particle":"","parse-names":false,"suffix":""},{"dropping-particle":"","family":"Johnston","given":"Eric R.","non-dropping-particle":"","parse-names":false,"suffix":""},{"dropping-particle":"","family":"Jawdy","given":"Sara S.","non-dropping-particle":"","parse-names":false,"suffix":""},{"dropping-particle":"","family":"Clark","given":"Miranda M.","non-dropping-particle":"","parse-names":false,"suffix":""},{"dropping-particle":"","family":"Klingeman","given":"Dawn M.","non-dropping-particle":"","parse-names":false,"suffix":""},{"dropping-particle":"","family":"Cregger","given":"Melissa A.","non-dropping-particle":"","parse-names":false,"suffix":""}],"container-title":"Frontiers in Microbiology","id":"ITEM-1","issue":"January","issued":{"date-parts":[["2023"]]},"page":"1-13","title":"Nitrogen addition alters soil fungal communities, but root fungal communities are resistant to change","type":"article-journal","volume":"13"},"uris":["http://www.mendeley.com/documents/?uuid=ddc3fd50-3b9f-4a0c-b426-d57831760013"]}],"mendeley":{"formattedCitation":"(Carrell et al., 2023)","manualFormatting":"Carrell et al. (2023)","plainTextFormattedCitation":"(Carrell et al., 2023)","previouslyFormattedCitation":"(Carrell et al., 2023)"},"properties":{"noteIndex":0},"schema":"https://github.com/citation-style-language/schema/raw/master/csl-citation.json"}</w:instrText>
      </w:r>
      <w:r w:rsidRPr="00203EB0">
        <w:rPr>
          <w:rFonts w:cs="Times New Roman"/>
        </w:rPr>
        <w:fldChar w:fldCharType="separate"/>
      </w:r>
      <w:r w:rsidRPr="00203EB0">
        <w:rPr>
          <w:rFonts w:cs="Times New Roman"/>
          <w:noProof/>
        </w:rPr>
        <w:t>Carrell et al. (2023)</w:t>
      </w:r>
      <w:r w:rsidRPr="00203EB0">
        <w:rPr>
          <w:rFonts w:cs="Times New Roman"/>
        </w:rPr>
        <w:fldChar w:fldCharType="end"/>
      </w:r>
      <w:r w:rsidRPr="00203EB0">
        <w:rPr>
          <w:rFonts w:cs="Times New Roman"/>
        </w:rPr>
        <w:t xml:space="preserve"> and </w:t>
      </w:r>
      <w:r w:rsidRPr="00203EB0">
        <w:rPr>
          <w:rFonts w:cs="Times New Roman"/>
        </w:rPr>
        <w:fldChar w:fldCharType="begin" w:fldLock="1"/>
      </w:r>
      <w:r w:rsidRPr="00203EB0">
        <w:rPr>
          <w:rFonts w:cs="Times New Roman"/>
        </w:rPr>
        <w:instrText>ADDIN CSL_CITATION {"citationItems":[{"id":"ITEM-1","itemData":{"DOI":"10.3390/agronomy14071382","ISSN":"20734395","abstract":"The expansion of animal husbandry for food production has necessitated effective management of livestock waste, including cattle manure and poultry litter. Using these byproducts as organic fertilizers in agriculture represents a sustainable approach to their disposal. While these residues offer known benefits for soil health and crop productivity, further studies are needed to explore the effect of different manure microbiota on soil composition. The objective of this study was to address this gap and contribute to the advancement of this area. A randomized block design experiment was set up in the field with three replications per treatment, including the application of cattle manure, poultry litter, and a control treatment without fertilizer. After a 60 day period, the chemical characteristics and bacterial population composition of the soil were analyzed using 16S rRNA gene sequencing. Organic carbon, phosphorus (P), aluminum (Al), and the pH level played pivotal roles in changing the structure of the soil’s bacterial community. Notably, the incorporation of poultry litter induced more pronounced changes in both the chemical properties and bacterial community composition compared with cattle manure. Bacterial groups were enriched in the soils treated with poultry litter, which may indicate enhanced soil fertility. This association may stem from both the chemical alterations resulting from poultry litter application and the direct transfer of microorganisms from this organic fertilizer to the soil.","author":[{"dropping-particle":"","family":"Sant’Anna","given":"Gustavo Souza Lima","non-dropping-particle":"","parse-names":false,"suffix":""},{"dropping-particle":"","family":"Carvalho","given":"Lucas Amoroso Lopes","non-dropping-particle":"de","parse-names":false,"suffix":""},{"dropping-particle":"","family":"Silva","given":"Maura Santos Reis de Andrade","non-dropping-particle":"da","parse-names":false,"suffix":""},{"dropping-particle":"","family":"Gonçalves","given":"João Vitor da Silva","non-dropping-particle":"","parse-names":false,"suffix":""},{"dropping-particle":"","family":"Pinheiro","given":"Daniel Guariz","non-dropping-particle":"","parse-names":false,"suffix":""},{"dropping-particle":"","family":"Zonta","given":"Everaldo","non-dropping-particle":"","parse-names":false,"suffix":""},{"dropping-particle":"","family":"Coelho","given":"Irene da Silva","non-dropping-particle":"","parse-names":false,"suffix":""}],"container-title":"Agronomy","id":"ITEM-1","issue":"7","issued":{"date-parts":[["2024"]]},"page":"1-14","title":"Short-term effects of poultry litter and cattle manure on soil’s chemical properties and bacterial community","type":"article-journal","volume":"14"},"uris":["http://www.mendeley.com/documents/?uuid=d376507b-100a-4b33-81f2-8674b14fbe1e"]}],"mendeley":{"formattedCitation":"(Sant’Anna et al., 2024)","manualFormatting":"Sant’Anna et al. (2024)","plainTextFormattedCitation":"(Sant’Anna et al., 2024)","previouslyFormattedCitation":"(Sant’Anna et al., 2024)"},"properties":{"noteIndex":0},"schema":"https://github.com/citation-style-language/schema/raw/master/csl-citation.json"}</w:instrText>
      </w:r>
      <w:r w:rsidRPr="00203EB0">
        <w:rPr>
          <w:rFonts w:cs="Times New Roman"/>
        </w:rPr>
        <w:fldChar w:fldCharType="separate"/>
      </w:r>
      <w:r w:rsidRPr="00203EB0">
        <w:rPr>
          <w:rFonts w:cs="Times New Roman"/>
          <w:noProof/>
        </w:rPr>
        <w:t>Sant’Anna et al. (2024)</w:t>
      </w:r>
      <w:r w:rsidRPr="00203EB0">
        <w:rPr>
          <w:rFonts w:cs="Times New Roman"/>
        </w:rPr>
        <w:fldChar w:fldCharType="end"/>
      </w:r>
      <w:r w:rsidRPr="00203EB0">
        <w:rPr>
          <w:rFonts w:cs="Times New Roman"/>
        </w:rPr>
        <w:t xml:space="preserve">. Correlations between these </w:t>
      </w:r>
      <w:proofErr w:type="gramStart"/>
      <w:r w:rsidRPr="00203EB0">
        <w:rPr>
          <w:rFonts w:cs="Times New Roman"/>
        </w:rPr>
        <w:t>taxa</w:t>
      </w:r>
      <w:proofErr w:type="gramEnd"/>
      <w:r w:rsidRPr="00203EB0">
        <w:rPr>
          <w:rFonts w:cs="Times New Roman"/>
        </w:rPr>
        <w:t xml:space="preserve"> and soil biogeochemical variables were assessed using the same approach. Taxa showing significant associations with N</w:t>
      </w:r>
      <w:r w:rsidRPr="00203EB0">
        <w:rPr>
          <w:rFonts w:cs="Times New Roman"/>
          <w:vertAlign w:val="subscript"/>
        </w:rPr>
        <w:t>2</w:t>
      </w:r>
      <w:r w:rsidRPr="00203EB0">
        <w:rPr>
          <w:rFonts w:cs="Times New Roman"/>
        </w:rPr>
        <w:t xml:space="preserve">O emissions, defined as Spearman’s correlation coefficient greater than |0.20| with p-value </w:t>
      </w:r>
      <m:oMath>
        <m:r>
          <w:rPr>
            <w:rFonts w:ascii="Cambria Math" w:hAnsi="Cambria Math" w:cs="Times New Roman"/>
          </w:rPr>
          <m:t>≤</m:t>
        </m:r>
      </m:oMath>
      <w:r w:rsidRPr="00203EB0">
        <w:rPr>
          <w:rFonts w:eastAsiaTheme="minorEastAsia" w:cs="Times New Roman"/>
        </w:rPr>
        <w:t xml:space="preserve">  0.05</w:t>
      </w:r>
      <w:r w:rsidRPr="00203EB0">
        <w:rPr>
          <w:rFonts w:cs="Times New Roman"/>
        </w:rPr>
        <w:t xml:space="preserve">, were selected for further visualization. These relationships were displayed in a heatmap generated in Python using the </w:t>
      </w:r>
      <w:r w:rsidRPr="00203EB0">
        <w:rPr>
          <w:rFonts w:cs="Times New Roman"/>
          <w:i/>
        </w:rPr>
        <w:t>seaborn</w:t>
      </w:r>
      <w:r w:rsidRPr="00203EB0">
        <w:rPr>
          <w:rFonts w:cs="Times New Roman"/>
        </w:rPr>
        <w:t xml:space="preserve"> package </w:t>
      </w:r>
      <w:r w:rsidRPr="00203EB0">
        <w:rPr>
          <w:rFonts w:cs="Times New Roman"/>
        </w:rPr>
        <w:fldChar w:fldCharType="begin" w:fldLock="1"/>
      </w:r>
      <w:r w:rsidRPr="00203EB0">
        <w:rPr>
          <w:rFonts w:cs="Times New Roman"/>
        </w:rPr>
        <w:instrText>ADDIN CSL_CITATION {"citationItems":[{"id":"ITEM-1","itemData":{"DOI":"https://doi.org/10.21105/joss.03021.","author":[{"dropping-particle":"","family":"Waskom","given":"M. L.","non-dropping-particle":"","parse-names":false,"suffix":""}],"container-title":"Journal of Open Source Software","id":"ITEM-1","issue":"60","issued":{"date-parts":[["2021"]]},"page":"3021","title":"seaborn: statistical data visualization","type":"article-journal","volume":"6"},"uris":["http://www.mendeley.com/documents/?uuid=52999a60-3e6c-499e-9880-cf7d1b54c74a"]}],"mendeley":{"formattedCitation":"(Waskom, 2021)","plainTextFormattedCitation":"(Waskom, 2021)","previouslyFormattedCitation":"(Waskom, 2021)"},"properties":{"noteIndex":0},"schema":"https://github.com/citation-style-language/schema/raw/master/csl-citation.json"}</w:instrText>
      </w:r>
      <w:r w:rsidRPr="00203EB0">
        <w:rPr>
          <w:rFonts w:cs="Times New Roman"/>
        </w:rPr>
        <w:fldChar w:fldCharType="separate"/>
      </w:r>
      <w:r w:rsidRPr="00203EB0">
        <w:rPr>
          <w:rFonts w:cs="Times New Roman"/>
          <w:noProof/>
        </w:rPr>
        <w:t>(Waskom, 2021)</w:t>
      </w:r>
      <w:r w:rsidRPr="00203EB0">
        <w:rPr>
          <w:rFonts w:cs="Times New Roman"/>
        </w:rPr>
        <w:fldChar w:fldCharType="end"/>
      </w:r>
      <w:r w:rsidRPr="00203EB0">
        <w:rPr>
          <w:rFonts w:cs="Times New Roman"/>
        </w:rPr>
        <w:t xml:space="preserve">. To confirm statistical significance, generalized linear models (GLMs) were applied with relative </w:t>
      </w:r>
      <w:r w:rsidRPr="00203EB0">
        <w:rPr>
          <w:rFonts w:cs="Times New Roman"/>
        </w:rPr>
        <w:lastRenderedPageBreak/>
        <w:t xml:space="preserve">abundances as response variables and individual biochemical variables as predictors. All statistical tests were evaluated at a </w:t>
      </w:r>
      <w:proofErr w:type="gramStart"/>
      <w:r w:rsidRPr="00203EB0">
        <w:rPr>
          <w:rFonts w:cs="Times New Roman"/>
        </w:rPr>
        <w:t>significance</w:t>
      </w:r>
      <w:proofErr w:type="gramEnd"/>
      <w:r w:rsidRPr="00203EB0">
        <w:rPr>
          <w:rFonts w:cs="Times New Roman"/>
        </w:rPr>
        <w:t xml:space="preserve"> threshold of p-value </w:t>
      </w:r>
      <m:oMath>
        <m:r>
          <w:rPr>
            <w:rFonts w:ascii="Cambria Math" w:hAnsi="Cambria Math" w:cs="Times New Roman"/>
          </w:rPr>
          <m:t>≤</m:t>
        </m:r>
      </m:oMath>
      <w:r w:rsidRPr="00203EB0">
        <w:rPr>
          <w:rFonts w:eastAsiaTheme="minorEastAsia" w:cs="Times New Roman"/>
        </w:rPr>
        <w:t xml:space="preserve">  0.05.</w:t>
      </w:r>
    </w:p>
    <w:p w14:paraId="1E1624B7" w14:textId="08BAA63A" w:rsidR="004D2011" w:rsidRPr="00203EB0" w:rsidRDefault="004D2011" w:rsidP="004D2011">
      <w:pPr>
        <w:autoSpaceDE w:val="0"/>
        <w:autoSpaceDN w:val="0"/>
        <w:adjustRightInd w:val="0"/>
        <w:spacing w:line="480" w:lineRule="auto"/>
        <w:rPr>
          <w:rFonts w:cs="Times New Roman"/>
        </w:rPr>
      </w:pPr>
      <w:r w:rsidRPr="00203EB0">
        <w:rPr>
          <w:rFonts w:eastAsiaTheme="minorEastAsia" w:cs="Times New Roman"/>
        </w:rPr>
        <w:t>To identify the top ten microbial taxa most strongly associated with N</w:t>
      </w:r>
      <w:r w:rsidRPr="00203EB0">
        <w:rPr>
          <w:rFonts w:eastAsiaTheme="minorEastAsia" w:cs="Times New Roman"/>
          <w:vertAlign w:val="subscript"/>
        </w:rPr>
        <w:t>2</w:t>
      </w:r>
      <w:r w:rsidRPr="00203EB0">
        <w:rPr>
          <w:rFonts w:eastAsiaTheme="minorEastAsia" w:cs="Times New Roman"/>
        </w:rPr>
        <w:t xml:space="preserve">O emissions, </w:t>
      </w:r>
      <w:r w:rsidRPr="00203EB0">
        <w:rPr>
          <w:rFonts w:cs="Times New Roman"/>
        </w:rPr>
        <w:t xml:space="preserve">Random Forest (RF) regression models were fitted using the </w:t>
      </w:r>
      <w:proofErr w:type="spellStart"/>
      <w:r w:rsidRPr="00203EB0">
        <w:rPr>
          <w:rFonts w:cs="Times New Roman"/>
          <w:i/>
        </w:rPr>
        <w:t>RandomForestRegressor</w:t>
      </w:r>
      <w:proofErr w:type="spellEnd"/>
      <w:r w:rsidRPr="00203EB0">
        <w:rPr>
          <w:rFonts w:cs="Times New Roman"/>
        </w:rPr>
        <w:t xml:space="preserve"> function from the </w:t>
      </w:r>
      <w:proofErr w:type="spellStart"/>
      <w:r w:rsidRPr="00203EB0">
        <w:rPr>
          <w:rFonts w:cs="Times New Roman"/>
          <w:i/>
        </w:rPr>
        <w:t>sklearn.ensemble</w:t>
      </w:r>
      <w:proofErr w:type="spellEnd"/>
      <w:r w:rsidRPr="00203EB0">
        <w:rPr>
          <w:rFonts w:cs="Times New Roman"/>
        </w:rPr>
        <w:t xml:space="preserve"> module in Python </w:t>
      </w:r>
      <w:r w:rsidRPr="00203EB0">
        <w:rPr>
          <w:rFonts w:cs="Times New Roman"/>
        </w:rPr>
        <w:fldChar w:fldCharType="begin" w:fldLock="1"/>
      </w:r>
      <w:r w:rsidR="004179E3" w:rsidRPr="00203EB0">
        <w:rPr>
          <w:rFonts w:cs="Times New Roman"/>
        </w:rPr>
        <w:instrText>ADDIN CSL_CITATION {"citationItems":[{"id":"ITEM-1","itemData":{"DOI":"10.1289/EHP4713","ISSN":"15529924","PMID":"31557052","abstract":"BACKGROUND: Blood chemicals are routinely measured in clinical or preclinical research studies to diagnose diseases, assess risks in epidemiological research, or use metabolomic phenotyping in response to treatments. A vast volume of blood-related literature is available via the PubMed database for data mining. OBJECTIVES: We aimed to generate a comprehensive blood exposome database of endogenous and exogenous chemicals associated with the mammalian circulating system through text mining and database fusion. METHODS: Using NCBI resources, we retrieved PubMed abstracts, PubChem chemical synonyms, and PMC supplementary tables. We then employed text mining and PubChem crowdsourcing to associate phrases relating to blood with PubChem chemicals. False positives were removed by a phrase pattern and a compound exclusion list. RESULTS: A query to identify blood-related publications in the PubMed database yielded 1.1 million papers. Matching a total of 15 million synonyms from 6.5 million relevant PubChem chemicals against all blood-related publications yielded 37,514 chemicals and 851,999 publications records. Mapping PubChem compound identifiers to the PubMed database yielded 49,940 unique chemicals linked to 676,643 papers. Analysis of open-access metabolomics papers related to blood phrases in the PMC database yielded 4,039 unique compounds and 204 papers. Consolidating these three approaches summed up to a total of 41,474 achiral structures that were linked to 65,957 PubChem CIDs and to over 878,966 PubMed articles. We mapped these compounds to 50 databases such as those covering metabolites and pathways, governmental and toxicological databases, pharmacology resources, and bioassay repositories. In comparison, HMDB, the Human Metabolome Database, links 1,075 compounds to blood-related primary publications. CONCLUSION: This new Blood Exposome Database can be used for prioritizing chemicals for systematic reviews, developing target assays in exposome research, identifying compounds in untargeted mass spectrometry, and biological interpretation in metabolomics data. The database is available at http://bloodexposome.org. https://doi.org/10.1289/EHP4713.","author":[{"dropping-particle":"","family":"Pedregosa","given":"Fabian","non-dropping-particle":"","parse-names":false,"suffix":""},{"dropping-particle":"","family":"Varoquaux","given":"Gael","non-dropping-particle":"","parse-names":false,"suffix":""},{"dropping-particle":"","family":"Gramfort","given":"Alexandre","non-dropping-particle":"","parse-names":false,"suffix":""},{"dropping-particle":"","family":"Michel","given":"Vincent","non-dropping-particle":"","parse-names":false,"suffix":""},{"dropping-particle":"","family":"Thirion","given":"Bertrand","non-dropping-particle":"","parse-names":false,"suffix":""}],"container-title":"Journal of Machine Learning Research","id":"ITEM-1","issue":"9","issued":{"date-parts":[["2011"]]},"page":"2825-2830","title":"Scikit-learn: Machine learning in Python","type":"article-journal","volume":"127"},"uris":["http://www.mendeley.com/documents/?uuid=094d55ce-1d91-40b2-84b9-d7533850f1e2"]}],"mendeley":{"formattedCitation":"(Pedregosa et al., 2011)","plainTextFormattedCitation":"(Pedregosa et al., 2011)","previouslyFormattedCitation":"(Pedregosa et al., 2011)"},"properties":{"noteIndex":0},"schema":"https://github.com/citation-style-language/schema/raw/master/csl-citation.json"}</w:instrText>
      </w:r>
      <w:r w:rsidRPr="00203EB0">
        <w:rPr>
          <w:rFonts w:cs="Times New Roman"/>
        </w:rPr>
        <w:fldChar w:fldCharType="separate"/>
      </w:r>
      <w:r w:rsidRPr="00203EB0">
        <w:rPr>
          <w:rFonts w:cs="Times New Roman"/>
          <w:noProof/>
        </w:rPr>
        <w:t>(Pedregosa et al., 2011)</w:t>
      </w:r>
      <w:r w:rsidRPr="00203EB0">
        <w:rPr>
          <w:rFonts w:cs="Times New Roman"/>
        </w:rPr>
        <w:fldChar w:fldCharType="end"/>
      </w:r>
      <w:r w:rsidRPr="00203EB0">
        <w:rPr>
          <w:rFonts w:cs="Times New Roman"/>
        </w:rPr>
        <w:t xml:space="preserve">, following methods adapted from </w:t>
      </w:r>
      <w:r w:rsidRPr="00203EB0">
        <w:rPr>
          <w:rFonts w:cs="Times New Roman"/>
        </w:rPr>
        <w:fldChar w:fldCharType="begin" w:fldLock="1"/>
      </w:r>
      <w:r w:rsidRPr="00203EB0">
        <w:rPr>
          <w:rFonts w:cs="Times New Roman"/>
        </w:rPr>
        <w:instrText>ADDIN CSL_CITATION {"citationItems":[{"id":"ITEM-1","itemData":{"DOI":"10.1016/j.rcar.2024.04.002","ISSN":"29497302","abstract":"Soil microbial communities are pivotal in permafrost biogeochemical cycles, yet the variations of abundant and rare microbial taxa and their impacts on greenhouse gas emissions in different seasons, remain elusive, especially in the case of soil archaea. Here, we conducted a study on soil abundant and rare archaeal taxa during the growing and non-growing seasons in the active layer of alpine permafrost in the Qinghai-Tibetan Plateau. The results suggested that, for the archaeal communities in the sub-layer, abundant taxa exhibited higher diversity, while rare taxa maintained a more stable composition from the growing to non-growing season. Water soluble organic carbon and soil porosity were the most significant environmental variables affecting the compositions of abundant and rare taxa, respectively. Stochastic and deterministic processes dominated the assemblies of rare and abundant taxa, respectively. The archaeal ecological network influenced N2O flux through different modules. Rare taxa performed an essential role in stabilizing the network and exerting important effects on N2O flux. Our study provides a pioneering and comprehensive investigation aimed at unravelling the mechanisms by which archaea or other microorganisms influence greenhouse gas emissions in the alpine permafrost.","author":[{"dropping-particle":"","family":"Gu","given":"Yu Zheng","non-dropping-particle":"","parse-names":false,"suffix":""},{"dropping-particle":"","family":"Dong","given":"Chen Jie","non-dropping-particle":"","parse-names":false,"suffix":""},{"dropping-particle":"","family":"Chen","given":"Sheng Yun","non-dropping-particle":"","parse-names":false,"suffix":""},{"dropping-particle":"","family":"Jin","given":"Jing Wei","non-dropping-particle":"","parse-names":false,"suffix":""},{"dropping-particle":"","family":"Yang","given":"Pei Zhi","non-dropping-particle":"","parse-names":false,"suffix":""},{"dropping-particle":"","family":"Chen","given":"Jian Wei","non-dropping-particle":"","parse-names":false,"suffix":""},{"dropping-particle":"","family":"Wei","given":"Pei Jie","non-dropping-particle":"","parse-names":false,"suffix":""},{"dropping-particle":"","family":"Bahadur","given":"Ali","non-dropping-particle":"","parse-names":false,"suffix":""}],"container-title":"Research in Cold and Arid Regions","id":"ITEM-1","issue":"2","issued":{"date-parts":[["2024"]]},"page":"45-62","publisher":"Northwest Institute of Eco-Environment and Resources, CAS","title":"Effect of soil archaea on N2O emission in alpine permafrost","type":"article-journal","volume":"16"},"uris":["http://www.mendeley.com/documents/?uuid=4e2e266f-f9da-4bc7-9443-6df412db09a8"]},{"id":"ITEM-2","itemData":{"DOI":"10.1016/j.soilbio.2024.109453","ISSN":"00380717","abstract":"Intensively fertilized acidic soils are global hotspots of nitrous oxide (N2O) emissions, contributing to net agronomic greenhouse gas outcomes. Identifying the key drivers of soil N2O emissions is hampered by the synergistic or antagonistic effects of multiple factors. Within a framework based on the predominant role of microbial communities producing N2O, the N2O emissions are affected either by proximal regulators: temporary soil property fluctuations affect N2O production transcriptionally, or by distal regulators: persistent genetic rearrangements in local microbial communities. The proximal regulators, individually or together, may spontaneously impact distal regulators. Here, we use acidic soils from tea (Camellia sinensis L.) plantations on a broader geographic scale as a model system. Based on amplicon sequencing and properties of 195 acidic (average pH = 5.0) soils, we determined the importance of proximal and distal regulation to N2O emissions. Microbial phylogenetic diversity as a distal regulator overwhelms mineral N content as a proximal regulator in explaining high N2O emissions. Low-abundance, diverse prokaryotic communities (e.g., Acidothermu) and specialized denitrifying fungal communities (e.g., Fusarium) were associated with high N2O emissions. Revisiting the impact of proximal regulators on distal regulators revealed that soil pH is the sole proximal regulator influencing the prokaryotic rare taxa that correlated with high N2O emissions. When considering proximal regulators together (here soil properties compiled as soil fertility index), the microbial diversity were independent of soil fertility. The microbial assembly was dominated by stochastic processes. Consequently, proximal regulators have a limited impact on distal regulators of N2O emissions from acidic soils. In conclusion, the framework underscored the importance of in situ microbial communities as distal regulators in explaining high N2O emissions from acidic soils.","author":[{"dropping-particle":"","family":"Xu","given":"Shengwen","non-dropping-particle":"","parse-names":false,"suffix":""},{"dropping-particle":"","family":"Yu","given":"Yongxiang","non-dropping-particle":"","parse-names":false,"suffix":""},{"dropping-particle":"","family":"Fan","given":"Haoxin","non-dropping-particle":"","parse-names":false,"suffix":""},{"dropping-particle":"","family":"Bilyera","given":"Nataliya","non-dropping-particle":"","parse-names":false,"suffix":""},{"dropping-particle":"","family":"Meng","given":"Xiangtian","non-dropping-particle":"","parse-names":false,"suffix":""},{"dropping-particle":"","family":"Xue","given":"Jiantao","non-dropping-particle":"","parse-names":false,"suffix":""},{"dropping-particle":"","family":"Lu","given":"Zhong","non-dropping-particle":"","parse-names":false,"suffix":""},{"dropping-particle":"","family":"Yang","given":"Zhihan","non-dropping-particle":"","parse-names":false,"suffix":""},{"dropping-particle":"","family":"Chapman","given":"Stephen J.","non-dropping-particle":"","parse-names":false,"suffix":""},{"dropping-particle":"","family":"Gao","given":"Fuyun","non-dropping-particle":"","parse-names":false,"suffix":""},{"dropping-particle":"","family":"Han","given":"Wenyan","non-dropping-particle":"","parse-names":false,"suffix":""},{"dropping-particle":"","family":"Li","given":"Yaying","non-dropping-particle":"","parse-names":false,"suffix":""},{"dropping-particle":"","family":"Zheng","given":"Ningguo","non-dropping-particle":"","parse-names":false,"suffix":""},{"dropping-particle":"","family":"Yao","given":"Huaiying","non-dropping-particle":"","parse-names":false,"suffix":""},{"dropping-particle":"","family":"Kuzyakov","given":"Yakov","non-dropping-particle":"","parse-names":false,"suffix":""}],"container-title":"Soil Biology and Biochemistry","id":"ITEM-2","issue":"April","issued":{"date-parts":[["2024"]]},"page":"109453","publisher":"Elsevier Ltd","title":"Microbial communities overwhelm environmental controls in explaining nitrous oxide emission in acidic soils","type":"article-journal","volume":"194"},"uris":["http://www.mendeley.com/documents/?uuid=e6656caa-026b-44fd-a61d-266956cdf0be"]}],"mendeley":{"formattedCitation":"(Gu et al., 2024; Xu et al., 2024)","manualFormatting":"Gu et al. (2024); Xu et al. (2024)","plainTextFormattedCitation":"(Gu et al., 2024; Xu et al., 2024)","previouslyFormattedCitation":"(Gu et al., 2024; Xu et al., 2024)"},"properties":{"noteIndex":0},"schema":"https://github.com/citation-style-language/schema/raw/master/csl-citation.json"}</w:instrText>
      </w:r>
      <w:r w:rsidRPr="00203EB0">
        <w:rPr>
          <w:rFonts w:cs="Times New Roman"/>
        </w:rPr>
        <w:fldChar w:fldCharType="separate"/>
      </w:r>
      <w:r w:rsidRPr="00203EB0">
        <w:rPr>
          <w:rFonts w:cs="Times New Roman"/>
          <w:noProof/>
        </w:rPr>
        <w:t>Gu et al. (2024); Xu et al. (2024)</w:t>
      </w:r>
      <w:r w:rsidRPr="00203EB0">
        <w:rPr>
          <w:rFonts w:cs="Times New Roman"/>
        </w:rPr>
        <w:fldChar w:fldCharType="end"/>
      </w:r>
      <w:r w:rsidRPr="00203EB0">
        <w:rPr>
          <w:rFonts w:cs="Times New Roman"/>
        </w:rPr>
        <w:t xml:space="preserve">. Separate models were developed for the 0-10 cm and 10-20 cm soil depths using the relative abundance of taxa at the ASV level. Results are presented based on the lowest available taxonomic classification assigned to each ASV to facilitate interpretation. After hyperparameter tuning, the 0-10 cm model used: </w:t>
      </w:r>
      <w:proofErr w:type="spellStart"/>
      <w:r w:rsidRPr="00203EB0">
        <w:rPr>
          <w:rFonts w:cs="Times New Roman"/>
        </w:rPr>
        <w:t>random_state</w:t>
      </w:r>
      <w:proofErr w:type="spellEnd"/>
      <w:r w:rsidRPr="00203EB0">
        <w:rPr>
          <w:rFonts w:cs="Times New Roman"/>
        </w:rPr>
        <w:t xml:space="preserve"> = 42, </w:t>
      </w:r>
      <w:proofErr w:type="spellStart"/>
      <w:r w:rsidRPr="00203EB0">
        <w:rPr>
          <w:rFonts w:cs="Times New Roman"/>
        </w:rPr>
        <w:t>n_estimators</w:t>
      </w:r>
      <w:proofErr w:type="spellEnd"/>
      <w:r w:rsidRPr="00203EB0">
        <w:rPr>
          <w:rFonts w:cs="Times New Roman"/>
        </w:rPr>
        <w:t xml:space="preserve"> = 200, </w:t>
      </w:r>
      <w:proofErr w:type="spellStart"/>
      <w:r w:rsidRPr="00203EB0">
        <w:rPr>
          <w:rFonts w:cs="Times New Roman"/>
        </w:rPr>
        <w:t>max_depth</w:t>
      </w:r>
      <w:proofErr w:type="spellEnd"/>
      <w:r w:rsidRPr="00203EB0">
        <w:rPr>
          <w:rFonts w:cs="Times New Roman"/>
        </w:rPr>
        <w:t xml:space="preserve"> = 20, </w:t>
      </w:r>
      <w:proofErr w:type="spellStart"/>
      <w:r w:rsidRPr="00203EB0">
        <w:rPr>
          <w:rFonts w:cs="Times New Roman"/>
        </w:rPr>
        <w:t>max_features</w:t>
      </w:r>
      <w:proofErr w:type="spellEnd"/>
      <w:r w:rsidRPr="00203EB0">
        <w:rPr>
          <w:rFonts w:cs="Times New Roman"/>
        </w:rPr>
        <w:t xml:space="preserve"> = ‘sqrt’, </w:t>
      </w:r>
      <w:proofErr w:type="spellStart"/>
      <w:r w:rsidRPr="00203EB0">
        <w:rPr>
          <w:rFonts w:cs="Times New Roman"/>
        </w:rPr>
        <w:t>min_samples_leaf</w:t>
      </w:r>
      <w:proofErr w:type="spellEnd"/>
      <w:r w:rsidRPr="00203EB0">
        <w:rPr>
          <w:rFonts w:cs="Times New Roman"/>
        </w:rPr>
        <w:t xml:space="preserve"> = 3. The model for 10-20 cm used: </w:t>
      </w:r>
      <w:proofErr w:type="spellStart"/>
      <w:r w:rsidRPr="00203EB0">
        <w:rPr>
          <w:rFonts w:cs="Times New Roman"/>
        </w:rPr>
        <w:t>random_state</w:t>
      </w:r>
      <w:proofErr w:type="spellEnd"/>
      <w:r w:rsidRPr="00203EB0">
        <w:rPr>
          <w:rFonts w:cs="Times New Roman"/>
        </w:rPr>
        <w:t xml:space="preserve"> = 42, </w:t>
      </w:r>
      <w:proofErr w:type="spellStart"/>
      <w:r w:rsidRPr="00203EB0">
        <w:rPr>
          <w:rFonts w:cs="Times New Roman"/>
        </w:rPr>
        <w:t>n_estimators</w:t>
      </w:r>
      <w:proofErr w:type="spellEnd"/>
      <w:r w:rsidRPr="00203EB0">
        <w:rPr>
          <w:rFonts w:cs="Times New Roman"/>
        </w:rPr>
        <w:t xml:space="preserve"> = 500, </w:t>
      </w:r>
      <w:proofErr w:type="spellStart"/>
      <w:r w:rsidRPr="00203EB0">
        <w:rPr>
          <w:rFonts w:cs="Times New Roman"/>
        </w:rPr>
        <w:t>max_depth</w:t>
      </w:r>
      <w:proofErr w:type="spellEnd"/>
      <w:r w:rsidRPr="00203EB0">
        <w:rPr>
          <w:rFonts w:cs="Times New Roman"/>
        </w:rPr>
        <w:t xml:space="preserve"> = 20, </w:t>
      </w:r>
      <w:proofErr w:type="spellStart"/>
      <w:r w:rsidRPr="00203EB0">
        <w:rPr>
          <w:rFonts w:cs="Times New Roman"/>
        </w:rPr>
        <w:t>max_features</w:t>
      </w:r>
      <w:proofErr w:type="spellEnd"/>
      <w:r w:rsidRPr="00203EB0">
        <w:rPr>
          <w:rFonts w:cs="Times New Roman"/>
        </w:rPr>
        <w:t xml:space="preserve"> = ‘sqrt’, </w:t>
      </w:r>
      <w:proofErr w:type="spellStart"/>
      <w:r w:rsidRPr="00203EB0">
        <w:rPr>
          <w:rFonts w:cs="Times New Roman"/>
        </w:rPr>
        <w:t>min_samples_leaf</w:t>
      </w:r>
      <w:proofErr w:type="spellEnd"/>
      <w:r w:rsidRPr="00203EB0">
        <w:rPr>
          <w:rFonts w:cs="Times New Roman"/>
        </w:rPr>
        <w:t xml:space="preserve"> = 4. Feature importance scores from each model were used to rank taxa, and the ten taxa with the highest scores were selected for further analysis. To interpret the relationship between these key taxa and N</w:t>
      </w:r>
      <w:r w:rsidRPr="00203EB0">
        <w:rPr>
          <w:rFonts w:cs="Times New Roman"/>
          <w:vertAlign w:val="subscript"/>
        </w:rPr>
        <w:t>2</w:t>
      </w:r>
      <w:r w:rsidRPr="00203EB0">
        <w:rPr>
          <w:rFonts w:cs="Times New Roman"/>
        </w:rPr>
        <w:t xml:space="preserve">O fluxes, partial dependence plots were generated using the </w:t>
      </w:r>
      <w:proofErr w:type="spellStart"/>
      <w:r w:rsidRPr="00203EB0">
        <w:rPr>
          <w:rFonts w:cs="Times New Roman"/>
          <w:i/>
        </w:rPr>
        <w:t>partial_dependence</w:t>
      </w:r>
      <w:proofErr w:type="spellEnd"/>
      <w:r w:rsidRPr="00203EB0">
        <w:rPr>
          <w:rFonts w:cs="Times New Roman"/>
        </w:rPr>
        <w:t xml:space="preserve"> function from </w:t>
      </w:r>
      <w:proofErr w:type="spellStart"/>
      <w:r w:rsidRPr="00203EB0">
        <w:rPr>
          <w:rFonts w:cs="Times New Roman"/>
          <w:i/>
        </w:rPr>
        <w:t>sklearn.inspection</w:t>
      </w:r>
      <w:proofErr w:type="spellEnd"/>
      <w:r w:rsidRPr="00203EB0">
        <w:rPr>
          <w:rFonts w:cs="Times New Roman"/>
          <w:i/>
        </w:rPr>
        <w:t xml:space="preserve"> </w:t>
      </w:r>
      <w:r w:rsidRPr="00203EB0">
        <w:rPr>
          <w:rFonts w:cs="Times New Roman"/>
        </w:rPr>
        <w:t xml:space="preserve">module </w:t>
      </w:r>
      <w:r w:rsidRPr="00203EB0">
        <w:rPr>
          <w:rFonts w:cs="Times New Roman"/>
        </w:rPr>
        <w:fldChar w:fldCharType="begin" w:fldLock="1"/>
      </w:r>
      <w:r w:rsidR="004179E3" w:rsidRPr="00203EB0">
        <w:rPr>
          <w:rFonts w:cs="Times New Roman"/>
        </w:rPr>
        <w:instrText>ADDIN CSL_CITATION {"citationItems":[{"id":"ITEM-1","itemData":{"DOI":"10.1289/EHP4713","ISSN":"15529924","PMID":"31557052","abstract":"BACKGROUND: Blood chemicals are routinely measured in clinical or preclinical research studies to diagnose diseases, assess risks in epidemiological research, or use metabolomic phenotyping in response to treatments. A vast volume of blood-related literature is available via the PubMed database for data mining. OBJECTIVES: We aimed to generate a comprehensive blood exposome database of endogenous and exogenous chemicals associated with the mammalian circulating system through text mining and database fusion. METHODS: Using NCBI resources, we retrieved PubMed abstracts, PubChem chemical synonyms, and PMC supplementary tables. We then employed text mining and PubChem crowdsourcing to associate phrases relating to blood with PubChem chemicals. False positives were removed by a phrase pattern and a compound exclusion list. RESULTS: A query to identify blood-related publications in the PubMed database yielded 1.1 million papers. Matching a total of 15 million synonyms from 6.5 million relevant PubChem chemicals against all blood-related publications yielded 37,514 chemicals and 851,999 publications records. Mapping PubChem compound identifiers to the PubMed database yielded 49,940 unique chemicals linked to 676,643 papers. Analysis of open-access metabolomics papers related to blood phrases in the PMC database yielded 4,039 unique compounds and 204 papers. Consolidating these three approaches summed up to a total of 41,474 achiral structures that were linked to 65,957 PubChem CIDs and to over 878,966 PubMed articles. We mapped these compounds to 50 databases such as those covering metabolites and pathways, governmental and toxicological databases, pharmacology resources, and bioassay repositories. In comparison, HMDB, the Human Metabolome Database, links 1,075 compounds to blood-related primary publications. CONCLUSION: This new Blood Exposome Database can be used for prioritizing chemicals for systematic reviews, developing target assays in exposome research, identifying compounds in untargeted mass spectrometry, and biological interpretation in metabolomics data. The database is available at http://bloodexposome.org. https://doi.org/10.1289/EHP4713.","author":[{"dropping-particle":"","family":"Pedregosa","given":"Fabian","non-dropping-particle":"","parse-names":false,"suffix":""},{"dropping-particle":"","family":"Varoquaux","given":"Gael","non-dropping-particle":"","parse-names":false,"suffix":""},{"dropping-particle":"","family":"Gramfort","given":"Alexandre","non-dropping-particle":"","parse-names":false,"suffix":""},{"dropping-particle":"","family":"Michel","given":"Vincent","non-dropping-particle":"","parse-names":false,"suffix":""},{"dropping-particle":"","family":"Thirion","given":"Bertrand","non-dropping-particle":"","parse-names":false,"suffix":""}],"container-title":"Journal of Machine Learning Research","id":"ITEM-1","issue":"9","issued":{"date-parts":[["2011"]]},"page":"2825-2830","title":"Scikit-learn: Machine learning in Python","type":"article-journal","volume":"127"},"uris":["http://www.mendeley.com/documents/?uuid=094d55ce-1d91-40b2-84b9-d7533850f1e2"]}],"mendeley":{"formattedCitation":"(Pedregosa et al., 2011)","plainTextFormattedCitation":"(Pedregosa et al., 2011)","previouslyFormattedCitation":"(Pedregosa et al., 2011)"},"properties":{"noteIndex":0},"schema":"https://github.com/citation-style-language/schema/raw/master/csl-citation.json"}</w:instrText>
      </w:r>
      <w:r w:rsidRPr="00203EB0">
        <w:rPr>
          <w:rFonts w:cs="Times New Roman"/>
        </w:rPr>
        <w:fldChar w:fldCharType="separate"/>
      </w:r>
      <w:r w:rsidRPr="00203EB0">
        <w:rPr>
          <w:rFonts w:cs="Times New Roman"/>
          <w:noProof/>
        </w:rPr>
        <w:t>(Pedregosa et al., 2011)</w:t>
      </w:r>
      <w:r w:rsidRPr="00203EB0">
        <w:rPr>
          <w:rFonts w:cs="Times New Roman"/>
        </w:rPr>
        <w:fldChar w:fldCharType="end"/>
      </w:r>
      <w:r w:rsidRPr="00203EB0">
        <w:rPr>
          <w:rFonts w:cs="Times New Roman"/>
        </w:rPr>
        <w:t xml:space="preserve">. </w:t>
      </w:r>
    </w:p>
    <w:p w14:paraId="528B506E" w14:textId="651EBFED" w:rsidR="004D2011" w:rsidRPr="00203EB0" w:rsidRDefault="004D2011" w:rsidP="004D2011">
      <w:pPr>
        <w:spacing w:line="480" w:lineRule="auto"/>
        <w:rPr>
          <w:rFonts w:cs="Times New Roman"/>
        </w:rPr>
      </w:pPr>
      <w:r w:rsidRPr="00203EB0">
        <w:rPr>
          <w:rFonts w:cs="Times New Roman"/>
        </w:rPr>
        <w:t>A four-way analysis of variance (ANOVA) was conducted to evaluate the effects of management practices and sampling time-point on the relative abundance of the top ten taxa associated with N</w:t>
      </w:r>
      <w:r w:rsidRPr="00203EB0">
        <w:rPr>
          <w:rFonts w:cs="Times New Roman"/>
          <w:vertAlign w:val="subscript"/>
        </w:rPr>
        <w:t>2</w:t>
      </w:r>
      <w:r w:rsidRPr="00203EB0">
        <w:rPr>
          <w:rFonts w:cs="Times New Roman"/>
        </w:rPr>
        <w:t xml:space="preserve">O emissions at each soil depth. Prior to analysis, relative abundance data were logit-transformed to meet model assumptions. When significant effects were detected, Tukey’s HSD test was applied to determine the direction of changes. To visualize seasonal dynamics, </w:t>
      </w:r>
      <w:proofErr w:type="spellStart"/>
      <w:r w:rsidRPr="00203EB0">
        <w:rPr>
          <w:rFonts w:cs="Times New Roman"/>
        </w:rPr>
        <w:t>BiomeHorizon</w:t>
      </w:r>
      <w:proofErr w:type="spellEnd"/>
      <w:r w:rsidRPr="00203EB0">
        <w:rPr>
          <w:rFonts w:cs="Times New Roman"/>
        </w:rPr>
        <w:t xml:space="preserve"> plots </w:t>
      </w:r>
      <w:r w:rsidRPr="00203EB0">
        <w:rPr>
          <w:rFonts w:cs="Times New Roman"/>
        </w:rPr>
        <w:fldChar w:fldCharType="begin" w:fldLock="1"/>
      </w:r>
      <w:r w:rsidRPr="00203EB0">
        <w:rPr>
          <w:rFonts w:cs="Times New Roman"/>
        </w:rPr>
        <w:instrText>ADDIN CSL_CITATION {"citationItems":[{"id":"ITEM-1","itemData":{"DOI":"10.1128/msystems.01380-21","ISSN":"23795077","abstract":"Host-associated microbiota (i.e., the number and types of bacteria in the body) can have profound impacts on an animal’s day-to-day functioning as well as their long-term health. Recent work has shown that these microbial communities change substantially over time, so it is important to be able to link changes in the abundance of certain microbes with host health outcomes. Despite playing a key role in the health of their hosts, host-associated microbial communities demonstrate considerable variation over time. These communities comprise thousands of temporally dynamic taxa, which makes visualizing microbial time series data challenging. As such, a method to visualize both the proportional and absolute change in the relative abundance of multiple taxa across multiple subjects over time is needed. To address this gap, we developed BiomeHorizon , the first automated, open-source R package that visualizes longitudinal compositional microbiome data using horizon plots. BiomeHorizon is available at https://github.com/blekhmanlab/biomehorizon/ and a guide with step-by-step instructions for using the package is provided at https://blekhmanlab.github.io/biomehorizon/ . IMPORTANCE Host-associated microbiota (i.e., the number and types of bacteria in the body) can have profound impacts on an animal’s day-to-day functioning as well as their long-term health. Recent work has shown that these microbial communities change substantially over time, so it is important to be able to link changes in the abundance of certain microbes with host health outcomes. However, visualizing such changes is difficult because the microbiome comprises thousands of different microbes. To address this issue, we developed BiomeHorizon , an R package for visualizing longitudinal microbiome data using horizon plots. BiomeHorizon accepts a range of data formats and was developed with two common microbiome study designs in mind: human health studies, where the microbiome is sampled at set time points, and observational wildlife studies, where samples may be collected at irregular time intervals. BiomeHorizon thus provides a flexible, user-friendly approach to microbiome time series data visualization and analysis.","author":[{"dropping-particle":"","family":"Fink","given":"Isaac","non-dropping-particle":"","parse-names":false,"suffix":""},{"dropping-particle":"","family":"Abdill","given":"Richard J.","non-dropping-particle":"","parse-names":false,"suffix":""},{"dropping-particle":"","family":"Blekhman","given":"Ran","non-dropping-particle":"","parse-names":false,"suffix":""},{"dropping-particle":"","family":"Grieneisen","given":"Laura","non-dropping-particle":"","parse-names":false,"suffix":""}],"container-title":"mSystems","id":"ITEM-1","issue":"3","issued":{"date-parts":[["2022"]]},"publisher":"American Society for Microbiology","title":"BiomeHorizon: Visualizing microbiome time series data in R","type":"article-journal","volume":"7"},"uris":["http://www.mendeley.com/documents/?uuid=95f2f115-f30a-4984-88e2-b1ae494af4e4"]}],"mendeley":{"formattedCitation":"(Fink et al., 2022)","plainTextFormattedCitation":"(Fink et al., 2022)","previouslyFormattedCitation":"(Fink et al., 2022)"},"properties":{"noteIndex":0},"schema":"https://github.com/citation-style-language/schema/raw/master/csl-citation.json"}</w:instrText>
      </w:r>
      <w:r w:rsidRPr="00203EB0">
        <w:rPr>
          <w:rFonts w:cs="Times New Roman"/>
        </w:rPr>
        <w:fldChar w:fldCharType="separate"/>
      </w:r>
      <w:r w:rsidRPr="00203EB0">
        <w:rPr>
          <w:rFonts w:cs="Times New Roman"/>
          <w:noProof/>
        </w:rPr>
        <w:t>(Fink et al., 2022)</w:t>
      </w:r>
      <w:r w:rsidRPr="00203EB0">
        <w:rPr>
          <w:rFonts w:cs="Times New Roman"/>
        </w:rPr>
        <w:fldChar w:fldCharType="end"/>
      </w:r>
      <w:r w:rsidRPr="00203EB0">
        <w:rPr>
          <w:rFonts w:cs="Times New Roman"/>
        </w:rPr>
        <w:t xml:space="preserve"> were generated to display the </w:t>
      </w:r>
      <w:r w:rsidRPr="00203EB0">
        <w:rPr>
          <w:rFonts w:cs="Times New Roman"/>
        </w:rPr>
        <w:lastRenderedPageBreak/>
        <w:t xml:space="preserve">relative abundance dynamics of the top ten taxa over the growing season, stratified by soil depth. Comparisons between management practices levels were shown only when p-value </w:t>
      </w:r>
      <m:oMath>
        <m:r>
          <w:rPr>
            <w:rFonts w:ascii="Cambria Math" w:hAnsi="Cambria Math" w:cs="Times New Roman"/>
          </w:rPr>
          <m:t>≤</m:t>
        </m:r>
      </m:oMath>
      <w:r w:rsidRPr="00203EB0">
        <w:rPr>
          <w:rFonts w:cs="Times New Roman"/>
        </w:rPr>
        <w:t xml:space="preserve"> 0.10. </w:t>
      </w:r>
    </w:p>
    <w:p w14:paraId="67B5E576" w14:textId="21F1D525" w:rsidR="009D0BAC" w:rsidRPr="00203EB0" w:rsidRDefault="009D0BAC" w:rsidP="00A61CF4">
      <w:pPr>
        <w:pStyle w:val="Heading2"/>
      </w:pPr>
      <w:bookmarkStart w:id="90" w:name="_Toc206669147"/>
      <w:r w:rsidRPr="00203EB0">
        <w:t>Results</w:t>
      </w:r>
      <w:bookmarkEnd w:id="90"/>
    </w:p>
    <w:p w14:paraId="558A9F9E" w14:textId="452CCB4E" w:rsidR="009D0BAC" w:rsidRPr="00203EB0" w:rsidRDefault="009D0BAC" w:rsidP="009D0BAC">
      <w:pPr>
        <w:pStyle w:val="Heading3"/>
        <w:spacing w:line="480" w:lineRule="auto"/>
      </w:pPr>
      <w:bookmarkStart w:id="91" w:name="_Toc206669148"/>
      <w:r w:rsidRPr="00203EB0">
        <w:t>Effect of management practices on temporal N</w:t>
      </w:r>
      <w:r w:rsidRPr="00203EB0">
        <w:rPr>
          <w:vertAlign w:val="subscript"/>
        </w:rPr>
        <w:t>2</w:t>
      </w:r>
      <w:r w:rsidRPr="00203EB0">
        <w:t>O emissions</w:t>
      </w:r>
      <w:bookmarkEnd w:id="91"/>
    </w:p>
    <w:p w14:paraId="44901108" w14:textId="60CA819A" w:rsidR="00E814D7" w:rsidRPr="00203EB0" w:rsidRDefault="009D0BAC" w:rsidP="00C377C9">
      <w:pPr>
        <w:spacing w:line="480" w:lineRule="auto"/>
        <w:rPr>
          <w:rFonts w:cs="Times New Roman"/>
        </w:rPr>
      </w:pPr>
      <w:r w:rsidRPr="00203EB0">
        <w:rPr>
          <w:rFonts w:cs="Times New Roman"/>
        </w:rPr>
        <w:t>Mean daily N</w:t>
      </w:r>
      <w:r w:rsidRPr="00203EB0">
        <w:rPr>
          <w:rFonts w:cs="Times New Roman"/>
          <w:vertAlign w:val="subscript"/>
        </w:rPr>
        <w:t>2</w:t>
      </w:r>
      <w:r w:rsidRPr="00203EB0">
        <w:rPr>
          <w:rFonts w:cs="Times New Roman"/>
        </w:rPr>
        <w:t xml:space="preserve">O fluxes, estimated by averaging the daily measurements taken during the 25 days in between two microbial sampling dates, were significantly </w:t>
      </w:r>
      <w:r w:rsidR="00DE564D" w:rsidRPr="00203EB0">
        <w:rPr>
          <w:rFonts w:cs="Times New Roman"/>
        </w:rPr>
        <w:t>influenced</w:t>
      </w:r>
      <w:r w:rsidRPr="00203EB0">
        <w:rPr>
          <w:rFonts w:cs="Times New Roman"/>
        </w:rPr>
        <w:t xml:space="preserve"> by the interaction between management practices and sampling time-point (</w:t>
      </w:r>
      <w:r w:rsidRPr="00203EB0">
        <w:rPr>
          <w:rFonts w:cs="Times New Roman"/>
          <w:b/>
        </w:rPr>
        <w:t xml:space="preserve">Figure </w:t>
      </w:r>
      <w:r w:rsidR="0040423A" w:rsidRPr="00203EB0">
        <w:rPr>
          <w:rFonts w:cs="Times New Roman"/>
          <w:b/>
        </w:rPr>
        <w:t>5.</w:t>
      </w:r>
      <w:r w:rsidRPr="00203EB0">
        <w:rPr>
          <w:rFonts w:cs="Times New Roman"/>
          <w:b/>
        </w:rPr>
        <w:t>1</w:t>
      </w:r>
      <w:r w:rsidRPr="00203EB0">
        <w:rPr>
          <w:rFonts w:cs="Times New Roman"/>
        </w:rPr>
        <w:t>). Major emissions peaks were observed on August 2 and 30, following N fertilization and large precipitation events. N fertilization had the</w:t>
      </w:r>
      <w:r w:rsidR="003D184C">
        <w:rPr>
          <w:rFonts w:cs="Times New Roman"/>
        </w:rPr>
        <w:t xml:space="preserve"> strongest and most consistent effect </w:t>
      </w:r>
      <w:r w:rsidRPr="00203EB0">
        <w:rPr>
          <w:rFonts w:cs="Times New Roman"/>
        </w:rPr>
        <w:t>(</w:t>
      </w:r>
      <w:r w:rsidRPr="00203EB0">
        <w:rPr>
          <w:rFonts w:cs="Times New Roman"/>
          <w:b/>
        </w:rPr>
        <w:t xml:space="preserve">Figure </w:t>
      </w:r>
      <w:r w:rsidR="0040423A" w:rsidRPr="00203EB0">
        <w:rPr>
          <w:rFonts w:cs="Times New Roman"/>
          <w:b/>
        </w:rPr>
        <w:t>5.</w:t>
      </w:r>
      <w:r w:rsidRPr="00203EB0">
        <w:rPr>
          <w:rFonts w:cs="Times New Roman"/>
          <w:b/>
        </w:rPr>
        <w:t>1A</w:t>
      </w:r>
      <w:r w:rsidRPr="00203EB0">
        <w:rPr>
          <w:rFonts w:cs="Times New Roman"/>
        </w:rPr>
        <w:t>)</w:t>
      </w:r>
      <w:r w:rsidR="003D184C">
        <w:rPr>
          <w:rFonts w:cs="Times New Roman"/>
        </w:rPr>
        <w:t>, with</w:t>
      </w:r>
      <w:r w:rsidRPr="00203EB0">
        <w:rPr>
          <w:rFonts w:cs="Times New Roman"/>
        </w:rPr>
        <w:t xml:space="preserve"> </w:t>
      </w:r>
      <w:r w:rsidR="003D184C">
        <w:rPr>
          <w:rFonts w:cs="Times New Roman"/>
        </w:rPr>
        <w:t>f</w:t>
      </w:r>
      <w:r w:rsidRPr="00203EB0">
        <w:rPr>
          <w:rFonts w:cs="Times New Roman"/>
        </w:rPr>
        <w:t>ertilized plots</w:t>
      </w:r>
      <w:r w:rsidR="003D184C">
        <w:rPr>
          <w:rFonts w:cs="Times New Roman"/>
        </w:rPr>
        <w:t xml:space="preserve"> </w:t>
      </w:r>
      <w:r w:rsidRPr="00203EB0">
        <w:rPr>
          <w:rFonts w:cs="Times New Roman"/>
        </w:rPr>
        <w:t>show</w:t>
      </w:r>
      <w:r w:rsidR="003D184C">
        <w:rPr>
          <w:rFonts w:cs="Times New Roman"/>
        </w:rPr>
        <w:t>ing</w:t>
      </w:r>
      <w:r w:rsidRPr="00203EB0">
        <w:rPr>
          <w:rFonts w:cs="Times New Roman"/>
        </w:rPr>
        <w:t xml:space="preserve"> higher fluxes than unfertilized plots on both August 2 (13.4 vs 9.8 g N-N</w:t>
      </w:r>
      <w:r w:rsidRPr="00203EB0">
        <w:rPr>
          <w:rFonts w:cs="Times New Roman"/>
          <w:vertAlign w:val="subscript"/>
        </w:rPr>
        <w:t>2</w:t>
      </w:r>
      <w:r w:rsidRPr="00203EB0">
        <w:rPr>
          <w:rFonts w:cs="Times New Roman"/>
        </w:rPr>
        <w:t>O ha</w:t>
      </w:r>
      <w:r w:rsidRPr="00203EB0">
        <w:rPr>
          <w:rFonts w:cs="Times New Roman"/>
          <w:vertAlign w:val="superscript"/>
        </w:rPr>
        <w:t>-1</w:t>
      </w:r>
      <w:r w:rsidRPr="00203EB0">
        <w:rPr>
          <w:rFonts w:cs="Times New Roman"/>
        </w:rPr>
        <w:t xml:space="preserve"> day</w:t>
      </w:r>
      <w:r w:rsidRPr="00203EB0">
        <w:rPr>
          <w:rFonts w:cs="Times New Roman"/>
          <w:vertAlign w:val="superscript"/>
        </w:rPr>
        <w:t>-1</w:t>
      </w:r>
      <w:r w:rsidRPr="00203EB0">
        <w:rPr>
          <w:rFonts w:cs="Times New Roman"/>
        </w:rPr>
        <w:t>) and August 30 (14.0 vs 7.3 g N-N</w:t>
      </w:r>
      <w:r w:rsidRPr="00203EB0">
        <w:rPr>
          <w:rFonts w:cs="Times New Roman"/>
          <w:vertAlign w:val="subscript"/>
        </w:rPr>
        <w:t>2</w:t>
      </w:r>
      <w:r w:rsidRPr="00203EB0">
        <w:rPr>
          <w:rFonts w:cs="Times New Roman"/>
        </w:rPr>
        <w:t>O ha</w:t>
      </w:r>
      <w:r w:rsidRPr="00203EB0">
        <w:rPr>
          <w:rFonts w:cs="Times New Roman"/>
          <w:vertAlign w:val="superscript"/>
        </w:rPr>
        <w:t>-1</w:t>
      </w:r>
      <w:r w:rsidRPr="00203EB0">
        <w:rPr>
          <w:rFonts w:cs="Times New Roman"/>
        </w:rPr>
        <w:t xml:space="preserve"> day</w:t>
      </w:r>
      <w:r w:rsidRPr="00203EB0">
        <w:rPr>
          <w:rFonts w:cs="Times New Roman"/>
          <w:vertAlign w:val="superscript"/>
        </w:rPr>
        <w:t>-1</w:t>
      </w:r>
      <w:r w:rsidRPr="00203EB0">
        <w:rPr>
          <w:rFonts w:cs="Times New Roman"/>
        </w:rPr>
        <w:t>). While tillage and cover crop effects were more limited in duration. On August 2, CT plots resulted in higher emissions compared to NT plots (14.5 vs 8.3 g N-N</w:t>
      </w:r>
      <w:r w:rsidRPr="00203EB0">
        <w:rPr>
          <w:rFonts w:cs="Times New Roman"/>
          <w:vertAlign w:val="subscript"/>
        </w:rPr>
        <w:t>2</w:t>
      </w:r>
      <w:r w:rsidRPr="00203EB0">
        <w:rPr>
          <w:rFonts w:cs="Times New Roman"/>
        </w:rPr>
        <w:t>O ha</w:t>
      </w:r>
      <w:r w:rsidRPr="00203EB0">
        <w:rPr>
          <w:rFonts w:cs="Times New Roman"/>
          <w:vertAlign w:val="superscript"/>
        </w:rPr>
        <w:t>-1</w:t>
      </w:r>
      <w:r w:rsidRPr="00203EB0">
        <w:rPr>
          <w:rFonts w:cs="Times New Roman"/>
        </w:rPr>
        <w:t xml:space="preserve"> day</w:t>
      </w:r>
      <w:r w:rsidRPr="00203EB0">
        <w:rPr>
          <w:rFonts w:cs="Times New Roman"/>
          <w:vertAlign w:val="superscript"/>
        </w:rPr>
        <w:t>-1</w:t>
      </w:r>
      <w:r w:rsidRPr="00203EB0">
        <w:rPr>
          <w:rFonts w:cs="Times New Roman"/>
        </w:rPr>
        <w:t xml:space="preserve">; </w:t>
      </w:r>
      <w:r w:rsidRPr="00203EB0">
        <w:rPr>
          <w:rFonts w:cs="Times New Roman"/>
          <w:b/>
        </w:rPr>
        <w:t xml:space="preserve">Figure </w:t>
      </w:r>
      <w:r w:rsidR="0040423A" w:rsidRPr="00203EB0">
        <w:rPr>
          <w:rFonts w:cs="Times New Roman"/>
          <w:b/>
        </w:rPr>
        <w:t>5.</w:t>
      </w:r>
      <w:r w:rsidRPr="00203EB0">
        <w:rPr>
          <w:rFonts w:cs="Times New Roman"/>
          <w:b/>
        </w:rPr>
        <w:t>1B</w:t>
      </w:r>
      <w:r w:rsidRPr="00203EB0">
        <w:rPr>
          <w:rFonts w:cs="Times New Roman"/>
        </w:rPr>
        <w:t xml:space="preserve">). </w:t>
      </w:r>
      <w:r w:rsidR="003D184C">
        <w:rPr>
          <w:rFonts w:cs="Times New Roman"/>
        </w:rPr>
        <w:t>O</w:t>
      </w:r>
      <w:r w:rsidRPr="00203EB0">
        <w:rPr>
          <w:rFonts w:cs="Times New Roman"/>
        </w:rPr>
        <w:t>n August 30, HV</w:t>
      </w:r>
      <w:r w:rsidR="003D184C">
        <w:rPr>
          <w:rFonts w:cs="Times New Roman"/>
        </w:rPr>
        <w:t xml:space="preserve"> </w:t>
      </w:r>
      <w:r w:rsidRPr="00203EB0">
        <w:rPr>
          <w:rFonts w:cs="Times New Roman"/>
        </w:rPr>
        <w:t>plots exhibited higher emissions than NC plots (13.2 vs 8.3 N-N</w:t>
      </w:r>
      <w:r w:rsidRPr="00203EB0">
        <w:rPr>
          <w:rFonts w:cs="Times New Roman"/>
          <w:vertAlign w:val="subscript"/>
        </w:rPr>
        <w:t>2</w:t>
      </w:r>
      <w:r w:rsidRPr="00203EB0">
        <w:rPr>
          <w:rFonts w:cs="Times New Roman"/>
        </w:rPr>
        <w:t>O ha</w:t>
      </w:r>
      <w:r w:rsidRPr="00203EB0">
        <w:rPr>
          <w:rFonts w:cs="Times New Roman"/>
          <w:vertAlign w:val="superscript"/>
        </w:rPr>
        <w:t>-1</w:t>
      </w:r>
      <w:r w:rsidRPr="00203EB0">
        <w:rPr>
          <w:rFonts w:cs="Times New Roman"/>
        </w:rPr>
        <w:t xml:space="preserve"> day</w:t>
      </w:r>
      <w:r w:rsidRPr="00203EB0">
        <w:rPr>
          <w:rFonts w:cs="Times New Roman"/>
          <w:vertAlign w:val="superscript"/>
        </w:rPr>
        <w:t>-1</w:t>
      </w:r>
      <w:r w:rsidRPr="00203EB0">
        <w:rPr>
          <w:rFonts w:cs="Times New Roman"/>
        </w:rPr>
        <w:t xml:space="preserve">; </w:t>
      </w:r>
      <w:r w:rsidRPr="00203EB0">
        <w:rPr>
          <w:rFonts w:cs="Times New Roman"/>
          <w:b/>
        </w:rPr>
        <w:t xml:space="preserve">Figure </w:t>
      </w:r>
      <w:r w:rsidR="0040423A" w:rsidRPr="00203EB0">
        <w:rPr>
          <w:rFonts w:cs="Times New Roman"/>
          <w:b/>
        </w:rPr>
        <w:t>5.</w:t>
      </w:r>
      <w:r w:rsidRPr="00203EB0">
        <w:rPr>
          <w:rFonts w:cs="Times New Roman"/>
          <w:b/>
        </w:rPr>
        <w:t>1C</w:t>
      </w:r>
      <w:r w:rsidRPr="00203EB0">
        <w:rPr>
          <w:rFonts w:cs="Times New Roman"/>
        </w:rPr>
        <w:t xml:space="preserve">). </w:t>
      </w:r>
    </w:p>
    <w:p w14:paraId="08116835" w14:textId="77777777" w:rsidR="00070085" w:rsidRPr="00203EB0" w:rsidRDefault="00070085" w:rsidP="00070085"/>
    <w:p w14:paraId="064FA1E7" w14:textId="77777777" w:rsidR="00025EEA" w:rsidRPr="00203EB0" w:rsidRDefault="00025EEA" w:rsidP="00070085">
      <w:pPr>
        <w:spacing w:line="480" w:lineRule="auto"/>
      </w:pPr>
    </w:p>
    <w:p w14:paraId="4BDA5D07" w14:textId="4C5A70CA" w:rsidR="006A189D" w:rsidRPr="00203EB0" w:rsidRDefault="00627302" w:rsidP="009D0B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cs="Times New Roman"/>
        </w:rPr>
      </w:pPr>
      <w:r>
        <w:rPr>
          <w:noProof/>
        </w:rPr>
        <w:lastRenderedPageBreak/>
        <w:drawing>
          <wp:inline distT="0" distB="0" distL="0" distR="0" wp14:anchorId="557FA12E" wp14:editId="49DC673A">
            <wp:extent cx="3990109" cy="6384174"/>
            <wp:effectExtent l="0" t="0" r="0" b="0"/>
            <wp:docPr id="1564698089" name="Picture 1" descr="A diagram of different types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98089" name="Picture 1" descr="A diagram of different types of lines&#10;&#10;AI-generated content may be incorrect."/>
                    <pic:cNvPicPr>
                      <a:picLocks noChangeAspect="1" noChangeArrowheads="1"/>
                    </pic:cNvPicPr>
                  </pic:nvPicPr>
                  <pic:blipFill>
                    <a:blip r:embed="rId31" cstate="hqprint">
                      <a:extLst>
                        <a:ext uri="{28A0092B-C50C-407E-A947-70E740481C1C}">
                          <a14:useLocalDpi xmlns:a14="http://schemas.microsoft.com/office/drawing/2010/main" val="0"/>
                        </a:ext>
                      </a:extLst>
                    </a:blip>
                    <a:srcRect/>
                    <a:stretch>
                      <a:fillRect/>
                    </a:stretch>
                  </pic:blipFill>
                  <pic:spPr bwMode="auto">
                    <a:xfrm>
                      <a:off x="0" y="0"/>
                      <a:ext cx="4010759" cy="6417214"/>
                    </a:xfrm>
                    <a:prstGeom prst="rect">
                      <a:avLst/>
                    </a:prstGeom>
                    <a:noFill/>
                    <a:ln>
                      <a:noFill/>
                    </a:ln>
                  </pic:spPr>
                </pic:pic>
              </a:graphicData>
            </a:graphic>
          </wp:inline>
        </w:drawing>
      </w:r>
    </w:p>
    <w:p w14:paraId="1CCBFD3D" w14:textId="7E5167E7" w:rsidR="0040423A" w:rsidRPr="00203EB0" w:rsidRDefault="0040423A" w:rsidP="0040423A">
      <w:pPr>
        <w:rPr>
          <w:rFonts w:cs="Times New Roman"/>
        </w:rPr>
      </w:pPr>
      <w:bookmarkStart w:id="92" w:name="_Toc206669274"/>
      <w:r w:rsidRPr="00203EB0">
        <w:rPr>
          <w:b/>
        </w:rPr>
        <w:t xml:space="preserve">Figure </w:t>
      </w:r>
      <w:r w:rsidR="00BD46F8" w:rsidRPr="00203EB0">
        <w:rPr>
          <w:b/>
        </w:rPr>
        <w:fldChar w:fldCharType="begin"/>
      </w:r>
      <w:r w:rsidR="00BD46F8" w:rsidRPr="00203EB0">
        <w:rPr>
          <w:b/>
        </w:rPr>
        <w:instrText xml:space="preserve"> STYLEREF 1 \s </w:instrText>
      </w:r>
      <w:r w:rsidR="00BD46F8" w:rsidRPr="00203EB0">
        <w:rPr>
          <w:b/>
        </w:rPr>
        <w:fldChar w:fldCharType="separate"/>
      </w:r>
      <w:r w:rsidR="00D56363" w:rsidRPr="00203EB0">
        <w:rPr>
          <w:b/>
        </w:rPr>
        <w:t>5</w:t>
      </w:r>
      <w:r w:rsidR="00BD46F8" w:rsidRPr="00203EB0">
        <w:rPr>
          <w:b/>
        </w:rPr>
        <w:fldChar w:fldCharType="end"/>
      </w:r>
      <w:r w:rsidR="00BD46F8" w:rsidRPr="00203EB0">
        <w:rPr>
          <w:b/>
        </w:rPr>
        <w:t>.</w:t>
      </w:r>
      <w:r w:rsidR="00BD46F8" w:rsidRPr="00203EB0">
        <w:rPr>
          <w:b/>
        </w:rPr>
        <w:fldChar w:fldCharType="begin"/>
      </w:r>
      <w:r w:rsidR="00BD46F8" w:rsidRPr="00203EB0">
        <w:rPr>
          <w:b/>
        </w:rPr>
        <w:instrText xml:space="preserve"> SEQ Figure \* ARABIC \s 1 </w:instrText>
      </w:r>
      <w:r w:rsidR="00BD46F8" w:rsidRPr="00203EB0">
        <w:rPr>
          <w:b/>
        </w:rPr>
        <w:fldChar w:fldCharType="separate"/>
      </w:r>
      <w:r w:rsidR="00D56363" w:rsidRPr="00203EB0">
        <w:rPr>
          <w:b/>
        </w:rPr>
        <w:t>1</w:t>
      </w:r>
      <w:r w:rsidR="00BD46F8" w:rsidRPr="00203EB0">
        <w:rPr>
          <w:b/>
        </w:rPr>
        <w:fldChar w:fldCharType="end"/>
      </w:r>
      <w:r w:rsidRPr="00203EB0">
        <w:rPr>
          <w:b/>
        </w:rPr>
        <w:t>:</w:t>
      </w:r>
      <w:r w:rsidRPr="00203EB0">
        <w:t xml:space="preserve"> </w:t>
      </w:r>
      <w:r w:rsidRPr="00203EB0">
        <w:rPr>
          <w:rFonts w:cs="Times New Roman"/>
        </w:rPr>
        <w:t>Effect of fertilizer (A), tillage (B), and cover cropping (C) on average nitrous oxide (N</w:t>
      </w:r>
      <w:r w:rsidRPr="00203EB0">
        <w:rPr>
          <w:rFonts w:cs="Times New Roman"/>
          <w:vertAlign w:val="subscript"/>
        </w:rPr>
        <w:t>2</w:t>
      </w:r>
      <w:r w:rsidRPr="00203EB0">
        <w:rPr>
          <w:rFonts w:cs="Times New Roman"/>
        </w:rPr>
        <w:t xml:space="preserve">O) fluxes during the 25 days prior to five sampling dates in the 2022 cotton growing season. Arrows indicate timing of key management practices. </w:t>
      </w:r>
      <w:r w:rsidR="00627302">
        <w:rPr>
          <w:rFonts w:cs="Times New Roman"/>
        </w:rPr>
        <w:t xml:space="preserve">T-bars represent standard deviation. </w:t>
      </w:r>
      <w:r w:rsidRPr="00203EB0">
        <w:rPr>
          <w:rFonts w:cs="Times New Roman"/>
        </w:rPr>
        <w:t xml:space="preserve">Asterisks (*) indicate statistically significant differences (p </w:t>
      </w:r>
      <m:oMath>
        <m:r>
          <w:rPr>
            <w:rFonts w:ascii="Cambria Math" w:hAnsi="Cambria Math" w:cs="Times New Roman"/>
          </w:rPr>
          <m:t>≤</m:t>
        </m:r>
      </m:oMath>
      <w:r w:rsidRPr="00203EB0">
        <w:rPr>
          <w:rFonts w:cs="Times New Roman"/>
        </w:rPr>
        <w:t xml:space="preserve"> 0.05). Cover Crop (CC); No-till (NT), Conventional tillage (CT); No-Cover crop (NC), Vetch (V).</w:t>
      </w:r>
      <w:bookmarkEnd w:id="92"/>
      <w:r w:rsidR="00627302">
        <w:rPr>
          <w:rFonts w:cs="Times New Roman"/>
        </w:rPr>
        <w:t xml:space="preserve"> </w:t>
      </w:r>
    </w:p>
    <w:p w14:paraId="102E035C" w14:textId="69F956E2" w:rsidR="006A189D" w:rsidRPr="00203EB0" w:rsidRDefault="00974626" w:rsidP="00974626">
      <w:pPr>
        <w:pStyle w:val="Heading3"/>
        <w:spacing w:line="480" w:lineRule="auto"/>
      </w:pPr>
      <w:bookmarkStart w:id="93" w:name="_Toc206669149"/>
      <w:r w:rsidRPr="00203EB0">
        <w:lastRenderedPageBreak/>
        <w:t>Influence of management practices, sampling time-point, and biochemical variables on microbial community composition across soil depths</w:t>
      </w:r>
      <w:bookmarkEnd w:id="93"/>
    </w:p>
    <w:p w14:paraId="1C6B6902" w14:textId="3E732971" w:rsidR="001375D0" w:rsidRDefault="00974626" w:rsidP="00D56363">
      <w:pPr>
        <w:spacing w:line="480" w:lineRule="auto"/>
      </w:pPr>
      <w:r w:rsidRPr="00203EB0">
        <w:t>A total of 846 taxa were identified</w:t>
      </w:r>
      <w:r w:rsidR="008455A5">
        <w:t xml:space="preserve">. </w:t>
      </w:r>
      <w:r w:rsidRPr="00203EB0">
        <w:t xml:space="preserve">N fertilization </w:t>
      </w:r>
      <w:r w:rsidR="008455A5">
        <w:t>w</w:t>
      </w:r>
      <w:r w:rsidRPr="00203EB0">
        <w:t>as the strongest driver of microbial community composition, in</w:t>
      </w:r>
      <w:r w:rsidR="008455A5">
        <w:t xml:space="preserve"> </w:t>
      </w:r>
      <w:r w:rsidRPr="00203EB0">
        <w:t>surface soil</w:t>
      </w:r>
      <w:r w:rsidR="008455A5">
        <w:t>s</w:t>
      </w:r>
      <w:r w:rsidRPr="00203EB0">
        <w:t xml:space="preserve"> (0-10 cm), with a medium effect size (</w:t>
      </w:r>
      <m:oMath>
        <m:sSubSup>
          <m:sSubSupPr>
            <m:ctrlPr>
              <w:rPr>
                <w:rFonts w:ascii="Cambria Math" w:hAnsi="Cambria Math"/>
                <w:i/>
              </w:rPr>
            </m:ctrlPr>
          </m:sSubSupPr>
          <m:e>
            <m:r>
              <w:rPr>
                <w:rFonts w:ascii="Cambria Math" w:hAnsi="Cambria Math"/>
              </w:rPr>
              <m:t>ω</m:t>
            </m:r>
          </m:e>
          <m:sub>
            <m:r>
              <w:rPr>
                <w:rFonts w:ascii="Cambria Math" w:hAnsi="Cambria Math"/>
              </w:rPr>
              <m:t>p</m:t>
            </m:r>
          </m:sub>
          <m:sup>
            <m:r>
              <w:rPr>
                <w:rFonts w:ascii="Cambria Math" w:hAnsi="Cambria Math"/>
              </w:rPr>
              <m:t>2</m:t>
            </m:r>
          </m:sup>
        </m:sSubSup>
      </m:oMath>
      <w:r w:rsidRPr="00203EB0">
        <w:t xml:space="preserve"> = 0.085), followed by sampling time-point (</w:t>
      </w:r>
      <m:oMath>
        <m:sSubSup>
          <m:sSubSupPr>
            <m:ctrlPr>
              <w:rPr>
                <w:rFonts w:ascii="Cambria Math" w:hAnsi="Cambria Math"/>
                <w:i/>
              </w:rPr>
            </m:ctrlPr>
          </m:sSubSupPr>
          <m:e>
            <m:r>
              <w:rPr>
                <w:rFonts w:ascii="Cambria Math" w:hAnsi="Cambria Math"/>
              </w:rPr>
              <m:t>ω</m:t>
            </m:r>
          </m:e>
          <m:sub>
            <m:r>
              <w:rPr>
                <w:rFonts w:ascii="Cambria Math" w:hAnsi="Cambria Math"/>
              </w:rPr>
              <m:t>p</m:t>
            </m:r>
          </m:sub>
          <m:sup>
            <m:r>
              <w:rPr>
                <w:rFonts w:ascii="Cambria Math" w:hAnsi="Cambria Math"/>
              </w:rPr>
              <m:t>2</m:t>
            </m:r>
          </m:sup>
        </m:sSubSup>
      </m:oMath>
      <w:r w:rsidRPr="00203EB0">
        <w:t xml:space="preserve"> = 0.076, medium), tillage (</w:t>
      </w:r>
      <m:oMath>
        <m:sSubSup>
          <m:sSubSupPr>
            <m:ctrlPr>
              <w:rPr>
                <w:rFonts w:ascii="Cambria Math" w:hAnsi="Cambria Math"/>
                <w:i/>
              </w:rPr>
            </m:ctrlPr>
          </m:sSubSupPr>
          <m:e>
            <m:r>
              <w:rPr>
                <w:rFonts w:ascii="Cambria Math" w:hAnsi="Cambria Math"/>
              </w:rPr>
              <m:t>ω</m:t>
            </m:r>
          </m:e>
          <m:sub>
            <m:r>
              <w:rPr>
                <w:rFonts w:ascii="Cambria Math" w:hAnsi="Cambria Math"/>
              </w:rPr>
              <m:t>p</m:t>
            </m:r>
          </m:sub>
          <m:sup>
            <m:r>
              <w:rPr>
                <w:rFonts w:ascii="Cambria Math" w:hAnsi="Cambria Math"/>
              </w:rPr>
              <m:t>2</m:t>
            </m:r>
          </m:sup>
        </m:sSubSup>
      </m:oMath>
      <w:r w:rsidRPr="00203EB0">
        <w:t xml:space="preserve"> = 0.061, medium), and cover cropping ( </w:t>
      </w:r>
      <m:oMath>
        <m:sSubSup>
          <m:sSubSupPr>
            <m:ctrlPr>
              <w:rPr>
                <w:rFonts w:ascii="Cambria Math" w:hAnsi="Cambria Math"/>
                <w:i/>
              </w:rPr>
            </m:ctrlPr>
          </m:sSubSupPr>
          <m:e>
            <m:r>
              <w:rPr>
                <w:rFonts w:ascii="Cambria Math" w:hAnsi="Cambria Math"/>
              </w:rPr>
              <m:t>ω</m:t>
            </m:r>
          </m:e>
          <m:sub>
            <m:r>
              <w:rPr>
                <w:rFonts w:ascii="Cambria Math" w:hAnsi="Cambria Math"/>
              </w:rPr>
              <m:t>p</m:t>
            </m:r>
          </m:sub>
          <m:sup>
            <m:r>
              <w:rPr>
                <w:rFonts w:ascii="Cambria Math" w:hAnsi="Cambria Math"/>
              </w:rPr>
              <m:t>2</m:t>
            </m:r>
          </m:sup>
        </m:sSubSup>
      </m:oMath>
      <w:r w:rsidRPr="00203EB0">
        <w:t xml:space="preserve"> = 0.016, small) (</w:t>
      </w:r>
      <w:r w:rsidRPr="00203EB0">
        <w:rPr>
          <w:b/>
          <w:bCs/>
        </w:rPr>
        <w:t xml:space="preserve">Table </w:t>
      </w:r>
      <w:r w:rsidR="008B29C1" w:rsidRPr="00203EB0">
        <w:rPr>
          <w:b/>
          <w:bCs/>
        </w:rPr>
        <w:t>5.</w:t>
      </w:r>
      <w:r w:rsidRPr="00203EB0">
        <w:rPr>
          <w:b/>
          <w:bCs/>
        </w:rPr>
        <w:t>1</w:t>
      </w:r>
      <w:r w:rsidRPr="00203EB0">
        <w:t xml:space="preserve">). The influence of management was more pronounced </w:t>
      </w:r>
      <w:proofErr w:type="gramStart"/>
      <w:r w:rsidRPr="00203EB0">
        <w:t>in</w:t>
      </w:r>
      <w:proofErr w:type="gramEnd"/>
      <w:r w:rsidRPr="00203EB0">
        <w:t xml:space="preserve"> the surface than </w:t>
      </w:r>
      <w:proofErr w:type="gramStart"/>
      <w:r w:rsidRPr="00203EB0">
        <w:t>in</w:t>
      </w:r>
      <w:proofErr w:type="gramEnd"/>
      <w:r w:rsidRPr="00203EB0">
        <w:t xml:space="preserve"> the subsurface (10-20</w:t>
      </w:r>
      <w:r w:rsidR="008455A5">
        <w:t xml:space="preserve">), where </w:t>
      </w:r>
      <w:r w:rsidRPr="00203EB0">
        <w:t xml:space="preserve">all four factors </w:t>
      </w:r>
      <w:r w:rsidR="008455A5">
        <w:t>had</w:t>
      </w:r>
      <w:r w:rsidRPr="00203EB0">
        <w:t xml:space="preserve"> small but</w:t>
      </w:r>
      <w:r w:rsidR="008455A5">
        <w:t xml:space="preserve"> </w:t>
      </w:r>
      <w:r w:rsidRPr="00203EB0">
        <w:t>significant effect</w:t>
      </w:r>
      <w:r w:rsidR="008455A5">
        <w:t>s</w:t>
      </w:r>
      <w:r w:rsidRPr="00203EB0">
        <w:t xml:space="preserve"> (</w:t>
      </w:r>
      <w:r w:rsidRPr="00203EB0">
        <w:rPr>
          <w:b/>
          <w:bCs/>
        </w:rPr>
        <w:t xml:space="preserve">Table </w:t>
      </w:r>
      <w:r w:rsidR="008B29C1" w:rsidRPr="00203EB0">
        <w:rPr>
          <w:b/>
          <w:bCs/>
        </w:rPr>
        <w:t>5.</w:t>
      </w:r>
      <w:r w:rsidRPr="00203EB0">
        <w:rPr>
          <w:b/>
          <w:bCs/>
        </w:rPr>
        <w:t>1</w:t>
      </w:r>
      <w:r w:rsidRPr="00203EB0">
        <w:t>). Consistent with</w:t>
      </w:r>
      <w:r w:rsidR="00BE0243" w:rsidRPr="00203EB0">
        <w:t xml:space="preserve"> </w:t>
      </w:r>
      <w:r w:rsidRPr="00203EB0">
        <w:t>P</w:t>
      </w:r>
      <w:r w:rsidR="00C37674" w:rsidRPr="00203EB0">
        <w:t>ER</w:t>
      </w:r>
      <w:r w:rsidRPr="00203EB0">
        <w:t>MANOVA results,</w:t>
      </w:r>
      <w:r w:rsidR="008455A5">
        <w:t xml:space="preserve"> </w:t>
      </w:r>
      <w:r w:rsidRPr="00203EB0">
        <w:t xml:space="preserve">fertilization </w:t>
      </w:r>
      <w:r w:rsidR="008455A5">
        <w:t xml:space="preserve">effects </w:t>
      </w:r>
      <w:r w:rsidRPr="00203EB0">
        <w:t>on microbial community composition w</w:t>
      </w:r>
      <w:r w:rsidR="008455A5">
        <w:t>ere</w:t>
      </w:r>
      <w:r w:rsidRPr="00203EB0">
        <w:t xml:space="preserve"> visually </w:t>
      </w:r>
      <w:r w:rsidR="00461A39">
        <w:t xml:space="preserve">more </w:t>
      </w:r>
      <w:r w:rsidRPr="00203EB0">
        <w:t>distinct at 0-10 cm than at 10-20 cm (</w:t>
      </w:r>
      <w:r w:rsidRPr="00203EB0">
        <w:rPr>
          <w:b/>
          <w:bCs/>
        </w:rPr>
        <w:t xml:space="preserve">Figure </w:t>
      </w:r>
      <w:r w:rsidR="008B29C1" w:rsidRPr="00203EB0">
        <w:rPr>
          <w:b/>
          <w:bCs/>
        </w:rPr>
        <w:t>5.</w:t>
      </w:r>
      <w:r w:rsidRPr="00203EB0">
        <w:rPr>
          <w:b/>
          <w:bCs/>
        </w:rPr>
        <w:t>2</w:t>
      </w:r>
      <w:r w:rsidRPr="00203EB0">
        <w:t>). Distance-based redundancy analysis (</w:t>
      </w:r>
      <w:proofErr w:type="spellStart"/>
      <w:r w:rsidRPr="00203EB0">
        <w:t>db</w:t>
      </w:r>
      <w:proofErr w:type="spellEnd"/>
      <w:r w:rsidRPr="00203EB0">
        <w:t>-RDA) based on Bray-Curtis distances showed that in fertilized surface soils, N</w:t>
      </w:r>
      <w:r w:rsidRPr="00203EB0">
        <w:rPr>
          <w:vertAlign w:val="subscript"/>
        </w:rPr>
        <w:t>2</w:t>
      </w:r>
      <w:r w:rsidRPr="00203EB0">
        <w:t xml:space="preserve">O fluxes </w:t>
      </w:r>
      <w:r w:rsidR="003F6F30">
        <w:t>aligned</w:t>
      </w:r>
      <w:r w:rsidRPr="00203EB0">
        <w:t xml:space="preserve"> with shifts in microbial</w:t>
      </w:r>
      <w:r w:rsidR="003F6F30">
        <w:t xml:space="preserve"> </w:t>
      </w:r>
      <w:r w:rsidRPr="00203EB0">
        <w:t>composition</w:t>
      </w:r>
      <w:r w:rsidR="003F6F30">
        <w:t xml:space="preserve"> </w:t>
      </w:r>
      <w:r w:rsidRPr="00203EB0">
        <w:t>and followed a similar directional influence as NO</w:t>
      </w:r>
      <w:r w:rsidRPr="00203EB0">
        <w:rPr>
          <w:vertAlign w:val="subscript"/>
        </w:rPr>
        <w:t>3</w:t>
      </w:r>
      <w:r w:rsidRPr="00203EB0">
        <w:rPr>
          <w:vertAlign w:val="superscript"/>
        </w:rPr>
        <w:t xml:space="preserve">- </w:t>
      </w:r>
      <w:r w:rsidRPr="00203EB0">
        <w:t>, POXC, SOM, and total N (</w:t>
      </w:r>
      <w:r w:rsidRPr="00203EB0">
        <w:rPr>
          <w:b/>
          <w:bCs/>
        </w:rPr>
        <w:t xml:space="preserve">Figure </w:t>
      </w:r>
      <w:r w:rsidR="00F95737" w:rsidRPr="00203EB0">
        <w:rPr>
          <w:b/>
          <w:bCs/>
        </w:rPr>
        <w:t>5.</w:t>
      </w:r>
      <w:r w:rsidRPr="00203EB0">
        <w:rPr>
          <w:b/>
          <w:bCs/>
        </w:rPr>
        <w:t>2A</w:t>
      </w:r>
      <w:r w:rsidRPr="00203EB0">
        <w:t>). In contrast, soil pH was negatively associated with N</w:t>
      </w:r>
      <w:r w:rsidRPr="00203EB0">
        <w:rPr>
          <w:vertAlign w:val="subscript"/>
        </w:rPr>
        <w:t>2</w:t>
      </w:r>
      <w:r w:rsidRPr="00203EB0">
        <w:t>O emissions and community composition in these fertilized surface soils. At 10-20 cm depth, microbial communities were more dispersed and less clearly structured by fertilization, though pH consistently exhibited an opposite directional influence on community composition in N fertilized subsoils (</w:t>
      </w:r>
      <w:r w:rsidRPr="00203EB0">
        <w:rPr>
          <w:b/>
          <w:bCs/>
        </w:rPr>
        <w:t xml:space="preserve">Figure </w:t>
      </w:r>
      <w:r w:rsidR="00F95737" w:rsidRPr="00203EB0">
        <w:rPr>
          <w:b/>
          <w:bCs/>
        </w:rPr>
        <w:t>5.</w:t>
      </w:r>
      <w:r w:rsidRPr="00203EB0">
        <w:rPr>
          <w:b/>
          <w:bCs/>
        </w:rPr>
        <w:t>2B</w:t>
      </w:r>
      <w:r w:rsidRPr="00203EB0">
        <w:t xml:space="preserve">). </w:t>
      </w:r>
    </w:p>
    <w:p w14:paraId="6A015573" w14:textId="77777777" w:rsidR="003F6F30" w:rsidRDefault="003F6F30" w:rsidP="00D56363">
      <w:pPr>
        <w:spacing w:line="480" w:lineRule="auto"/>
      </w:pPr>
    </w:p>
    <w:p w14:paraId="1066E145" w14:textId="77777777" w:rsidR="003F6F30" w:rsidRDefault="003F6F30" w:rsidP="00D56363">
      <w:pPr>
        <w:spacing w:line="480" w:lineRule="auto"/>
      </w:pPr>
    </w:p>
    <w:p w14:paraId="6EC24A09" w14:textId="77777777" w:rsidR="003F6F30" w:rsidRDefault="003F6F30" w:rsidP="00D56363">
      <w:pPr>
        <w:spacing w:line="480" w:lineRule="auto"/>
      </w:pPr>
    </w:p>
    <w:p w14:paraId="05A40F46" w14:textId="77777777" w:rsidR="003F6F30" w:rsidRDefault="003F6F30" w:rsidP="00D56363">
      <w:pPr>
        <w:spacing w:line="480" w:lineRule="auto"/>
      </w:pPr>
    </w:p>
    <w:p w14:paraId="2A8CBA08" w14:textId="77777777" w:rsidR="003F6F30" w:rsidRPr="00203EB0" w:rsidRDefault="003F6F30" w:rsidP="00D56363">
      <w:pPr>
        <w:spacing w:line="480" w:lineRule="auto"/>
      </w:pPr>
    </w:p>
    <w:p w14:paraId="0663E96D" w14:textId="0213DE35" w:rsidR="008B29C1" w:rsidRPr="00203EB0" w:rsidRDefault="008B29C1" w:rsidP="008B29C1">
      <w:pPr>
        <w:rPr>
          <w:rFonts w:cs="Times New Roman"/>
        </w:rPr>
      </w:pPr>
      <w:bookmarkStart w:id="94" w:name="_Toc206669224"/>
      <w:r w:rsidRPr="00203EB0">
        <w:rPr>
          <w:b/>
        </w:rPr>
        <w:lastRenderedPageBreak/>
        <w:t xml:space="preserve">Table </w:t>
      </w:r>
      <w:r w:rsidR="00775F57" w:rsidRPr="00203EB0">
        <w:rPr>
          <w:b/>
        </w:rPr>
        <w:fldChar w:fldCharType="begin"/>
      </w:r>
      <w:r w:rsidR="00775F57" w:rsidRPr="00203EB0">
        <w:rPr>
          <w:b/>
        </w:rPr>
        <w:instrText xml:space="preserve"> STYLEREF 1 \s </w:instrText>
      </w:r>
      <w:r w:rsidR="00775F57" w:rsidRPr="00203EB0">
        <w:rPr>
          <w:b/>
        </w:rPr>
        <w:fldChar w:fldCharType="separate"/>
      </w:r>
      <w:r w:rsidR="00D56363" w:rsidRPr="00203EB0">
        <w:rPr>
          <w:b/>
        </w:rPr>
        <w:t>5</w:t>
      </w:r>
      <w:r w:rsidR="00775F57" w:rsidRPr="00203EB0">
        <w:rPr>
          <w:b/>
        </w:rPr>
        <w:fldChar w:fldCharType="end"/>
      </w:r>
      <w:r w:rsidR="00775F57" w:rsidRPr="00203EB0">
        <w:rPr>
          <w:b/>
        </w:rPr>
        <w:t>.</w:t>
      </w:r>
      <w:r w:rsidR="00775F57" w:rsidRPr="00203EB0">
        <w:rPr>
          <w:b/>
        </w:rPr>
        <w:fldChar w:fldCharType="begin"/>
      </w:r>
      <w:r w:rsidR="00775F57" w:rsidRPr="00203EB0">
        <w:rPr>
          <w:b/>
        </w:rPr>
        <w:instrText xml:space="preserve"> SEQ Table \* ARABIC \s 1 </w:instrText>
      </w:r>
      <w:r w:rsidR="00775F57" w:rsidRPr="00203EB0">
        <w:rPr>
          <w:b/>
        </w:rPr>
        <w:fldChar w:fldCharType="separate"/>
      </w:r>
      <w:r w:rsidR="00D56363" w:rsidRPr="00203EB0">
        <w:rPr>
          <w:b/>
        </w:rPr>
        <w:t>1</w:t>
      </w:r>
      <w:r w:rsidR="00775F57" w:rsidRPr="00203EB0">
        <w:rPr>
          <w:b/>
        </w:rPr>
        <w:fldChar w:fldCharType="end"/>
      </w:r>
      <w:r w:rsidRPr="00203EB0">
        <w:rPr>
          <w:b/>
        </w:rPr>
        <w:t>:</w:t>
      </w:r>
      <w:r w:rsidRPr="00203EB0">
        <w:t xml:space="preserve"> </w:t>
      </w:r>
      <w:r w:rsidRPr="00203EB0">
        <w:rPr>
          <w:rFonts w:cs="Times New Roman"/>
        </w:rPr>
        <w:t>Four-way factorial P</w:t>
      </w:r>
      <w:r w:rsidR="00BE0243" w:rsidRPr="00203EB0">
        <w:rPr>
          <w:rFonts w:cs="Times New Roman"/>
        </w:rPr>
        <w:t>ER</w:t>
      </w:r>
      <w:r w:rsidRPr="00203EB0">
        <w:rPr>
          <w:rFonts w:cs="Times New Roman"/>
        </w:rPr>
        <w:t xml:space="preserve">MANOVA results for soil microbial community composition (846 taxa) across depths (0-10 and 10-20 cm), based on Bray-Curtis dissimilarities of relative abundances. Shown are pseudo-F statistics, degrees of freedom (total </w:t>
      </w:r>
      <w:proofErr w:type="spellStart"/>
      <w:r w:rsidRPr="00203EB0">
        <w:rPr>
          <w:rFonts w:cs="Times New Roman"/>
        </w:rPr>
        <w:t>df</w:t>
      </w:r>
      <w:proofErr w:type="spellEnd"/>
      <w:r w:rsidRPr="00203EB0">
        <w:rPr>
          <w:rFonts w:cs="Times New Roman"/>
        </w:rPr>
        <w:t xml:space="preserve"> =153 for 0-10 cm and 109 for 10-20 cm), p-values, and partial omega-squared effect sizes for significant factors.</w:t>
      </w:r>
      <w:bookmarkEnd w:id="94"/>
    </w:p>
    <w:p w14:paraId="043EDD55" w14:textId="77777777" w:rsidR="008B29C1" w:rsidRPr="00203EB0" w:rsidRDefault="008B29C1" w:rsidP="008B29C1">
      <w:pPr>
        <w:rPr>
          <w:rFonts w:cs="Times New Roman"/>
        </w:rPr>
      </w:pPr>
    </w:p>
    <w:tbl>
      <w:tblPr>
        <w:tblStyle w:val="TableGrid"/>
        <w:tblW w:w="0" w:type="auto"/>
        <w:tblLook w:val="04A0" w:firstRow="1" w:lastRow="0" w:firstColumn="1" w:lastColumn="0" w:noHBand="0" w:noVBand="1"/>
      </w:tblPr>
      <w:tblGrid>
        <w:gridCol w:w="2786"/>
        <w:gridCol w:w="1370"/>
        <w:gridCol w:w="848"/>
        <w:gridCol w:w="1386"/>
        <w:gridCol w:w="835"/>
        <w:gridCol w:w="1415"/>
      </w:tblGrid>
      <w:tr w:rsidR="008B29C1" w:rsidRPr="00203EB0" w14:paraId="38AD2174" w14:textId="77777777" w:rsidTr="008B29C1">
        <w:tc>
          <w:tcPr>
            <w:tcW w:w="2786" w:type="dxa"/>
            <w:tcBorders>
              <w:top w:val="single" w:sz="4" w:space="0" w:color="auto"/>
              <w:left w:val="nil"/>
              <w:bottom w:val="single" w:sz="4" w:space="0" w:color="auto"/>
              <w:right w:val="nil"/>
            </w:tcBorders>
          </w:tcPr>
          <w:p w14:paraId="1C17CC9F" w14:textId="77777777" w:rsidR="008B29C1" w:rsidRPr="00203EB0" w:rsidRDefault="008B29C1" w:rsidP="001A7B9A">
            <w:pPr>
              <w:jc w:val="center"/>
              <w:rPr>
                <w:rFonts w:cs="Times New Roman"/>
                <w:b/>
              </w:rPr>
            </w:pPr>
          </w:p>
        </w:tc>
        <w:tc>
          <w:tcPr>
            <w:tcW w:w="5854" w:type="dxa"/>
            <w:gridSpan w:val="5"/>
            <w:tcBorders>
              <w:top w:val="single" w:sz="4" w:space="0" w:color="auto"/>
              <w:left w:val="nil"/>
              <w:bottom w:val="single" w:sz="4" w:space="0" w:color="auto"/>
              <w:right w:val="nil"/>
            </w:tcBorders>
          </w:tcPr>
          <w:p w14:paraId="5811A9D4" w14:textId="77777777" w:rsidR="008B29C1" w:rsidRPr="00203EB0" w:rsidRDefault="008B29C1" w:rsidP="001A7B9A">
            <w:pPr>
              <w:jc w:val="center"/>
              <w:rPr>
                <w:rFonts w:cs="Times New Roman"/>
                <w:b/>
              </w:rPr>
            </w:pPr>
            <w:r w:rsidRPr="00203EB0">
              <w:rPr>
                <w:rFonts w:cs="Times New Roman"/>
                <w:b/>
              </w:rPr>
              <w:t>0-10 cm</w:t>
            </w:r>
          </w:p>
        </w:tc>
      </w:tr>
      <w:tr w:rsidR="008B29C1" w:rsidRPr="00203EB0" w14:paraId="3601E3FF" w14:textId="77777777" w:rsidTr="008B29C1">
        <w:trPr>
          <w:trHeight w:val="355"/>
        </w:trPr>
        <w:tc>
          <w:tcPr>
            <w:tcW w:w="2786" w:type="dxa"/>
            <w:tcBorders>
              <w:top w:val="single" w:sz="4" w:space="0" w:color="auto"/>
              <w:left w:val="nil"/>
              <w:bottom w:val="single" w:sz="4" w:space="0" w:color="auto"/>
              <w:right w:val="nil"/>
            </w:tcBorders>
          </w:tcPr>
          <w:p w14:paraId="64E92725" w14:textId="77777777" w:rsidR="008B29C1" w:rsidRPr="00203EB0" w:rsidRDefault="008B29C1" w:rsidP="001A7B9A">
            <w:pPr>
              <w:jc w:val="center"/>
              <w:rPr>
                <w:rFonts w:cs="Times New Roman"/>
                <w:b/>
              </w:rPr>
            </w:pPr>
            <w:r w:rsidRPr="00203EB0">
              <w:rPr>
                <w:rFonts w:cs="Times New Roman"/>
                <w:b/>
              </w:rPr>
              <w:t>Treatments</w:t>
            </w:r>
          </w:p>
        </w:tc>
        <w:tc>
          <w:tcPr>
            <w:tcW w:w="1370" w:type="dxa"/>
            <w:tcBorders>
              <w:top w:val="single" w:sz="4" w:space="0" w:color="auto"/>
              <w:left w:val="nil"/>
              <w:bottom w:val="single" w:sz="4" w:space="0" w:color="auto"/>
              <w:right w:val="nil"/>
            </w:tcBorders>
          </w:tcPr>
          <w:p w14:paraId="5F8FA5A2" w14:textId="77777777" w:rsidR="008B29C1" w:rsidRPr="00203EB0" w:rsidRDefault="008B29C1" w:rsidP="001A7B9A">
            <w:pPr>
              <w:jc w:val="center"/>
              <w:rPr>
                <w:rFonts w:cs="Times New Roman"/>
                <w:b/>
              </w:rPr>
            </w:pPr>
            <w:r w:rsidRPr="00203EB0">
              <w:rPr>
                <w:rFonts w:cs="Times New Roman"/>
                <w:b/>
              </w:rPr>
              <w:t>Pseudo-F</w:t>
            </w:r>
          </w:p>
        </w:tc>
        <w:tc>
          <w:tcPr>
            <w:tcW w:w="848" w:type="dxa"/>
            <w:tcBorders>
              <w:top w:val="single" w:sz="4" w:space="0" w:color="auto"/>
              <w:left w:val="nil"/>
              <w:bottom w:val="single" w:sz="4" w:space="0" w:color="auto"/>
              <w:right w:val="nil"/>
            </w:tcBorders>
          </w:tcPr>
          <w:p w14:paraId="24D226F9" w14:textId="77777777" w:rsidR="008B29C1" w:rsidRPr="00203EB0" w:rsidRDefault="008B29C1" w:rsidP="001A7B9A">
            <w:pPr>
              <w:jc w:val="center"/>
              <w:rPr>
                <w:rFonts w:cs="Times New Roman"/>
                <w:b/>
              </w:rPr>
            </w:pPr>
            <w:proofErr w:type="spellStart"/>
            <w:r w:rsidRPr="00203EB0">
              <w:rPr>
                <w:rFonts w:cs="Times New Roman"/>
                <w:b/>
              </w:rPr>
              <w:t>df</w:t>
            </w:r>
            <w:proofErr w:type="spellEnd"/>
          </w:p>
        </w:tc>
        <w:tc>
          <w:tcPr>
            <w:tcW w:w="1386" w:type="dxa"/>
            <w:tcBorders>
              <w:top w:val="single" w:sz="4" w:space="0" w:color="auto"/>
              <w:left w:val="nil"/>
              <w:bottom w:val="single" w:sz="4" w:space="0" w:color="auto"/>
              <w:right w:val="nil"/>
            </w:tcBorders>
          </w:tcPr>
          <w:p w14:paraId="2D2DE03F" w14:textId="77777777" w:rsidR="008B29C1" w:rsidRPr="00203EB0" w:rsidRDefault="008B29C1" w:rsidP="001A7B9A">
            <w:pPr>
              <w:rPr>
                <w:rFonts w:cs="Times New Roman"/>
                <w:b/>
              </w:rPr>
            </w:pPr>
            <w:r w:rsidRPr="00203EB0">
              <w:rPr>
                <w:rFonts w:cs="Times New Roman"/>
                <w:b/>
              </w:rPr>
              <w:t xml:space="preserve">    p-value</w:t>
            </w:r>
          </w:p>
        </w:tc>
        <w:tc>
          <w:tcPr>
            <w:tcW w:w="835" w:type="dxa"/>
            <w:tcBorders>
              <w:top w:val="single" w:sz="4" w:space="0" w:color="auto"/>
              <w:left w:val="nil"/>
              <w:bottom w:val="single" w:sz="4" w:space="0" w:color="auto"/>
              <w:right w:val="nil"/>
            </w:tcBorders>
          </w:tcPr>
          <w:p w14:paraId="540096CB" w14:textId="77777777" w:rsidR="008B29C1" w:rsidRPr="00203EB0" w:rsidRDefault="00000000" w:rsidP="001A7B9A">
            <w:pPr>
              <w:jc w:val="center"/>
              <w:rPr>
                <w:rFonts w:cs="Times New Roman"/>
                <w:b/>
              </w:rPr>
            </w:pPr>
            <m:oMathPara>
              <m:oMath>
                <m:sSubSup>
                  <m:sSubSupPr>
                    <m:ctrlPr>
                      <w:rPr>
                        <w:rFonts w:ascii="Cambria Math" w:hAnsi="Cambria Math" w:cs="Times New Roman"/>
                        <w:b/>
                        <w:i/>
                      </w:rPr>
                    </m:ctrlPr>
                  </m:sSubSupPr>
                  <m:e>
                    <m:r>
                      <m:rPr>
                        <m:sty m:val="bi"/>
                      </m:rPr>
                      <w:rPr>
                        <w:rFonts w:ascii="Cambria Math" w:hAnsi="Cambria Math" w:cs="Times New Roman"/>
                      </w:rPr>
                      <m:t>ω</m:t>
                    </m:r>
                  </m:e>
                  <m:sub>
                    <m:r>
                      <m:rPr>
                        <m:sty m:val="bi"/>
                      </m:rPr>
                      <w:rPr>
                        <w:rFonts w:ascii="Cambria Math" w:hAnsi="Cambria Math" w:cs="Times New Roman"/>
                      </w:rPr>
                      <m:t>p</m:t>
                    </m:r>
                  </m:sub>
                  <m:sup>
                    <m:r>
                      <m:rPr>
                        <m:sty m:val="bi"/>
                      </m:rPr>
                      <w:rPr>
                        <w:rFonts w:ascii="Cambria Math" w:hAnsi="Cambria Math" w:cs="Times New Roman"/>
                      </w:rPr>
                      <m:t>2</m:t>
                    </m:r>
                  </m:sup>
                </m:sSubSup>
              </m:oMath>
            </m:oMathPara>
          </w:p>
        </w:tc>
        <w:tc>
          <w:tcPr>
            <w:tcW w:w="1415" w:type="dxa"/>
            <w:tcBorders>
              <w:top w:val="single" w:sz="4" w:space="0" w:color="auto"/>
              <w:left w:val="nil"/>
              <w:bottom w:val="single" w:sz="4" w:space="0" w:color="auto"/>
              <w:right w:val="nil"/>
            </w:tcBorders>
          </w:tcPr>
          <w:p w14:paraId="35A5D5A5" w14:textId="77777777" w:rsidR="008B29C1" w:rsidRPr="00203EB0" w:rsidRDefault="008B29C1" w:rsidP="001A7B9A">
            <w:pPr>
              <w:jc w:val="center"/>
              <w:rPr>
                <w:rFonts w:cs="Times New Roman"/>
                <w:b/>
              </w:rPr>
            </w:pPr>
            <w:r w:rsidRPr="00203EB0">
              <w:rPr>
                <w:rFonts w:cs="Times New Roman"/>
                <w:b/>
              </w:rPr>
              <w:t>Effect size</w:t>
            </w:r>
          </w:p>
        </w:tc>
      </w:tr>
      <w:tr w:rsidR="008B29C1" w:rsidRPr="00203EB0" w14:paraId="198A79EF" w14:textId="77777777" w:rsidTr="008B29C1">
        <w:tc>
          <w:tcPr>
            <w:tcW w:w="2786" w:type="dxa"/>
            <w:tcBorders>
              <w:top w:val="single" w:sz="4" w:space="0" w:color="auto"/>
              <w:left w:val="nil"/>
              <w:bottom w:val="nil"/>
              <w:right w:val="nil"/>
            </w:tcBorders>
          </w:tcPr>
          <w:p w14:paraId="01948B4D" w14:textId="77777777" w:rsidR="008B29C1" w:rsidRPr="00203EB0" w:rsidRDefault="008B29C1" w:rsidP="001A7B9A">
            <w:pPr>
              <w:rPr>
                <w:rFonts w:cs="Times New Roman"/>
              </w:rPr>
            </w:pPr>
            <w:r w:rsidRPr="00203EB0">
              <w:rPr>
                <w:rFonts w:cs="Times New Roman"/>
              </w:rPr>
              <w:t>Time-point</w:t>
            </w:r>
          </w:p>
        </w:tc>
        <w:tc>
          <w:tcPr>
            <w:tcW w:w="1370" w:type="dxa"/>
            <w:tcBorders>
              <w:top w:val="single" w:sz="4" w:space="0" w:color="auto"/>
              <w:left w:val="nil"/>
              <w:bottom w:val="nil"/>
              <w:right w:val="nil"/>
            </w:tcBorders>
          </w:tcPr>
          <w:p w14:paraId="3AB0BE66" w14:textId="77777777" w:rsidR="008B29C1" w:rsidRPr="00203EB0" w:rsidRDefault="008B29C1" w:rsidP="001A7B9A">
            <w:pPr>
              <w:jc w:val="center"/>
              <w:rPr>
                <w:rFonts w:cs="Times New Roman"/>
              </w:rPr>
            </w:pPr>
            <w:r w:rsidRPr="00203EB0">
              <w:rPr>
                <w:rFonts w:cs="Times New Roman"/>
              </w:rPr>
              <w:t>3.43</w:t>
            </w:r>
          </w:p>
        </w:tc>
        <w:tc>
          <w:tcPr>
            <w:tcW w:w="848" w:type="dxa"/>
            <w:tcBorders>
              <w:top w:val="single" w:sz="4" w:space="0" w:color="auto"/>
              <w:left w:val="nil"/>
              <w:bottom w:val="nil"/>
              <w:right w:val="nil"/>
            </w:tcBorders>
          </w:tcPr>
          <w:p w14:paraId="29851617" w14:textId="77777777" w:rsidR="008B29C1" w:rsidRPr="00203EB0" w:rsidRDefault="008B29C1" w:rsidP="001A7B9A">
            <w:pPr>
              <w:jc w:val="center"/>
              <w:rPr>
                <w:rFonts w:cs="Times New Roman"/>
              </w:rPr>
            </w:pPr>
            <w:r w:rsidRPr="00203EB0">
              <w:rPr>
                <w:rFonts w:cs="Times New Roman"/>
              </w:rPr>
              <w:t>4</w:t>
            </w:r>
          </w:p>
        </w:tc>
        <w:tc>
          <w:tcPr>
            <w:tcW w:w="1386" w:type="dxa"/>
            <w:tcBorders>
              <w:top w:val="single" w:sz="4" w:space="0" w:color="auto"/>
              <w:left w:val="nil"/>
              <w:bottom w:val="nil"/>
              <w:right w:val="nil"/>
            </w:tcBorders>
          </w:tcPr>
          <w:p w14:paraId="71AD36C9" w14:textId="77777777" w:rsidR="008B29C1" w:rsidRPr="00203EB0" w:rsidRDefault="008B29C1" w:rsidP="001A7B9A">
            <w:pPr>
              <w:jc w:val="center"/>
              <w:rPr>
                <w:rFonts w:cs="Times New Roman"/>
              </w:rPr>
            </w:pPr>
            <w:r w:rsidRPr="00203EB0">
              <w:rPr>
                <w:rFonts w:cs="Times New Roman"/>
              </w:rPr>
              <w:t>0.001*</w:t>
            </w:r>
          </w:p>
        </w:tc>
        <w:tc>
          <w:tcPr>
            <w:tcW w:w="835" w:type="dxa"/>
            <w:tcBorders>
              <w:top w:val="single" w:sz="4" w:space="0" w:color="auto"/>
              <w:left w:val="nil"/>
              <w:bottom w:val="nil"/>
              <w:right w:val="nil"/>
            </w:tcBorders>
          </w:tcPr>
          <w:p w14:paraId="1D1BB355" w14:textId="77777777" w:rsidR="008B29C1" w:rsidRPr="00203EB0" w:rsidRDefault="008B29C1" w:rsidP="001A7B9A">
            <w:pPr>
              <w:jc w:val="center"/>
              <w:rPr>
                <w:rFonts w:cs="Times New Roman"/>
              </w:rPr>
            </w:pPr>
            <w:r w:rsidRPr="00203EB0">
              <w:rPr>
                <w:rFonts w:cs="Times New Roman"/>
              </w:rPr>
              <w:t>0.076</w:t>
            </w:r>
          </w:p>
        </w:tc>
        <w:tc>
          <w:tcPr>
            <w:tcW w:w="1415" w:type="dxa"/>
            <w:tcBorders>
              <w:top w:val="single" w:sz="4" w:space="0" w:color="auto"/>
              <w:left w:val="nil"/>
              <w:bottom w:val="nil"/>
              <w:right w:val="nil"/>
            </w:tcBorders>
          </w:tcPr>
          <w:p w14:paraId="4ABB9686" w14:textId="77777777" w:rsidR="008B29C1" w:rsidRPr="00203EB0" w:rsidRDefault="008B29C1" w:rsidP="001A7B9A">
            <w:pPr>
              <w:rPr>
                <w:rFonts w:cs="Times New Roman"/>
              </w:rPr>
            </w:pPr>
            <w:r w:rsidRPr="00203EB0">
              <w:rPr>
                <w:rFonts w:cs="Times New Roman"/>
              </w:rPr>
              <w:t>Medium</w:t>
            </w:r>
          </w:p>
        </w:tc>
      </w:tr>
      <w:tr w:rsidR="008B29C1" w:rsidRPr="00203EB0" w14:paraId="11CADC56" w14:textId="77777777" w:rsidTr="008B29C1">
        <w:tc>
          <w:tcPr>
            <w:tcW w:w="2786" w:type="dxa"/>
            <w:tcBorders>
              <w:top w:val="nil"/>
              <w:left w:val="nil"/>
              <w:bottom w:val="nil"/>
              <w:right w:val="nil"/>
            </w:tcBorders>
          </w:tcPr>
          <w:p w14:paraId="707484D6" w14:textId="77777777" w:rsidR="008B29C1" w:rsidRPr="00203EB0" w:rsidRDefault="008B29C1" w:rsidP="001A7B9A">
            <w:pPr>
              <w:rPr>
                <w:rFonts w:cs="Times New Roman"/>
              </w:rPr>
            </w:pPr>
            <w:r w:rsidRPr="00203EB0">
              <w:rPr>
                <w:rFonts w:cs="Times New Roman"/>
              </w:rPr>
              <w:t>Fertilizer</w:t>
            </w:r>
          </w:p>
        </w:tc>
        <w:tc>
          <w:tcPr>
            <w:tcW w:w="1370" w:type="dxa"/>
            <w:tcBorders>
              <w:top w:val="nil"/>
              <w:left w:val="nil"/>
              <w:bottom w:val="nil"/>
              <w:right w:val="nil"/>
            </w:tcBorders>
          </w:tcPr>
          <w:p w14:paraId="4118FCBB" w14:textId="77777777" w:rsidR="008B29C1" w:rsidRPr="00203EB0" w:rsidRDefault="008B29C1" w:rsidP="001A7B9A">
            <w:pPr>
              <w:jc w:val="center"/>
              <w:rPr>
                <w:rFonts w:cs="Times New Roman"/>
              </w:rPr>
            </w:pPr>
            <w:r w:rsidRPr="00203EB0">
              <w:rPr>
                <w:rFonts w:cs="Times New Roman"/>
              </w:rPr>
              <w:t>11.7</w:t>
            </w:r>
          </w:p>
        </w:tc>
        <w:tc>
          <w:tcPr>
            <w:tcW w:w="848" w:type="dxa"/>
            <w:tcBorders>
              <w:top w:val="nil"/>
              <w:left w:val="nil"/>
              <w:bottom w:val="nil"/>
              <w:right w:val="nil"/>
            </w:tcBorders>
          </w:tcPr>
          <w:p w14:paraId="76A4567D"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19970155" w14:textId="77777777" w:rsidR="008B29C1" w:rsidRPr="00203EB0" w:rsidRDefault="008B29C1" w:rsidP="001A7B9A">
            <w:pPr>
              <w:jc w:val="center"/>
              <w:rPr>
                <w:rFonts w:cs="Times New Roman"/>
              </w:rPr>
            </w:pPr>
            <w:r w:rsidRPr="00203EB0">
              <w:rPr>
                <w:rFonts w:cs="Times New Roman"/>
              </w:rPr>
              <w:t>0.001*</w:t>
            </w:r>
          </w:p>
        </w:tc>
        <w:tc>
          <w:tcPr>
            <w:tcW w:w="835" w:type="dxa"/>
            <w:tcBorders>
              <w:top w:val="nil"/>
              <w:left w:val="nil"/>
              <w:bottom w:val="nil"/>
              <w:right w:val="nil"/>
            </w:tcBorders>
          </w:tcPr>
          <w:p w14:paraId="511AE089" w14:textId="77777777" w:rsidR="008B29C1" w:rsidRPr="00203EB0" w:rsidRDefault="008B29C1" w:rsidP="001A7B9A">
            <w:pPr>
              <w:jc w:val="center"/>
              <w:rPr>
                <w:rFonts w:cs="Times New Roman"/>
              </w:rPr>
            </w:pPr>
            <w:r w:rsidRPr="00203EB0">
              <w:rPr>
                <w:rFonts w:cs="Times New Roman"/>
              </w:rPr>
              <w:t>0.085</w:t>
            </w:r>
          </w:p>
        </w:tc>
        <w:tc>
          <w:tcPr>
            <w:tcW w:w="1415" w:type="dxa"/>
            <w:tcBorders>
              <w:top w:val="nil"/>
              <w:left w:val="nil"/>
              <w:bottom w:val="nil"/>
              <w:right w:val="nil"/>
            </w:tcBorders>
          </w:tcPr>
          <w:p w14:paraId="0F24CCA0" w14:textId="77777777" w:rsidR="008B29C1" w:rsidRPr="00203EB0" w:rsidRDefault="008B29C1" w:rsidP="001A7B9A">
            <w:pPr>
              <w:rPr>
                <w:rFonts w:cs="Times New Roman"/>
              </w:rPr>
            </w:pPr>
            <w:r w:rsidRPr="00203EB0">
              <w:rPr>
                <w:rFonts w:cs="Times New Roman"/>
              </w:rPr>
              <w:t>Medium</w:t>
            </w:r>
          </w:p>
        </w:tc>
      </w:tr>
      <w:tr w:rsidR="008B29C1" w:rsidRPr="00203EB0" w14:paraId="28181BD1" w14:textId="77777777" w:rsidTr="008B29C1">
        <w:tc>
          <w:tcPr>
            <w:tcW w:w="2786" w:type="dxa"/>
            <w:tcBorders>
              <w:top w:val="nil"/>
              <w:left w:val="nil"/>
              <w:bottom w:val="nil"/>
              <w:right w:val="nil"/>
            </w:tcBorders>
          </w:tcPr>
          <w:p w14:paraId="2E738A49" w14:textId="77777777" w:rsidR="008B29C1" w:rsidRPr="00203EB0" w:rsidRDefault="008B29C1" w:rsidP="001A7B9A">
            <w:pPr>
              <w:rPr>
                <w:rFonts w:cs="Times New Roman"/>
              </w:rPr>
            </w:pPr>
            <w:r w:rsidRPr="00203EB0">
              <w:rPr>
                <w:rFonts w:cs="Times New Roman"/>
              </w:rPr>
              <w:t>Till</w:t>
            </w:r>
          </w:p>
        </w:tc>
        <w:tc>
          <w:tcPr>
            <w:tcW w:w="1370" w:type="dxa"/>
            <w:tcBorders>
              <w:top w:val="nil"/>
              <w:left w:val="nil"/>
              <w:bottom w:val="nil"/>
              <w:right w:val="nil"/>
            </w:tcBorders>
          </w:tcPr>
          <w:p w14:paraId="218CF175" w14:textId="77777777" w:rsidR="008B29C1" w:rsidRPr="00203EB0" w:rsidRDefault="008B29C1" w:rsidP="001A7B9A">
            <w:pPr>
              <w:jc w:val="center"/>
              <w:rPr>
                <w:rFonts w:cs="Times New Roman"/>
              </w:rPr>
            </w:pPr>
            <w:r w:rsidRPr="00203EB0">
              <w:rPr>
                <w:rFonts w:cs="Times New Roman"/>
              </w:rPr>
              <w:t>8.51</w:t>
            </w:r>
          </w:p>
        </w:tc>
        <w:tc>
          <w:tcPr>
            <w:tcW w:w="848" w:type="dxa"/>
            <w:tcBorders>
              <w:top w:val="nil"/>
              <w:left w:val="nil"/>
              <w:bottom w:val="nil"/>
              <w:right w:val="nil"/>
            </w:tcBorders>
          </w:tcPr>
          <w:p w14:paraId="3717CE4D"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27522DAD" w14:textId="77777777" w:rsidR="008B29C1" w:rsidRPr="00203EB0" w:rsidRDefault="008B29C1" w:rsidP="001A7B9A">
            <w:pPr>
              <w:jc w:val="center"/>
              <w:rPr>
                <w:rFonts w:cs="Times New Roman"/>
              </w:rPr>
            </w:pPr>
            <w:r w:rsidRPr="00203EB0">
              <w:rPr>
                <w:rFonts w:cs="Times New Roman"/>
              </w:rPr>
              <w:t>0.001*</w:t>
            </w:r>
          </w:p>
        </w:tc>
        <w:tc>
          <w:tcPr>
            <w:tcW w:w="835" w:type="dxa"/>
            <w:tcBorders>
              <w:top w:val="nil"/>
              <w:left w:val="nil"/>
              <w:bottom w:val="nil"/>
              <w:right w:val="nil"/>
            </w:tcBorders>
          </w:tcPr>
          <w:p w14:paraId="16AF0730" w14:textId="77777777" w:rsidR="008B29C1" w:rsidRPr="00203EB0" w:rsidRDefault="008B29C1" w:rsidP="001A7B9A">
            <w:pPr>
              <w:jc w:val="center"/>
              <w:rPr>
                <w:rFonts w:cs="Times New Roman"/>
              </w:rPr>
            </w:pPr>
            <w:r w:rsidRPr="00203EB0">
              <w:rPr>
                <w:rFonts w:cs="Times New Roman"/>
              </w:rPr>
              <w:t>0.061</w:t>
            </w:r>
          </w:p>
        </w:tc>
        <w:tc>
          <w:tcPr>
            <w:tcW w:w="1415" w:type="dxa"/>
            <w:tcBorders>
              <w:top w:val="nil"/>
              <w:left w:val="nil"/>
              <w:bottom w:val="nil"/>
              <w:right w:val="nil"/>
            </w:tcBorders>
          </w:tcPr>
          <w:p w14:paraId="53B37EE6" w14:textId="77777777" w:rsidR="008B29C1" w:rsidRPr="00203EB0" w:rsidRDefault="008B29C1" w:rsidP="001A7B9A">
            <w:pPr>
              <w:rPr>
                <w:rFonts w:cs="Times New Roman"/>
              </w:rPr>
            </w:pPr>
            <w:r w:rsidRPr="00203EB0">
              <w:rPr>
                <w:rFonts w:cs="Times New Roman"/>
              </w:rPr>
              <w:t>Medium</w:t>
            </w:r>
          </w:p>
        </w:tc>
      </w:tr>
      <w:tr w:rsidR="008B29C1" w:rsidRPr="00203EB0" w14:paraId="428B6E5B" w14:textId="77777777" w:rsidTr="008B29C1">
        <w:tc>
          <w:tcPr>
            <w:tcW w:w="2786" w:type="dxa"/>
            <w:tcBorders>
              <w:top w:val="nil"/>
              <w:left w:val="nil"/>
              <w:bottom w:val="nil"/>
              <w:right w:val="nil"/>
            </w:tcBorders>
          </w:tcPr>
          <w:p w14:paraId="3FEFE7BC" w14:textId="77777777" w:rsidR="008B29C1" w:rsidRPr="00203EB0" w:rsidRDefault="008B29C1" w:rsidP="001A7B9A">
            <w:pPr>
              <w:rPr>
                <w:rFonts w:cs="Times New Roman"/>
              </w:rPr>
            </w:pPr>
            <w:r w:rsidRPr="00203EB0">
              <w:rPr>
                <w:rFonts w:cs="Times New Roman"/>
              </w:rPr>
              <w:t>Cover</w:t>
            </w:r>
          </w:p>
        </w:tc>
        <w:tc>
          <w:tcPr>
            <w:tcW w:w="1370" w:type="dxa"/>
            <w:tcBorders>
              <w:top w:val="nil"/>
              <w:left w:val="nil"/>
              <w:bottom w:val="nil"/>
              <w:right w:val="nil"/>
            </w:tcBorders>
          </w:tcPr>
          <w:p w14:paraId="7199E3B9" w14:textId="77777777" w:rsidR="008B29C1" w:rsidRPr="00203EB0" w:rsidRDefault="008B29C1" w:rsidP="001A7B9A">
            <w:pPr>
              <w:jc w:val="center"/>
              <w:rPr>
                <w:rFonts w:cs="Times New Roman"/>
              </w:rPr>
            </w:pPr>
            <w:r w:rsidRPr="00203EB0">
              <w:rPr>
                <w:rFonts w:cs="Times New Roman"/>
              </w:rPr>
              <w:t>2.83</w:t>
            </w:r>
          </w:p>
        </w:tc>
        <w:tc>
          <w:tcPr>
            <w:tcW w:w="848" w:type="dxa"/>
            <w:tcBorders>
              <w:top w:val="nil"/>
              <w:left w:val="nil"/>
              <w:bottom w:val="nil"/>
              <w:right w:val="nil"/>
            </w:tcBorders>
          </w:tcPr>
          <w:p w14:paraId="37C21489"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2B9AAE01" w14:textId="77777777" w:rsidR="008B29C1" w:rsidRPr="00203EB0" w:rsidRDefault="008B29C1" w:rsidP="001A7B9A">
            <w:pPr>
              <w:jc w:val="center"/>
              <w:rPr>
                <w:rFonts w:cs="Times New Roman"/>
              </w:rPr>
            </w:pPr>
            <w:r w:rsidRPr="00203EB0">
              <w:rPr>
                <w:rFonts w:cs="Times New Roman"/>
              </w:rPr>
              <w:t>0.001*</w:t>
            </w:r>
          </w:p>
        </w:tc>
        <w:tc>
          <w:tcPr>
            <w:tcW w:w="835" w:type="dxa"/>
            <w:tcBorders>
              <w:top w:val="nil"/>
              <w:left w:val="nil"/>
              <w:bottom w:val="nil"/>
              <w:right w:val="nil"/>
            </w:tcBorders>
          </w:tcPr>
          <w:p w14:paraId="681214DB" w14:textId="77777777" w:rsidR="008B29C1" w:rsidRPr="00203EB0" w:rsidRDefault="008B29C1" w:rsidP="001A7B9A">
            <w:pPr>
              <w:jc w:val="center"/>
              <w:rPr>
                <w:rFonts w:cs="Times New Roman"/>
              </w:rPr>
            </w:pPr>
            <w:r w:rsidRPr="00203EB0">
              <w:rPr>
                <w:rFonts w:cs="Times New Roman"/>
              </w:rPr>
              <w:t>0.016</w:t>
            </w:r>
          </w:p>
        </w:tc>
        <w:tc>
          <w:tcPr>
            <w:tcW w:w="1415" w:type="dxa"/>
            <w:tcBorders>
              <w:top w:val="nil"/>
              <w:left w:val="nil"/>
              <w:bottom w:val="nil"/>
              <w:right w:val="nil"/>
            </w:tcBorders>
          </w:tcPr>
          <w:p w14:paraId="18B7141D" w14:textId="77777777" w:rsidR="008B29C1" w:rsidRPr="00203EB0" w:rsidRDefault="008B29C1" w:rsidP="001A7B9A">
            <w:pPr>
              <w:rPr>
                <w:rFonts w:cs="Times New Roman"/>
              </w:rPr>
            </w:pPr>
            <w:r w:rsidRPr="00203EB0">
              <w:rPr>
                <w:rFonts w:cs="Times New Roman"/>
              </w:rPr>
              <w:t>Small</w:t>
            </w:r>
          </w:p>
        </w:tc>
      </w:tr>
      <w:tr w:rsidR="008B29C1" w:rsidRPr="00203EB0" w14:paraId="169CEB40" w14:textId="77777777" w:rsidTr="008B29C1">
        <w:tc>
          <w:tcPr>
            <w:tcW w:w="2786" w:type="dxa"/>
            <w:tcBorders>
              <w:top w:val="nil"/>
              <w:left w:val="nil"/>
              <w:bottom w:val="nil"/>
              <w:right w:val="nil"/>
            </w:tcBorders>
          </w:tcPr>
          <w:p w14:paraId="7A158062" w14:textId="77777777" w:rsidR="008B29C1" w:rsidRPr="00203EB0" w:rsidRDefault="008B29C1" w:rsidP="001A7B9A">
            <w:pPr>
              <w:rPr>
                <w:rFonts w:cs="Times New Roman"/>
              </w:rPr>
            </w:pPr>
            <w:r w:rsidRPr="00203EB0">
              <w:rPr>
                <w:rFonts w:cs="Times New Roman"/>
              </w:rPr>
              <w:t>Time-point x Fert</w:t>
            </w:r>
          </w:p>
        </w:tc>
        <w:tc>
          <w:tcPr>
            <w:tcW w:w="1370" w:type="dxa"/>
            <w:tcBorders>
              <w:top w:val="nil"/>
              <w:left w:val="nil"/>
              <w:bottom w:val="nil"/>
              <w:right w:val="nil"/>
            </w:tcBorders>
          </w:tcPr>
          <w:p w14:paraId="25EB1BF3" w14:textId="77777777" w:rsidR="008B29C1" w:rsidRPr="00203EB0" w:rsidRDefault="008B29C1" w:rsidP="001A7B9A">
            <w:pPr>
              <w:jc w:val="center"/>
              <w:rPr>
                <w:rFonts w:cs="Times New Roman"/>
              </w:rPr>
            </w:pPr>
            <w:r w:rsidRPr="00203EB0">
              <w:rPr>
                <w:rFonts w:cs="Times New Roman"/>
              </w:rPr>
              <w:t>0.78</w:t>
            </w:r>
          </w:p>
        </w:tc>
        <w:tc>
          <w:tcPr>
            <w:tcW w:w="848" w:type="dxa"/>
            <w:tcBorders>
              <w:top w:val="nil"/>
              <w:left w:val="nil"/>
              <w:bottom w:val="nil"/>
              <w:right w:val="nil"/>
            </w:tcBorders>
          </w:tcPr>
          <w:p w14:paraId="479C05EE" w14:textId="77777777" w:rsidR="008B29C1" w:rsidRPr="00203EB0" w:rsidRDefault="008B29C1" w:rsidP="001A7B9A">
            <w:pPr>
              <w:jc w:val="center"/>
              <w:rPr>
                <w:rFonts w:cs="Times New Roman"/>
              </w:rPr>
            </w:pPr>
            <w:r w:rsidRPr="00203EB0">
              <w:rPr>
                <w:rFonts w:cs="Times New Roman"/>
              </w:rPr>
              <w:t>4</w:t>
            </w:r>
          </w:p>
        </w:tc>
        <w:tc>
          <w:tcPr>
            <w:tcW w:w="1386" w:type="dxa"/>
            <w:tcBorders>
              <w:top w:val="nil"/>
              <w:left w:val="nil"/>
              <w:bottom w:val="nil"/>
              <w:right w:val="nil"/>
            </w:tcBorders>
          </w:tcPr>
          <w:p w14:paraId="479C4E55" w14:textId="77777777" w:rsidR="008B29C1" w:rsidRPr="00203EB0" w:rsidRDefault="008B29C1" w:rsidP="001A7B9A">
            <w:pPr>
              <w:jc w:val="center"/>
              <w:rPr>
                <w:rFonts w:cs="Times New Roman"/>
              </w:rPr>
            </w:pPr>
            <w:r w:rsidRPr="00203EB0">
              <w:rPr>
                <w:rFonts w:cs="Times New Roman"/>
              </w:rPr>
              <w:t>0.897</w:t>
            </w:r>
          </w:p>
        </w:tc>
        <w:tc>
          <w:tcPr>
            <w:tcW w:w="835" w:type="dxa"/>
            <w:tcBorders>
              <w:top w:val="nil"/>
              <w:left w:val="nil"/>
              <w:bottom w:val="nil"/>
              <w:right w:val="nil"/>
            </w:tcBorders>
          </w:tcPr>
          <w:p w14:paraId="5275E8AC"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106BE781" w14:textId="77777777" w:rsidR="008B29C1" w:rsidRPr="00203EB0" w:rsidRDefault="008B29C1" w:rsidP="001A7B9A">
            <w:pPr>
              <w:rPr>
                <w:rFonts w:cs="Times New Roman"/>
              </w:rPr>
            </w:pPr>
          </w:p>
        </w:tc>
      </w:tr>
      <w:tr w:rsidR="008B29C1" w:rsidRPr="00203EB0" w14:paraId="13CB08DA" w14:textId="77777777" w:rsidTr="008B29C1">
        <w:tc>
          <w:tcPr>
            <w:tcW w:w="2786" w:type="dxa"/>
            <w:tcBorders>
              <w:top w:val="nil"/>
              <w:left w:val="nil"/>
              <w:bottom w:val="nil"/>
              <w:right w:val="nil"/>
            </w:tcBorders>
          </w:tcPr>
          <w:p w14:paraId="1CF9B03F" w14:textId="77777777" w:rsidR="008B29C1" w:rsidRPr="00203EB0" w:rsidRDefault="008B29C1" w:rsidP="001A7B9A">
            <w:pPr>
              <w:rPr>
                <w:rFonts w:cs="Times New Roman"/>
              </w:rPr>
            </w:pPr>
            <w:r w:rsidRPr="00203EB0">
              <w:rPr>
                <w:rFonts w:cs="Times New Roman"/>
              </w:rPr>
              <w:t xml:space="preserve">Time-point x </w:t>
            </w:r>
            <w:proofErr w:type="gramStart"/>
            <w:r w:rsidRPr="00203EB0">
              <w:rPr>
                <w:rFonts w:cs="Times New Roman"/>
              </w:rPr>
              <w:t>Till</w:t>
            </w:r>
            <w:proofErr w:type="gramEnd"/>
          </w:p>
        </w:tc>
        <w:tc>
          <w:tcPr>
            <w:tcW w:w="1370" w:type="dxa"/>
            <w:tcBorders>
              <w:top w:val="nil"/>
              <w:left w:val="nil"/>
              <w:bottom w:val="nil"/>
              <w:right w:val="nil"/>
            </w:tcBorders>
          </w:tcPr>
          <w:p w14:paraId="31EB2AFE" w14:textId="77777777" w:rsidR="008B29C1" w:rsidRPr="00203EB0" w:rsidRDefault="008B29C1" w:rsidP="001A7B9A">
            <w:pPr>
              <w:jc w:val="center"/>
              <w:rPr>
                <w:rFonts w:cs="Times New Roman"/>
              </w:rPr>
            </w:pPr>
            <w:r w:rsidRPr="00203EB0">
              <w:rPr>
                <w:rFonts w:cs="Times New Roman"/>
              </w:rPr>
              <w:t>0.89</w:t>
            </w:r>
          </w:p>
        </w:tc>
        <w:tc>
          <w:tcPr>
            <w:tcW w:w="848" w:type="dxa"/>
            <w:tcBorders>
              <w:top w:val="nil"/>
              <w:left w:val="nil"/>
              <w:bottom w:val="nil"/>
              <w:right w:val="nil"/>
            </w:tcBorders>
          </w:tcPr>
          <w:p w14:paraId="25DD1E67" w14:textId="77777777" w:rsidR="008B29C1" w:rsidRPr="00203EB0" w:rsidRDefault="008B29C1" w:rsidP="001A7B9A">
            <w:pPr>
              <w:jc w:val="center"/>
              <w:rPr>
                <w:rFonts w:cs="Times New Roman"/>
              </w:rPr>
            </w:pPr>
            <w:r w:rsidRPr="00203EB0">
              <w:rPr>
                <w:rFonts w:cs="Times New Roman"/>
              </w:rPr>
              <w:t>4</w:t>
            </w:r>
          </w:p>
        </w:tc>
        <w:tc>
          <w:tcPr>
            <w:tcW w:w="1386" w:type="dxa"/>
            <w:tcBorders>
              <w:top w:val="nil"/>
              <w:left w:val="nil"/>
              <w:bottom w:val="nil"/>
              <w:right w:val="nil"/>
            </w:tcBorders>
          </w:tcPr>
          <w:p w14:paraId="2EE41DE0" w14:textId="77777777" w:rsidR="008B29C1" w:rsidRPr="00203EB0" w:rsidRDefault="008B29C1" w:rsidP="001A7B9A">
            <w:pPr>
              <w:jc w:val="center"/>
              <w:rPr>
                <w:rFonts w:cs="Times New Roman"/>
              </w:rPr>
            </w:pPr>
            <w:r w:rsidRPr="00203EB0">
              <w:rPr>
                <w:rFonts w:cs="Times New Roman"/>
              </w:rPr>
              <w:t>0.651</w:t>
            </w:r>
          </w:p>
        </w:tc>
        <w:tc>
          <w:tcPr>
            <w:tcW w:w="835" w:type="dxa"/>
            <w:tcBorders>
              <w:top w:val="nil"/>
              <w:left w:val="nil"/>
              <w:bottom w:val="nil"/>
              <w:right w:val="nil"/>
            </w:tcBorders>
          </w:tcPr>
          <w:p w14:paraId="005AE6A8"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3A4F6B10" w14:textId="77777777" w:rsidR="008B29C1" w:rsidRPr="00203EB0" w:rsidRDefault="008B29C1" w:rsidP="001A7B9A">
            <w:pPr>
              <w:rPr>
                <w:rFonts w:cs="Times New Roman"/>
              </w:rPr>
            </w:pPr>
          </w:p>
        </w:tc>
      </w:tr>
      <w:tr w:rsidR="008B29C1" w:rsidRPr="00203EB0" w14:paraId="211C49A9" w14:textId="77777777" w:rsidTr="008B29C1">
        <w:tc>
          <w:tcPr>
            <w:tcW w:w="2786" w:type="dxa"/>
            <w:tcBorders>
              <w:top w:val="nil"/>
              <w:left w:val="nil"/>
              <w:bottom w:val="nil"/>
              <w:right w:val="nil"/>
            </w:tcBorders>
          </w:tcPr>
          <w:p w14:paraId="6F1F525B" w14:textId="77777777" w:rsidR="008B29C1" w:rsidRPr="00203EB0" w:rsidRDefault="008B29C1" w:rsidP="001A7B9A">
            <w:pPr>
              <w:rPr>
                <w:rFonts w:cs="Times New Roman"/>
              </w:rPr>
            </w:pPr>
            <w:r w:rsidRPr="00203EB0">
              <w:rPr>
                <w:rFonts w:cs="Times New Roman"/>
              </w:rPr>
              <w:t xml:space="preserve">Fert x </w:t>
            </w:r>
            <w:proofErr w:type="gramStart"/>
            <w:r w:rsidRPr="00203EB0">
              <w:rPr>
                <w:rFonts w:cs="Times New Roman"/>
              </w:rPr>
              <w:t>Till</w:t>
            </w:r>
            <w:proofErr w:type="gramEnd"/>
          </w:p>
        </w:tc>
        <w:tc>
          <w:tcPr>
            <w:tcW w:w="1370" w:type="dxa"/>
            <w:tcBorders>
              <w:top w:val="nil"/>
              <w:left w:val="nil"/>
              <w:bottom w:val="nil"/>
              <w:right w:val="nil"/>
            </w:tcBorders>
          </w:tcPr>
          <w:p w14:paraId="1FA771FC" w14:textId="77777777" w:rsidR="008B29C1" w:rsidRPr="00203EB0" w:rsidRDefault="008B29C1" w:rsidP="001A7B9A">
            <w:pPr>
              <w:jc w:val="center"/>
              <w:rPr>
                <w:rFonts w:cs="Times New Roman"/>
              </w:rPr>
            </w:pPr>
            <w:r w:rsidRPr="00203EB0">
              <w:rPr>
                <w:rFonts w:cs="Times New Roman"/>
              </w:rPr>
              <w:t>1.94</w:t>
            </w:r>
          </w:p>
        </w:tc>
        <w:tc>
          <w:tcPr>
            <w:tcW w:w="848" w:type="dxa"/>
            <w:tcBorders>
              <w:top w:val="nil"/>
              <w:left w:val="nil"/>
              <w:bottom w:val="nil"/>
              <w:right w:val="nil"/>
            </w:tcBorders>
          </w:tcPr>
          <w:p w14:paraId="75CC8D03"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434A9C55" w14:textId="77777777" w:rsidR="008B29C1" w:rsidRPr="00203EB0" w:rsidRDefault="008B29C1" w:rsidP="001A7B9A">
            <w:pPr>
              <w:jc w:val="center"/>
              <w:rPr>
                <w:rFonts w:cs="Times New Roman"/>
              </w:rPr>
            </w:pPr>
            <w:r w:rsidRPr="00203EB0">
              <w:rPr>
                <w:rFonts w:cs="Times New Roman"/>
              </w:rPr>
              <w:t>0.003*</w:t>
            </w:r>
          </w:p>
        </w:tc>
        <w:tc>
          <w:tcPr>
            <w:tcW w:w="835" w:type="dxa"/>
            <w:tcBorders>
              <w:top w:val="nil"/>
              <w:left w:val="nil"/>
              <w:bottom w:val="nil"/>
              <w:right w:val="nil"/>
            </w:tcBorders>
          </w:tcPr>
          <w:p w14:paraId="205C469E" w14:textId="77777777" w:rsidR="008B29C1" w:rsidRPr="00203EB0" w:rsidRDefault="008B29C1" w:rsidP="001A7B9A">
            <w:pPr>
              <w:jc w:val="center"/>
              <w:rPr>
                <w:rFonts w:cs="Times New Roman"/>
              </w:rPr>
            </w:pPr>
            <w:r w:rsidRPr="00203EB0">
              <w:rPr>
                <w:rFonts w:cs="Times New Roman"/>
              </w:rPr>
              <w:t>0.008</w:t>
            </w:r>
          </w:p>
        </w:tc>
        <w:tc>
          <w:tcPr>
            <w:tcW w:w="1415" w:type="dxa"/>
            <w:tcBorders>
              <w:top w:val="nil"/>
              <w:left w:val="nil"/>
              <w:bottom w:val="nil"/>
              <w:right w:val="nil"/>
            </w:tcBorders>
          </w:tcPr>
          <w:p w14:paraId="0F0DD7CB" w14:textId="77777777" w:rsidR="008B29C1" w:rsidRPr="00203EB0" w:rsidRDefault="008B29C1" w:rsidP="001A7B9A">
            <w:pPr>
              <w:rPr>
                <w:rFonts w:cs="Times New Roman"/>
              </w:rPr>
            </w:pPr>
            <w:r w:rsidRPr="00203EB0">
              <w:rPr>
                <w:rFonts w:cs="Times New Roman"/>
              </w:rPr>
              <w:t>Negligible</w:t>
            </w:r>
          </w:p>
        </w:tc>
      </w:tr>
      <w:tr w:rsidR="008B29C1" w:rsidRPr="00203EB0" w14:paraId="71EE51A5" w14:textId="77777777" w:rsidTr="008B29C1">
        <w:tc>
          <w:tcPr>
            <w:tcW w:w="2786" w:type="dxa"/>
            <w:tcBorders>
              <w:top w:val="nil"/>
              <w:left w:val="nil"/>
              <w:bottom w:val="nil"/>
              <w:right w:val="nil"/>
            </w:tcBorders>
          </w:tcPr>
          <w:p w14:paraId="554293BD" w14:textId="77777777" w:rsidR="008B29C1" w:rsidRPr="00203EB0" w:rsidRDefault="008B29C1" w:rsidP="001A7B9A">
            <w:pPr>
              <w:rPr>
                <w:rFonts w:cs="Times New Roman"/>
              </w:rPr>
            </w:pPr>
            <w:r w:rsidRPr="00203EB0">
              <w:rPr>
                <w:rFonts w:cs="Times New Roman"/>
              </w:rPr>
              <w:t>Time-point x Cover</w:t>
            </w:r>
          </w:p>
        </w:tc>
        <w:tc>
          <w:tcPr>
            <w:tcW w:w="1370" w:type="dxa"/>
            <w:tcBorders>
              <w:top w:val="nil"/>
              <w:left w:val="nil"/>
              <w:bottom w:val="nil"/>
              <w:right w:val="nil"/>
            </w:tcBorders>
          </w:tcPr>
          <w:p w14:paraId="762A8E1A" w14:textId="77777777" w:rsidR="008B29C1" w:rsidRPr="00203EB0" w:rsidRDefault="008B29C1" w:rsidP="001A7B9A">
            <w:pPr>
              <w:jc w:val="center"/>
              <w:rPr>
                <w:rFonts w:cs="Times New Roman"/>
              </w:rPr>
            </w:pPr>
            <w:r w:rsidRPr="00203EB0">
              <w:rPr>
                <w:rFonts w:cs="Times New Roman"/>
              </w:rPr>
              <w:t>0.77</w:t>
            </w:r>
          </w:p>
        </w:tc>
        <w:tc>
          <w:tcPr>
            <w:tcW w:w="848" w:type="dxa"/>
            <w:tcBorders>
              <w:top w:val="nil"/>
              <w:left w:val="nil"/>
              <w:bottom w:val="nil"/>
              <w:right w:val="nil"/>
            </w:tcBorders>
          </w:tcPr>
          <w:p w14:paraId="599A707B" w14:textId="77777777" w:rsidR="008B29C1" w:rsidRPr="00203EB0" w:rsidRDefault="008B29C1" w:rsidP="001A7B9A">
            <w:pPr>
              <w:jc w:val="center"/>
              <w:rPr>
                <w:rFonts w:cs="Times New Roman"/>
              </w:rPr>
            </w:pPr>
            <w:r w:rsidRPr="00203EB0">
              <w:rPr>
                <w:rFonts w:cs="Times New Roman"/>
              </w:rPr>
              <w:t>4</w:t>
            </w:r>
          </w:p>
        </w:tc>
        <w:tc>
          <w:tcPr>
            <w:tcW w:w="1386" w:type="dxa"/>
            <w:tcBorders>
              <w:top w:val="nil"/>
              <w:left w:val="nil"/>
              <w:bottom w:val="nil"/>
              <w:right w:val="nil"/>
            </w:tcBorders>
          </w:tcPr>
          <w:p w14:paraId="14DA1466" w14:textId="77777777" w:rsidR="008B29C1" w:rsidRPr="00203EB0" w:rsidRDefault="008B29C1" w:rsidP="001A7B9A">
            <w:pPr>
              <w:jc w:val="center"/>
              <w:rPr>
                <w:rFonts w:cs="Times New Roman"/>
              </w:rPr>
            </w:pPr>
            <w:r w:rsidRPr="00203EB0">
              <w:rPr>
                <w:rFonts w:cs="Times New Roman"/>
              </w:rPr>
              <w:t>0.912</w:t>
            </w:r>
          </w:p>
        </w:tc>
        <w:tc>
          <w:tcPr>
            <w:tcW w:w="835" w:type="dxa"/>
            <w:tcBorders>
              <w:top w:val="nil"/>
              <w:left w:val="nil"/>
              <w:bottom w:val="nil"/>
              <w:right w:val="nil"/>
            </w:tcBorders>
          </w:tcPr>
          <w:p w14:paraId="0D4D4E3F"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69BF7B69" w14:textId="77777777" w:rsidR="008B29C1" w:rsidRPr="00203EB0" w:rsidRDefault="008B29C1" w:rsidP="001A7B9A">
            <w:pPr>
              <w:rPr>
                <w:rFonts w:cs="Times New Roman"/>
              </w:rPr>
            </w:pPr>
          </w:p>
        </w:tc>
      </w:tr>
      <w:tr w:rsidR="008B29C1" w:rsidRPr="00203EB0" w14:paraId="69850510" w14:textId="77777777" w:rsidTr="008B29C1">
        <w:tc>
          <w:tcPr>
            <w:tcW w:w="2786" w:type="dxa"/>
            <w:tcBorders>
              <w:top w:val="nil"/>
              <w:left w:val="nil"/>
              <w:bottom w:val="nil"/>
              <w:right w:val="nil"/>
            </w:tcBorders>
          </w:tcPr>
          <w:p w14:paraId="5EBF135C" w14:textId="77777777" w:rsidR="008B29C1" w:rsidRPr="00203EB0" w:rsidRDefault="008B29C1" w:rsidP="001A7B9A">
            <w:pPr>
              <w:rPr>
                <w:rFonts w:cs="Times New Roman"/>
              </w:rPr>
            </w:pPr>
            <w:r w:rsidRPr="00203EB0">
              <w:rPr>
                <w:rFonts w:cs="Times New Roman"/>
              </w:rPr>
              <w:t>Fert x Cover</w:t>
            </w:r>
          </w:p>
        </w:tc>
        <w:tc>
          <w:tcPr>
            <w:tcW w:w="1370" w:type="dxa"/>
            <w:tcBorders>
              <w:top w:val="nil"/>
              <w:left w:val="nil"/>
              <w:bottom w:val="nil"/>
              <w:right w:val="nil"/>
            </w:tcBorders>
          </w:tcPr>
          <w:p w14:paraId="6356AA54" w14:textId="77777777" w:rsidR="008B29C1" w:rsidRPr="00203EB0" w:rsidRDefault="008B29C1" w:rsidP="001A7B9A">
            <w:pPr>
              <w:jc w:val="center"/>
              <w:rPr>
                <w:rFonts w:cs="Times New Roman"/>
              </w:rPr>
            </w:pPr>
            <w:r w:rsidRPr="00203EB0">
              <w:rPr>
                <w:rFonts w:cs="Times New Roman"/>
              </w:rPr>
              <w:t>1.20</w:t>
            </w:r>
          </w:p>
        </w:tc>
        <w:tc>
          <w:tcPr>
            <w:tcW w:w="848" w:type="dxa"/>
            <w:tcBorders>
              <w:top w:val="nil"/>
              <w:left w:val="nil"/>
              <w:bottom w:val="nil"/>
              <w:right w:val="nil"/>
            </w:tcBorders>
          </w:tcPr>
          <w:p w14:paraId="0ED146AA"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0D909BB0" w14:textId="77777777" w:rsidR="008B29C1" w:rsidRPr="00203EB0" w:rsidRDefault="008B29C1" w:rsidP="001A7B9A">
            <w:pPr>
              <w:jc w:val="center"/>
              <w:rPr>
                <w:rFonts w:cs="Times New Roman"/>
              </w:rPr>
            </w:pPr>
            <w:r w:rsidRPr="00203EB0">
              <w:rPr>
                <w:rFonts w:cs="Times New Roman"/>
              </w:rPr>
              <w:t>0.146</w:t>
            </w:r>
          </w:p>
        </w:tc>
        <w:tc>
          <w:tcPr>
            <w:tcW w:w="835" w:type="dxa"/>
            <w:tcBorders>
              <w:top w:val="nil"/>
              <w:left w:val="nil"/>
              <w:bottom w:val="nil"/>
              <w:right w:val="nil"/>
            </w:tcBorders>
          </w:tcPr>
          <w:p w14:paraId="7FB15DB0"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52643654" w14:textId="77777777" w:rsidR="008B29C1" w:rsidRPr="00203EB0" w:rsidRDefault="008B29C1" w:rsidP="001A7B9A">
            <w:pPr>
              <w:rPr>
                <w:rFonts w:cs="Times New Roman"/>
              </w:rPr>
            </w:pPr>
          </w:p>
        </w:tc>
      </w:tr>
      <w:tr w:rsidR="008B29C1" w:rsidRPr="00203EB0" w14:paraId="7630AD67" w14:textId="77777777" w:rsidTr="008B29C1">
        <w:tc>
          <w:tcPr>
            <w:tcW w:w="2786" w:type="dxa"/>
            <w:tcBorders>
              <w:top w:val="nil"/>
              <w:left w:val="nil"/>
              <w:bottom w:val="nil"/>
              <w:right w:val="nil"/>
            </w:tcBorders>
          </w:tcPr>
          <w:p w14:paraId="2F201AC5" w14:textId="77777777" w:rsidR="008B29C1" w:rsidRPr="00203EB0" w:rsidRDefault="008B29C1" w:rsidP="001A7B9A">
            <w:pPr>
              <w:rPr>
                <w:rFonts w:cs="Times New Roman"/>
              </w:rPr>
            </w:pPr>
            <w:r w:rsidRPr="00203EB0">
              <w:rPr>
                <w:rFonts w:cs="Times New Roman"/>
              </w:rPr>
              <w:t>Till x Cover</w:t>
            </w:r>
          </w:p>
        </w:tc>
        <w:tc>
          <w:tcPr>
            <w:tcW w:w="1370" w:type="dxa"/>
            <w:tcBorders>
              <w:top w:val="nil"/>
              <w:left w:val="nil"/>
              <w:bottom w:val="nil"/>
              <w:right w:val="nil"/>
            </w:tcBorders>
          </w:tcPr>
          <w:p w14:paraId="7DAFB6E1" w14:textId="77777777" w:rsidR="008B29C1" w:rsidRPr="00203EB0" w:rsidRDefault="008B29C1" w:rsidP="001A7B9A">
            <w:pPr>
              <w:jc w:val="center"/>
              <w:rPr>
                <w:rFonts w:cs="Times New Roman"/>
              </w:rPr>
            </w:pPr>
            <w:r w:rsidRPr="00203EB0">
              <w:rPr>
                <w:rFonts w:cs="Times New Roman"/>
              </w:rPr>
              <w:t>1.41</w:t>
            </w:r>
          </w:p>
        </w:tc>
        <w:tc>
          <w:tcPr>
            <w:tcW w:w="848" w:type="dxa"/>
            <w:tcBorders>
              <w:top w:val="nil"/>
              <w:left w:val="nil"/>
              <w:bottom w:val="nil"/>
              <w:right w:val="nil"/>
            </w:tcBorders>
          </w:tcPr>
          <w:p w14:paraId="5907C23C"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19B3523D" w14:textId="77777777" w:rsidR="008B29C1" w:rsidRPr="00203EB0" w:rsidRDefault="008B29C1" w:rsidP="001A7B9A">
            <w:pPr>
              <w:jc w:val="center"/>
              <w:rPr>
                <w:rFonts w:cs="Times New Roman"/>
              </w:rPr>
            </w:pPr>
            <w:r w:rsidRPr="00203EB0">
              <w:rPr>
                <w:rFonts w:cs="Times New Roman"/>
              </w:rPr>
              <w:t>0.071</w:t>
            </w:r>
          </w:p>
        </w:tc>
        <w:tc>
          <w:tcPr>
            <w:tcW w:w="835" w:type="dxa"/>
            <w:tcBorders>
              <w:top w:val="nil"/>
              <w:left w:val="nil"/>
              <w:bottom w:val="nil"/>
              <w:right w:val="nil"/>
            </w:tcBorders>
          </w:tcPr>
          <w:p w14:paraId="0F66AADB"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70B54BFA" w14:textId="77777777" w:rsidR="008B29C1" w:rsidRPr="00203EB0" w:rsidRDefault="008B29C1" w:rsidP="001A7B9A">
            <w:pPr>
              <w:rPr>
                <w:rFonts w:cs="Times New Roman"/>
              </w:rPr>
            </w:pPr>
          </w:p>
        </w:tc>
      </w:tr>
      <w:tr w:rsidR="008B29C1" w:rsidRPr="00203EB0" w14:paraId="2414EACC" w14:textId="77777777" w:rsidTr="008B29C1">
        <w:tc>
          <w:tcPr>
            <w:tcW w:w="2786" w:type="dxa"/>
            <w:tcBorders>
              <w:top w:val="nil"/>
              <w:left w:val="nil"/>
              <w:bottom w:val="nil"/>
              <w:right w:val="nil"/>
            </w:tcBorders>
          </w:tcPr>
          <w:p w14:paraId="447944B9" w14:textId="77777777" w:rsidR="008B29C1" w:rsidRPr="00203EB0" w:rsidRDefault="008B29C1" w:rsidP="001A7B9A">
            <w:pPr>
              <w:rPr>
                <w:rFonts w:cs="Times New Roman"/>
              </w:rPr>
            </w:pPr>
            <w:r w:rsidRPr="00203EB0">
              <w:rPr>
                <w:rFonts w:cs="Times New Roman"/>
              </w:rPr>
              <w:t xml:space="preserve">Time x Fert x </w:t>
            </w:r>
            <w:proofErr w:type="gramStart"/>
            <w:r w:rsidRPr="00203EB0">
              <w:rPr>
                <w:rFonts w:cs="Times New Roman"/>
              </w:rPr>
              <w:t>Till</w:t>
            </w:r>
            <w:proofErr w:type="gramEnd"/>
          </w:p>
        </w:tc>
        <w:tc>
          <w:tcPr>
            <w:tcW w:w="1370" w:type="dxa"/>
            <w:tcBorders>
              <w:top w:val="nil"/>
              <w:left w:val="nil"/>
              <w:bottom w:val="nil"/>
              <w:right w:val="nil"/>
            </w:tcBorders>
          </w:tcPr>
          <w:p w14:paraId="7B4E543B" w14:textId="77777777" w:rsidR="008B29C1" w:rsidRPr="00203EB0" w:rsidRDefault="008B29C1" w:rsidP="001A7B9A">
            <w:pPr>
              <w:jc w:val="center"/>
              <w:rPr>
                <w:rFonts w:cs="Times New Roman"/>
              </w:rPr>
            </w:pPr>
            <w:r w:rsidRPr="00203EB0">
              <w:rPr>
                <w:rFonts w:cs="Times New Roman"/>
              </w:rPr>
              <w:t>0.86</w:t>
            </w:r>
          </w:p>
        </w:tc>
        <w:tc>
          <w:tcPr>
            <w:tcW w:w="848" w:type="dxa"/>
            <w:tcBorders>
              <w:top w:val="nil"/>
              <w:left w:val="nil"/>
              <w:bottom w:val="nil"/>
              <w:right w:val="nil"/>
            </w:tcBorders>
          </w:tcPr>
          <w:p w14:paraId="07025246" w14:textId="77777777" w:rsidR="008B29C1" w:rsidRPr="00203EB0" w:rsidRDefault="008B29C1" w:rsidP="001A7B9A">
            <w:pPr>
              <w:jc w:val="center"/>
              <w:rPr>
                <w:rFonts w:cs="Times New Roman"/>
              </w:rPr>
            </w:pPr>
            <w:r w:rsidRPr="00203EB0">
              <w:rPr>
                <w:rFonts w:cs="Times New Roman"/>
              </w:rPr>
              <w:t>4</w:t>
            </w:r>
          </w:p>
        </w:tc>
        <w:tc>
          <w:tcPr>
            <w:tcW w:w="1386" w:type="dxa"/>
            <w:tcBorders>
              <w:top w:val="nil"/>
              <w:left w:val="nil"/>
              <w:bottom w:val="nil"/>
              <w:right w:val="nil"/>
            </w:tcBorders>
          </w:tcPr>
          <w:p w14:paraId="7F1AFE33" w14:textId="77777777" w:rsidR="008B29C1" w:rsidRPr="00203EB0" w:rsidRDefault="008B29C1" w:rsidP="001A7B9A">
            <w:pPr>
              <w:jc w:val="center"/>
              <w:rPr>
                <w:rFonts w:cs="Times New Roman"/>
              </w:rPr>
            </w:pPr>
            <w:r w:rsidRPr="00203EB0">
              <w:rPr>
                <w:rFonts w:cs="Times New Roman"/>
              </w:rPr>
              <w:t>0.732</w:t>
            </w:r>
          </w:p>
        </w:tc>
        <w:tc>
          <w:tcPr>
            <w:tcW w:w="835" w:type="dxa"/>
            <w:tcBorders>
              <w:top w:val="nil"/>
              <w:left w:val="nil"/>
              <w:bottom w:val="nil"/>
              <w:right w:val="nil"/>
            </w:tcBorders>
          </w:tcPr>
          <w:p w14:paraId="4996E243"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3C73085F" w14:textId="77777777" w:rsidR="008B29C1" w:rsidRPr="00203EB0" w:rsidRDefault="008B29C1" w:rsidP="001A7B9A">
            <w:pPr>
              <w:rPr>
                <w:rFonts w:cs="Times New Roman"/>
              </w:rPr>
            </w:pPr>
          </w:p>
        </w:tc>
      </w:tr>
      <w:tr w:rsidR="008B29C1" w:rsidRPr="00203EB0" w14:paraId="36B857A4" w14:textId="77777777" w:rsidTr="008B29C1">
        <w:tc>
          <w:tcPr>
            <w:tcW w:w="2786" w:type="dxa"/>
            <w:tcBorders>
              <w:top w:val="nil"/>
              <w:left w:val="nil"/>
              <w:bottom w:val="nil"/>
              <w:right w:val="nil"/>
            </w:tcBorders>
          </w:tcPr>
          <w:p w14:paraId="5180561F" w14:textId="77777777" w:rsidR="008B29C1" w:rsidRPr="00203EB0" w:rsidRDefault="008B29C1" w:rsidP="001A7B9A">
            <w:pPr>
              <w:rPr>
                <w:rFonts w:cs="Times New Roman"/>
              </w:rPr>
            </w:pPr>
            <w:r w:rsidRPr="00203EB0">
              <w:rPr>
                <w:rFonts w:cs="Times New Roman"/>
              </w:rPr>
              <w:t>Time x Fert x Cover</w:t>
            </w:r>
          </w:p>
        </w:tc>
        <w:tc>
          <w:tcPr>
            <w:tcW w:w="1370" w:type="dxa"/>
            <w:tcBorders>
              <w:top w:val="nil"/>
              <w:left w:val="nil"/>
              <w:bottom w:val="nil"/>
              <w:right w:val="nil"/>
            </w:tcBorders>
          </w:tcPr>
          <w:p w14:paraId="4374BE13" w14:textId="77777777" w:rsidR="008B29C1" w:rsidRPr="00203EB0" w:rsidRDefault="008B29C1" w:rsidP="001A7B9A">
            <w:pPr>
              <w:jc w:val="center"/>
              <w:rPr>
                <w:rFonts w:cs="Times New Roman"/>
              </w:rPr>
            </w:pPr>
            <w:r w:rsidRPr="00203EB0">
              <w:rPr>
                <w:rFonts w:cs="Times New Roman"/>
              </w:rPr>
              <w:t>0.73</w:t>
            </w:r>
          </w:p>
        </w:tc>
        <w:tc>
          <w:tcPr>
            <w:tcW w:w="848" w:type="dxa"/>
            <w:tcBorders>
              <w:top w:val="nil"/>
              <w:left w:val="nil"/>
              <w:bottom w:val="nil"/>
              <w:right w:val="nil"/>
            </w:tcBorders>
          </w:tcPr>
          <w:p w14:paraId="70ACBE6F" w14:textId="77777777" w:rsidR="008B29C1" w:rsidRPr="00203EB0" w:rsidRDefault="008B29C1" w:rsidP="001A7B9A">
            <w:pPr>
              <w:jc w:val="center"/>
              <w:rPr>
                <w:rFonts w:cs="Times New Roman"/>
              </w:rPr>
            </w:pPr>
            <w:r w:rsidRPr="00203EB0">
              <w:rPr>
                <w:rFonts w:cs="Times New Roman"/>
              </w:rPr>
              <w:t>4</w:t>
            </w:r>
          </w:p>
        </w:tc>
        <w:tc>
          <w:tcPr>
            <w:tcW w:w="1386" w:type="dxa"/>
            <w:tcBorders>
              <w:top w:val="nil"/>
              <w:left w:val="nil"/>
              <w:bottom w:val="nil"/>
              <w:right w:val="nil"/>
            </w:tcBorders>
          </w:tcPr>
          <w:p w14:paraId="2E1298DE" w14:textId="77777777" w:rsidR="008B29C1" w:rsidRPr="00203EB0" w:rsidRDefault="008B29C1" w:rsidP="001A7B9A">
            <w:pPr>
              <w:jc w:val="center"/>
              <w:rPr>
                <w:rFonts w:cs="Times New Roman"/>
              </w:rPr>
            </w:pPr>
            <w:r w:rsidRPr="00203EB0">
              <w:rPr>
                <w:rFonts w:cs="Times New Roman"/>
              </w:rPr>
              <w:t>0.960</w:t>
            </w:r>
          </w:p>
        </w:tc>
        <w:tc>
          <w:tcPr>
            <w:tcW w:w="835" w:type="dxa"/>
            <w:tcBorders>
              <w:top w:val="nil"/>
              <w:left w:val="nil"/>
              <w:bottom w:val="nil"/>
              <w:right w:val="nil"/>
            </w:tcBorders>
          </w:tcPr>
          <w:p w14:paraId="1A7F4FE5"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2128D677" w14:textId="77777777" w:rsidR="008B29C1" w:rsidRPr="00203EB0" w:rsidRDefault="008B29C1" w:rsidP="001A7B9A">
            <w:pPr>
              <w:rPr>
                <w:rFonts w:cs="Times New Roman"/>
              </w:rPr>
            </w:pPr>
          </w:p>
        </w:tc>
      </w:tr>
      <w:tr w:rsidR="008B29C1" w:rsidRPr="00203EB0" w14:paraId="56D4DE05" w14:textId="77777777" w:rsidTr="008B29C1">
        <w:tc>
          <w:tcPr>
            <w:tcW w:w="2786" w:type="dxa"/>
            <w:tcBorders>
              <w:top w:val="nil"/>
              <w:left w:val="nil"/>
              <w:bottom w:val="nil"/>
              <w:right w:val="nil"/>
            </w:tcBorders>
          </w:tcPr>
          <w:p w14:paraId="59070232" w14:textId="77777777" w:rsidR="008B29C1" w:rsidRPr="00203EB0" w:rsidRDefault="008B29C1" w:rsidP="001A7B9A">
            <w:pPr>
              <w:rPr>
                <w:rFonts w:cs="Times New Roman"/>
              </w:rPr>
            </w:pPr>
            <w:r w:rsidRPr="00203EB0">
              <w:rPr>
                <w:rFonts w:cs="Times New Roman"/>
              </w:rPr>
              <w:t xml:space="preserve">Time x </w:t>
            </w:r>
            <w:proofErr w:type="gramStart"/>
            <w:r w:rsidRPr="00203EB0">
              <w:rPr>
                <w:rFonts w:cs="Times New Roman"/>
              </w:rPr>
              <w:t>Till</w:t>
            </w:r>
            <w:proofErr w:type="gramEnd"/>
            <w:r w:rsidRPr="00203EB0">
              <w:rPr>
                <w:rFonts w:cs="Times New Roman"/>
              </w:rPr>
              <w:t xml:space="preserve"> x Cover</w:t>
            </w:r>
          </w:p>
        </w:tc>
        <w:tc>
          <w:tcPr>
            <w:tcW w:w="1370" w:type="dxa"/>
            <w:tcBorders>
              <w:top w:val="nil"/>
              <w:left w:val="nil"/>
              <w:bottom w:val="nil"/>
              <w:right w:val="nil"/>
            </w:tcBorders>
          </w:tcPr>
          <w:p w14:paraId="7CEC2D46" w14:textId="77777777" w:rsidR="008B29C1" w:rsidRPr="00203EB0" w:rsidRDefault="008B29C1" w:rsidP="001A7B9A">
            <w:pPr>
              <w:jc w:val="center"/>
              <w:rPr>
                <w:rFonts w:cs="Times New Roman"/>
              </w:rPr>
            </w:pPr>
            <w:r w:rsidRPr="00203EB0">
              <w:rPr>
                <w:rFonts w:cs="Times New Roman"/>
              </w:rPr>
              <w:t>0.71</w:t>
            </w:r>
          </w:p>
        </w:tc>
        <w:tc>
          <w:tcPr>
            <w:tcW w:w="848" w:type="dxa"/>
            <w:tcBorders>
              <w:top w:val="nil"/>
              <w:left w:val="nil"/>
              <w:bottom w:val="nil"/>
              <w:right w:val="nil"/>
            </w:tcBorders>
          </w:tcPr>
          <w:p w14:paraId="0B91D2F7" w14:textId="77777777" w:rsidR="008B29C1" w:rsidRPr="00203EB0" w:rsidRDefault="008B29C1" w:rsidP="001A7B9A">
            <w:pPr>
              <w:jc w:val="center"/>
              <w:rPr>
                <w:rFonts w:cs="Times New Roman"/>
              </w:rPr>
            </w:pPr>
            <w:r w:rsidRPr="00203EB0">
              <w:rPr>
                <w:rFonts w:cs="Times New Roman"/>
              </w:rPr>
              <w:t>4</w:t>
            </w:r>
          </w:p>
        </w:tc>
        <w:tc>
          <w:tcPr>
            <w:tcW w:w="1386" w:type="dxa"/>
            <w:tcBorders>
              <w:top w:val="nil"/>
              <w:left w:val="nil"/>
              <w:bottom w:val="nil"/>
              <w:right w:val="nil"/>
            </w:tcBorders>
          </w:tcPr>
          <w:p w14:paraId="7456FD02" w14:textId="77777777" w:rsidR="008B29C1" w:rsidRPr="00203EB0" w:rsidRDefault="008B29C1" w:rsidP="001A7B9A">
            <w:pPr>
              <w:jc w:val="center"/>
              <w:rPr>
                <w:rFonts w:cs="Times New Roman"/>
              </w:rPr>
            </w:pPr>
            <w:r w:rsidRPr="00203EB0">
              <w:rPr>
                <w:rFonts w:cs="Times New Roman"/>
              </w:rPr>
              <w:t>0.983</w:t>
            </w:r>
          </w:p>
        </w:tc>
        <w:tc>
          <w:tcPr>
            <w:tcW w:w="835" w:type="dxa"/>
            <w:tcBorders>
              <w:top w:val="nil"/>
              <w:left w:val="nil"/>
              <w:bottom w:val="nil"/>
              <w:right w:val="nil"/>
            </w:tcBorders>
          </w:tcPr>
          <w:p w14:paraId="4835272B"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3A2C76C3" w14:textId="77777777" w:rsidR="008B29C1" w:rsidRPr="00203EB0" w:rsidRDefault="008B29C1" w:rsidP="001A7B9A">
            <w:pPr>
              <w:rPr>
                <w:rFonts w:cs="Times New Roman"/>
              </w:rPr>
            </w:pPr>
          </w:p>
        </w:tc>
      </w:tr>
      <w:tr w:rsidR="008B29C1" w:rsidRPr="00203EB0" w14:paraId="65C07BD8" w14:textId="77777777" w:rsidTr="008B29C1">
        <w:tc>
          <w:tcPr>
            <w:tcW w:w="2786" w:type="dxa"/>
            <w:tcBorders>
              <w:top w:val="nil"/>
              <w:left w:val="nil"/>
              <w:bottom w:val="nil"/>
              <w:right w:val="nil"/>
            </w:tcBorders>
          </w:tcPr>
          <w:p w14:paraId="3F565516" w14:textId="77777777" w:rsidR="008B29C1" w:rsidRPr="00203EB0" w:rsidRDefault="008B29C1" w:rsidP="001A7B9A">
            <w:pPr>
              <w:rPr>
                <w:rFonts w:cs="Times New Roman"/>
              </w:rPr>
            </w:pPr>
            <w:r w:rsidRPr="00203EB0">
              <w:rPr>
                <w:rFonts w:cs="Times New Roman"/>
              </w:rPr>
              <w:t xml:space="preserve">Fert x </w:t>
            </w:r>
            <w:proofErr w:type="gramStart"/>
            <w:r w:rsidRPr="00203EB0">
              <w:rPr>
                <w:rFonts w:cs="Times New Roman"/>
              </w:rPr>
              <w:t>Till</w:t>
            </w:r>
            <w:proofErr w:type="gramEnd"/>
            <w:r w:rsidRPr="00203EB0">
              <w:rPr>
                <w:rFonts w:cs="Times New Roman"/>
              </w:rPr>
              <w:t xml:space="preserve"> x Cover</w:t>
            </w:r>
          </w:p>
        </w:tc>
        <w:tc>
          <w:tcPr>
            <w:tcW w:w="1370" w:type="dxa"/>
            <w:tcBorders>
              <w:top w:val="nil"/>
              <w:left w:val="nil"/>
              <w:bottom w:val="nil"/>
              <w:right w:val="nil"/>
            </w:tcBorders>
          </w:tcPr>
          <w:p w14:paraId="6E0AFCB7" w14:textId="77777777" w:rsidR="008B29C1" w:rsidRPr="00203EB0" w:rsidRDefault="008B29C1" w:rsidP="001A7B9A">
            <w:pPr>
              <w:jc w:val="center"/>
              <w:rPr>
                <w:rFonts w:cs="Times New Roman"/>
              </w:rPr>
            </w:pPr>
            <w:r w:rsidRPr="00203EB0">
              <w:rPr>
                <w:rFonts w:cs="Times New Roman"/>
              </w:rPr>
              <w:t>1.00</w:t>
            </w:r>
          </w:p>
        </w:tc>
        <w:tc>
          <w:tcPr>
            <w:tcW w:w="848" w:type="dxa"/>
            <w:tcBorders>
              <w:top w:val="nil"/>
              <w:left w:val="nil"/>
              <w:bottom w:val="nil"/>
              <w:right w:val="nil"/>
            </w:tcBorders>
          </w:tcPr>
          <w:p w14:paraId="368DDC83"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7B5153F2" w14:textId="77777777" w:rsidR="008B29C1" w:rsidRPr="00203EB0" w:rsidRDefault="008B29C1" w:rsidP="001A7B9A">
            <w:pPr>
              <w:jc w:val="center"/>
              <w:rPr>
                <w:rFonts w:cs="Times New Roman"/>
              </w:rPr>
            </w:pPr>
            <w:r w:rsidRPr="00203EB0">
              <w:rPr>
                <w:rFonts w:cs="Times New Roman"/>
              </w:rPr>
              <w:t>0.345</w:t>
            </w:r>
          </w:p>
        </w:tc>
        <w:tc>
          <w:tcPr>
            <w:tcW w:w="835" w:type="dxa"/>
            <w:tcBorders>
              <w:top w:val="nil"/>
              <w:left w:val="nil"/>
              <w:bottom w:val="nil"/>
              <w:right w:val="nil"/>
            </w:tcBorders>
          </w:tcPr>
          <w:p w14:paraId="7A0E5A41"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13A96CD2" w14:textId="77777777" w:rsidR="008B29C1" w:rsidRPr="00203EB0" w:rsidRDefault="008B29C1" w:rsidP="001A7B9A">
            <w:pPr>
              <w:rPr>
                <w:rFonts w:cs="Times New Roman"/>
              </w:rPr>
            </w:pPr>
          </w:p>
        </w:tc>
      </w:tr>
      <w:tr w:rsidR="008B29C1" w:rsidRPr="00203EB0" w14:paraId="6D2733F3" w14:textId="77777777" w:rsidTr="008B29C1">
        <w:tc>
          <w:tcPr>
            <w:tcW w:w="2786" w:type="dxa"/>
            <w:tcBorders>
              <w:top w:val="nil"/>
              <w:left w:val="nil"/>
              <w:bottom w:val="single" w:sz="4" w:space="0" w:color="auto"/>
              <w:right w:val="nil"/>
            </w:tcBorders>
          </w:tcPr>
          <w:p w14:paraId="245BF938" w14:textId="77777777" w:rsidR="008B29C1" w:rsidRPr="00203EB0" w:rsidRDefault="008B29C1" w:rsidP="001A7B9A">
            <w:pPr>
              <w:rPr>
                <w:rFonts w:cs="Times New Roman"/>
              </w:rPr>
            </w:pPr>
            <w:r w:rsidRPr="00203EB0">
              <w:rPr>
                <w:rFonts w:cs="Times New Roman"/>
              </w:rPr>
              <w:t xml:space="preserve">Time x Fert x </w:t>
            </w:r>
            <w:proofErr w:type="gramStart"/>
            <w:r w:rsidRPr="00203EB0">
              <w:rPr>
                <w:rFonts w:cs="Times New Roman"/>
              </w:rPr>
              <w:t>Till</w:t>
            </w:r>
            <w:proofErr w:type="gramEnd"/>
            <w:r w:rsidRPr="00203EB0">
              <w:rPr>
                <w:rFonts w:cs="Times New Roman"/>
              </w:rPr>
              <w:t xml:space="preserve"> x Cover</w:t>
            </w:r>
          </w:p>
        </w:tc>
        <w:tc>
          <w:tcPr>
            <w:tcW w:w="1370" w:type="dxa"/>
            <w:tcBorders>
              <w:top w:val="nil"/>
              <w:left w:val="nil"/>
              <w:bottom w:val="single" w:sz="4" w:space="0" w:color="auto"/>
              <w:right w:val="nil"/>
            </w:tcBorders>
          </w:tcPr>
          <w:p w14:paraId="77749476" w14:textId="77777777" w:rsidR="008B29C1" w:rsidRPr="00203EB0" w:rsidRDefault="008B29C1" w:rsidP="001A7B9A">
            <w:pPr>
              <w:jc w:val="center"/>
              <w:rPr>
                <w:rFonts w:cs="Times New Roman"/>
              </w:rPr>
            </w:pPr>
            <w:r w:rsidRPr="00203EB0">
              <w:rPr>
                <w:rFonts w:cs="Times New Roman"/>
              </w:rPr>
              <w:t>0.73</w:t>
            </w:r>
          </w:p>
        </w:tc>
        <w:tc>
          <w:tcPr>
            <w:tcW w:w="848" w:type="dxa"/>
            <w:tcBorders>
              <w:top w:val="nil"/>
              <w:left w:val="nil"/>
              <w:bottom w:val="single" w:sz="4" w:space="0" w:color="auto"/>
              <w:right w:val="nil"/>
            </w:tcBorders>
          </w:tcPr>
          <w:p w14:paraId="4E7058C5" w14:textId="77777777" w:rsidR="008B29C1" w:rsidRPr="00203EB0" w:rsidRDefault="008B29C1" w:rsidP="001A7B9A">
            <w:pPr>
              <w:jc w:val="center"/>
              <w:rPr>
                <w:rFonts w:cs="Times New Roman"/>
              </w:rPr>
            </w:pPr>
            <w:r w:rsidRPr="00203EB0">
              <w:rPr>
                <w:rFonts w:cs="Times New Roman"/>
              </w:rPr>
              <w:t>4</w:t>
            </w:r>
          </w:p>
        </w:tc>
        <w:tc>
          <w:tcPr>
            <w:tcW w:w="1386" w:type="dxa"/>
            <w:tcBorders>
              <w:top w:val="nil"/>
              <w:left w:val="nil"/>
              <w:bottom w:val="single" w:sz="4" w:space="0" w:color="auto"/>
              <w:right w:val="nil"/>
            </w:tcBorders>
          </w:tcPr>
          <w:p w14:paraId="470A589B" w14:textId="77777777" w:rsidR="008B29C1" w:rsidRPr="00203EB0" w:rsidRDefault="008B29C1" w:rsidP="001A7B9A">
            <w:pPr>
              <w:jc w:val="center"/>
              <w:rPr>
                <w:rFonts w:cs="Times New Roman"/>
              </w:rPr>
            </w:pPr>
            <w:r w:rsidRPr="00203EB0">
              <w:rPr>
                <w:rFonts w:cs="Times New Roman"/>
              </w:rPr>
              <w:t>0.973</w:t>
            </w:r>
          </w:p>
        </w:tc>
        <w:tc>
          <w:tcPr>
            <w:tcW w:w="835" w:type="dxa"/>
            <w:tcBorders>
              <w:top w:val="nil"/>
              <w:left w:val="nil"/>
              <w:bottom w:val="single" w:sz="4" w:space="0" w:color="auto"/>
              <w:right w:val="nil"/>
            </w:tcBorders>
          </w:tcPr>
          <w:p w14:paraId="72F60062" w14:textId="77777777" w:rsidR="008B29C1" w:rsidRPr="00203EB0" w:rsidRDefault="008B29C1" w:rsidP="001A7B9A">
            <w:pPr>
              <w:jc w:val="center"/>
              <w:rPr>
                <w:rFonts w:cs="Times New Roman"/>
              </w:rPr>
            </w:pPr>
          </w:p>
        </w:tc>
        <w:tc>
          <w:tcPr>
            <w:tcW w:w="1415" w:type="dxa"/>
            <w:tcBorders>
              <w:top w:val="nil"/>
              <w:left w:val="nil"/>
              <w:bottom w:val="single" w:sz="4" w:space="0" w:color="auto"/>
              <w:right w:val="nil"/>
            </w:tcBorders>
          </w:tcPr>
          <w:p w14:paraId="627993C7" w14:textId="77777777" w:rsidR="008B29C1" w:rsidRPr="00203EB0" w:rsidRDefault="008B29C1" w:rsidP="001A7B9A">
            <w:pPr>
              <w:rPr>
                <w:rFonts w:cs="Times New Roman"/>
              </w:rPr>
            </w:pPr>
          </w:p>
        </w:tc>
      </w:tr>
      <w:tr w:rsidR="008B29C1" w:rsidRPr="00203EB0" w14:paraId="007A6415" w14:textId="77777777" w:rsidTr="008B29C1">
        <w:tc>
          <w:tcPr>
            <w:tcW w:w="2786" w:type="dxa"/>
            <w:tcBorders>
              <w:top w:val="single" w:sz="4" w:space="0" w:color="auto"/>
              <w:left w:val="nil"/>
              <w:bottom w:val="single" w:sz="4" w:space="0" w:color="auto"/>
              <w:right w:val="nil"/>
            </w:tcBorders>
          </w:tcPr>
          <w:p w14:paraId="1400D862" w14:textId="77777777" w:rsidR="008B29C1" w:rsidRPr="00203EB0" w:rsidRDefault="008B29C1" w:rsidP="001A7B9A">
            <w:pPr>
              <w:rPr>
                <w:rFonts w:cs="Times New Roman"/>
                <w:b/>
              </w:rPr>
            </w:pPr>
          </w:p>
        </w:tc>
        <w:tc>
          <w:tcPr>
            <w:tcW w:w="5854" w:type="dxa"/>
            <w:gridSpan w:val="5"/>
            <w:tcBorders>
              <w:top w:val="single" w:sz="4" w:space="0" w:color="auto"/>
              <w:left w:val="nil"/>
              <w:bottom w:val="single" w:sz="4" w:space="0" w:color="auto"/>
              <w:right w:val="nil"/>
            </w:tcBorders>
          </w:tcPr>
          <w:p w14:paraId="7F79D8AD" w14:textId="77777777" w:rsidR="008B29C1" w:rsidRPr="00203EB0" w:rsidRDefault="008B29C1" w:rsidP="001A7B9A">
            <w:pPr>
              <w:jc w:val="center"/>
              <w:rPr>
                <w:rFonts w:cs="Times New Roman"/>
                <w:b/>
              </w:rPr>
            </w:pPr>
            <w:r w:rsidRPr="00203EB0">
              <w:rPr>
                <w:rFonts w:cs="Times New Roman"/>
                <w:b/>
              </w:rPr>
              <w:t>10-20 cm</w:t>
            </w:r>
          </w:p>
        </w:tc>
      </w:tr>
      <w:tr w:rsidR="008B29C1" w:rsidRPr="00203EB0" w14:paraId="67C8C19B" w14:textId="77777777" w:rsidTr="008B29C1">
        <w:tc>
          <w:tcPr>
            <w:tcW w:w="2786" w:type="dxa"/>
            <w:tcBorders>
              <w:top w:val="single" w:sz="4" w:space="0" w:color="auto"/>
              <w:left w:val="nil"/>
              <w:bottom w:val="single" w:sz="4" w:space="0" w:color="auto"/>
              <w:right w:val="nil"/>
            </w:tcBorders>
          </w:tcPr>
          <w:p w14:paraId="725E1739" w14:textId="77777777" w:rsidR="008B29C1" w:rsidRPr="00203EB0" w:rsidRDefault="008B29C1" w:rsidP="001A7B9A">
            <w:pPr>
              <w:jc w:val="center"/>
              <w:rPr>
                <w:rFonts w:cs="Times New Roman"/>
                <w:b/>
              </w:rPr>
            </w:pPr>
            <w:r w:rsidRPr="00203EB0">
              <w:rPr>
                <w:rFonts w:cs="Times New Roman"/>
                <w:b/>
              </w:rPr>
              <w:t>Treatments</w:t>
            </w:r>
          </w:p>
        </w:tc>
        <w:tc>
          <w:tcPr>
            <w:tcW w:w="1370" w:type="dxa"/>
            <w:tcBorders>
              <w:top w:val="single" w:sz="4" w:space="0" w:color="auto"/>
              <w:left w:val="nil"/>
              <w:bottom w:val="single" w:sz="4" w:space="0" w:color="auto"/>
              <w:right w:val="nil"/>
            </w:tcBorders>
          </w:tcPr>
          <w:p w14:paraId="1EADDC3F" w14:textId="77777777" w:rsidR="008B29C1" w:rsidRPr="00203EB0" w:rsidRDefault="008B29C1" w:rsidP="001A7B9A">
            <w:pPr>
              <w:jc w:val="center"/>
              <w:rPr>
                <w:rFonts w:cs="Times New Roman"/>
                <w:b/>
              </w:rPr>
            </w:pPr>
            <w:r w:rsidRPr="00203EB0">
              <w:rPr>
                <w:rFonts w:cs="Times New Roman"/>
                <w:b/>
              </w:rPr>
              <w:t>Pseudo-F</w:t>
            </w:r>
          </w:p>
        </w:tc>
        <w:tc>
          <w:tcPr>
            <w:tcW w:w="848" w:type="dxa"/>
            <w:tcBorders>
              <w:top w:val="single" w:sz="4" w:space="0" w:color="auto"/>
              <w:left w:val="nil"/>
              <w:bottom w:val="single" w:sz="4" w:space="0" w:color="auto"/>
              <w:right w:val="nil"/>
            </w:tcBorders>
          </w:tcPr>
          <w:p w14:paraId="0EE7298B" w14:textId="77777777" w:rsidR="008B29C1" w:rsidRPr="00203EB0" w:rsidRDefault="008B29C1" w:rsidP="001A7B9A">
            <w:pPr>
              <w:jc w:val="center"/>
              <w:rPr>
                <w:rFonts w:cs="Times New Roman"/>
                <w:b/>
              </w:rPr>
            </w:pPr>
            <w:proofErr w:type="spellStart"/>
            <w:r w:rsidRPr="00203EB0">
              <w:rPr>
                <w:rFonts w:cs="Times New Roman"/>
                <w:b/>
              </w:rPr>
              <w:t>df</w:t>
            </w:r>
            <w:proofErr w:type="spellEnd"/>
          </w:p>
        </w:tc>
        <w:tc>
          <w:tcPr>
            <w:tcW w:w="1386" w:type="dxa"/>
            <w:tcBorders>
              <w:top w:val="single" w:sz="4" w:space="0" w:color="auto"/>
              <w:left w:val="nil"/>
              <w:bottom w:val="single" w:sz="4" w:space="0" w:color="auto"/>
              <w:right w:val="nil"/>
            </w:tcBorders>
          </w:tcPr>
          <w:p w14:paraId="55316601" w14:textId="77777777" w:rsidR="008B29C1" w:rsidRPr="00203EB0" w:rsidRDefault="008B29C1" w:rsidP="001A7B9A">
            <w:pPr>
              <w:rPr>
                <w:rFonts w:cs="Times New Roman"/>
                <w:b/>
              </w:rPr>
            </w:pPr>
            <w:r w:rsidRPr="00203EB0">
              <w:rPr>
                <w:rFonts w:cs="Times New Roman"/>
                <w:b/>
              </w:rPr>
              <w:t xml:space="preserve">    p-value</w:t>
            </w:r>
          </w:p>
        </w:tc>
        <w:tc>
          <w:tcPr>
            <w:tcW w:w="835" w:type="dxa"/>
            <w:tcBorders>
              <w:top w:val="single" w:sz="4" w:space="0" w:color="auto"/>
              <w:left w:val="nil"/>
              <w:bottom w:val="single" w:sz="4" w:space="0" w:color="auto"/>
              <w:right w:val="nil"/>
            </w:tcBorders>
          </w:tcPr>
          <w:p w14:paraId="63230A28" w14:textId="77777777" w:rsidR="008B29C1" w:rsidRPr="00203EB0" w:rsidRDefault="00000000" w:rsidP="001A7B9A">
            <w:pPr>
              <w:jc w:val="center"/>
              <w:rPr>
                <w:rFonts w:cs="Times New Roman"/>
                <w:b/>
              </w:rPr>
            </w:pPr>
            <m:oMathPara>
              <m:oMath>
                <m:sSubSup>
                  <m:sSubSupPr>
                    <m:ctrlPr>
                      <w:rPr>
                        <w:rFonts w:ascii="Cambria Math" w:hAnsi="Cambria Math" w:cs="Times New Roman"/>
                        <w:b/>
                        <w:i/>
                      </w:rPr>
                    </m:ctrlPr>
                  </m:sSubSupPr>
                  <m:e>
                    <m:r>
                      <m:rPr>
                        <m:sty m:val="bi"/>
                      </m:rPr>
                      <w:rPr>
                        <w:rFonts w:ascii="Cambria Math" w:hAnsi="Cambria Math" w:cs="Times New Roman"/>
                      </w:rPr>
                      <m:t>ω</m:t>
                    </m:r>
                  </m:e>
                  <m:sub>
                    <m:r>
                      <m:rPr>
                        <m:sty m:val="bi"/>
                      </m:rPr>
                      <w:rPr>
                        <w:rFonts w:ascii="Cambria Math" w:hAnsi="Cambria Math" w:cs="Times New Roman"/>
                      </w:rPr>
                      <m:t>p</m:t>
                    </m:r>
                  </m:sub>
                  <m:sup>
                    <m:r>
                      <m:rPr>
                        <m:sty m:val="bi"/>
                      </m:rPr>
                      <w:rPr>
                        <w:rFonts w:ascii="Cambria Math" w:hAnsi="Cambria Math" w:cs="Times New Roman"/>
                      </w:rPr>
                      <m:t>2</m:t>
                    </m:r>
                  </m:sup>
                </m:sSubSup>
              </m:oMath>
            </m:oMathPara>
          </w:p>
        </w:tc>
        <w:tc>
          <w:tcPr>
            <w:tcW w:w="1415" w:type="dxa"/>
            <w:tcBorders>
              <w:top w:val="single" w:sz="4" w:space="0" w:color="auto"/>
              <w:left w:val="nil"/>
              <w:bottom w:val="single" w:sz="4" w:space="0" w:color="auto"/>
              <w:right w:val="nil"/>
            </w:tcBorders>
          </w:tcPr>
          <w:p w14:paraId="5249798C" w14:textId="77777777" w:rsidR="008B29C1" w:rsidRPr="00203EB0" w:rsidRDefault="008B29C1" w:rsidP="001A7B9A">
            <w:pPr>
              <w:jc w:val="center"/>
              <w:rPr>
                <w:rFonts w:cs="Times New Roman"/>
                <w:b/>
              </w:rPr>
            </w:pPr>
            <w:r w:rsidRPr="00203EB0">
              <w:rPr>
                <w:rFonts w:cs="Times New Roman"/>
                <w:b/>
              </w:rPr>
              <w:t>Effect size</w:t>
            </w:r>
          </w:p>
        </w:tc>
      </w:tr>
      <w:tr w:rsidR="008B29C1" w:rsidRPr="00203EB0" w14:paraId="1BD06C4A" w14:textId="77777777" w:rsidTr="008B29C1">
        <w:tc>
          <w:tcPr>
            <w:tcW w:w="2786" w:type="dxa"/>
            <w:tcBorders>
              <w:top w:val="single" w:sz="4" w:space="0" w:color="auto"/>
              <w:left w:val="nil"/>
              <w:bottom w:val="nil"/>
              <w:right w:val="nil"/>
            </w:tcBorders>
          </w:tcPr>
          <w:p w14:paraId="1BB837AB" w14:textId="77777777" w:rsidR="008B29C1" w:rsidRPr="00203EB0" w:rsidRDefault="008B29C1" w:rsidP="001A7B9A">
            <w:pPr>
              <w:rPr>
                <w:rFonts w:cs="Times New Roman"/>
              </w:rPr>
            </w:pPr>
            <w:r w:rsidRPr="00203EB0">
              <w:rPr>
                <w:rFonts w:cs="Times New Roman"/>
              </w:rPr>
              <w:t>Time-point</w:t>
            </w:r>
          </w:p>
        </w:tc>
        <w:tc>
          <w:tcPr>
            <w:tcW w:w="1370" w:type="dxa"/>
            <w:tcBorders>
              <w:top w:val="single" w:sz="4" w:space="0" w:color="auto"/>
              <w:left w:val="nil"/>
              <w:bottom w:val="nil"/>
              <w:right w:val="nil"/>
            </w:tcBorders>
          </w:tcPr>
          <w:p w14:paraId="053C653B" w14:textId="77777777" w:rsidR="008B29C1" w:rsidRPr="00203EB0" w:rsidRDefault="008B29C1" w:rsidP="001A7B9A">
            <w:pPr>
              <w:jc w:val="center"/>
              <w:rPr>
                <w:rFonts w:cs="Times New Roman"/>
              </w:rPr>
            </w:pPr>
            <w:r w:rsidRPr="00203EB0">
              <w:rPr>
                <w:rFonts w:cs="Times New Roman"/>
              </w:rPr>
              <w:t>2.20</w:t>
            </w:r>
          </w:p>
        </w:tc>
        <w:tc>
          <w:tcPr>
            <w:tcW w:w="848" w:type="dxa"/>
            <w:tcBorders>
              <w:top w:val="single" w:sz="4" w:space="0" w:color="auto"/>
              <w:left w:val="nil"/>
              <w:bottom w:val="nil"/>
              <w:right w:val="nil"/>
            </w:tcBorders>
          </w:tcPr>
          <w:p w14:paraId="79042E32" w14:textId="77777777" w:rsidR="008B29C1" w:rsidRPr="00203EB0" w:rsidRDefault="008B29C1" w:rsidP="001A7B9A">
            <w:pPr>
              <w:jc w:val="center"/>
              <w:rPr>
                <w:rFonts w:cs="Times New Roman"/>
              </w:rPr>
            </w:pPr>
            <w:r w:rsidRPr="00203EB0">
              <w:rPr>
                <w:rFonts w:cs="Times New Roman"/>
              </w:rPr>
              <w:t>3</w:t>
            </w:r>
          </w:p>
        </w:tc>
        <w:tc>
          <w:tcPr>
            <w:tcW w:w="1386" w:type="dxa"/>
            <w:tcBorders>
              <w:top w:val="single" w:sz="4" w:space="0" w:color="auto"/>
              <w:left w:val="nil"/>
              <w:bottom w:val="nil"/>
              <w:right w:val="nil"/>
            </w:tcBorders>
          </w:tcPr>
          <w:p w14:paraId="306D22FC" w14:textId="77777777" w:rsidR="008B29C1" w:rsidRPr="00203EB0" w:rsidRDefault="008B29C1" w:rsidP="001A7B9A">
            <w:pPr>
              <w:jc w:val="center"/>
              <w:rPr>
                <w:rFonts w:cs="Times New Roman"/>
              </w:rPr>
            </w:pPr>
            <w:r w:rsidRPr="00203EB0">
              <w:rPr>
                <w:rFonts w:cs="Times New Roman"/>
              </w:rPr>
              <w:t>0.001*</w:t>
            </w:r>
          </w:p>
        </w:tc>
        <w:tc>
          <w:tcPr>
            <w:tcW w:w="835" w:type="dxa"/>
            <w:tcBorders>
              <w:top w:val="single" w:sz="4" w:space="0" w:color="auto"/>
              <w:left w:val="nil"/>
              <w:bottom w:val="nil"/>
              <w:right w:val="nil"/>
            </w:tcBorders>
          </w:tcPr>
          <w:p w14:paraId="65E3E9E6" w14:textId="77777777" w:rsidR="008B29C1" w:rsidRPr="00203EB0" w:rsidRDefault="008B29C1" w:rsidP="001A7B9A">
            <w:pPr>
              <w:jc w:val="center"/>
              <w:rPr>
                <w:rFonts w:cs="Times New Roman"/>
              </w:rPr>
            </w:pPr>
            <w:r w:rsidRPr="00203EB0">
              <w:rPr>
                <w:rFonts w:cs="Times New Roman"/>
              </w:rPr>
              <w:t>0.042</w:t>
            </w:r>
          </w:p>
        </w:tc>
        <w:tc>
          <w:tcPr>
            <w:tcW w:w="1415" w:type="dxa"/>
            <w:tcBorders>
              <w:top w:val="single" w:sz="4" w:space="0" w:color="auto"/>
              <w:left w:val="nil"/>
              <w:bottom w:val="nil"/>
              <w:right w:val="nil"/>
            </w:tcBorders>
          </w:tcPr>
          <w:p w14:paraId="7390F9EA" w14:textId="77777777" w:rsidR="008B29C1" w:rsidRPr="00203EB0" w:rsidRDefault="008B29C1" w:rsidP="001A7B9A">
            <w:pPr>
              <w:rPr>
                <w:rFonts w:cs="Times New Roman"/>
              </w:rPr>
            </w:pPr>
            <w:r w:rsidRPr="00203EB0">
              <w:rPr>
                <w:rFonts w:cs="Times New Roman"/>
              </w:rPr>
              <w:t>Small</w:t>
            </w:r>
          </w:p>
        </w:tc>
      </w:tr>
      <w:tr w:rsidR="008B29C1" w:rsidRPr="00203EB0" w14:paraId="445AE299" w14:textId="77777777" w:rsidTr="008B29C1">
        <w:tc>
          <w:tcPr>
            <w:tcW w:w="2786" w:type="dxa"/>
            <w:tcBorders>
              <w:top w:val="nil"/>
              <w:left w:val="nil"/>
              <w:bottom w:val="nil"/>
              <w:right w:val="nil"/>
            </w:tcBorders>
          </w:tcPr>
          <w:p w14:paraId="25D7041D" w14:textId="77777777" w:rsidR="008B29C1" w:rsidRPr="00203EB0" w:rsidRDefault="008B29C1" w:rsidP="001A7B9A">
            <w:pPr>
              <w:rPr>
                <w:rFonts w:cs="Times New Roman"/>
              </w:rPr>
            </w:pPr>
            <w:r w:rsidRPr="00203EB0">
              <w:rPr>
                <w:rFonts w:cs="Times New Roman"/>
              </w:rPr>
              <w:t>Fertilizer</w:t>
            </w:r>
          </w:p>
        </w:tc>
        <w:tc>
          <w:tcPr>
            <w:tcW w:w="1370" w:type="dxa"/>
            <w:tcBorders>
              <w:top w:val="nil"/>
              <w:left w:val="nil"/>
              <w:bottom w:val="nil"/>
              <w:right w:val="nil"/>
            </w:tcBorders>
          </w:tcPr>
          <w:p w14:paraId="44C58CF9" w14:textId="77777777" w:rsidR="008B29C1" w:rsidRPr="00203EB0" w:rsidRDefault="008B29C1" w:rsidP="001A7B9A">
            <w:pPr>
              <w:jc w:val="center"/>
              <w:rPr>
                <w:rFonts w:cs="Times New Roman"/>
              </w:rPr>
            </w:pPr>
            <w:r w:rsidRPr="00203EB0">
              <w:rPr>
                <w:rFonts w:cs="Times New Roman"/>
              </w:rPr>
              <w:t>3.86</w:t>
            </w:r>
          </w:p>
        </w:tc>
        <w:tc>
          <w:tcPr>
            <w:tcW w:w="848" w:type="dxa"/>
            <w:tcBorders>
              <w:top w:val="nil"/>
              <w:left w:val="nil"/>
              <w:bottom w:val="nil"/>
              <w:right w:val="nil"/>
            </w:tcBorders>
          </w:tcPr>
          <w:p w14:paraId="69BE0E63"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3B3AD551" w14:textId="77777777" w:rsidR="008B29C1" w:rsidRPr="00203EB0" w:rsidRDefault="008B29C1" w:rsidP="001A7B9A">
            <w:pPr>
              <w:jc w:val="center"/>
              <w:rPr>
                <w:rFonts w:cs="Times New Roman"/>
              </w:rPr>
            </w:pPr>
            <w:r w:rsidRPr="00203EB0">
              <w:rPr>
                <w:rFonts w:cs="Times New Roman"/>
              </w:rPr>
              <w:t>0.001*</w:t>
            </w:r>
          </w:p>
        </w:tc>
        <w:tc>
          <w:tcPr>
            <w:tcW w:w="835" w:type="dxa"/>
            <w:tcBorders>
              <w:top w:val="nil"/>
              <w:left w:val="nil"/>
              <w:bottom w:val="nil"/>
              <w:right w:val="nil"/>
            </w:tcBorders>
          </w:tcPr>
          <w:p w14:paraId="5B1646BC" w14:textId="77777777" w:rsidR="008B29C1" w:rsidRPr="00203EB0" w:rsidRDefault="008B29C1" w:rsidP="001A7B9A">
            <w:pPr>
              <w:jc w:val="center"/>
              <w:rPr>
                <w:rFonts w:cs="Times New Roman"/>
              </w:rPr>
            </w:pPr>
            <w:r w:rsidRPr="00203EB0">
              <w:rPr>
                <w:rFonts w:cs="Times New Roman"/>
              </w:rPr>
              <w:t>0.035</w:t>
            </w:r>
          </w:p>
        </w:tc>
        <w:tc>
          <w:tcPr>
            <w:tcW w:w="1415" w:type="dxa"/>
            <w:tcBorders>
              <w:top w:val="nil"/>
              <w:left w:val="nil"/>
              <w:bottom w:val="nil"/>
              <w:right w:val="nil"/>
            </w:tcBorders>
          </w:tcPr>
          <w:p w14:paraId="00A490FD" w14:textId="77777777" w:rsidR="008B29C1" w:rsidRPr="00203EB0" w:rsidRDefault="008B29C1" w:rsidP="001A7B9A">
            <w:pPr>
              <w:rPr>
                <w:rFonts w:cs="Times New Roman"/>
              </w:rPr>
            </w:pPr>
            <w:r w:rsidRPr="00203EB0">
              <w:rPr>
                <w:rFonts w:cs="Times New Roman"/>
              </w:rPr>
              <w:t>Small</w:t>
            </w:r>
          </w:p>
        </w:tc>
      </w:tr>
      <w:tr w:rsidR="008B29C1" w:rsidRPr="00203EB0" w14:paraId="2AB59A06" w14:textId="77777777" w:rsidTr="008B29C1">
        <w:tc>
          <w:tcPr>
            <w:tcW w:w="2786" w:type="dxa"/>
            <w:tcBorders>
              <w:top w:val="nil"/>
              <w:left w:val="nil"/>
              <w:bottom w:val="nil"/>
              <w:right w:val="nil"/>
            </w:tcBorders>
          </w:tcPr>
          <w:p w14:paraId="6DB3D342" w14:textId="77777777" w:rsidR="008B29C1" w:rsidRPr="00203EB0" w:rsidRDefault="008B29C1" w:rsidP="001A7B9A">
            <w:pPr>
              <w:rPr>
                <w:rFonts w:cs="Times New Roman"/>
              </w:rPr>
            </w:pPr>
            <w:r w:rsidRPr="00203EB0">
              <w:rPr>
                <w:rFonts w:cs="Times New Roman"/>
              </w:rPr>
              <w:t>Till</w:t>
            </w:r>
          </w:p>
        </w:tc>
        <w:tc>
          <w:tcPr>
            <w:tcW w:w="1370" w:type="dxa"/>
            <w:tcBorders>
              <w:top w:val="nil"/>
              <w:left w:val="nil"/>
              <w:bottom w:val="nil"/>
              <w:right w:val="nil"/>
            </w:tcBorders>
          </w:tcPr>
          <w:p w14:paraId="26BC81D1" w14:textId="77777777" w:rsidR="008B29C1" w:rsidRPr="00203EB0" w:rsidRDefault="008B29C1" w:rsidP="001A7B9A">
            <w:pPr>
              <w:jc w:val="center"/>
              <w:rPr>
                <w:rFonts w:cs="Times New Roman"/>
              </w:rPr>
            </w:pPr>
            <w:r w:rsidRPr="00203EB0">
              <w:rPr>
                <w:rFonts w:cs="Times New Roman"/>
              </w:rPr>
              <w:t>4.73</w:t>
            </w:r>
          </w:p>
        </w:tc>
        <w:tc>
          <w:tcPr>
            <w:tcW w:w="848" w:type="dxa"/>
            <w:tcBorders>
              <w:top w:val="nil"/>
              <w:left w:val="nil"/>
              <w:bottom w:val="nil"/>
              <w:right w:val="nil"/>
            </w:tcBorders>
          </w:tcPr>
          <w:p w14:paraId="28CCE5B3"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5794D566" w14:textId="77777777" w:rsidR="008B29C1" w:rsidRPr="00203EB0" w:rsidRDefault="008B29C1" w:rsidP="001A7B9A">
            <w:pPr>
              <w:jc w:val="center"/>
              <w:rPr>
                <w:rFonts w:cs="Times New Roman"/>
              </w:rPr>
            </w:pPr>
            <w:r w:rsidRPr="00203EB0">
              <w:rPr>
                <w:rFonts w:cs="Times New Roman"/>
              </w:rPr>
              <w:t>0.001*</w:t>
            </w:r>
          </w:p>
        </w:tc>
        <w:tc>
          <w:tcPr>
            <w:tcW w:w="835" w:type="dxa"/>
            <w:tcBorders>
              <w:top w:val="nil"/>
              <w:left w:val="nil"/>
              <w:bottom w:val="nil"/>
              <w:right w:val="nil"/>
            </w:tcBorders>
          </w:tcPr>
          <w:p w14:paraId="03CB8DF0" w14:textId="77777777" w:rsidR="008B29C1" w:rsidRPr="00203EB0" w:rsidRDefault="008B29C1" w:rsidP="001A7B9A">
            <w:pPr>
              <w:jc w:val="center"/>
              <w:rPr>
                <w:rFonts w:cs="Times New Roman"/>
              </w:rPr>
            </w:pPr>
            <w:r w:rsidRPr="00203EB0">
              <w:rPr>
                <w:rFonts w:cs="Times New Roman"/>
              </w:rPr>
              <w:t>0.045</w:t>
            </w:r>
          </w:p>
        </w:tc>
        <w:tc>
          <w:tcPr>
            <w:tcW w:w="1415" w:type="dxa"/>
            <w:tcBorders>
              <w:top w:val="nil"/>
              <w:left w:val="nil"/>
              <w:bottom w:val="nil"/>
              <w:right w:val="nil"/>
            </w:tcBorders>
          </w:tcPr>
          <w:p w14:paraId="3310E889" w14:textId="77777777" w:rsidR="008B29C1" w:rsidRPr="00203EB0" w:rsidRDefault="008B29C1" w:rsidP="001A7B9A">
            <w:pPr>
              <w:rPr>
                <w:rFonts w:cs="Times New Roman"/>
              </w:rPr>
            </w:pPr>
            <w:r w:rsidRPr="00203EB0">
              <w:rPr>
                <w:rFonts w:cs="Times New Roman"/>
              </w:rPr>
              <w:t>Small</w:t>
            </w:r>
          </w:p>
        </w:tc>
      </w:tr>
      <w:tr w:rsidR="008B29C1" w:rsidRPr="00203EB0" w14:paraId="3771BB33" w14:textId="77777777" w:rsidTr="008B29C1">
        <w:tc>
          <w:tcPr>
            <w:tcW w:w="2786" w:type="dxa"/>
            <w:tcBorders>
              <w:top w:val="nil"/>
              <w:left w:val="nil"/>
              <w:bottom w:val="nil"/>
              <w:right w:val="nil"/>
            </w:tcBorders>
          </w:tcPr>
          <w:p w14:paraId="13E2B23F" w14:textId="77777777" w:rsidR="008B29C1" w:rsidRPr="00203EB0" w:rsidRDefault="008B29C1" w:rsidP="001A7B9A">
            <w:pPr>
              <w:rPr>
                <w:rFonts w:cs="Times New Roman"/>
              </w:rPr>
            </w:pPr>
            <w:r w:rsidRPr="00203EB0">
              <w:rPr>
                <w:rFonts w:cs="Times New Roman"/>
              </w:rPr>
              <w:t>Cover</w:t>
            </w:r>
          </w:p>
        </w:tc>
        <w:tc>
          <w:tcPr>
            <w:tcW w:w="1370" w:type="dxa"/>
            <w:tcBorders>
              <w:top w:val="nil"/>
              <w:left w:val="nil"/>
              <w:bottom w:val="nil"/>
              <w:right w:val="nil"/>
            </w:tcBorders>
          </w:tcPr>
          <w:p w14:paraId="7ADCDB19" w14:textId="77777777" w:rsidR="008B29C1" w:rsidRPr="00203EB0" w:rsidRDefault="008B29C1" w:rsidP="001A7B9A">
            <w:pPr>
              <w:jc w:val="center"/>
              <w:rPr>
                <w:rFonts w:cs="Times New Roman"/>
              </w:rPr>
            </w:pPr>
            <w:r w:rsidRPr="00203EB0">
              <w:rPr>
                <w:rFonts w:cs="Times New Roman"/>
              </w:rPr>
              <w:t>3.37</w:t>
            </w:r>
          </w:p>
        </w:tc>
        <w:tc>
          <w:tcPr>
            <w:tcW w:w="848" w:type="dxa"/>
            <w:tcBorders>
              <w:top w:val="nil"/>
              <w:left w:val="nil"/>
              <w:bottom w:val="nil"/>
              <w:right w:val="nil"/>
            </w:tcBorders>
          </w:tcPr>
          <w:p w14:paraId="05CE417A"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54B28E4E" w14:textId="77777777" w:rsidR="008B29C1" w:rsidRPr="00203EB0" w:rsidRDefault="008B29C1" w:rsidP="001A7B9A">
            <w:pPr>
              <w:jc w:val="center"/>
              <w:rPr>
                <w:rFonts w:cs="Times New Roman"/>
              </w:rPr>
            </w:pPr>
            <w:r w:rsidRPr="00203EB0">
              <w:rPr>
                <w:rFonts w:cs="Times New Roman"/>
              </w:rPr>
              <w:t>0.001*</w:t>
            </w:r>
          </w:p>
        </w:tc>
        <w:tc>
          <w:tcPr>
            <w:tcW w:w="835" w:type="dxa"/>
            <w:tcBorders>
              <w:top w:val="nil"/>
              <w:left w:val="nil"/>
              <w:bottom w:val="nil"/>
              <w:right w:val="nil"/>
            </w:tcBorders>
          </w:tcPr>
          <w:p w14:paraId="610A2DE3" w14:textId="77777777" w:rsidR="008B29C1" w:rsidRPr="00203EB0" w:rsidRDefault="008B29C1" w:rsidP="001A7B9A">
            <w:pPr>
              <w:jc w:val="center"/>
              <w:rPr>
                <w:rFonts w:cs="Times New Roman"/>
              </w:rPr>
            </w:pPr>
            <w:r w:rsidRPr="00203EB0">
              <w:rPr>
                <w:rFonts w:cs="Times New Roman"/>
              </w:rPr>
              <w:t>0.029</w:t>
            </w:r>
          </w:p>
        </w:tc>
        <w:tc>
          <w:tcPr>
            <w:tcW w:w="1415" w:type="dxa"/>
            <w:tcBorders>
              <w:top w:val="nil"/>
              <w:left w:val="nil"/>
              <w:bottom w:val="nil"/>
              <w:right w:val="nil"/>
            </w:tcBorders>
          </w:tcPr>
          <w:p w14:paraId="5E8F385A" w14:textId="77777777" w:rsidR="008B29C1" w:rsidRPr="00203EB0" w:rsidRDefault="008B29C1" w:rsidP="001A7B9A">
            <w:pPr>
              <w:rPr>
                <w:rFonts w:cs="Times New Roman"/>
              </w:rPr>
            </w:pPr>
            <w:r w:rsidRPr="00203EB0">
              <w:rPr>
                <w:rFonts w:cs="Times New Roman"/>
              </w:rPr>
              <w:t>Small</w:t>
            </w:r>
          </w:p>
        </w:tc>
      </w:tr>
      <w:tr w:rsidR="008B29C1" w:rsidRPr="00203EB0" w14:paraId="41453DDA" w14:textId="77777777" w:rsidTr="008B29C1">
        <w:tc>
          <w:tcPr>
            <w:tcW w:w="2786" w:type="dxa"/>
            <w:tcBorders>
              <w:top w:val="nil"/>
              <w:left w:val="nil"/>
              <w:bottom w:val="nil"/>
              <w:right w:val="nil"/>
            </w:tcBorders>
          </w:tcPr>
          <w:p w14:paraId="21275996" w14:textId="77777777" w:rsidR="008B29C1" w:rsidRPr="00203EB0" w:rsidRDefault="008B29C1" w:rsidP="001A7B9A">
            <w:pPr>
              <w:rPr>
                <w:rFonts w:cs="Times New Roman"/>
              </w:rPr>
            </w:pPr>
            <w:r w:rsidRPr="00203EB0">
              <w:rPr>
                <w:rFonts w:cs="Times New Roman"/>
              </w:rPr>
              <w:t>Time-point x Fert</w:t>
            </w:r>
          </w:p>
        </w:tc>
        <w:tc>
          <w:tcPr>
            <w:tcW w:w="1370" w:type="dxa"/>
            <w:tcBorders>
              <w:top w:val="nil"/>
              <w:left w:val="nil"/>
              <w:bottom w:val="nil"/>
              <w:right w:val="nil"/>
            </w:tcBorders>
          </w:tcPr>
          <w:p w14:paraId="7DA4A2F5" w14:textId="77777777" w:rsidR="008B29C1" w:rsidRPr="00203EB0" w:rsidRDefault="008B29C1" w:rsidP="001A7B9A">
            <w:pPr>
              <w:jc w:val="center"/>
              <w:rPr>
                <w:rFonts w:cs="Times New Roman"/>
              </w:rPr>
            </w:pPr>
            <w:r w:rsidRPr="00203EB0">
              <w:rPr>
                <w:rFonts w:cs="Times New Roman"/>
              </w:rPr>
              <w:t>1.35</w:t>
            </w:r>
          </w:p>
        </w:tc>
        <w:tc>
          <w:tcPr>
            <w:tcW w:w="848" w:type="dxa"/>
            <w:tcBorders>
              <w:top w:val="nil"/>
              <w:left w:val="nil"/>
              <w:bottom w:val="nil"/>
              <w:right w:val="nil"/>
            </w:tcBorders>
          </w:tcPr>
          <w:p w14:paraId="300C9E8B" w14:textId="77777777" w:rsidR="008B29C1" w:rsidRPr="00203EB0" w:rsidRDefault="008B29C1" w:rsidP="001A7B9A">
            <w:pPr>
              <w:jc w:val="center"/>
              <w:rPr>
                <w:rFonts w:cs="Times New Roman"/>
              </w:rPr>
            </w:pPr>
            <w:r w:rsidRPr="00203EB0">
              <w:rPr>
                <w:rFonts w:cs="Times New Roman"/>
              </w:rPr>
              <w:t>3</w:t>
            </w:r>
          </w:p>
        </w:tc>
        <w:tc>
          <w:tcPr>
            <w:tcW w:w="1386" w:type="dxa"/>
            <w:tcBorders>
              <w:top w:val="nil"/>
              <w:left w:val="nil"/>
              <w:bottom w:val="nil"/>
              <w:right w:val="nil"/>
            </w:tcBorders>
          </w:tcPr>
          <w:p w14:paraId="6F2B18FA" w14:textId="77777777" w:rsidR="008B29C1" w:rsidRPr="00203EB0" w:rsidRDefault="008B29C1" w:rsidP="001A7B9A">
            <w:pPr>
              <w:jc w:val="center"/>
              <w:rPr>
                <w:rFonts w:cs="Times New Roman"/>
              </w:rPr>
            </w:pPr>
            <w:r w:rsidRPr="00203EB0">
              <w:rPr>
                <w:rFonts w:cs="Times New Roman"/>
              </w:rPr>
              <w:t>0.035*</w:t>
            </w:r>
          </w:p>
        </w:tc>
        <w:tc>
          <w:tcPr>
            <w:tcW w:w="835" w:type="dxa"/>
            <w:tcBorders>
              <w:top w:val="nil"/>
              <w:left w:val="nil"/>
              <w:bottom w:val="nil"/>
              <w:right w:val="nil"/>
            </w:tcBorders>
          </w:tcPr>
          <w:p w14:paraId="636A30E5" w14:textId="77777777" w:rsidR="008B29C1" w:rsidRPr="00203EB0" w:rsidRDefault="008B29C1" w:rsidP="001A7B9A">
            <w:pPr>
              <w:jc w:val="center"/>
              <w:rPr>
                <w:rFonts w:cs="Times New Roman"/>
              </w:rPr>
            </w:pPr>
            <w:r w:rsidRPr="00203EB0">
              <w:rPr>
                <w:rFonts w:cs="Times New Roman"/>
              </w:rPr>
              <w:t>0.013</w:t>
            </w:r>
          </w:p>
        </w:tc>
        <w:tc>
          <w:tcPr>
            <w:tcW w:w="1415" w:type="dxa"/>
            <w:tcBorders>
              <w:top w:val="nil"/>
              <w:left w:val="nil"/>
              <w:bottom w:val="nil"/>
              <w:right w:val="nil"/>
            </w:tcBorders>
          </w:tcPr>
          <w:p w14:paraId="7BE2A79D" w14:textId="77777777" w:rsidR="008B29C1" w:rsidRPr="00203EB0" w:rsidRDefault="008B29C1" w:rsidP="001A7B9A">
            <w:pPr>
              <w:rPr>
                <w:rFonts w:cs="Times New Roman"/>
              </w:rPr>
            </w:pPr>
            <w:r w:rsidRPr="00203EB0">
              <w:rPr>
                <w:rFonts w:cs="Times New Roman"/>
              </w:rPr>
              <w:t>Small</w:t>
            </w:r>
          </w:p>
        </w:tc>
      </w:tr>
      <w:tr w:rsidR="008B29C1" w:rsidRPr="00203EB0" w14:paraId="5B4552CC" w14:textId="77777777" w:rsidTr="008B29C1">
        <w:tc>
          <w:tcPr>
            <w:tcW w:w="2786" w:type="dxa"/>
            <w:tcBorders>
              <w:top w:val="nil"/>
              <w:left w:val="nil"/>
              <w:bottom w:val="nil"/>
              <w:right w:val="nil"/>
            </w:tcBorders>
          </w:tcPr>
          <w:p w14:paraId="1862ABF0" w14:textId="77777777" w:rsidR="008B29C1" w:rsidRPr="00203EB0" w:rsidRDefault="008B29C1" w:rsidP="001A7B9A">
            <w:pPr>
              <w:rPr>
                <w:rFonts w:cs="Times New Roman"/>
              </w:rPr>
            </w:pPr>
            <w:r w:rsidRPr="00203EB0">
              <w:rPr>
                <w:rFonts w:cs="Times New Roman"/>
              </w:rPr>
              <w:t xml:space="preserve">Time-point x </w:t>
            </w:r>
            <w:proofErr w:type="gramStart"/>
            <w:r w:rsidRPr="00203EB0">
              <w:rPr>
                <w:rFonts w:cs="Times New Roman"/>
              </w:rPr>
              <w:t>Till</w:t>
            </w:r>
            <w:proofErr w:type="gramEnd"/>
          </w:p>
        </w:tc>
        <w:tc>
          <w:tcPr>
            <w:tcW w:w="1370" w:type="dxa"/>
            <w:tcBorders>
              <w:top w:val="nil"/>
              <w:left w:val="nil"/>
              <w:bottom w:val="nil"/>
              <w:right w:val="nil"/>
            </w:tcBorders>
          </w:tcPr>
          <w:p w14:paraId="1C6AE491" w14:textId="77777777" w:rsidR="008B29C1" w:rsidRPr="00203EB0" w:rsidRDefault="008B29C1" w:rsidP="001A7B9A">
            <w:pPr>
              <w:jc w:val="center"/>
              <w:rPr>
                <w:rFonts w:cs="Times New Roman"/>
              </w:rPr>
            </w:pPr>
            <w:r w:rsidRPr="00203EB0">
              <w:rPr>
                <w:rFonts w:cs="Times New Roman"/>
              </w:rPr>
              <w:t>0.95</w:t>
            </w:r>
          </w:p>
        </w:tc>
        <w:tc>
          <w:tcPr>
            <w:tcW w:w="848" w:type="dxa"/>
            <w:tcBorders>
              <w:top w:val="nil"/>
              <w:left w:val="nil"/>
              <w:bottom w:val="nil"/>
              <w:right w:val="nil"/>
            </w:tcBorders>
          </w:tcPr>
          <w:p w14:paraId="4BCF4200" w14:textId="77777777" w:rsidR="008B29C1" w:rsidRPr="00203EB0" w:rsidRDefault="008B29C1" w:rsidP="001A7B9A">
            <w:pPr>
              <w:jc w:val="center"/>
              <w:rPr>
                <w:rFonts w:cs="Times New Roman"/>
              </w:rPr>
            </w:pPr>
            <w:r w:rsidRPr="00203EB0">
              <w:rPr>
                <w:rFonts w:cs="Times New Roman"/>
              </w:rPr>
              <w:t>3</w:t>
            </w:r>
          </w:p>
        </w:tc>
        <w:tc>
          <w:tcPr>
            <w:tcW w:w="1386" w:type="dxa"/>
            <w:tcBorders>
              <w:top w:val="nil"/>
              <w:left w:val="nil"/>
              <w:bottom w:val="nil"/>
              <w:right w:val="nil"/>
            </w:tcBorders>
          </w:tcPr>
          <w:p w14:paraId="6923E419" w14:textId="77777777" w:rsidR="008B29C1" w:rsidRPr="00203EB0" w:rsidRDefault="008B29C1" w:rsidP="001A7B9A">
            <w:pPr>
              <w:rPr>
                <w:rFonts w:cs="Times New Roman"/>
              </w:rPr>
            </w:pPr>
            <w:r w:rsidRPr="00203EB0">
              <w:rPr>
                <w:rFonts w:cs="Times New Roman"/>
              </w:rPr>
              <w:t xml:space="preserve">     0.405</w:t>
            </w:r>
          </w:p>
        </w:tc>
        <w:tc>
          <w:tcPr>
            <w:tcW w:w="835" w:type="dxa"/>
            <w:tcBorders>
              <w:top w:val="nil"/>
              <w:left w:val="nil"/>
              <w:bottom w:val="nil"/>
              <w:right w:val="nil"/>
            </w:tcBorders>
          </w:tcPr>
          <w:p w14:paraId="20F274B7"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10745DF6" w14:textId="77777777" w:rsidR="008B29C1" w:rsidRPr="00203EB0" w:rsidRDefault="008B29C1" w:rsidP="001A7B9A">
            <w:pPr>
              <w:rPr>
                <w:rFonts w:cs="Times New Roman"/>
              </w:rPr>
            </w:pPr>
          </w:p>
        </w:tc>
      </w:tr>
      <w:tr w:rsidR="008B29C1" w:rsidRPr="00203EB0" w14:paraId="38316CC3" w14:textId="77777777" w:rsidTr="008B29C1">
        <w:tc>
          <w:tcPr>
            <w:tcW w:w="2786" w:type="dxa"/>
            <w:tcBorders>
              <w:top w:val="nil"/>
              <w:left w:val="nil"/>
              <w:bottom w:val="nil"/>
              <w:right w:val="nil"/>
            </w:tcBorders>
          </w:tcPr>
          <w:p w14:paraId="0D86514D" w14:textId="77777777" w:rsidR="008B29C1" w:rsidRPr="00203EB0" w:rsidRDefault="008B29C1" w:rsidP="001A7B9A">
            <w:pPr>
              <w:rPr>
                <w:rFonts w:cs="Times New Roman"/>
              </w:rPr>
            </w:pPr>
            <w:r w:rsidRPr="00203EB0">
              <w:rPr>
                <w:rFonts w:cs="Times New Roman"/>
              </w:rPr>
              <w:t xml:space="preserve">Fert x </w:t>
            </w:r>
            <w:proofErr w:type="gramStart"/>
            <w:r w:rsidRPr="00203EB0">
              <w:rPr>
                <w:rFonts w:cs="Times New Roman"/>
              </w:rPr>
              <w:t>Till</w:t>
            </w:r>
            <w:proofErr w:type="gramEnd"/>
          </w:p>
        </w:tc>
        <w:tc>
          <w:tcPr>
            <w:tcW w:w="1370" w:type="dxa"/>
            <w:tcBorders>
              <w:top w:val="nil"/>
              <w:left w:val="nil"/>
              <w:bottom w:val="nil"/>
              <w:right w:val="nil"/>
            </w:tcBorders>
          </w:tcPr>
          <w:p w14:paraId="74E9ADBE" w14:textId="77777777" w:rsidR="008B29C1" w:rsidRPr="00203EB0" w:rsidRDefault="008B29C1" w:rsidP="001A7B9A">
            <w:pPr>
              <w:jc w:val="center"/>
              <w:rPr>
                <w:rFonts w:cs="Times New Roman"/>
              </w:rPr>
            </w:pPr>
            <w:r w:rsidRPr="00203EB0">
              <w:rPr>
                <w:rFonts w:cs="Times New Roman"/>
              </w:rPr>
              <w:t>1.64</w:t>
            </w:r>
          </w:p>
        </w:tc>
        <w:tc>
          <w:tcPr>
            <w:tcW w:w="848" w:type="dxa"/>
            <w:tcBorders>
              <w:top w:val="nil"/>
              <w:left w:val="nil"/>
              <w:bottom w:val="nil"/>
              <w:right w:val="nil"/>
            </w:tcBorders>
          </w:tcPr>
          <w:p w14:paraId="43BB49C2"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03097B83" w14:textId="77777777" w:rsidR="008B29C1" w:rsidRPr="00203EB0" w:rsidRDefault="008B29C1" w:rsidP="001A7B9A">
            <w:pPr>
              <w:rPr>
                <w:rFonts w:cs="Times New Roman"/>
              </w:rPr>
            </w:pPr>
            <w:r w:rsidRPr="00203EB0">
              <w:rPr>
                <w:rFonts w:cs="Times New Roman"/>
              </w:rPr>
              <w:t xml:space="preserve">     0.044*</w:t>
            </w:r>
          </w:p>
        </w:tc>
        <w:tc>
          <w:tcPr>
            <w:tcW w:w="835" w:type="dxa"/>
            <w:tcBorders>
              <w:top w:val="nil"/>
              <w:left w:val="nil"/>
              <w:bottom w:val="nil"/>
              <w:right w:val="nil"/>
            </w:tcBorders>
          </w:tcPr>
          <w:p w14:paraId="1DD3F083" w14:textId="77777777" w:rsidR="008B29C1" w:rsidRPr="00203EB0" w:rsidRDefault="008B29C1" w:rsidP="001A7B9A">
            <w:pPr>
              <w:jc w:val="center"/>
              <w:rPr>
                <w:rFonts w:cs="Times New Roman"/>
              </w:rPr>
            </w:pPr>
            <w:r w:rsidRPr="00203EB0">
              <w:rPr>
                <w:rFonts w:cs="Times New Roman"/>
              </w:rPr>
              <w:t>0.008</w:t>
            </w:r>
          </w:p>
        </w:tc>
        <w:tc>
          <w:tcPr>
            <w:tcW w:w="1415" w:type="dxa"/>
            <w:tcBorders>
              <w:top w:val="nil"/>
              <w:left w:val="nil"/>
              <w:bottom w:val="nil"/>
              <w:right w:val="nil"/>
            </w:tcBorders>
          </w:tcPr>
          <w:p w14:paraId="66BE939A" w14:textId="77777777" w:rsidR="008B29C1" w:rsidRPr="00203EB0" w:rsidRDefault="008B29C1" w:rsidP="001A7B9A">
            <w:pPr>
              <w:rPr>
                <w:rFonts w:cs="Times New Roman"/>
              </w:rPr>
            </w:pPr>
            <w:r w:rsidRPr="00203EB0">
              <w:rPr>
                <w:rFonts w:cs="Times New Roman"/>
              </w:rPr>
              <w:t>Negligible</w:t>
            </w:r>
          </w:p>
        </w:tc>
      </w:tr>
      <w:tr w:rsidR="008B29C1" w:rsidRPr="00203EB0" w14:paraId="18441008" w14:textId="77777777" w:rsidTr="008B29C1">
        <w:tc>
          <w:tcPr>
            <w:tcW w:w="2786" w:type="dxa"/>
            <w:tcBorders>
              <w:top w:val="nil"/>
              <w:left w:val="nil"/>
              <w:bottom w:val="nil"/>
              <w:right w:val="nil"/>
            </w:tcBorders>
          </w:tcPr>
          <w:p w14:paraId="5B264B4E" w14:textId="77777777" w:rsidR="008B29C1" w:rsidRPr="00203EB0" w:rsidRDefault="008B29C1" w:rsidP="001A7B9A">
            <w:pPr>
              <w:rPr>
                <w:rFonts w:cs="Times New Roman"/>
              </w:rPr>
            </w:pPr>
            <w:r w:rsidRPr="00203EB0">
              <w:rPr>
                <w:rFonts w:cs="Times New Roman"/>
              </w:rPr>
              <w:t>Time-point x Cover</w:t>
            </w:r>
          </w:p>
        </w:tc>
        <w:tc>
          <w:tcPr>
            <w:tcW w:w="1370" w:type="dxa"/>
            <w:tcBorders>
              <w:top w:val="nil"/>
              <w:left w:val="nil"/>
              <w:bottom w:val="nil"/>
              <w:right w:val="nil"/>
            </w:tcBorders>
          </w:tcPr>
          <w:p w14:paraId="6723E0B3" w14:textId="77777777" w:rsidR="008B29C1" w:rsidRPr="00203EB0" w:rsidRDefault="008B29C1" w:rsidP="001A7B9A">
            <w:pPr>
              <w:jc w:val="center"/>
              <w:rPr>
                <w:rFonts w:cs="Times New Roman"/>
              </w:rPr>
            </w:pPr>
            <w:r w:rsidRPr="00203EB0">
              <w:rPr>
                <w:rFonts w:cs="Times New Roman"/>
              </w:rPr>
              <w:t>1.21</w:t>
            </w:r>
          </w:p>
        </w:tc>
        <w:tc>
          <w:tcPr>
            <w:tcW w:w="848" w:type="dxa"/>
            <w:tcBorders>
              <w:top w:val="nil"/>
              <w:left w:val="nil"/>
              <w:bottom w:val="nil"/>
              <w:right w:val="nil"/>
            </w:tcBorders>
          </w:tcPr>
          <w:p w14:paraId="66702C69" w14:textId="77777777" w:rsidR="008B29C1" w:rsidRPr="00203EB0" w:rsidRDefault="008B29C1" w:rsidP="001A7B9A">
            <w:pPr>
              <w:jc w:val="center"/>
              <w:rPr>
                <w:rFonts w:cs="Times New Roman"/>
              </w:rPr>
            </w:pPr>
            <w:r w:rsidRPr="00203EB0">
              <w:rPr>
                <w:rFonts w:cs="Times New Roman"/>
              </w:rPr>
              <w:t>3</w:t>
            </w:r>
          </w:p>
        </w:tc>
        <w:tc>
          <w:tcPr>
            <w:tcW w:w="1386" w:type="dxa"/>
            <w:tcBorders>
              <w:top w:val="nil"/>
              <w:left w:val="nil"/>
              <w:bottom w:val="nil"/>
              <w:right w:val="nil"/>
            </w:tcBorders>
          </w:tcPr>
          <w:p w14:paraId="78649BDF" w14:textId="77777777" w:rsidR="008B29C1" w:rsidRPr="00203EB0" w:rsidRDefault="008B29C1" w:rsidP="001A7B9A">
            <w:pPr>
              <w:rPr>
                <w:rFonts w:cs="Times New Roman"/>
              </w:rPr>
            </w:pPr>
            <w:r w:rsidRPr="00203EB0">
              <w:rPr>
                <w:rFonts w:cs="Times New Roman"/>
              </w:rPr>
              <w:t xml:space="preserve">     0.097</w:t>
            </w:r>
          </w:p>
        </w:tc>
        <w:tc>
          <w:tcPr>
            <w:tcW w:w="835" w:type="dxa"/>
            <w:tcBorders>
              <w:top w:val="nil"/>
              <w:left w:val="nil"/>
              <w:bottom w:val="nil"/>
              <w:right w:val="nil"/>
            </w:tcBorders>
          </w:tcPr>
          <w:p w14:paraId="46BCB126"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4FE4D173" w14:textId="77777777" w:rsidR="008B29C1" w:rsidRPr="00203EB0" w:rsidRDefault="008B29C1" w:rsidP="001A7B9A">
            <w:pPr>
              <w:jc w:val="center"/>
              <w:rPr>
                <w:rFonts w:cs="Times New Roman"/>
              </w:rPr>
            </w:pPr>
          </w:p>
        </w:tc>
      </w:tr>
      <w:tr w:rsidR="008B29C1" w:rsidRPr="00203EB0" w14:paraId="6D490F9A" w14:textId="77777777" w:rsidTr="008B29C1">
        <w:tc>
          <w:tcPr>
            <w:tcW w:w="2786" w:type="dxa"/>
            <w:tcBorders>
              <w:top w:val="nil"/>
              <w:left w:val="nil"/>
              <w:bottom w:val="nil"/>
              <w:right w:val="nil"/>
            </w:tcBorders>
          </w:tcPr>
          <w:p w14:paraId="0627C1ED" w14:textId="77777777" w:rsidR="008B29C1" w:rsidRPr="00203EB0" w:rsidRDefault="008B29C1" w:rsidP="001A7B9A">
            <w:pPr>
              <w:rPr>
                <w:rFonts w:cs="Times New Roman"/>
              </w:rPr>
            </w:pPr>
            <w:r w:rsidRPr="00203EB0">
              <w:rPr>
                <w:rFonts w:cs="Times New Roman"/>
              </w:rPr>
              <w:t>Fert x Cover</w:t>
            </w:r>
          </w:p>
        </w:tc>
        <w:tc>
          <w:tcPr>
            <w:tcW w:w="1370" w:type="dxa"/>
            <w:tcBorders>
              <w:top w:val="nil"/>
              <w:left w:val="nil"/>
              <w:bottom w:val="nil"/>
              <w:right w:val="nil"/>
            </w:tcBorders>
          </w:tcPr>
          <w:p w14:paraId="3E474B5C" w14:textId="77777777" w:rsidR="008B29C1" w:rsidRPr="00203EB0" w:rsidRDefault="008B29C1" w:rsidP="001A7B9A">
            <w:pPr>
              <w:jc w:val="center"/>
              <w:rPr>
                <w:rFonts w:cs="Times New Roman"/>
              </w:rPr>
            </w:pPr>
            <w:r w:rsidRPr="00203EB0">
              <w:rPr>
                <w:rFonts w:cs="Times New Roman"/>
              </w:rPr>
              <w:t>2.30</w:t>
            </w:r>
          </w:p>
        </w:tc>
        <w:tc>
          <w:tcPr>
            <w:tcW w:w="848" w:type="dxa"/>
            <w:tcBorders>
              <w:top w:val="nil"/>
              <w:left w:val="nil"/>
              <w:bottom w:val="nil"/>
              <w:right w:val="nil"/>
            </w:tcBorders>
          </w:tcPr>
          <w:p w14:paraId="5022CCFB"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621E9ABD" w14:textId="77777777" w:rsidR="008B29C1" w:rsidRPr="00203EB0" w:rsidRDefault="008B29C1" w:rsidP="001A7B9A">
            <w:pPr>
              <w:jc w:val="center"/>
              <w:rPr>
                <w:rFonts w:cs="Times New Roman"/>
              </w:rPr>
            </w:pPr>
            <w:r w:rsidRPr="00203EB0">
              <w:rPr>
                <w:rFonts w:cs="Times New Roman"/>
              </w:rPr>
              <w:t>0.004*</w:t>
            </w:r>
          </w:p>
        </w:tc>
        <w:tc>
          <w:tcPr>
            <w:tcW w:w="835" w:type="dxa"/>
            <w:tcBorders>
              <w:top w:val="nil"/>
              <w:left w:val="nil"/>
              <w:bottom w:val="nil"/>
              <w:right w:val="nil"/>
            </w:tcBorders>
          </w:tcPr>
          <w:p w14:paraId="4B233188" w14:textId="77777777" w:rsidR="008B29C1" w:rsidRPr="00203EB0" w:rsidRDefault="008B29C1" w:rsidP="001A7B9A">
            <w:pPr>
              <w:jc w:val="center"/>
              <w:rPr>
                <w:rFonts w:cs="Times New Roman"/>
              </w:rPr>
            </w:pPr>
            <w:r w:rsidRPr="00203EB0">
              <w:rPr>
                <w:rFonts w:cs="Times New Roman"/>
              </w:rPr>
              <w:t>0.016</w:t>
            </w:r>
          </w:p>
        </w:tc>
        <w:tc>
          <w:tcPr>
            <w:tcW w:w="1415" w:type="dxa"/>
            <w:tcBorders>
              <w:top w:val="nil"/>
              <w:left w:val="nil"/>
              <w:bottom w:val="nil"/>
              <w:right w:val="nil"/>
            </w:tcBorders>
          </w:tcPr>
          <w:p w14:paraId="20300553" w14:textId="77777777" w:rsidR="008B29C1" w:rsidRPr="00203EB0" w:rsidRDefault="008B29C1" w:rsidP="001A7B9A">
            <w:pPr>
              <w:rPr>
                <w:rFonts w:cs="Times New Roman"/>
              </w:rPr>
            </w:pPr>
            <w:r w:rsidRPr="00203EB0">
              <w:rPr>
                <w:rFonts w:cs="Times New Roman"/>
              </w:rPr>
              <w:t>Small</w:t>
            </w:r>
          </w:p>
        </w:tc>
      </w:tr>
      <w:tr w:rsidR="008B29C1" w:rsidRPr="00203EB0" w14:paraId="0CC19FBF" w14:textId="77777777" w:rsidTr="008B29C1">
        <w:tc>
          <w:tcPr>
            <w:tcW w:w="2786" w:type="dxa"/>
            <w:tcBorders>
              <w:top w:val="nil"/>
              <w:left w:val="nil"/>
              <w:bottom w:val="nil"/>
              <w:right w:val="nil"/>
            </w:tcBorders>
          </w:tcPr>
          <w:p w14:paraId="26E8679B" w14:textId="77777777" w:rsidR="008B29C1" w:rsidRPr="00203EB0" w:rsidRDefault="008B29C1" w:rsidP="001A7B9A">
            <w:pPr>
              <w:rPr>
                <w:rFonts w:cs="Times New Roman"/>
              </w:rPr>
            </w:pPr>
            <w:r w:rsidRPr="00203EB0">
              <w:rPr>
                <w:rFonts w:cs="Times New Roman"/>
              </w:rPr>
              <w:t>Till x Cover</w:t>
            </w:r>
          </w:p>
        </w:tc>
        <w:tc>
          <w:tcPr>
            <w:tcW w:w="1370" w:type="dxa"/>
            <w:tcBorders>
              <w:top w:val="nil"/>
              <w:left w:val="nil"/>
              <w:bottom w:val="nil"/>
              <w:right w:val="nil"/>
            </w:tcBorders>
          </w:tcPr>
          <w:p w14:paraId="3CDB6513" w14:textId="77777777" w:rsidR="008B29C1" w:rsidRPr="00203EB0" w:rsidRDefault="008B29C1" w:rsidP="001A7B9A">
            <w:pPr>
              <w:jc w:val="center"/>
              <w:rPr>
                <w:rFonts w:cs="Times New Roman"/>
              </w:rPr>
            </w:pPr>
            <w:r w:rsidRPr="00203EB0">
              <w:rPr>
                <w:rFonts w:cs="Times New Roman"/>
              </w:rPr>
              <w:t>1.34</w:t>
            </w:r>
          </w:p>
        </w:tc>
        <w:tc>
          <w:tcPr>
            <w:tcW w:w="848" w:type="dxa"/>
            <w:tcBorders>
              <w:top w:val="nil"/>
              <w:left w:val="nil"/>
              <w:bottom w:val="nil"/>
              <w:right w:val="nil"/>
            </w:tcBorders>
          </w:tcPr>
          <w:p w14:paraId="47C1537B"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5EAC7DC2" w14:textId="77777777" w:rsidR="008B29C1" w:rsidRPr="00203EB0" w:rsidRDefault="008B29C1" w:rsidP="001A7B9A">
            <w:pPr>
              <w:jc w:val="center"/>
              <w:rPr>
                <w:rFonts w:cs="Times New Roman"/>
              </w:rPr>
            </w:pPr>
            <w:r w:rsidRPr="00203EB0">
              <w:rPr>
                <w:rFonts w:cs="Times New Roman"/>
              </w:rPr>
              <w:t>0.129</w:t>
            </w:r>
          </w:p>
        </w:tc>
        <w:tc>
          <w:tcPr>
            <w:tcW w:w="835" w:type="dxa"/>
            <w:tcBorders>
              <w:top w:val="nil"/>
              <w:left w:val="nil"/>
              <w:bottom w:val="nil"/>
              <w:right w:val="nil"/>
            </w:tcBorders>
          </w:tcPr>
          <w:p w14:paraId="1A6160C8"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24CAA250" w14:textId="77777777" w:rsidR="008B29C1" w:rsidRPr="00203EB0" w:rsidRDefault="008B29C1" w:rsidP="001A7B9A">
            <w:pPr>
              <w:jc w:val="center"/>
              <w:rPr>
                <w:rFonts w:cs="Times New Roman"/>
              </w:rPr>
            </w:pPr>
          </w:p>
        </w:tc>
      </w:tr>
      <w:tr w:rsidR="008B29C1" w:rsidRPr="00203EB0" w14:paraId="78E549F6" w14:textId="77777777" w:rsidTr="008B29C1">
        <w:tc>
          <w:tcPr>
            <w:tcW w:w="2786" w:type="dxa"/>
            <w:tcBorders>
              <w:top w:val="nil"/>
              <w:left w:val="nil"/>
              <w:bottom w:val="nil"/>
              <w:right w:val="nil"/>
            </w:tcBorders>
          </w:tcPr>
          <w:p w14:paraId="7B1A1D34" w14:textId="77777777" w:rsidR="008B29C1" w:rsidRPr="00203EB0" w:rsidRDefault="008B29C1" w:rsidP="001A7B9A">
            <w:pPr>
              <w:rPr>
                <w:rFonts w:cs="Times New Roman"/>
              </w:rPr>
            </w:pPr>
            <w:r w:rsidRPr="00203EB0">
              <w:rPr>
                <w:rFonts w:cs="Times New Roman"/>
              </w:rPr>
              <w:t xml:space="preserve">Time x Fert x </w:t>
            </w:r>
            <w:proofErr w:type="gramStart"/>
            <w:r w:rsidRPr="00203EB0">
              <w:rPr>
                <w:rFonts w:cs="Times New Roman"/>
              </w:rPr>
              <w:t>Till</w:t>
            </w:r>
            <w:proofErr w:type="gramEnd"/>
          </w:p>
        </w:tc>
        <w:tc>
          <w:tcPr>
            <w:tcW w:w="1370" w:type="dxa"/>
            <w:tcBorders>
              <w:top w:val="nil"/>
              <w:left w:val="nil"/>
              <w:bottom w:val="nil"/>
              <w:right w:val="nil"/>
            </w:tcBorders>
          </w:tcPr>
          <w:p w14:paraId="33DF4449" w14:textId="77777777" w:rsidR="008B29C1" w:rsidRPr="00203EB0" w:rsidRDefault="008B29C1" w:rsidP="001A7B9A">
            <w:pPr>
              <w:jc w:val="center"/>
              <w:rPr>
                <w:rFonts w:cs="Times New Roman"/>
              </w:rPr>
            </w:pPr>
            <w:r w:rsidRPr="00203EB0">
              <w:rPr>
                <w:rFonts w:cs="Times New Roman"/>
              </w:rPr>
              <w:t>1.29</w:t>
            </w:r>
          </w:p>
        </w:tc>
        <w:tc>
          <w:tcPr>
            <w:tcW w:w="848" w:type="dxa"/>
            <w:tcBorders>
              <w:top w:val="nil"/>
              <w:left w:val="nil"/>
              <w:bottom w:val="nil"/>
              <w:right w:val="nil"/>
            </w:tcBorders>
          </w:tcPr>
          <w:p w14:paraId="174B69AE" w14:textId="77777777" w:rsidR="008B29C1" w:rsidRPr="00203EB0" w:rsidRDefault="008B29C1" w:rsidP="001A7B9A">
            <w:pPr>
              <w:jc w:val="center"/>
              <w:rPr>
                <w:rFonts w:cs="Times New Roman"/>
              </w:rPr>
            </w:pPr>
            <w:r w:rsidRPr="00203EB0">
              <w:rPr>
                <w:rFonts w:cs="Times New Roman"/>
              </w:rPr>
              <w:t>3</w:t>
            </w:r>
          </w:p>
        </w:tc>
        <w:tc>
          <w:tcPr>
            <w:tcW w:w="1386" w:type="dxa"/>
            <w:tcBorders>
              <w:top w:val="nil"/>
              <w:left w:val="nil"/>
              <w:bottom w:val="nil"/>
              <w:right w:val="nil"/>
            </w:tcBorders>
          </w:tcPr>
          <w:p w14:paraId="432204CA" w14:textId="77777777" w:rsidR="008B29C1" w:rsidRPr="00203EB0" w:rsidRDefault="008B29C1" w:rsidP="001A7B9A">
            <w:pPr>
              <w:jc w:val="center"/>
              <w:rPr>
                <w:rFonts w:cs="Times New Roman"/>
              </w:rPr>
            </w:pPr>
            <w:r w:rsidRPr="00203EB0">
              <w:rPr>
                <w:rFonts w:cs="Times New Roman"/>
              </w:rPr>
              <w:t>0.051</w:t>
            </w:r>
          </w:p>
        </w:tc>
        <w:tc>
          <w:tcPr>
            <w:tcW w:w="835" w:type="dxa"/>
            <w:tcBorders>
              <w:top w:val="nil"/>
              <w:left w:val="nil"/>
              <w:bottom w:val="nil"/>
              <w:right w:val="nil"/>
            </w:tcBorders>
          </w:tcPr>
          <w:p w14:paraId="0B1E854A"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2CEC1B6F" w14:textId="77777777" w:rsidR="008B29C1" w:rsidRPr="00203EB0" w:rsidRDefault="008B29C1" w:rsidP="001A7B9A">
            <w:pPr>
              <w:jc w:val="center"/>
              <w:rPr>
                <w:rFonts w:cs="Times New Roman"/>
              </w:rPr>
            </w:pPr>
          </w:p>
        </w:tc>
      </w:tr>
      <w:tr w:rsidR="008B29C1" w:rsidRPr="00203EB0" w14:paraId="35C304F8" w14:textId="77777777" w:rsidTr="008B29C1">
        <w:tc>
          <w:tcPr>
            <w:tcW w:w="2786" w:type="dxa"/>
            <w:tcBorders>
              <w:top w:val="nil"/>
              <w:left w:val="nil"/>
              <w:bottom w:val="nil"/>
              <w:right w:val="nil"/>
            </w:tcBorders>
          </w:tcPr>
          <w:p w14:paraId="0F535E01" w14:textId="77777777" w:rsidR="008B29C1" w:rsidRPr="00203EB0" w:rsidRDefault="008B29C1" w:rsidP="001A7B9A">
            <w:pPr>
              <w:rPr>
                <w:rFonts w:cs="Times New Roman"/>
              </w:rPr>
            </w:pPr>
            <w:r w:rsidRPr="00203EB0">
              <w:rPr>
                <w:rFonts w:cs="Times New Roman"/>
              </w:rPr>
              <w:t>Time x Fert x Cover</w:t>
            </w:r>
          </w:p>
        </w:tc>
        <w:tc>
          <w:tcPr>
            <w:tcW w:w="1370" w:type="dxa"/>
            <w:tcBorders>
              <w:top w:val="nil"/>
              <w:left w:val="nil"/>
              <w:bottom w:val="nil"/>
              <w:right w:val="nil"/>
            </w:tcBorders>
          </w:tcPr>
          <w:p w14:paraId="0C49F4C1" w14:textId="77777777" w:rsidR="008B29C1" w:rsidRPr="00203EB0" w:rsidRDefault="008B29C1" w:rsidP="001A7B9A">
            <w:pPr>
              <w:jc w:val="center"/>
              <w:rPr>
                <w:rFonts w:cs="Times New Roman"/>
              </w:rPr>
            </w:pPr>
            <w:r w:rsidRPr="00203EB0">
              <w:rPr>
                <w:rFonts w:cs="Times New Roman"/>
              </w:rPr>
              <w:t>0.96</w:t>
            </w:r>
          </w:p>
        </w:tc>
        <w:tc>
          <w:tcPr>
            <w:tcW w:w="848" w:type="dxa"/>
            <w:tcBorders>
              <w:top w:val="nil"/>
              <w:left w:val="nil"/>
              <w:bottom w:val="nil"/>
              <w:right w:val="nil"/>
            </w:tcBorders>
          </w:tcPr>
          <w:p w14:paraId="0C3F3FEC" w14:textId="77777777" w:rsidR="008B29C1" w:rsidRPr="00203EB0" w:rsidRDefault="008B29C1" w:rsidP="001A7B9A">
            <w:pPr>
              <w:jc w:val="center"/>
              <w:rPr>
                <w:rFonts w:cs="Times New Roman"/>
              </w:rPr>
            </w:pPr>
            <w:r w:rsidRPr="00203EB0">
              <w:rPr>
                <w:rFonts w:cs="Times New Roman"/>
              </w:rPr>
              <w:t>3</w:t>
            </w:r>
          </w:p>
        </w:tc>
        <w:tc>
          <w:tcPr>
            <w:tcW w:w="1386" w:type="dxa"/>
            <w:tcBorders>
              <w:top w:val="nil"/>
              <w:left w:val="nil"/>
              <w:bottom w:val="nil"/>
              <w:right w:val="nil"/>
            </w:tcBorders>
          </w:tcPr>
          <w:p w14:paraId="7183EFDD" w14:textId="77777777" w:rsidR="008B29C1" w:rsidRPr="00203EB0" w:rsidRDefault="008B29C1" w:rsidP="001A7B9A">
            <w:pPr>
              <w:jc w:val="center"/>
              <w:rPr>
                <w:rFonts w:cs="Times New Roman"/>
              </w:rPr>
            </w:pPr>
            <w:r w:rsidRPr="00203EB0">
              <w:rPr>
                <w:rFonts w:cs="Times New Roman"/>
              </w:rPr>
              <w:t>0.434</w:t>
            </w:r>
          </w:p>
        </w:tc>
        <w:tc>
          <w:tcPr>
            <w:tcW w:w="835" w:type="dxa"/>
            <w:tcBorders>
              <w:top w:val="nil"/>
              <w:left w:val="nil"/>
              <w:bottom w:val="nil"/>
              <w:right w:val="nil"/>
            </w:tcBorders>
          </w:tcPr>
          <w:p w14:paraId="6D95D4CA"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28112B9E" w14:textId="77777777" w:rsidR="008B29C1" w:rsidRPr="00203EB0" w:rsidRDefault="008B29C1" w:rsidP="001A7B9A">
            <w:pPr>
              <w:jc w:val="center"/>
              <w:rPr>
                <w:rFonts w:cs="Times New Roman"/>
              </w:rPr>
            </w:pPr>
          </w:p>
        </w:tc>
      </w:tr>
      <w:tr w:rsidR="008B29C1" w:rsidRPr="00203EB0" w14:paraId="31C875BD" w14:textId="77777777" w:rsidTr="008B29C1">
        <w:tc>
          <w:tcPr>
            <w:tcW w:w="2786" w:type="dxa"/>
            <w:tcBorders>
              <w:top w:val="nil"/>
              <w:left w:val="nil"/>
              <w:bottom w:val="nil"/>
              <w:right w:val="nil"/>
            </w:tcBorders>
          </w:tcPr>
          <w:p w14:paraId="15A27D41" w14:textId="77777777" w:rsidR="008B29C1" w:rsidRPr="00203EB0" w:rsidRDefault="008B29C1" w:rsidP="001A7B9A">
            <w:pPr>
              <w:rPr>
                <w:rFonts w:cs="Times New Roman"/>
              </w:rPr>
            </w:pPr>
            <w:r w:rsidRPr="00203EB0">
              <w:rPr>
                <w:rFonts w:cs="Times New Roman"/>
              </w:rPr>
              <w:t xml:space="preserve">Time x </w:t>
            </w:r>
            <w:proofErr w:type="gramStart"/>
            <w:r w:rsidRPr="00203EB0">
              <w:rPr>
                <w:rFonts w:cs="Times New Roman"/>
              </w:rPr>
              <w:t>Till</w:t>
            </w:r>
            <w:proofErr w:type="gramEnd"/>
            <w:r w:rsidRPr="00203EB0">
              <w:rPr>
                <w:rFonts w:cs="Times New Roman"/>
              </w:rPr>
              <w:t xml:space="preserve"> x Cover</w:t>
            </w:r>
          </w:p>
        </w:tc>
        <w:tc>
          <w:tcPr>
            <w:tcW w:w="1370" w:type="dxa"/>
            <w:tcBorders>
              <w:top w:val="nil"/>
              <w:left w:val="nil"/>
              <w:bottom w:val="nil"/>
              <w:right w:val="nil"/>
            </w:tcBorders>
          </w:tcPr>
          <w:p w14:paraId="15ABF451" w14:textId="77777777" w:rsidR="008B29C1" w:rsidRPr="00203EB0" w:rsidRDefault="008B29C1" w:rsidP="001A7B9A">
            <w:pPr>
              <w:jc w:val="center"/>
              <w:rPr>
                <w:rFonts w:cs="Times New Roman"/>
              </w:rPr>
            </w:pPr>
            <w:r w:rsidRPr="00203EB0">
              <w:rPr>
                <w:rFonts w:cs="Times New Roman"/>
              </w:rPr>
              <w:t>0.97</w:t>
            </w:r>
          </w:p>
        </w:tc>
        <w:tc>
          <w:tcPr>
            <w:tcW w:w="848" w:type="dxa"/>
            <w:tcBorders>
              <w:top w:val="nil"/>
              <w:left w:val="nil"/>
              <w:bottom w:val="nil"/>
              <w:right w:val="nil"/>
            </w:tcBorders>
          </w:tcPr>
          <w:p w14:paraId="00C888C4" w14:textId="77777777" w:rsidR="008B29C1" w:rsidRPr="00203EB0" w:rsidRDefault="008B29C1" w:rsidP="001A7B9A">
            <w:pPr>
              <w:jc w:val="center"/>
              <w:rPr>
                <w:rFonts w:cs="Times New Roman"/>
              </w:rPr>
            </w:pPr>
            <w:r w:rsidRPr="00203EB0">
              <w:rPr>
                <w:rFonts w:cs="Times New Roman"/>
              </w:rPr>
              <w:t>3</w:t>
            </w:r>
          </w:p>
        </w:tc>
        <w:tc>
          <w:tcPr>
            <w:tcW w:w="1386" w:type="dxa"/>
            <w:tcBorders>
              <w:top w:val="nil"/>
              <w:left w:val="nil"/>
              <w:bottom w:val="nil"/>
              <w:right w:val="nil"/>
            </w:tcBorders>
          </w:tcPr>
          <w:p w14:paraId="283389AB" w14:textId="77777777" w:rsidR="008B29C1" w:rsidRPr="00203EB0" w:rsidRDefault="008B29C1" w:rsidP="001A7B9A">
            <w:pPr>
              <w:jc w:val="center"/>
              <w:rPr>
                <w:rFonts w:cs="Times New Roman"/>
              </w:rPr>
            </w:pPr>
            <w:r w:rsidRPr="00203EB0">
              <w:rPr>
                <w:rFonts w:cs="Times New Roman"/>
              </w:rPr>
              <w:t>0.364</w:t>
            </w:r>
          </w:p>
        </w:tc>
        <w:tc>
          <w:tcPr>
            <w:tcW w:w="835" w:type="dxa"/>
            <w:tcBorders>
              <w:top w:val="nil"/>
              <w:left w:val="nil"/>
              <w:bottom w:val="nil"/>
              <w:right w:val="nil"/>
            </w:tcBorders>
          </w:tcPr>
          <w:p w14:paraId="5C351D04"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7CA71B1F" w14:textId="77777777" w:rsidR="008B29C1" w:rsidRPr="00203EB0" w:rsidRDefault="008B29C1" w:rsidP="001A7B9A">
            <w:pPr>
              <w:jc w:val="center"/>
              <w:rPr>
                <w:rFonts w:cs="Times New Roman"/>
              </w:rPr>
            </w:pPr>
          </w:p>
        </w:tc>
      </w:tr>
      <w:tr w:rsidR="008B29C1" w:rsidRPr="00203EB0" w14:paraId="226AEECE" w14:textId="77777777" w:rsidTr="008B29C1">
        <w:tc>
          <w:tcPr>
            <w:tcW w:w="2786" w:type="dxa"/>
            <w:tcBorders>
              <w:top w:val="nil"/>
              <w:left w:val="nil"/>
              <w:bottom w:val="nil"/>
              <w:right w:val="nil"/>
            </w:tcBorders>
          </w:tcPr>
          <w:p w14:paraId="7259A8B3" w14:textId="77777777" w:rsidR="008B29C1" w:rsidRPr="00203EB0" w:rsidRDefault="008B29C1" w:rsidP="001A7B9A">
            <w:pPr>
              <w:rPr>
                <w:rFonts w:cs="Times New Roman"/>
              </w:rPr>
            </w:pPr>
            <w:r w:rsidRPr="00203EB0">
              <w:rPr>
                <w:rFonts w:cs="Times New Roman"/>
              </w:rPr>
              <w:t xml:space="preserve">Fert x </w:t>
            </w:r>
            <w:proofErr w:type="gramStart"/>
            <w:r w:rsidRPr="00203EB0">
              <w:rPr>
                <w:rFonts w:cs="Times New Roman"/>
              </w:rPr>
              <w:t>Till</w:t>
            </w:r>
            <w:proofErr w:type="gramEnd"/>
            <w:r w:rsidRPr="00203EB0">
              <w:rPr>
                <w:rFonts w:cs="Times New Roman"/>
              </w:rPr>
              <w:t xml:space="preserve"> x Cover</w:t>
            </w:r>
          </w:p>
        </w:tc>
        <w:tc>
          <w:tcPr>
            <w:tcW w:w="1370" w:type="dxa"/>
            <w:tcBorders>
              <w:top w:val="nil"/>
              <w:left w:val="nil"/>
              <w:bottom w:val="nil"/>
              <w:right w:val="nil"/>
            </w:tcBorders>
          </w:tcPr>
          <w:p w14:paraId="74A9E172" w14:textId="77777777" w:rsidR="008B29C1" w:rsidRPr="00203EB0" w:rsidRDefault="008B29C1" w:rsidP="001A7B9A">
            <w:pPr>
              <w:jc w:val="center"/>
              <w:rPr>
                <w:rFonts w:cs="Times New Roman"/>
              </w:rPr>
            </w:pPr>
            <w:r w:rsidRPr="00203EB0">
              <w:rPr>
                <w:rFonts w:cs="Times New Roman"/>
              </w:rPr>
              <w:t>1.05</w:t>
            </w:r>
          </w:p>
        </w:tc>
        <w:tc>
          <w:tcPr>
            <w:tcW w:w="848" w:type="dxa"/>
            <w:tcBorders>
              <w:top w:val="nil"/>
              <w:left w:val="nil"/>
              <w:bottom w:val="nil"/>
              <w:right w:val="nil"/>
            </w:tcBorders>
          </w:tcPr>
          <w:p w14:paraId="343ACD86" w14:textId="77777777" w:rsidR="008B29C1" w:rsidRPr="00203EB0" w:rsidRDefault="008B29C1" w:rsidP="001A7B9A">
            <w:pPr>
              <w:jc w:val="center"/>
              <w:rPr>
                <w:rFonts w:cs="Times New Roman"/>
              </w:rPr>
            </w:pPr>
            <w:r w:rsidRPr="00203EB0">
              <w:rPr>
                <w:rFonts w:cs="Times New Roman"/>
              </w:rPr>
              <w:t>1</w:t>
            </w:r>
          </w:p>
        </w:tc>
        <w:tc>
          <w:tcPr>
            <w:tcW w:w="1386" w:type="dxa"/>
            <w:tcBorders>
              <w:top w:val="nil"/>
              <w:left w:val="nil"/>
              <w:bottom w:val="nil"/>
              <w:right w:val="nil"/>
            </w:tcBorders>
          </w:tcPr>
          <w:p w14:paraId="4EEB51F0" w14:textId="77777777" w:rsidR="008B29C1" w:rsidRPr="00203EB0" w:rsidRDefault="008B29C1" w:rsidP="001A7B9A">
            <w:pPr>
              <w:jc w:val="center"/>
              <w:rPr>
                <w:rFonts w:cs="Times New Roman"/>
              </w:rPr>
            </w:pPr>
            <w:r w:rsidRPr="00203EB0">
              <w:rPr>
                <w:rFonts w:cs="Times New Roman"/>
              </w:rPr>
              <w:t>0.280</w:t>
            </w:r>
          </w:p>
        </w:tc>
        <w:tc>
          <w:tcPr>
            <w:tcW w:w="835" w:type="dxa"/>
            <w:tcBorders>
              <w:top w:val="nil"/>
              <w:left w:val="nil"/>
              <w:bottom w:val="nil"/>
              <w:right w:val="nil"/>
            </w:tcBorders>
          </w:tcPr>
          <w:p w14:paraId="34B3503C" w14:textId="77777777" w:rsidR="008B29C1" w:rsidRPr="00203EB0" w:rsidRDefault="008B29C1" w:rsidP="001A7B9A">
            <w:pPr>
              <w:jc w:val="center"/>
              <w:rPr>
                <w:rFonts w:cs="Times New Roman"/>
              </w:rPr>
            </w:pPr>
          </w:p>
        </w:tc>
        <w:tc>
          <w:tcPr>
            <w:tcW w:w="1415" w:type="dxa"/>
            <w:tcBorders>
              <w:top w:val="nil"/>
              <w:left w:val="nil"/>
              <w:bottom w:val="nil"/>
              <w:right w:val="nil"/>
            </w:tcBorders>
          </w:tcPr>
          <w:p w14:paraId="5E19E4CA" w14:textId="77777777" w:rsidR="008B29C1" w:rsidRPr="00203EB0" w:rsidRDefault="008B29C1" w:rsidP="001A7B9A">
            <w:pPr>
              <w:jc w:val="center"/>
              <w:rPr>
                <w:rFonts w:cs="Times New Roman"/>
              </w:rPr>
            </w:pPr>
          </w:p>
        </w:tc>
      </w:tr>
      <w:tr w:rsidR="008B29C1" w:rsidRPr="00203EB0" w14:paraId="1D7C4674" w14:textId="77777777" w:rsidTr="008B29C1">
        <w:tc>
          <w:tcPr>
            <w:tcW w:w="2786" w:type="dxa"/>
            <w:tcBorders>
              <w:top w:val="nil"/>
              <w:left w:val="nil"/>
              <w:bottom w:val="single" w:sz="4" w:space="0" w:color="auto"/>
              <w:right w:val="nil"/>
            </w:tcBorders>
          </w:tcPr>
          <w:p w14:paraId="7B580B01" w14:textId="77777777" w:rsidR="008B29C1" w:rsidRPr="00203EB0" w:rsidRDefault="008B29C1" w:rsidP="001A7B9A">
            <w:pPr>
              <w:rPr>
                <w:rFonts w:cs="Times New Roman"/>
              </w:rPr>
            </w:pPr>
            <w:r w:rsidRPr="00203EB0">
              <w:rPr>
                <w:rFonts w:cs="Times New Roman"/>
              </w:rPr>
              <w:t xml:space="preserve">Time x Fert x </w:t>
            </w:r>
            <w:proofErr w:type="gramStart"/>
            <w:r w:rsidRPr="00203EB0">
              <w:rPr>
                <w:rFonts w:cs="Times New Roman"/>
              </w:rPr>
              <w:t>Till</w:t>
            </w:r>
            <w:proofErr w:type="gramEnd"/>
            <w:r w:rsidRPr="00203EB0">
              <w:rPr>
                <w:rFonts w:cs="Times New Roman"/>
              </w:rPr>
              <w:t xml:space="preserve"> x Cover</w:t>
            </w:r>
          </w:p>
        </w:tc>
        <w:tc>
          <w:tcPr>
            <w:tcW w:w="1370" w:type="dxa"/>
            <w:tcBorders>
              <w:top w:val="nil"/>
              <w:left w:val="nil"/>
              <w:bottom w:val="single" w:sz="4" w:space="0" w:color="auto"/>
              <w:right w:val="nil"/>
            </w:tcBorders>
          </w:tcPr>
          <w:p w14:paraId="7BAB3213" w14:textId="77777777" w:rsidR="008B29C1" w:rsidRPr="00203EB0" w:rsidRDefault="008B29C1" w:rsidP="001A7B9A">
            <w:pPr>
              <w:jc w:val="center"/>
              <w:rPr>
                <w:rFonts w:cs="Times New Roman"/>
              </w:rPr>
            </w:pPr>
            <w:r w:rsidRPr="00203EB0">
              <w:rPr>
                <w:rFonts w:cs="Times New Roman"/>
              </w:rPr>
              <w:t>0.76</w:t>
            </w:r>
          </w:p>
        </w:tc>
        <w:tc>
          <w:tcPr>
            <w:tcW w:w="848" w:type="dxa"/>
            <w:tcBorders>
              <w:top w:val="nil"/>
              <w:left w:val="nil"/>
              <w:bottom w:val="single" w:sz="4" w:space="0" w:color="auto"/>
              <w:right w:val="nil"/>
            </w:tcBorders>
          </w:tcPr>
          <w:p w14:paraId="71AD07E6" w14:textId="77777777" w:rsidR="008B29C1" w:rsidRPr="00203EB0" w:rsidRDefault="008B29C1" w:rsidP="001A7B9A">
            <w:pPr>
              <w:jc w:val="center"/>
              <w:rPr>
                <w:rFonts w:cs="Times New Roman"/>
              </w:rPr>
            </w:pPr>
            <w:r w:rsidRPr="00203EB0">
              <w:rPr>
                <w:rFonts w:cs="Times New Roman"/>
              </w:rPr>
              <w:t>3</w:t>
            </w:r>
          </w:p>
        </w:tc>
        <w:tc>
          <w:tcPr>
            <w:tcW w:w="1386" w:type="dxa"/>
            <w:tcBorders>
              <w:top w:val="nil"/>
              <w:left w:val="nil"/>
              <w:bottom w:val="single" w:sz="4" w:space="0" w:color="auto"/>
              <w:right w:val="nil"/>
            </w:tcBorders>
          </w:tcPr>
          <w:p w14:paraId="1614EC48" w14:textId="77777777" w:rsidR="008B29C1" w:rsidRPr="00203EB0" w:rsidRDefault="008B29C1" w:rsidP="001A7B9A">
            <w:pPr>
              <w:jc w:val="center"/>
              <w:rPr>
                <w:rFonts w:cs="Times New Roman"/>
              </w:rPr>
            </w:pPr>
            <w:r w:rsidRPr="00203EB0">
              <w:rPr>
                <w:rFonts w:cs="Times New Roman"/>
              </w:rPr>
              <w:t>0.802</w:t>
            </w:r>
          </w:p>
        </w:tc>
        <w:tc>
          <w:tcPr>
            <w:tcW w:w="835" w:type="dxa"/>
            <w:tcBorders>
              <w:top w:val="nil"/>
              <w:left w:val="nil"/>
              <w:bottom w:val="single" w:sz="4" w:space="0" w:color="auto"/>
              <w:right w:val="nil"/>
            </w:tcBorders>
          </w:tcPr>
          <w:p w14:paraId="3BB94506" w14:textId="77777777" w:rsidR="008B29C1" w:rsidRPr="00203EB0" w:rsidRDefault="008B29C1" w:rsidP="001A7B9A">
            <w:pPr>
              <w:jc w:val="center"/>
              <w:rPr>
                <w:rFonts w:cs="Times New Roman"/>
              </w:rPr>
            </w:pPr>
          </w:p>
        </w:tc>
        <w:tc>
          <w:tcPr>
            <w:tcW w:w="1415" w:type="dxa"/>
            <w:tcBorders>
              <w:top w:val="nil"/>
              <w:left w:val="nil"/>
              <w:bottom w:val="single" w:sz="4" w:space="0" w:color="auto"/>
              <w:right w:val="nil"/>
            </w:tcBorders>
          </w:tcPr>
          <w:p w14:paraId="4D99B9DE" w14:textId="77777777" w:rsidR="008B29C1" w:rsidRPr="00203EB0" w:rsidRDefault="008B29C1" w:rsidP="001A7B9A">
            <w:pPr>
              <w:jc w:val="center"/>
              <w:rPr>
                <w:rFonts w:cs="Times New Roman"/>
              </w:rPr>
            </w:pPr>
          </w:p>
        </w:tc>
      </w:tr>
    </w:tbl>
    <w:p w14:paraId="6A42E646" w14:textId="77777777" w:rsidR="008B29C1" w:rsidRPr="00203EB0" w:rsidRDefault="008B29C1" w:rsidP="008B29C1">
      <w:pPr>
        <w:rPr>
          <w:rFonts w:cs="Times New Roman"/>
          <w:sz w:val="20"/>
          <w:szCs w:val="20"/>
        </w:rPr>
      </w:pPr>
      <w:r w:rsidRPr="00203EB0">
        <w:rPr>
          <w:rFonts w:cs="Times New Roman"/>
          <w:sz w:val="20"/>
          <w:szCs w:val="20"/>
        </w:rPr>
        <w:t xml:space="preserve">*p-values were obtained using 999 permutations </w:t>
      </w:r>
    </w:p>
    <w:p w14:paraId="7CFCD463" w14:textId="732B96B0" w:rsidR="00025EEA" w:rsidRPr="00203EB0" w:rsidRDefault="00025EEA" w:rsidP="00001ABC">
      <w:pPr>
        <w:pStyle w:val="Caption"/>
      </w:pPr>
    </w:p>
    <w:p w14:paraId="29EC4188" w14:textId="044BFFE8" w:rsidR="00025EEA" w:rsidRPr="00203EB0" w:rsidRDefault="00025EEA"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2A51A14" w14:textId="37E45D12" w:rsidR="008B29C1" w:rsidRPr="00203EB0" w:rsidRDefault="008B29C1"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r w:rsidRPr="00203EB0">
        <w:rPr>
          <w:rFonts w:cs="Times New Roman"/>
          <w:noProof/>
        </w:rPr>
        <w:lastRenderedPageBreak/>
        <w:drawing>
          <wp:inline distT="0" distB="0" distL="0" distR="0" wp14:anchorId="715CC8F0" wp14:editId="1549A7EF">
            <wp:extent cx="5486400" cy="2725161"/>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2725161"/>
                    </a:xfrm>
                    <a:prstGeom prst="rect">
                      <a:avLst/>
                    </a:prstGeom>
                    <a:noFill/>
                  </pic:spPr>
                </pic:pic>
              </a:graphicData>
            </a:graphic>
          </wp:inline>
        </w:drawing>
      </w:r>
    </w:p>
    <w:p w14:paraId="4ED348DD" w14:textId="2CB46BF8" w:rsidR="008B29C1" w:rsidRPr="00203EB0" w:rsidRDefault="008B29C1" w:rsidP="00001ABC">
      <w:pPr>
        <w:pStyle w:val="Caption"/>
      </w:pPr>
      <w:bookmarkStart w:id="95" w:name="_Toc206669275"/>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5</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2</w:t>
      </w:r>
      <w:r w:rsidR="00BD46F8" w:rsidRPr="00203EB0">
        <w:rPr>
          <w:b/>
          <w:bCs/>
        </w:rPr>
        <w:fldChar w:fldCharType="end"/>
      </w:r>
      <w:r w:rsidRPr="00203EB0">
        <w:rPr>
          <w:b/>
          <w:bCs/>
        </w:rPr>
        <w:t>:</w:t>
      </w:r>
      <w:r w:rsidRPr="00203EB0">
        <w:t xml:space="preserve"> Distance-based Redundancy Analysis (</w:t>
      </w:r>
      <w:proofErr w:type="spellStart"/>
      <w:r w:rsidRPr="00203EB0">
        <w:t>db</w:t>
      </w:r>
      <w:proofErr w:type="spellEnd"/>
      <w:r w:rsidRPr="00203EB0">
        <w:t xml:space="preserve">-RDA) of microbial community composition (Bray-Curtis dissimilarity) by fertilization level at (A) 0-10 cm and (B) 10-20 cm depth. Arrows represent biochemical variables with </w:t>
      </w:r>
      <w:r w:rsidRPr="00203EB0">
        <w:rPr>
          <w:i/>
        </w:rPr>
        <w:t>p-</w:t>
      </w:r>
      <w:r w:rsidRPr="00203EB0">
        <w:t xml:space="preserve">values </w:t>
      </w:r>
      <m:oMath>
        <m:r>
          <m:rPr>
            <m:sty m:val="bi"/>
          </m:rPr>
          <w:rPr>
            <w:rFonts w:ascii="Cambria Math" w:hAnsi="Cambria Math"/>
          </w:rPr>
          <m:t>≤</m:t>
        </m:r>
      </m:oMath>
      <w:r w:rsidRPr="00203EB0">
        <w:t xml:space="preserve"> 0.10 identified through permutation tests.</w:t>
      </w:r>
      <w:bookmarkEnd w:id="95"/>
    </w:p>
    <w:p w14:paraId="61372F2D" w14:textId="77777777" w:rsidR="00546D9D" w:rsidRPr="00203EB0" w:rsidRDefault="00546D9D" w:rsidP="00546D9D"/>
    <w:p w14:paraId="2148644E" w14:textId="33508748" w:rsidR="00F95737" w:rsidRPr="00203EB0" w:rsidRDefault="00546D9D" w:rsidP="00546D9D">
      <w:pPr>
        <w:pStyle w:val="Heading3"/>
        <w:spacing w:line="480" w:lineRule="auto"/>
      </w:pPr>
      <w:bookmarkStart w:id="96" w:name="_Toc206669150"/>
      <w:r w:rsidRPr="00203EB0">
        <w:t>Microbial taxa associated with nitrous oxide emissions and their relationship with biochemical variables</w:t>
      </w:r>
      <w:bookmarkEnd w:id="96"/>
    </w:p>
    <w:p w14:paraId="62F2E7AD" w14:textId="712809E2" w:rsidR="00546D9D" w:rsidRPr="00203EB0" w:rsidRDefault="00546D9D" w:rsidP="00D56363">
      <w:pPr>
        <w:spacing w:line="480" w:lineRule="auto"/>
        <w:rPr>
          <w:b/>
          <w:caps/>
        </w:rPr>
      </w:pPr>
      <w:r w:rsidRPr="00203EB0">
        <w:t>Approximately 65% (n = 547) of all identified taxa were shared between surface (0-10 cm) and subsurface (10-20 cm) soils</w:t>
      </w:r>
      <w:r w:rsidR="003F6F30">
        <w:t xml:space="preserve"> </w:t>
      </w:r>
      <w:r w:rsidRPr="00203EB0">
        <w:t>(</w:t>
      </w:r>
      <w:r w:rsidRPr="00203EB0">
        <w:rPr>
          <w:b/>
          <w:bCs/>
        </w:rPr>
        <w:t xml:space="preserve">Figure </w:t>
      </w:r>
      <w:r w:rsidR="00494ECE" w:rsidRPr="00203EB0">
        <w:rPr>
          <w:b/>
          <w:bCs/>
        </w:rPr>
        <w:t>5.</w:t>
      </w:r>
      <w:r w:rsidRPr="00203EB0">
        <w:rPr>
          <w:b/>
          <w:bCs/>
        </w:rPr>
        <w:t>3A</w:t>
      </w:r>
      <w:r w:rsidRPr="00203EB0">
        <w:t>).</w:t>
      </w:r>
      <w:r w:rsidR="003F6F30">
        <w:t xml:space="preserve"> Of the 57</w:t>
      </w:r>
      <w:r w:rsidRPr="00203EB0">
        <w:t xml:space="preserve"> </w:t>
      </w:r>
      <w:proofErr w:type="gramStart"/>
      <w:r w:rsidRPr="00203EB0">
        <w:t>taxa</w:t>
      </w:r>
      <w:proofErr w:type="gramEnd"/>
      <w:r w:rsidRPr="00203EB0">
        <w:t xml:space="preserve"> significantly correlated with N</w:t>
      </w:r>
      <w:r w:rsidRPr="00203EB0">
        <w:rPr>
          <w:vertAlign w:val="subscript"/>
        </w:rPr>
        <w:t>2</w:t>
      </w:r>
      <w:r w:rsidRPr="00203EB0">
        <w:t xml:space="preserve">O emissions </w:t>
      </w:r>
      <w:r w:rsidR="003F6F30">
        <w:t>(</w:t>
      </w:r>
      <w:r w:rsidRPr="00203EB0">
        <w:t xml:space="preserve">Spearman’s correlation coefficient &gt; |0.20|, p-value  </w:t>
      </w:r>
      <m:oMath>
        <m:r>
          <m:rPr>
            <m:sty m:val="bi"/>
          </m:rPr>
          <w:rPr>
            <w:rFonts w:ascii="Cambria Math" w:hAnsi="Cambria Math"/>
          </w:rPr>
          <m:t>≤</m:t>
        </m:r>
      </m:oMath>
      <w:r w:rsidRPr="00203EB0">
        <w:t xml:space="preserve">  0.05), only </w:t>
      </w:r>
      <w:r w:rsidR="003F6F30">
        <w:t>7</w:t>
      </w:r>
      <w:r w:rsidRPr="00203EB0">
        <w:t xml:space="preserve"> overlapped across depths (</w:t>
      </w:r>
      <w:r w:rsidRPr="00203EB0">
        <w:rPr>
          <w:b/>
          <w:bCs/>
        </w:rPr>
        <w:t xml:space="preserve">Figure </w:t>
      </w:r>
      <w:r w:rsidR="00494ECE" w:rsidRPr="00203EB0">
        <w:rPr>
          <w:b/>
          <w:bCs/>
        </w:rPr>
        <w:t>5.</w:t>
      </w:r>
      <w:r w:rsidRPr="00203EB0">
        <w:rPr>
          <w:b/>
          <w:bCs/>
        </w:rPr>
        <w:t>3B</w:t>
      </w:r>
      <w:r w:rsidRPr="00203EB0">
        <w:t xml:space="preserve">). </w:t>
      </w:r>
      <w:r w:rsidR="003F6F30">
        <w:t>In contrast</w:t>
      </w:r>
      <w:r w:rsidRPr="00203EB0">
        <w:t>, 38 were unique to the surface</w:t>
      </w:r>
      <w:r w:rsidR="003F6F30">
        <w:t xml:space="preserve"> </w:t>
      </w:r>
      <w:r w:rsidRPr="00203EB0">
        <w:t>and 12</w:t>
      </w:r>
      <w:r w:rsidR="003F6F30">
        <w:t xml:space="preserve"> </w:t>
      </w:r>
      <w:r w:rsidRPr="00203EB0">
        <w:t xml:space="preserve">to the subsurface. </w:t>
      </w:r>
      <w:r w:rsidR="003F6F30">
        <w:t>Overall</w:t>
      </w:r>
      <w:r w:rsidRPr="00203EB0">
        <w:t>, 45 surface</w:t>
      </w:r>
      <w:r w:rsidR="003F6F30">
        <w:t xml:space="preserve"> </w:t>
      </w:r>
      <w:r w:rsidRPr="00203EB0">
        <w:t>taxa were</w:t>
      </w:r>
      <w:r w:rsidR="003F6F30">
        <w:t xml:space="preserve"> </w:t>
      </w:r>
      <w:r w:rsidRPr="00203EB0">
        <w:t>associated with N</w:t>
      </w:r>
      <w:r w:rsidRPr="00203EB0">
        <w:rPr>
          <w:vertAlign w:val="subscript"/>
        </w:rPr>
        <w:t>2</w:t>
      </w:r>
      <w:r w:rsidRPr="00203EB0">
        <w:t xml:space="preserve">O emissions, </w:t>
      </w:r>
      <w:r w:rsidR="003F6F30">
        <w:t>compared to</w:t>
      </w:r>
      <w:r w:rsidRPr="00203EB0">
        <w:t xml:space="preserve"> 19 in the subsurface (</w:t>
      </w:r>
      <w:r w:rsidRPr="00203EB0">
        <w:rPr>
          <w:b/>
          <w:bCs/>
        </w:rPr>
        <w:t xml:space="preserve">Figure </w:t>
      </w:r>
      <w:r w:rsidR="00494ECE" w:rsidRPr="00203EB0">
        <w:rPr>
          <w:b/>
          <w:bCs/>
        </w:rPr>
        <w:t>5.</w:t>
      </w:r>
      <w:r w:rsidRPr="00203EB0">
        <w:rPr>
          <w:b/>
          <w:bCs/>
        </w:rPr>
        <w:t xml:space="preserve">3B; Figure </w:t>
      </w:r>
      <w:r w:rsidR="00494ECE" w:rsidRPr="00203EB0">
        <w:rPr>
          <w:b/>
          <w:bCs/>
        </w:rPr>
        <w:t>5.</w:t>
      </w:r>
      <w:r w:rsidRPr="00203EB0">
        <w:rPr>
          <w:b/>
          <w:bCs/>
        </w:rPr>
        <w:t>4</w:t>
      </w:r>
      <w:r w:rsidRPr="00203EB0">
        <w:t>). These results indicate stronger association</w:t>
      </w:r>
      <w:r w:rsidR="003F6F30">
        <w:t>s</w:t>
      </w:r>
      <w:r w:rsidRPr="00203EB0">
        <w:t xml:space="preserve"> between </w:t>
      </w:r>
      <w:proofErr w:type="gramStart"/>
      <w:r w:rsidRPr="00203EB0">
        <w:t>N</w:t>
      </w:r>
      <w:r w:rsidRPr="00203EB0">
        <w:rPr>
          <w:vertAlign w:val="subscript"/>
        </w:rPr>
        <w:t>2</w:t>
      </w:r>
      <w:r w:rsidRPr="00203EB0">
        <w:t>O</w:t>
      </w:r>
      <w:proofErr w:type="gramEnd"/>
      <w:r w:rsidRPr="00203EB0">
        <w:t xml:space="preserve"> and </w:t>
      </w:r>
      <w:r w:rsidR="003F6F30">
        <w:t xml:space="preserve">microbial </w:t>
      </w:r>
      <w:r w:rsidRPr="00203EB0">
        <w:t>communit</w:t>
      </w:r>
      <w:r w:rsidR="003F6F30">
        <w:t>ies</w:t>
      </w:r>
      <w:r w:rsidRPr="00203EB0">
        <w:t xml:space="preserve"> observed in </w:t>
      </w:r>
      <w:r w:rsidR="003F6F30">
        <w:t>s</w:t>
      </w:r>
      <w:r w:rsidRPr="00203EB0">
        <w:t>urface soil</w:t>
      </w:r>
      <w:r w:rsidR="003F6F30">
        <w:t>s</w:t>
      </w:r>
      <w:r w:rsidRPr="00203EB0">
        <w:t xml:space="preserve">. </w:t>
      </w:r>
    </w:p>
    <w:p w14:paraId="3362A375" w14:textId="77777777" w:rsidR="00546D9D" w:rsidRPr="00203EB0" w:rsidRDefault="00546D9D" w:rsidP="00546D9D"/>
    <w:p w14:paraId="5B6EBF27" w14:textId="5B2F3BFD" w:rsidR="00025EEA" w:rsidRPr="00203EB0" w:rsidRDefault="00CA1A26" w:rsidP="00CA1A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cs="Times New Roman"/>
        </w:rPr>
      </w:pPr>
      <w:r w:rsidRPr="00203EB0">
        <w:rPr>
          <w:rFonts w:cs="Times New Roman"/>
          <w:noProof/>
        </w:rPr>
        <w:lastRenderedPageBreak/>
        <w:drawing>
          <wp:inline distT="0" distB="0" distL="0" distR="0" wp14:anchorId="1F0EA970" wp14:editId="1086E391">
            <wp:extent cx="3745106" cy="48958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2523" cy="4931692"/>
                    </a:xfrm>
                    <a:prstGeom prst="rect">
                      <a:avLst/>
                    </a:prstGeom>
                    <a:noFill/>
                  </pic:spPr>
                </pic:pic>
              </a:graphicData>
            </a:graphic>
          </wp:inline>
        </w:drawing>
      </w:r>
    </w:p>
    <w:p w14:paraId="3E1D3FB6" w14:textId="72465327" w:rsidR="00CA1A26" w:rsidRPr="00203EB0" w:rsidRDefault="00CA1A26" w:rsidP="00CA1A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cs="Times New Roman"/>
        </w:rPr>
      </w:pPr>
    </w:p>
    <w:p w14:paraId="2B1E474B" w14:textId="3E42569B" w:rsidR="00CA1A26" w:rsidRPr="00203EB0" w:rsidRDefault="00CA1A26" w:rsidP="00CA1A26">
      <w:pPr>
        <w:rPr>
          <w:rFonts w:cs="Times New Roman"/>
        </w:rPr>
      </w:pPr>
      <w:bookmarkStart w:id="97" w:name="_Toc206669276"/>
      <w:r w:rsidRPr="00203EB0">
        <w:rPr>
          <w:b/>
        </w:rPr>
        <w:t xml:space="preserve">Figure </w:t>
      </w:r>
      <w:r w:rsidR="00BD46F8" w:rsidRPr="00203EB0">
        <w:rPr>
          <w:b/>
        </w:rPr>
        <w:fldChar w:fldCharType="begin"/>
      </w:r>
      <w:r w:rsidR="00BD46F8" w:rsidRPr="00203EB0">
        <w:rPr>
          <w:b/>
        </w:rPr>
        <w:instrText xml:space="preserve"> STYLEREF 1 \s </w:instrText>
      </w:r>
      <w:r w:rsidR="00BD46F8" w:rsidRPr="00203EB0">
        <w:rPr>
          <w:b/>
        </w:rPr>
        <w:fldChar w:fldCharType="separate"/>
      </w:r>
      <w:r w:rsidR="00D56363" w:rsidRPr="00203EB0">
        <w:rPr>
          <w:b/>
        </w:rPr>
        <w:t>5</w:t>
      </w:r>
      <w:r w:rsidR="00BD46F8" w:rsidRPr="00203EB0">
        <w:rPr>
          <w:b/>
        </w:rPr>
        <w:fldChar w:fldCharType="end"/>
      </w:r>
      <w:r w:rsidR="00BD46F8" w:rsidRPr="00203EB0">
        <w:rPr>
          <w:b/>
        </w:rPr>
        <w:t>.</w:t>
      </w:r>
      <w:r w:rsidR="00BD46F8" w:rsidRPr="00203EB0">
        <w:rPr>
          <w:b/>
        </w:rPr>
        <w:fldChar w:fldCharType="begin"/>
      </w:r>
      <w:r w:rsidR="00BD46F8" w:rsidRPr="00203EB0">
        <w:rPr>
          <w:b/>
        </w:rPr>
        <w:instrText xml:space="preserve"> SEQ Figure \* ARABIC \s 1 </w:instrText>
      </w:r>
      <w:r w:rsidR="00BD46F8" w:rsidRPr="00203EB0">
        <w:rPr>
          <w:b/>
        </w:rPr>
        <w:fldChar w:fldCharType="separate"/>
      </w:r>
      <w:r w:rsidR="00D56363" w:rsidRPr="00203EB0">
        <w:rPr>
          <w:b/>
        </w:rPr>
        <w:t>3</w:t>
      </w:r>
      <w:r w:rsidR="00BD46F8" w:rsidRPr="00203EB0">
        <w:rPr>
          <w:b/>
        </w:rPr>
        <w:fldChar w:fldCharType="end"/>
      </w:r>
      <w:r w:rsidRPr="00203EB0">
        <w:rPr>
          <w:b/>
        </w:rPr>
        <w:t>:</w:t>
      </w:r>
      <w:r w:rsidRPr="00203EB0">
        <w:t xml:space="preserve"> </w:t>
      </w:r>
      <w:r w:rsidRPr="00203EB0">
        <w:rPr>
          <w:rFonts w:cs="Times New Roman"/>
        </w:rPr>
        <w:t>Venn diagram showing (A) the total soil microbial taxa (n = 846) and (B) the subset of taxa associated with N</w:t>
      </w:r>
      <w:r w:rsidRPr="00203EB0">
        <w:rPr>
          <w:rFonts w:cs="Times New Roman"/>
          <w:vertAlign w:val="subscript"/>
        </w:rPr>
        <w:t>2</w:t>
      </w:r>
      <w:r w:rsidRPr="00203EB0">
        <w:rPr>
          <w:rFonts w:cs="Times New Roman"/>
        </w:rPr>
        <w:t>O emissions (n = 57), comparing their presence across two soil depths (0-10 cm and 10-20 cm).</w:t>
      </w:r>
      <w:bookmarkEnd w:id="97"/>
    </w:p>
    <w:p w14:paraId="6D6145DF" w14:textId="17CB340C" w:rsidR="00CA1A26" w:rsidRPr="00203EB0" w:rsidRDefault="00CA1A26"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69987FA2" w14:textId="5A1163EB" w:rsidR="00CA1A26" w:rsidRPr="00203EB0" w:rsidRDefault="00CA1A26" w:rsidP="00CA1A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cs="Times New Roman"/>
        </w:rPr>
      </w:pPr>
      <w:r w:rsidRPr="00203EB0">
        <w:rPr>
          <w:rFonts w:cs="Times New Roman"/>
          <w:noProof/>
        </w:rPr>
        <w:lastRenderedPageBreak/>
        <w:drawing>
          <wp:inline distT="0" distB="0" distL="0" distR="0" wp14:anchorId="1706DCB2" wp14:editId="733CF96E">
            <wp:extent cx="4930140" cy="6951363"/>
            <wp:effectExtent l="0" t="0" r="3810" b="19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60226" cy="6993784"/>
                    </a:xfrm>
                    <a:prstGeom prst="rect">
                      <a:avLst/>
                    </a:prstGeom>
                    <a:noFill/>
                  </pic:spPr>
                </pic:pic>
              </a:graphicData>
            </a:graphic>
          </wp:inline>
        </w:drawing>
      </w:r>
    </w:p>
    <w:p w14:paraId="148D638B" w14:textId="7DA52AB5" w:rsidR="00CA1A26" w:rsidRPr="00203EB0" w:rsidRDefault="00CA1A26" w:rsidP="00CA1A26">
      <w:pPr>
        <w:rPr>
          <w:rFonts w:cs="Times New Roman"/>
        </w:rPr>
      </w:pPr>
      <w:bookmarkStart w:id="98" w:name="_Toc206669277"/>
      <w:r w:rsidRPr="00203EB0">
        <w:rPr>
          <w:b/>
        </w:rPr>
        <w:t xml:space="preserve">Figure </w:t>
      </w:r>
      <w:r w:rsidR="00BD46F8" w:rsidRPr="00203EB0">
        <w:rPr>
          <w:b/>
        </w:rPr>
        <w:fldChar w:fldCharType="begin"/>
      </w:r>
      <w:r w:rsidR="00BD46F8" w:rsidRPr="00203EB0">
        <w:rPr>
          <w:b/>
        </w:rPr>
        <w:instrText xml:space="preserve"> STYLEREF 1 \s </w:instrText>
      </w:r>
      <w:r w:rsidR="00BD46F8" w:rsidRPr="00203EB0">
        <w:rPr>
          <w:b/>
        </w:rPr>
        <w:fldChar w:fldCharType="separate"/>
      </w:r>
      <w:r w:rsidR="00D56363" w:rsidRPr="00203EB0">
        <w:rPr>
          <w:b/>
        </w:rPr>
        <w:t>5</w:t>
      </w:r>
      <w:r w:rsidR="00BD46F8" w:rsidRPr="00203EB0">
        <w:rPr>
          <w:b/>
        </w:rPr>
        <w:fldChar w:fldCharType="end"/>
      </w:r>
      <w:r w:rsidR="00BD46F8" w:rsidRPr="00203EB0">
        <w:rPr>
          <w:b/>
        </w:rPr>
        <w:t>.</w:t>
      </w:r>
      <w:r w:rsidR="00BD46F8" w:rsidRPr="00203EB0">
        <w:rPr>
          <w:b/>
        </w:rPr>
        <w:fldChar w:fldCharType="begin"/>
      </w:r>
      <w:r w:rsidR="00BD46F8" w:rsidRPr="00203EB0">
        <w:rPr>
          <w:b/>
        </w:rPr>
        <w:instrText xml:space="preserve"> SEQ Figure \* ARABIC \s 1 </w:instrText>
      </w:r>
      <w:r w:rsidR="00BD46F8" w:rsidRPr="00203EB0">
        <w:rPr>
          <w:b/>
        </w:rPr>
        <w:fldChar w:fldCharType="separate"/>
      </w:r>
      <w:r w:rsidR="00D56363" w:rsidRPr="00203EB0">
        <w:rPr>
          <w:b/>
        </w:rPr>
        <w:t>4</w:t>
      </w:r>
      <w:r w:rsidR="00BD46F8" w:rsidRPr="00203EB0">
        <w:rPr>
          <w:b/>
        </w:rPr>
        <w:fldChar w:fldCharType="end"/>
      </w:r>
      <w:r w:rsidRPr="00203EB0">
        <w:rPr>
          <w:b/>
        </w:rPr>
        <w:t>:</w:t>
      </w:r>
      <w:r w:rsidRPr="00203EB0">
        <w:t xml:space="preserve"> </w:t>
      </w:r>
      <w:r w:rsidRPr="00203EB0">
        <w:rPr>
          <w:rFonts w:cs="Times New Roman"/>
        </w:rPr>
        <w:t>Heatmap showing correlations between soil microbial taxa associated with N</w:t>
      </w:r>
      <w:r w:rsidRPr="00203EB0">
        <w:rPr>
          <w:rFonts w:cs="Times New Roman"/>
          <w:vertAlign w:val="subscript"/>
        </w:rPr>
        <w:t>2</w:t>
      </w:r>
      <w:r w:rsidRPr="00203EB0">
        <w:rPr>
          <w:rFonts w:cs="Times New Roman"/>
        </w:rPr>
        <w:t>O emissions and soil biochemical variables across depths. Asterisks (*) indicate statistically significant correlations</w:t>
      </w:r>
      <w:r w:rsidR="001306A7" w:rsidRPr="00203EB0">
        <w:rPr>
          <w:rFonts w:cs="Times New Roman"/>
        </w:rPr>
        <w:t xml:space="preserve"> </w:t>
      </w:r>
      <w:r w:rsidRPr="00203EB0">
        <w:rPr>
          <w:rFonts w:cs="Times New Roman"/>
        </w:rPr>
        <w:t xml:space="preserve">(p </w:t>
      </w:r>
      <m:oMath>
        <m:r>
          <w:rPr>
            <w:rFonts w:ascii="Cambria Math" w:hAnsi="Cambria Math" w:cs="Times New Roman"/>
          </w:rPr>
          <m:t>≤</m:t>
        </m:r>
      </m:oMath>
      <w:r w:rsidRPr="00203EB0">
        <w:rPr>
          <w:rFonts w:cs="Times New Roman"/>
        </w:rPr>
        <w:t xml:space="preserve"> 0.05), as determined using generalized linear models (GLMs). POXC (PC); WFPS (WF).</w:t>
      </w:r>
      <w:bookmarkEnd w:id="98"/>
    </w:p>
    <w:p w14:paraId="138B9296" w14:textId="12287E5E" w:rsidR="00494ECE" w:rsidRPr="00203EB0" w:rsidRDefault="00494ECE" w:rsidP="00D56363">
      <w:pPr>
        <w:spacing w:line="480" w:lineRule="auto"/>
        <w:rPr>
          <w:b/>
          <w:caps/>
        </w:rPr>
      </w:pPr>
      <w:r w:rsidRPr="00203EB0">
        <w:lastRenderedPageBreak/>
        <w:t>Distinct taxa were associated with N</w:t>
      </w:r>
      <w:r w:rsidRPr="00203EB0">
        <w:rPr>
          <w:vertAlign w:val="subscript"/>
        </w:rPr>
        <w:t>2</w:t>
      </w:r>
      <w:r w:rsidRPr="00203EB0">
        <w:t xml:space="preserve">O emissions at each depth. In </w:t>
      </w:r>
      <w:r w:rsidR="000B004F">
        <w:t>surface soils (</w:t>
      </w:r>
      <w:r w:rsidRPr="00203EB0">
        <w:t>0-10 cm</w:t>
      </w:r>
      <w:r w:rsidR="000B004F">
        <w:t>)</w:t>
      </w:r>
      <w:r w:rsidRPr="00203EB0">
        <w:t xml:space="preserve">, positively associated taxa included </w:t>
      </w:r>
      <w:proofErr w:type="gramStart"/>
      <w:r w:rsidRPr="00203EB0">
        <w:t>those best</w:t>
      </w:r>
      <w:proofErr w:type="gramEnd"/>
      <w:r w:rsidRPr="00203EB0">
        <w:t xml:space="preserve"> identified as </w:t>
      </w:r>
      <w:proofErr w:type="spellStart"/>
      <w:r w:rsidRPr="00203EB0">
        <w:rPr>
          <w:i/>
        </w:rPr>
        <w:t>Flavisobacter</w:t>
      </w:r>
      <w:proofErr w:type="spellEnd"/>
      <w:r w:rsidRPr="00203EB0">
        <w:rPr>
          <w:i/>
        </w:rPr>
        <w:t xml:space="preserve"> </w:t>
      </w:r>
      <w:proofErr w:type="spellStart"/>
      <w:r w:rsidRPr="00203EB0">
        <w:rPr>
          <w:i/>
        </w:rPr>
        <w:t>ginsengisoli</w:t>
      </w:r>
      <w:proofErr w:type="spellEnd"/>
      <w:r w:rsidRPr="00203EB0">
        <w:t xml:space="preserve">, </w:t>
      </w:r>
      <w:proofErr w:type="spellStart"/>
      <w:r w:rsidRPr="00203EB0">
        <w:rPr>
          <w:i/>
        </w:rPr>
        <w:t>Sphingomonas</w:t>
      </w:r>
      <w:proofErr w:type="spellEnd"/>
      <w:r w:rsidRPr="00203EB0">
        <w:rPr>
          <w:i/>
        </w:rPr>
        <w:t xml:space="preserve"> </w:t>
      </w:r>
      <w:r w:rsidRPr="00203EB0">
        <w:t xml:space="preserve">sp., and </w:t>
      </w:r>
      <w:proofErr w:type="spellStart"/>
      <w:r w:rsidRPr="00203EB0">
        <w:rPr>
          <w:i/>
        </w:rPr>
        <w:t>Gemmatiomonas</w:t>
      </w:r>
      <w:proofErr w:type="spellEnd"/>
      <w:r w:rsidRPr="00203EB0">
        <w:rPr>
          <w:i/>
        </w:rPr>
        <w:t xml:space="preserve"> </w:t>
      </w:r>
      <w:proofErr w:type="gramStart"/>
      <w:r w:rsidRPr="00203EB0">
        <w:t>sp..</w:t>
      </w:r>
      <w:proofErr w:type="gramEnd"/>
      <w:r w:rsidRPr="00203EB0">
        <w:t xml:space="preserve"> In contrast, </w:t>
      </w:r>
      <w:r w:rsidRPr="00203EB0">
        <w:rPr>
          <w:iCs/>
        </w:rPr>
        <w:t>A21b</w:t>
      </w:r>
      <w:r w:rsidRPr="00203EB0">
        <w:t xml:space="preserve">, </w:t>
      </w:r>
      <w:proofErr w:type="spellStart"/>
      <w:r w:rsidRPr="00203EB0">
        <w:rPr>
          <w:i/>
        </w:rPr>
        <w:t>Polycyclovorans</w:t>
      </w:r>
      <w:proofErr w:type="spellEnd"/>
      <w:r w:rsidRPr="00203EB0">
        <w:rPr>
          <w:i/>
        </w:rPr>
        <w:t xml:space="preserve"> </w:t>
      </w:r>
      <w:r w:rsidRPr="00203EB0">
        <w:t xml:space="preserve">sp., and </w:t>
      </w:r>
      <w:r w:rsidRPr="00203EB0">
        <w:rPr>
          <w:iCs/>
        </w:rPr>
        <w:t xml:space="preserve">Amb16S-1323 were uniquely linked to emissions in the </w:t>
      </w:r>
      <w:r w:rsidR="000B004F">
        <w:rPr>
          <w:iCs/>
        </w:rPr>
        <w:t>subsurface (</w:t>
      </w:r>
      <w:r w:rsidRPr="00203EB0">
        <w:rPr>
          <w:iCs/>
        </w:rPr>
        <w:t>10-20 cm</w:t>
      </w:r>
      <w:r w:rsidR="000B004F">
        <w:rPr>
          <w:iCs/>
        </w:rPr>
        <w:t>)</w:t>
      </w:r>
      <w:r w:rsidRPr="00203EB0">
        <w:rPr>
          <w:iCs/>
        </w:rPr>
        <w:t xml:space="preserve"> (</w:t>
      </w:r>
      <w:r w:rsidRPr="00203EB0">
        <w:rPr>
          <w:b/>
          <w:bCs/>
          <w:iCs/>
        </w:rPr>
        <w:t>Figure 5.4</w:t>
      </w:r>
      <w:r w:rsidRPr="00203EB0">
        <w:rPr>
          <w:iCs/>
        </w:rPr>
        <w:t>).</w:t>
      </w:r>
      <w:r w:rsidRPr="00203EB0">
        <w:t xml:space="preserve"> Only a few taxa, including </w:t>
      </w:r>
      <w:r w:rsidRPr="00203EB0">
        <w:rPr>
          <w:iCs/>
        </w:rPr>
        <w:t>SC-I-84</w:t>
      </w:r>
      <w:r w:rsidRPr="00203EB0">
        <w:t xml:space="preserve">, </w:t>
      </w:r>
      <w:r w:rsidRPr="00203EB0">
        <w:rPr>
          <w:i/>
        </w:rPr>
        <w:t xml:space="preserve">Candidatus </w:t>
      </w:r>
      <w:proofErr w:type="spellStart"/>
      <w:r w:rsidRPr="00203EB0">
        <w:t>Nitrosotalea</w:t>
      </w:r>
      <w:proofErr w:type="spellEnd"/>
      <w:r w:rsidRPr="00203EB0">
        <w:t xml:space="preserve"> sp., </w:t>
      </w:r>
      <w:proofErr w:type="spellStart"/>
      <w:r w:rsidRPr="00203EB0">
        <w:rPr>
          <w:iCs/>
        </w:rPr>
        <w:t>Micropepsaceae</w:t>
      </w:r>
      <w:proofErr w:type="spellEnd"/>
      <w:r w:rsidRPr="00203EB0">
        <w:rPr>
          <w:iCs/>
        </w:rPr>
        <w:t xml:space="preserve"> sp.</w:t>
      </w:r>
      <w:r w:rsidRPr="00203EB0">
        <w:rPr>
          <w:i/>
        </w:rPr>
        <w:t xml:space="preserve">, </w:t>
      </w:r>
      <w:proofErr w:type="spellStart"/>
      <w:r w:rsidRPr="00203EB0">
        <w:rPr>
          <w:i/>
        </w:rPr>
        <w:t>Nitrospira</w:t>
      </w:r>
      <w:proofErr w:type="spellEnd"/>
      <w:r w:rsidRPr="00203EB0">
        <w:rPr>
          <w:i/>
        </w:rPr>
        <w:t xml:space="preserve"> japonica</w:t>
      </w:r>
      <w:r w:rsidRPr="00203EB0">
        <w:t xml:space="preserve">, KD4-96, </w:t>
      </w:r>
      <w:proofErr w:type="spellStart"/>
      <w:r w:rsidRPr="00203EB0">
        <w:rPr>
          <w:i/>
        </w:rPr>
        <w:t>Tychonema</w:t>
      </w:r>
      <w:proofErr w:type="spellEnd"/>
      <w:r w:rsidRPr="00203EB0">
        <w:t xml:space="preserve"> CCAP 1459-11B, and </w:t>
      </w:r>
      <w:r w:rsidRPr="00203EB0">
        <w:rPr>
          <w:i/>
        </w:rPr>
        <w:t>Flavobacterium</w:t>
      </w:r>
      <w:r w:rsidRPr="00203EB0">
        <w:t xml:space="preserve"> sp.</w:t>
      </w:r>
      <w:r w:rsidRPr="00203EB0">
        <w:rPr>
          <w:i/>
        </w:rPr>
        <w:t xml:space="preserve"> </w:t>
      </w:r>
      <w:r w:rsidRPr="00203EB0">
        <w:t xml:space="preserve">were </w:t>
      </w:r>
      <w:r w:rsidR="008F5940">
        <w:t>shared across depths</w:t>
      </w:r>
      <w:r w:rsidRPr="00203EB0">
        <w:t>. Across soils depths, taxa positively associated with N</w:t>
      </w:r>
      <w:r w:rsidRPr="00203EB0">
        <w:rPr>
          <w:vertAlign w:val="subscript"/>
        </w:rPr>
        <w:t>2</w:t>
      </w:r>
      <w:r w:rsidRPr="00203EB0">
        <w:t>O emissions also tended to</w:t>
      </w:r>
      <w:r w:rsidR="008F5940">
        <w:t xml:space="preserve"> </w:t>
      </w:r>
      <w:r w:rsidRPr="00203EB0">
        <w:t xml:space="preserve">correlate </w:t>
      </w:r>
      <w:r w:rsidR="008F5940" w:rsidRPr="00203EB0">
        <w:t xml:space="preserve">positively </w:t>
      </w:r>
      <w:r w:rsidRPr="00203EB0">
        <w:t>with soil temperature and CO</w:t>
      </w:r>
      <w:r w:rsidRPr="00203EB0">
        <w:rPr>
          <w:vertAlign w:val="subscript"/>
        </w:rPr>
        <w:t>2</w:t>
      </w:r>
      <w:r w:rsidRPr="00203EB0">
        <w:t xml:space="preserve">, but negatively with </w:t>
      </w:r>
      <w:proofErr w:type="spellStart"/>
      <w:r w:rsidRPr="00203EB0">
        <w:t>pH.</w:t>
      </w:r>
      <w:proofErr w:type="spellEnd"/>
      <w:r w:rsidRPr="00203EB0">
        <w:t xml:space="preserve">  </w:t>
      </w:r>
    </w:p>
    <w:p w14:paraId="6C83357E" w14:textId="7C088F44" w:rsidR="00494ECE" w:rsidRPr="00203EB0" w:rsidRDefault="008F5940" w:rsidP="00D56363">
      <w:pPr>
        <w:spacing w:line="480" w:lineRule="auto"/>
        <w:rPr>
          <w:b/>
          <w:caps/>
        </w:rPr>
      </w:pPr>
      <w:r>
        <w:t>T</w:t>
      </w:r>
      <w:r w:rsidR="00494ECE" w:rsidRPr="00203EB0">
        <w:t>o identify the most influential</w:t>
      </w:r>
      <w:r>
        <w:t xml:space="preserve"> </w:t>
      </w:r>
      <w:r w:rsidR="00494ECE" w:rsidRPr="00203EB0">
        <w:t xml:space="preserve">taxa </w:t>
      </w:r>
      <w:r>
        <w:t>associated with</w:t>
      </w:r>
      <w:r w:rsidR="00494ECE" w:rsidRPr="00203EB0">
        <w:t xml:space="preserve"> N</w:t>
      </w:r>
      <w:r w:rsidR="00494ECE" w:rsidRPr="00203EB0">
        <w:rPr>
          <w:vertAlign w:val="subscript"/>
        </w:rPr>
        <w:t>2</w:t>
      </w:r>
      <w:r w:rsidR="00494ECE" w:rsidRPr="00203EB0">
        <w:t xml:space="preserve">O emissions, RF models were fitted using the relative abundance of all 864 taxa, </w:t>
      </w:r>
      <w:r>
        <w:t>with</w:t>
      </w:r>
      <w:r w:rsidR="00494ECE" w:rsidRPr="00203EB0">
        <w:t xml:space="preserve"> the top ten</w:t>
      </w:r>
      <w:r>
        <w:t xml:space="preserve"> </w:t>
      </w:r>
      <w:r w:rsidR="00494ECE" w:rsidRPr="00203EB0">
        <w:t>ranked by model</w:t>
      </w:r>
      <w:r>
        <w:t xml:space="preserve"> importance</w:t>
      </w:r>
      <w:r w:rsidR="00494ECE" w:rsidRPr="00203EB0">
        <w:t xml:space="preserve"> (</w:t>
      </w:r>
      <w:r w:rsidR="00494ECE" w:rsidRPr="00203EB0">
        <w:rPr>
          <w:b/>
        </w:rPr>
        <w:t xml:space="preserve">Figure </w:t>
      </w:r>
      <w:r w:rsidR="00C96F1F" w:rsidRPr="00203EB0">
        <w:rPr>
          <w:b/>
        </w:rPr>
        <w:t>5.</w:t>
      </w:r>
      <w:r w:rsidR="00494ECE" w:rsidRPr="00203EB0">
        <w:rPr>
          <w:b/>
        </w:rPr>
        <w:t>5A</w:t>
      </w:r>
      <w:r w:rsidR="00494ECE" w:rsidRPr="00203EB0">
        <w:t xml:space="preserve"> and </w:t>
      </w:r>
      <w:r w:rsidR="00C96F1F" w:rsidRPr="00203EB0">
        <w:rPr>
          <w:b/>
        </w:rPr>
        <w:t>5.</w:t>
      </w:r>
      <w:r w:rsidR="00494ECE" w:rsidRPr="00203EB0">
        <w:rPr>
          <w:b/>
        </w:rPr>
        <w:t>5B</w:t>
      </w:r>
      <w:r w:rsidR="00494ECE" w:rsidRPr="00203EB0">
        <w:t>). At both depths, nine of the ten taxa were positively associated with N</w:t>
      </w:r>
      <w:r w:rsidR="00494ECE" w:rsidRPr="00203EB0">
        <w:rPr>
          <w:vertAlign w:val="subscript"/>
        </w:rPr>
        <w:t>2</w:t>
      </w:r>
      <w:r w:rsidR="00494ECE" w:rsidRPr="00203EB0">
        <w:t>O emissions</w:t>
      </w:r>
      <w:r>
        <w:t>, and</w:t>
      </w:r>
      <w:r w:rsidR="00494ECE" w:rsidRPr="00203EB0">
        <w:t xml:space="preserve"> </w:t>
      </w:r>
      <w:r>
        <w:t xml:space="preserve">one </w:t>
      </w:r>
      <w:r w:rsidR="00494ECE" w:rsidRPr="00203EB0">
        <w:t>negative</w:t>
      </w:r>
      <w:r>
        <w:t xml:space="preserve">ly associated </w:t>
      </w:r>
      <w:r w:rsidR="00494ECE" w:rsidRPr="00203EB0">
        <w:t>(</w:t>
      </w:r>
      <w:r w:rsidR="00494ECE" w:rsidRPr="00203EB0">
        <w:rPr>
          <w:b/>
        </w:rPr>
        <w:t xml:space="preserve">Figure </w:t>
      </w:r>
      <w:r w:rsidR="00C96F1F" w:rsidRPr="00203EB0">
        <w:rPr>
          <w:b/>
        </w:rPr>
        <w:t>5.</w:t>
      </w:r>
      <w:r w:rsidR="00494ECE" w:rsidRPr="00203EB0">
        <w:rPr>
          <w:b/>
        </w:rPr>
        <w:t>5C, D</w:t>
      </w:r>
      <w:r w:rsidR="00494ECE" w:rsidRPr="00203EB0">
        <w:t xml:space="preserve">). </w:t>
      </w:r>
      <w:r w:rsidR="001B14B9">
        <w:t xml:space="preserve">Most </w:t>
      </w:r>
      <w:r w:rsidR="00494ECE" w:rsidRPr="00203EB0">
        <w:t xml:space="preserve">overlapped </w:t>
      </w:r>
      <w:r w:rsidR="001B14B9">
        <w:t>taxa already</w:t>
      </w:r>
      <w:r w:rsidR="00494ECE" w:rsidRPr="00203EB0">
        <w:t xml:space="preserve"> identified as strongly correlated with N</w:t>
      </w:r>
      <w:r w:rsidR="00494ECE" w:rsidRPr="00203EB0">
        <w:rPr>
          <w:vertAlign w:val="subscript"/>
        </w:rPr>
        <w:t>2</w:t>
      </w:r>
      <w:r w:rsidR="00494ECE" w:rsidRPr="00203EB0">
        <w:t>O emissions (</w:t>
      </w:r>
      <w:r w:rsidR="00494ECE" w:rsidRPr="00203EB0">
        <w:rPr>
          <w:b/>
        </w:rPr>
        <w:t xml:space="preserve">Figure </w:t>
      </w:r>
      <w:r w:rsidR="00C96F1F" w:rsidRPr="00203EB0">
        <w:rPr>
          <w:b/>
        </w:rPr>
        <w:t>5.</w:t>
      </w:r>
      <w:r w:rsidR="00494ECE" w:rsidRPr="00203EB0">
        <w:rPr>
          <w:b/>
        </w:rPr>
        <w:t>4</w:t>
      </w:r>
      <w:r w:rsidR="00494ECE" w:rsidRPr="00203EB0">
        <w:t xml:space="preserve">), reinforcing their ecological relevance.  </w:t>
      </w:r>
    </w:p>
    <w:p w14:paraId="47D54A9C" w14:textId="5F948AD8" w:rsidR="003812B3" w:rsidRDefault="00494ECE" w:rsidP="00D56363">
      <w:pPr>
        <w:spacing w:line="480" w:lineRule="auto"/>
        <w:rPr>
          <w:b/>
        </w:rPr>
      </w:pPr>
      <w:r w:rsidRPr="00203EB0">
        <w:t>At the 0-10 cm, positively associated taxa</w:t>
      </w:r>
      <w:r w:rsidR="0013469A">
        <w:t xml:space="preserve"> </w:t>
      </w:r>
      <w:r w:rsidRPr="00203EB0">
        <w:t>included</w:t>
      </w:r>
      <w:r w:rsidR="0013469A">
        <w:t xml:space="preserve"> </w:t>
      </w:r>
      <w:proofErr w:type="spellStart"/>
      <w:r w:rsidRPr="00203EB0">
        <w:rPr>
          <w:i/>
        </w:rPr>
        <w:t>Sphingomonas</w:t>
      </w:r>
      <w:proofErr w:type="spellEnd"/>
      <w:r w:rsidRPr="00203EB0">
        <w:t xml:space="preserve"> sp.</w:t>
      </w:r>
      <w:r w:rsidRPr="00203EB0">
        <w:rPr>
          <w:i/>
        </w:rPr>
        <w:t xml:space="preserve">, Candidatus </w:t>
      </w:r>
      <w:proofErr w:type="spellStart"/>
      <w:r w:rsidRPr="00203EB0">
        <w:t>Nitrosotalea</w:t>
      </w:r>
      <w:proofErr w:type="spellEnd"/>
      <w:r w:rsidRPr="00203EB0">
        <w:t xml:space="preserve"> sp.</w:t>
      </w:r>
      <w:r w:rsidRPr="00203EB0">
        <w:rPr>
          <w:i/>
        </w:rPr>
        <w:t xml:space="preserve">, </w:t>
      </w:r>
      <w:proofErr w:type="spellStart"/>
      <w:r w:rsidRPr="00203EB0">
        <w:rPr>
          <w:i/>
        </w:rPr>
        <w:t>Falvisolibacter</w:t>
      </w:r>
      <w:proofErr w:type="spellEnd"/>
      <w:r w:rsidRPr="00203EB0">
        <w:rPr>
          <w:i/>
        </w:rPr>
        <w:t xml:space="preserve"> </w:t>
      </w:r>
      <w:proofErr w:type="spellStart"/>
      <w:r w:rsidRPr="00203EB0">
        <w:rPr>
          <w:i/>
        </w:rPr>
        <w:t>ginsengisoli</w:t>
      </w:r>
      <w:proofErr w:type="spellEnd"/>
      <w:r w:rsidRPr="00203EB0">
        <w:rPr>
          <w:i/>
        </w:rPr>
        <w:t xml:space="preserve">, </w:t>
      </w:r>
      <w:proofErr w:type="spellStart"/>
      <w:r w:rsidRPr="00203EB0">
        <w:rPr>
          <w:i/>
        </w:rPr>
        <w:t>Gemmatimonas</w:t>
      </w:r>
      <w:proofErr w:type="spellEnd"/>
      <w:r w:rsidRPr="00203EB0">
        <w:t xml:space="preserve"> sp.</w:t>
      </w:r>
      <w:r w:rsidRPr="00203EB0">
        <w:rPr>
          <w:i/>
        </w:rPr>
        <w:t xml:space="preserve">, </w:t>
      </w:r>
      <w:proofErr w:type="spellStart"/>
      <w:r w:rsidRPr="00203EB0">
        <w:rPr>
          <w:i/>
        </w:rPr>
        <w:t>Mizugakiibacter</w:t>
      </w:r>
      <w:proofErr w:type="spellEnd"/>
      <w:r w:rsidRPr="00203EB0">
        <w:rPr>
          <w:i/>
        </w:rPr>
        <w:t xml:space="preserve"> </w:t>
      </w:r>
      <w:r w:rsidRPr="00203EB0">
        <w:t>sp.</w:t>
      </w:r>
      <w:r w:rsidRPr="00203EB0">
        <w:rPr>
          <w:i/>
        </w:rPr>
        <w:t xml:space="preserve">, </w:t>
      </w:r>
      <w:r w:rsidRPr="00203EB0">
        <w:t>SC-I-84</w:t>
      </w:r>
      <w:r w:rsidRPr="00203EB0">
        <w:rPr>
          <w:i/>
        </w:rPr>
        <w:t xml:space="preserve">, </w:t>
      </w:r>
      <w:proofErr w:type="spellStart"/>
      <w:r w:rsidRPr="00203EB0">
        <w:t>Ktedonobacteraceae</w:t>
      </w:r>
      <w:proofErr w:type="spellEnd"/>
      <w:r w:rsidRPr="00203EB0">
        <w:t xml:space="preserve"> sp.</w:t>
      </w:r>
      <w:r w:rsidRPr="00203EB0">
        <w:rPr>
          <w:i/>
        </w:rPr>
        <w:t xml:space="preserve">, </w:t>
      </w:r>
      <w:proofErr w:type="spellStart"/>
      <w:r w:rsidRPr="00203EB0">
        <w:t>Micromonosporaceae</w:t>
      </w:r>
      <w:proofErr w:type="spellEnd"/>
      <w:r w:rsidRPr="00203EB0">
        <w:t xml:space="preserve"> sp., and </w:t>
      </w:r>
      <w:proofErr w:type="spellStart"/>
      <w:r w:rsidRPr="00203EB0">
        <w:t>Acetobacteracea</w:t>
      </w:r>
      <w:proofErr w:type="spellEnd"/>
      <w:r w:rsidRPr="00203EB0">
        <w:t xml:space="preserve"> sp., while </w:t>
      </w:r>
      <w:proofErr w:type="spellStart"/>
      <w:r w:rsidRPr="00203EB0">
        <w:rPr>
          <w:i/>
        </w:rPr>
        <w:t>Pseudarthrobacter</w:t>
      </w:r>
      <w:proofErr w:type="spellEnd"/>
      <w:r w:rsidRPr="00203EB0">
        <w:t xml:space="preserve"> sp. was negatively associated. </w:t>
      </w:r>
      <w:r w:rsidR="0013469A">
        <w:t>At</w:t>
      </w:r>
      <w:r w:rsidRPr="00203EB0">
        <w:t xml:space="preserve"> 10-20 cm, positively associated taxa included </w:t>
      </w:r>
      <w:proofErr w:type="spellStart"/>
      <w:r w:rsidRPr="00203EB0">
        <w:rPr>
          <w:i/>
        </w:rPr>
        <w:t>Anaeromyxobacter</w:t>
      </w:r>
      <w:proofErr w:type="spellEnd"/>
      <w:r w:rsidRPr="00203EB0">
        <w:t xml:space="preserve"> sp.</w:t>
      </w:r>
      <w:r w:rsidRPr="00203EB0">
        <w:rPr>
          <w:i/>
        </w:rPr>
        <w:t xml:space="preserve">, </w:t>
      </w:r>
      <w:proofErr w:type="spellStart"/>
      <w:r w:rsidRPr="00203EB0">
        <w:rPr>
          <w:i/>
        </w:rPr>
        <w:t>Pseudogulbenkiana</w:t>
      </w:r>
      <w:proofErr w:type="spellEnd"/>
      <w:r w:rsidRPr="00203EB0">
        <w:rPr>
          <w:i/>
        </w:rPr>
        <w:t xml:space="preserve"> </w:t>
      </w:r>
      <w:r w:rsidRPr="00203EB0">
        <w:t>sp.</w:t>
      </w:r>
      <w:r w:rsidRPr="00203EB0">
        <w:rPr>
          <w:i/>
        </w:rPr>
        <w:t xml:space="preserve">, </w:t>
      </w:r>
      <w:proofErr w:type="spellStart"/>
      <w:r w:rsidRPr="00203EB0">
        <w:rPr>
          <w:i/>
        </w:rPr>
        <w:t>Conexibater</w:t>
      </w:r>
      <w:proofErr w:type="spellEnd"/>
      <w:r w:rsidRPr="00203EB0">
        <w:t xml:space="preserve"> sp.</w:t>
      </w:r>
      <w:r w:rsidRPr="00203EB0">
        <w:rPr>
          <w:i/>
        </w:rPr>
        <w:t xml:space="preserve">, Candidatus </w:t>
      </w:r>
      <w:proofErr w:type="spellStart"/>
      <w:r w:rsidRPr="00203EB0">
        <w:t>Nitrosotalea</w:t>
      </w:r>
      <w:proofErr w:type="spellEnd"/>
      <w:r w:rsidRPr="00203EB0">
        <w:t xml:space="preserve"> sp.</w:t>
      </w:r>
      <w:r w:rsidRPr="00203EB0">
        <w:rPr>
          <w:i/>
        </w:rPr>
        <w:t>,</w:t>
      </w:r>
      <w:r w:rsidRPr="00203EB0">
        <w:t xml:space="preserve"> A21b, Amb-16S-1323, SC-I-84</w:t>
      </w:r>
      <w:r w:rsidRPr="00203EB0">
        <w:rPr>
          <w:i/>
        </w:rPr>
        <w:t xml:space="preserve">, </w:t>
      </w:r>
      <w:proofErr w:type="spellStart"/>
      <w:r w:rsidRPr="00203EB0">
        <w:t>Micropepsaceae</w:t>
      </w:r>
      <w:proofErr w:type="spellEnd"/>
      <w:r w:rsidRPr="00203EB0">
        <w:t xml:space="preserve"> sp., and </w:t>
      </w:r>
      <w:proofErr w:type="spellStart"/>
      <w:r w:rsidRPr="00203EB0">
        <w:t>Methanomassiliicoccales</w:t>
      </w:r>
      <w:proofErr w:type="spellEnd"/>
      <w:r w:rsidRPr="00203EB0">
        <w:t xml:space="preserve"> sp., with </w:t>
      </w:r>
      <w:r w:rsidRPr="00203EB0">
        <w:rPr>
          <w:i/>
        </w:rPr>
        <w:t>Flavobacterium</w:t>
      </w:r>
      <w:r w:rsidRPr="00203EB0">
        <w:t xml:space="preserve"> sp. showing a negative relationship. Only SC-I-84 and </w:t>
      </w:r>
      <w:r w:rsidRPr="00203EB0">
        <w:rPr>
          <w:i/>
        </w:rPr>
        <w:t xml:space="preserve">Candidatus </w:t>
      </w:r>
      <w:proofErr w:type="spellStart"/>
      <w:r w:rsidRPr="00203EB0">
        <w:t>Nitrosotalea</w:t>
      </w:r>
      <w:proofErr w:type="spellEnd"/>
      <w:r w:rsidRPr="00203EB0">
        <w:t xml:space="preserve"> sp. were common among the top ten taxa at </w:t>
      </w:r>
      <w:r w:rsidRPr="00203EB0">
        <w:lastRenderedPageBreak/>
        <w:t>both soil depths, suggesting that the most influential contributors to N</w:t>
      </w:r>
      <w:r w:rsidRPr="00203EB0">
        <w:rPr>
          <w:vertAlign w:val="subscript"/>
        </w:rPr>
        <w:t>2</w:t>
      </w:r>
      <w:r w:rsidRPr="00203EB0">
        <w:t xml:space="preserve">O emissions were largely depth specific. Full taxonomic classifications of the RF selected taxa are provided in </w:t>
      </w:r>
      <w:r w:rsidRPr="00203EB0">
        <w:rPr>
          <w:b/>
        </w:rPr>
        <w:t xml:space="preserve">Table </w:t>
      </w:r>
      <w:r w:rsidR="00436F2D" w:rsidRPr="00203EB0">
        <w:rPr>
          <w:b/>
        </w:rPr>
        <w:t>5.</w:t>
      </w:r>
      <w:r w:rsidR="003402E1">
        <w:rPr>
          <w:b/>
        </w:rPr>
        <w:t>2.</w:t>
      </w:r>
    </w:p>
    <w:p w14:paraId="5C9C0EB9" w14:textId="77777777" w:rsidR="003812B3" w:rsidRPr="00203EB0" w:rsidRDefault="003812B3" w:rsidP="003812B3">
      <w:pPr>
        <w:pStyle w:val="Heading3"/>
        <w:spacing w:line="480" w:lineRule="auto"/>
      </w:pPr>
      <w:r w:rsidRPr="00203EB0">
        <w:t>Management-driven temporal dynamics of key microbial taxa across soil depths</w:t>
      </w:r>
    </w:p>
    <w:p w14:paraId="69EDB70E" w14:textId="77777777" w:rsidR="003812B3" w:rsidRPr="00203EB0" w:rsidRDefault="003812B3" w:rsidP="003812B3">
      <w:pPr>
        <w:spacing w:line="480" w:lineRule="auto"/>
        <w:rPr>
          <w:rFonts w:cs="Times New Roman"/>
        </w:rPr>
      </w:pPr>
      <w:r w:rsidRPr="00203EB0">
        <w:rPr>
          <w:rFonts w:cs="Times New Roman"/>
        </w:rPr>
        <w:t>The temporal dynamics of the top ten microbial taxa, associated with N</w:t>
      </w:r>
      <w:r w:rsidRPr="00203EB0">
        <w:rPr>
          <w:rFonts w:cs="Times New Roman"/>
          <w:vertAlign w:val="subscript"/>
        </w:rPr>
        <w:t>2</w:t>
      </w:r>
      <w:r w:rsidRPr="00203EB0">
        <w:rPr>
          <w:rFonts w:cs="Times New Roman"/>
        </w:rPr>
        <w:t>O emissions</w:t>
      </w:r>
      <w:r>
        <w:rPr>
          <w:rFonts w:cs="Times New Roman"/>
        </w:rPr>
        <w:t>,</w:t>
      </w:r>
      <w:r w:rsidRPr="00203EB0">
        <w:rPr>
          <w:rFonts w:cs="Times New Roman"/>
        </w:rPr>
        <w:t xml:space="preserve"> as identified by the RF models, were visualized using </w:t>
      </w:r>
      <w:proofErr w:type="spellStart"/>
      <w:r w:rsidRPr="00203EB0">
        <w:rPr>
          <w:rFonts w:cs="Times New Roman"/>
        </w:rPr>
        <w:t>BiomeHorizon</w:t>
      </w:r>
      <w:proofErr w:type="spellEnd"/>
      <w:r w:rsidRPr="00203EB0">
        <w:rPr>
          <w:rFonts w:cs="Times New Roman"/>
        </w:rPr>
        <w:t xml:space="preserve"> plots depicting relative abundance changes over the growing season (</w:t>
      </w:r>
      <w:r w:rsidRPr="00203EB0">
        <w:rPr>
          <w:rFonts w:cs="Times New Roman"/>
          <w:b/>
          <w:bCs/>
        </w:rPr>
        <w:t>Figure 5.6</w:t>
      </w:r>
      <w:r w:rsidRPr="00203EB0">
        <w:rPr>
          <w:rFonts w:cs="Times New Roman"/>
        </w:rPr>
        <w:t xml:space="preserve">). Each plot represents one taxon, with depth specific resolution. </w:t>
      </w:r>
      <w:r>
        <w:rPr>
          <w:rFonts w:cs="Times New Roman"/>
        </w:rPr>
        <w:t>R</w:t>
      </w:r>
      <w:r w:rsidRPr="00203EB0">
        <w:rPr>
          <w:rFonts w:cs="Times New Roman"/>
        </w:rPr>
        <w:t>elative abundance</w:t>
      </w:r>
      <w:r>
        <w:rPr>
          <w:rFonts w:cs="Times New Roman"/>
        </w:rPr>
        <w:t>s at</w:t>
      </w:r>
      <w:r w:rsidRPr="00203EB0">
        <w:rPr>
          <w:rFonts w:cs="Times New Roman"/>
        </w:rPr>
        <w:t xml:space="preserve"> both depths </w:t>
      </w:r>
      <w:r>
        <w:rPr>
          <w:rFonts w:cs="Times New Roman"/>
        </w:rPr>
        <w:t>generally</w:t>
      </w:r>
      <w:r w:rsidRPr="00203EB0">
        <w:rPr>
          <w:rFonts w:cs="Times New Roman"/>
        </w:rPr>
        <w:t xml:space="preserve"> increased on August 2 and August 30, aligning with the peak N</w:t>
      </w:r>
      <w:r w:rsidRPr="00203EB0">
        <w:rPr>
          <w:rFonts w:cs="Times New Roman"/>
          <w:vertAlign w:val="subscript"/>
        </w:rPr>
        <w:t>2</w:t>
      </w:r>
      <w:r w:rsidRPr="00203EB0">
        <w:rPr>
          <w:rFonts w:cs="Times New Roman"/>
        </w:rPr>
        <w:t>O fluxes (</w:t>
      </w:r>
      <w:r w:rsidRPr="00203EB0">
        <w:rPr>
          <w:rFonts w:cs="Times New Roman"/>
          <w:b/>
          <w:bCs/>
        </w:rPr>
        <w:t>Figure 5.6</w:t>
      </w:r>
      <w:r w:rsidRPr="00203EB0">
        <w:rPr>
          <w:rFonts w:cs="Times New Roman"/>
        </w:rPr>
        <w:t xml:space="preserve">; also see </w:t>
      </w:r>
      <w:r w:rsidRPr="00203EB0">
        <w:rPr>
          <w:rFonts w:cs="Times New Roman"/>
          <w:b/>
          <w:bCs/>
        </w:rPr>
        <w:t>Figure 5.1</w:t>
      </w:r>
      <w:r w:rsidRPr="00203EB0">
        <w:rPr>
          <w:rFonts w:cs="Times New Roman"/>
        </w:rPr>
        <w:t xml:space="preserve">). In contrast, negatively associated </w:t>
      </w:r>
      <w:r>
        <w:rPr>
          <w:rFonts w:cs="Times New Roman"/>
        </w:rPr>
        <w:t>taxa</w:t>
      </w:r>
      <w:r w:rsidRPr="00203EB0">
        <w:rPr>
          <w:rFonts w:cs="Times New Roman"/>
        </w:rPr>
        <w:t xml:space="preserve">, such as </w:t>
      </w:r>
      <w:r w:rsidRPr="00203EB0">
        <w:rPr>
          <w:rFonts w:cs="Times New Roman"/>
          <w:i/>
          <w:iCs/>
        </w:rPr>
        <w:t>Flavobacterium sp</w:t>
      </w:r>
      <w:r w:rsidRPr="00203EB0">
        <w:rPr>
          <w:rFonts w:cs="Times New Roman"/>
        </w:rPr>
        <w:t xml:space="preserve">. and </w:t>
      </w:r>
      <w:proofErr w:type="spellStart"/>
      <w:r w:rsidRPr="00203EB0">
        <w:rPr>
          <w:rStyle w:val="Emphasis"/>
          <w:rFonts w:ascii="Times New Roman" w:hAnsi="Times New Roman" w:cs="Times New Roman"/>
          <w:bCs/>
        </w:rPr>
        <w:t>Pseudarthrobacter</w:t>
      </w:r>
      <w:proofErr w:type="spellEnd"/>
      <w:r w:rsidRPr="00203EB0">
        <w:rPr>
          <w:rStyle w:val="Emphasis"/>
          <w:rFonts w:ascii="Times New Roman" w:hAnsi="Times New Roman" w:cs="Times New Roman"/>
          <w:bCs/>
        </w:rPr>
        <w:t xml:space="preserve"> sp.</w:t>
      </w:r>
      <w:r w:rsidRPr="00203EB0">
        <w:rPr>
          <w:rFonts w:cs="Times New Roman"/>
        </w:rPr>
        <w:t>, showed reduced relative abundance during high N</w:t>
      </w:r>
      <w:r w:rsidRPr="00203EB0">
        <w:rPr>
          <w:rFonts w:cs="Times New Roman"/>
          <w:vertAlign w:val="subscript"/>
        </w:rPr>
        <w:t>2</w:t>
      </w:r>
      <w:r w:rsidRPr="00203EB0">
        <w:rPr>
          <w:rFonts w:cs="Times New Roman"/>
        </w:rPr>
        <w:t xml:space="preserve">O flux period. </w:t>
      </w:r>
    </w:p>
    <w:p w14:paraId="26746EF7" w14:textId="08C62B4B" w:rsidR="003812B3" w:rsidRPr="00203EB0" w:rsidRDefault="003812B3" w:rsidP="00D56363">
      <w:pPr>
        <w:spacing w:line="480" w:lineRule="auto"/>
        <w:sectPr w:rsidR="003812B3" w:rsidRPr="00203EB0" w:rsidSect="00AE1B19">
          <w:pgSz w:w="12240" w:h="15840" w:code="1"/>
          <w:pgMar w:top="1440" w:right="1800" w:bottom="1872" w:left="1800" w:header="720" w:footer="1440" w:gutter="0"/>
          <w:pgNumType w:start="1"/>
          <w:cols w:space="720"/>
          <w:noEndnote/>
          <w:docGrid w:linePitch="360"/>
        </w:sectPr>
      </w:pPr>
    </w:p>
    <w:p w14:paraId="683319BE" w14:textId="6E8817C9" w:rsidR="00CA1A26" w:rsidRPr="00203EB0" w:rsidRDefault="00CA1A26" w:rsidP="00001ABC">
      <w:pPr>
        <w:pStyle w:val="Caption"/>
      </w:pPr>
    </w:p>
    <w:p w14:paraId="357AFC61" w14:textId="4D0B095F" w:rsidR="00025EEA" w:rsidRPr="00203EB0" w:rsidRDefault="00C96F1F" w:rsidP="00C96F1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cs="Times New Roman"/>
        </w:rPr>
      </w:pPr>
      <w:r w:rsidRPr="00203EB0">
        <w:rPr>
          <w:noProof/>
        </w:rPr>
        <w:drawing>
          <wp:inline distT="0" distB="0" distL="0" distR="0" wp14:anchorId="1991AE7C" wp14:editId="6EB48AC2">
            <wp:extent cx="7239000" cy="4071938"/>
            <wp:effectExtent l="0" t="0" r="0" b="5080"/>
            <wp:docPr id="721558459"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58459" name="Imagen 1" descr="Gráfico&#10;&#10;El contenido generado por IA puede ser incorrecto."/>
                    <pic:cNvPicPr>
                      <a:picLocks noChangeAspect="1" noChangeArrowheads="1"/>
                    </pic:cNvPicPr>
                  </pic:nvPicPr>
                  <pic:blipFill>
                    <a:blip r:embed="rId35" cstate="hqprint">
                      <a:extLst>
                        <a:ext uri="{28A0092B-C50C-407E-A947-70E740481C1C}">
                          <a14:useLocalDpi xmlns:a14="http://schemas.microsoft.com/office/drawing/2010/main" val="0"/>
                        </a:ext>
                      </a:extLst>
                    </a:blip>
                    <a:srcRect/>
                    <a:stretch>
                      <a:fillRect/>
                    </a:stretch>
                  </pic:blipFill>
                  <pic:spPr bwMode="auto">
                    <a:xfrm>
                      <a:off x="0" y="0"/>
                      <a:ext cx="7342233" cy="4130007"/>
                    </a:xfrm>
                    <a:prstGeom prst="rect">
                      <a:avLst/>
                    </a:prstGeom>
                    <a:noFill/>
                    <a:ln>
                      <a:noFill/>
                    </a:ln>
                  </pic:spPr>
                </pic:pic>
              </a:graphicData>
            </a:graphic>
          </wp:inline>
        </w:drawing>
      </w:r>
    </w:p>
    <w:p w14:paraId="3E8EBF24" w14:textId="13509765" w:rsidR="00025EEA" w:rsidRPr="00203EB0" w:rsidRDefault="00C96F1F" w:rsidP="00001ABC">
      <w:pPr>
        <w:pStyle w:val="Caption"/>
        <w:rPr>
          <w:rFonts w:cs="Times New Roman"/>
        </w:rPr>
      </w:pPr>
      <w:bookmarkStart w:id="99" w:name="_Toc206669278"/>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5</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5</w:t>
      </w:r>
      <w:r w:rsidR="00BD46F8" w:rsidRPr="00203EB0">
        <w:rPr>
          <w:b/>
          <w:bCs/>
        </w:rPr>
        <w:fldChar w:fldCharType="end"/>
      </w:r>
      <w:r w:rsidRPr="00203EB0">
        <w:rPr>
          <w:b/>
          <w:bCs/>
        </w:rPr>
        <w:t>:</w:t>
      </w:r>
      <w:r w:rsidRPr="00203EB0">
        <w:t xml:space="preserve"> Key microbial taxa contributing to N</w:t>
      </w:r>
      <w:r w:rsidRPr="00203EB0">
        <w:rPr>
          <w:vertAlign w:val="subscript"/>
        </w:rPr>
        <w:t>2</w:t>
      </w:r>
      <w:r w:rsidRPr="00203EB0">
        <w:t>O fluxes across soils depths, identified using random forest analysis. Panels A and B show the top 10 taxa with the highest increases in mean squared error (MSE) when permuted, at 0-10 cm and 10-20 cm depths, respectively. Panels C and D present partial dependence plots illustrating N</w:t>
      </w:r>
      <w:r w:rsidRPr="00203EB0">
        <w:rPr>
          <w:vertAlign w:val="subscript"/>
        </w:rPr>
        <w:t>2</w:t>
      </w:r>
      <w:r w:rsidRPr="00203EB0">
        <w:t>O flux predictions for these taxa at 0-10 cm and 10-20 cm, respectively.</w:t>
      </w:r>
      <w:bookmarkEnd w:id="99"/>
    </w:p>
    <w:p w14:paraId="107D9B8B" w14:textId="77777777" w:rsidR="00C96F1F" w:rsidRPr="00203EB0" w:rsidRDefault="00C96F1F"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sectPr w:rsidR="00C96F1F" w:rsidRPr="00203EB0" w:rsidSect="00FE7DF1">
          <w:footerReference w:type="first" r:id="rId36"/>
          <w:pgSz w:w="15840" w:h="12240" w:orient="landscape" w:code="1"/>
          <w:pgMar w:top="1800" w:right="1440" w:bottom="1800" w:left="1872" w:header="720" w:footer="1440" w:gutter="0"/>
          <w:pgNumType w:start="96"/>
          <w:cols w:space="720"/>
          <w:noEndnote/>
          <w:docGrid w:linePitch="360"/>
        </w:sectPr>
      </w:pPr>
    </w:p>
    <w:p w14:paraId="1E836A7F" w14:textId="7A0B6D15" w:rsidR="00C96F1F" w:rsidRPr="00203EB0" w:rsidRDefault="00C96F1F" w:rsidP="00C96F1F">
      <w:pPr>
        <w:rPr>
          <w:rFonts w:cs="Times New Roman"/>
        </w:rPr>
      </w:pPr>
      <w:bookmarkStart w:id="100" w:name="_Toc206669225"/>
      <w:r w:rsidRPr="00203EB0">
        <w:rPr>
          <w:b/>
          <w:bCs/>
        </w:rPr>
        <w:lastRenderedPageBreak/>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5</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2</w:t>
      </w:r>
      <w:r w:rsidR="00775F57" w:rsidRPr="00203EB0">
        <w:rPr>
          <w:b/>
          <w:bCs/>
        </w:rPr>
        <w:fldChar w:fldCharType="end"/>
      </w:r>
      <w:r w:rsidRPr="00203EB0">
        <w:rPr>
          <w:b/>
          <w:bCs/>
        </w:rPr>
        <w:t>:</w:t>
      </w:r>
      <w:r w:rsidRPr="00203EB0">
        <w:t xml:space="preserve"> </w:t>
      </w:r>
      <w:r w:rsidRPr="00203EB0">
        <w:rPr>
          <w:rFonts w:cs="Times New Roman"/>
        </w:rPr>
        <w:t>Taxonomic classification of top ten microbial taxa identified by the random forest analysis across soil depths</w:t>
      </w:r>
      <w:bookmarkEnd w:id="100"/>
      <w:r w:rsidRPr="00203EB0">
        <w:rPr>
          <w:rFonts w:cs="Times New Roman"/>
        </w:rPr>
        <w:t xml:space="preserve"> </w:t>
      </w:r>
    </w:p>
    <w:tbl>
      <w:tblPr>
        <w:tblStyle w:val="TableGrid"/>
        <w:tblW w:w="50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6"/>
        <w:gridCol w:w="2544"/>
        <w:gridCol w:w="2835"/>
        <w:gridCol w:w="2744"/>
        <w:gridCol w:w="2377"/>
      </w:tblGrid>
      <w:tr w:rsidR="00C96F1F" w:rsidRPr="00203EB0" w14:paraId="1C75C768" w14:textId="77777777" w:rsidTr="00C17D6E">
        <w:trPr>
          <w:trHeight w:val="242"/>
        </w:trPr>
        <w:tc>
          <w:tcPr>
            <w:tcW w:w="5000" w:type="pct"/>
            <w:gridSpan w:val="5"/>
            <w:tcBorders>
              <w:top w:val="single" w:sz="4" w:space="0" w:color="auto"/>
              <w:bottom w:val="single" w:sz="4" w:space="0" w:color="auto"/>
            </w:tcBorders>
          </w:tcPr>
          <w:p w14:paraId="5063B724" w14:textId="77777777" w:rsidR="00C96F1F" w:rsidRPr="00203EB0" w:rsidRDefault="00C96F1F" w:rsidP="00C17D6E">
            <w:pPr>
              <w:jc w:val="center"/>
              <w:rPr>
                <w:rFonts w:cs="Times New Roman"/>
                <w:b/>
              </w:rPr>
            </w:pPr>
            <w:r w:rsidRPr="00203EB0">
              <w:rPr>
                <w:rFonts w:cs="Times New Roman"/>
                <w:b/>
              </w:rPr>
              <w:t>0-10 cm</w:t>
            </w:r>
          </w:p>
        </w:tc>
      </w:tr>
      <w:tr w:rsidR="00C96F1F" w:rsidRPr="00203EB0" w14:paraId="71A4D5F5" w14:textId="77777777" w:rsidTr="00C17D6E">
        <w:trPr>
          <w:trHeight w:val="493"/>
        </w:trPr>
        <w:tc>
          <w:tcPr>
            <w:tcW w:w="848" w:type="pct"/>
            <w:tcBorders>
              <w:top w:val="single" w:sz="4" w:space="0" w:color="auto"/>
            </w:tcBorders>
            <w:vAlign w:val="center"/>
          </w:tcPr>
          <w:p w14:paraId="6D6FA6C3" w14:textId="77777777" w:rsidR="00C96F1F" w:rsidRPr="00203EB0" w:rsidRDefault="00C96F1F" w:rsidP="00C17D6E">
            <w:pPr>
              <w:jc w:val="center"/>
              <w:rPr>
                <w:rFonts w:cs="Times New Roman"/>
                <w:b/>
              </w:rPr>
            </w:pPr>
            <w:r w:rsidRPr="00203EB0">
              <w:rPr>
                <w:rFonts w:cs="Times New Roman"/>
                <w:b/>
              </w:rPr>
              <w:t>Phylum</w:t>
            </w:r>
          </w:p>
        </w:tc>
        <w:tc>
          <w:tcPr>
            <w:tcW w:w="1006" w:type="pct"/>
            <w:tcBorders>
              <w:top w:val="single" w:sz="4" w:space="0" w:color="auto"/>
              <w:bottom w:val="single" w:sz="4" w:space="0" w:color="auto"/>
            </w:tcBorders>
            <w:vAlign w:val="center"/>
          </w:tcPr>
          <w:p w14:paraId="6F5D79B4" w14:textId="77777777" w:rsidR="00C96F1F" w:rsidRPr="00203EB0" w:rsidRDefault="00C96F1F" w:rsidP="00C17D6E">
            <w:pPr>
              <w:jc w:val="center"/>
              <w:rPr>
                <w:rFonts w:cs="Times New Roman"/>
                <w:b/>
              </w:rPr>
            </w:pPr>
            <w:r w:rsidRPr="00203EB0">
              <w:rPr>
                <w:rFonts w:cs="Times New Roman"/>
                <w:b/>
              </w:rPr>
              <w:t>Class</w:t>
            </w:r>
          </w:p>
        </w:tc>
        <w:tc>
          <w:tcPr>
            <w:tcW w:w="1121" w:type="pct"/>
            <w:tcBorders>
              <w:top w:val="single" w:sz="4" w:space="0" w:color="auto"/>
              <w:bottom w:val="single" w:sz="4" w:space="0" w:color="auto"/>
            </w:tcBorders>
            <w:vAlign w:val="center"/>
          </w:tcPr>
          <w:p w14:paraId="7012D9C3" w14:textId="77777777" w:rsidR="00C96F1F" w:rsidRPr="00203EB0" w:rsidRDefault="00C96F1F" w:rsidP="00C17D6E">
            <w:pPr>
              <w:jc w:val="center"/>
              <w:rPr>
                <w:rFonts w:cs="Times New Roman"/>
                <w:b/>
              </w:rPr>
            </w:pPr>
            <w:r w:rsidRPr="00203EB0">
              <w:rPr>
                <w:rFonts w:cs="Times New Roman"/>
                <w:b/>
              </w:rPr>
              <w:t>Order</w:t>
            </w:r>
          </w:p>
        </w:tc>
        <w:tc>
          <w:tcPr>
            <w:tcW w:w="1085" w:type="pct"/>
            <w:tcBorders>
              <w:top w:val="single" w:sz="4" w:space="0" w:color="auto"/>
              <w:bottom w:val="single" w:sz="4" w:space="0" w:color="auto"/>
            </w:tcBorders>
            <w:vAlign w:val="center"/>
          </w:tcPr>
          <w:p w14:paraId="1E38F2EC" w14:textId="77777777" w:rsidR="00C96F1F" w:rsidRPr="00203EB0" w:rsidRDefault="00C96F1F" w:rsidP="00C17D6E">
            <w:pPr>
              <w:jc w:val="center"/>
              <w:rPr>
                <w:rFonts w:cs="Times New Roman"/>
                <w:b/>
              </w:rPr>
            </w:pPr>
            <w:r w:rsidRPr="00203EB0">
              <w:rPr>
                <w:rFonts w:cs="Times New Roman"/>
                <w:b/>
              </w:rPr>
              <w:t>Family</w:t>
            </w:r>
          </w:p>
        </w:tc>
        <w:tc>
          <w:tcPr>
            <w:tcW w:w="940" w:type="pct"/>
            <w:tcBorders>
              <w:top w:val="single" w:sz="4" w:space="0" w:color="auto"/>
              <w:bottom w:val="single" w:sz="4" w:space="0" w:color="auto"/>
            </w:tcBorders>
            <w:vAlign w:val="center"/>
          </w:tcPr>
          <w:p w14:paraId="09CBFC90" w14:textId="77777777" w:rsidR="00C96F1F" w:rsidRPr="00203EB0" w:rsidRDefault="00C96F1F" w:rsidP="00C17D6E">
            <w:pPr>
              <w:jc w:val="center"/>
              <w:rPr>
                <w:rFonts w:cs="Times New Roman"/>
                <w:b/>
              </w:rPr>
            </w:pPr>
            <w:r w:rsidRPr="00203EB0">
              <w:rPr>
                <w:rFonts w:cs="Times New Roman"/>
                <w:b/>
              </w:rPr>
              <w:t>Genus</w:t>
            </w:r>
          </w:p>
        </w:tc>
      </w:tr>
      <w:tr w:rsidR="00C96F1F" w:rsidRPr="00203EB0" w14:paraId="28EC72D2" w14:textId="77777777" w:rsidTr="00C17D6E">
        <w:trPr>
          <w:trHeight w:val="19"/>
        </w:trPr>
        <w:tc>
          <w:tcPr>
            <w:tcW w:w="848" w:type="pct"/>
            <w:tcBorders>
              <w:top w:val="single" w:sz="4" w:space="0" w:color="auto"/>
            </w:tcBorders>
          </w:tcPr>
          <w:p w14:paraId="5BB11A4E" w14:textId="77777777" w:rsidR="00C96F1F" w:rsidRPr="00203EB0" w:rsidRDefault="00C96F1F" w:rsidP="00C17D6E">
            <w:pPr>
              <w:rPr>
                <w:rFonts w:cs="Times New Roman"/>
                <w:color w:val="000000"/>
              </w:rPr>
            </w:pPr>
            <w:proofErr w:type="spellStart"/>
            <w:r w:rsidRPr="00203EB0">
              <w:rPr>
                <w:rFonts w:cs="Times New Roman"/>
                <w:color w:val="000000"/>
              </w:rPr>
              <w:t>Actinobacteriota</w:t>
            </w:r>
            <w:proofErr w:type="spellEnd"/>
          </w:p>
        </w:tc>
        <w:tc>
          <w:tcPr>
            <w:tcW w:w="1006" w:type="pct"/>
            <w:tcBorders>
              <w:top w:val="single" w:sz="4" w:space="0" w:color="auto"/>
            </w:tcBorders>
          </w:tcPr>
          <w:p w14:paraId="344AF761" w14:textId="77777777" w:rsidR="00C96F1F" w:rsidRPr="00203EB0" w:rsidRDefault="00C96F1F" w:rsidP="00C17D6E">
            <w:pPr>
              <w:rPr>
                <w:rFonts w:cs="Times New Roman"/>
                <w:color w:val="000000"/>
              </w:rPr>
            </w:pPr>
            <w:r w:rsidRPr="00203EB0">
              <w:rPr>
                <w:rFonts w:cs="Times New Roman"/>
                <w:color w:val="000000"/>
              </w:rPr>
              <w:t>Actinobacteria</w:t>
            </w:r>
          </w:p>
        </w:tc>
        <w:tc>
          <w:tcPr>
            <w:tcW w:w="1121" w:type="pct"/>
            <w:tcBorders>
              <w:top w:val="single" w:sz="4" w:space="0" w:color="auto"/>
            </w:tcBorders>
          </w:tcPr>
          <w:p w14:paraId="3B01244C" w14:textId="77777777" w:rsidR="00C96F1F" w:rsidRPr="00203EB0" w:rsidRDefault="00C96F1F" w:rsidP="00C17D6E">
            <w:pPr>
              <w:rPr>
                <w:rFonts w:cs="Times New Roman"/>
                <w:color w:val="000000"/>
              </w:rPr>
            </w:pPr>
            <w:proofErr w:type="spellStart"/>
            <w:r w:rsidRPr="00203EB0">
              <w:rPr>
                <w:rFonts w:cs="Times New Roman"/>
                <w:color w:val="000000"/>
              </w:rPr>
              <w:t>Micrococcales</w:t>
            </w:r>
            <w:proofErr w:type="spellEnd"/>
          </w:p>
        </w:tc>
        <w:tc>
          <w:tcPr>
            <w:tcW w:w="1085" w:type="pct"/>
            <w:tcBorders>
              <w:top w:val="single" w:sz="4" w:space="0" w:color="auto"/>
            </w:tcBorders>
          </w:tcPr>
          <w:p w14:paraId="35DA4C34" w14:textId="77777777" w:rsidR="00C96F1F" w:rsidRPr="00203EB0" w:rsidRDefault="00C96F1F" w:rsidP="00C17D6E">
            <w:pPr>
              <w:rPr>
                <w:rFonts w:cs="Times New Roman"/>
                <w:color w:val="000000"/>
              </w:rPr>
            </w:pPr>
            <w:proofErr w:type="spellStart"/>
            <w:r w:rsidRPr="00203EB0">
              <w:rPr>
                <w:rFonts w:cs="Times New Roman"/>
                <w:color w:val="000000"/>
              </w:rPr>
              <w:t>Micrococcaceae</w:t>
            </w:r>
            <w:proofErr w:type="spellEnd"/>
          </w:p>
        </w:tc>
        <w:tc>
          <w:tcPr>
            <w:tcW w:w="940" w:type="pct"/>
            <w:tcBorders>
              <w:top w:val="single" w:sz="4" w:space="0" w:color="auto"/>
            </w:tcBorders>
          </w:tcPr>
          <w:p w14:paraId="12AA4381" w14:textId="77777777" w:rsidR="00C96F1F" w:rsidRPr="00203EB0" w:rsidRDefault="00C96F1F" w:rsidP="00C17D6E">
            <w:pPr>
              <w:rPr>
                <w:rFonts w:cs="Times New Roman"/>
                <w:i/>
                <w:color w:val="000000"/>
              </w:rPr>
            </w:pPr>
            <w:proofErr w:type="spellStart"/>
            <w:r w:rsidRPr="00203EB0">
              <w:rPr>
                <w:rFonts w:cs="Times New Roman"/>
                <w:i/>
                <w:color w:val="000000"/>
              </w:rPr>
              <w:t>Pseudarthrobacter</w:t>
            </w:r>
            <w:proofErr w:type="spellEnd"/>
          </w:p>
        </w:tc>
      </w:tr>
      <w:tr w:rsidR="00C96F1F" w:rsidRPr="00203EB0" w14:paraId="15A52FE7" w14:textId="77777777" w:rsidTr="00C17D6E">
        <w:trPr>
          <w:trHeight w:val="19"/>
        </w:trPr>
        <w:tc>
          <w:tcPr>
            <w:tcW w:w="848" w:type="pct"/>
          </w:tcPr>
          <w:p w14:paraId="11FDBCA8" w14:textId="77777777" w:rsidR="00C96F1F" w:rsidRPr="00203EB0" w:rsidRDefault="00C96F1F" w:rsidP="00C17D6E">
            <w:pPr>
              <w:rPr>
                <w:rFonts w:cs="Times New Roman"/>
                <w:color w:val="000000"/>
              </w:rPr>
            </w:pPr>
            <w:r w:rsidRPr="00203EB0">
              <w:rPr>
                <w:rFonts w:cs="Times New Roman"/>
                <w:color w:val="000000"/>
              </w:rPr>
              <w:t>Proteobacteria</w:t>
            </w:r>
          </w:p>
        </w:tc>
        <w:tc>
          <w:tcPr>
            <w:tcW w:w="1006" w:type="pct"/>
          </w:tcPr>
          <w:p w14:paraId="4E3B2EC1" w14:textId="77777777" w:rsidR="00C96F1F" w:rsidRPr="00203EB0" w:rsidRDefault="00C96F1F" w:rsidP="00C17D6E">
            <w:pPr>
              <w:rPr>
                <w:rFonts w:cs="Times New Roman"/>
                <w:color w:val="000000"/>
              </w:rPr>
            </w:pPr>
            <w:proofErr w:type="spellStart"/>
            <w:r w:rsidRPr="00203EB0">
              <w:rPr>
                <w:rFonts w:cs="Times New Roman"/>
                <w:color w:val="000000"/>
              </w:rPr>
              <w:t>Alphaproteobacteria</w:t>
            </w:r>
            <w:proofErr w:type="spellEnd"/>
          </w:p>
        </w:tc>
        <w:tc>
          <w:tcPr>
            <w:tcW w:w="1121" w:type="pct"/>
          </w:tcPr>
          <w:p w14:paraId="4F7D8505" w14:textId="77777777" w:rsidR="00C96F1F" w:rsidRPr="00203EB0" w:rsidRDefault="00C96F1F" w:rsidP="00C17D6E">
            <w:pPr>
              <w:rPr>
                <w:rFonts w:cs="Times New Roman"/>
                <w:color w:val="000000"/>
              </w:rPr>
            </w:pPr>
            <w:proofErr w:type="spellStart"/>
            <w:r w:rsidRPr="00203EB0">
              <w:rPr>
                <w:rFonts w:cs="Times New Roman"/>
                <w:color w:val="000000"/>
              </w:rPr>
              <w:t>Sphingomonadales</w:t>
            </w:r>
            <w:proofErr w:type="spellEnd"/>
          </w:p>
        </w:tc>
        <w:tc>
          <w:tcPr>
            <w:tcW w:w="1085" w:type="pct"/>
          </w:tcPr>
          <w:p w14:paraId="1D64E1AB" w14:textId="77777777" w:rsidR="00C96F1F" w:rsidRPr="00203EB0" w:rsidRDefault="00C96F1F" w:rsidP="00C17D6E">
            <w:pPr>
              <w:rPr>
                <w:rFonts w:cs="Times New Roman"/>
                <w:color w:val="000000"/>
              </w:rPr>
            </w:pPr>
            <w:proofErr w:type="spellStart"/>
            <w:r w:rsidRPr="00203EB0">
              <w:rPr>
                <w:rFonts w:cs="Times New Roman"/>
                <w:color w:val="000000"/>
              </w:rPr>
              <w:t>Sphingomonadaceae</w:t>
            </w:r>
            <w:proofErr w:type="spellEnd"/>
          </w:p>
        </w:tc>
        <w:tc>
          <w:tcPr>
            <w:tcW w:w="940" w:type="pct"/>
          </w:tcPr>
          <w:p w14:paraId="42321039" w14:textId="77777777" w:rsidR="00C96F1F" w:rsidRPr="00203EB0" w:rsidRDefault="00C96F1F" w:rsidP="00C17D6E">
            <w:pPr>
              <w:rPr>
                <w:rFonts w:cs="Times New Roman"/>
                <w:i/>
                <w:color w:val="000000"/>
              </w:rPr>
            </w:pPr>
            <w:proofErr w:type="spellStart"/>
            <w:r w:rsidRPr="00203EB0">
              <w:rPr>
                <w:rFonts w:cs="Times New Roman"/>
                <w:i/>
                <w:color w:val="000000"/>
              </w:rPr>
              <w:t>Sphingomonas</w:t>
            </w:r>
            <w:proofErr w:type="spellEnd"/>
          </w:p>
        </w:tc>
      </w:tr>
      <w:tr w:rsidR="00C96F1F" w:rsidRPr="00203EB0" w14:paraId="14A8B08C" w14:textId="77777777" w:rsidTr="00C17D6E">
        <w:trPr>
          <w:trHeight w:val="19"/>
        </w:trPr>
        <w:tc>
          <w:tcPr>
            <w:tcW w:w="848" w:type="pct"/>
          </w:tcPr>
          <w:p w14:paraId="7D2B788C" w14:textId="77777777" w:rsidR="00C96F1F" w:rsidRPr="00203EB0" w:rsidRDefault="00C96F1F" w:rsidP="00C17D6E">
            <w:pPr>
              <w:rPr>
                <w:rFonts w:cs="Times New Roman"/>
                <w:color w:val="000000"/>
              </w:rPr>
            </w:pPr>
            <w:r w:rsidRPr="00203EB0">
              <w:rPr>
                <w:rFonts w:cs="Times New Roman"/>
                <w:color w:val="000000"/>
              </w:rPr>
              <w:t>Proteobacteria</w:t>
            </w:r>
          </w:p>
        </w:tc>
        <w:tc>
          <w:tcPr>
            <w:tcW w:w="1006" w:type="pct"/>
          </w:tcPr>
          <w:p w14:paraId="07BC8594" w14:textId="77777777" w:rsidR="00C96F1F" w:rsidRPr="00203EB0" w:rsidRDefault="00C96F1F" w:rsidP="00C17D6E">
            <w:pPr>
              <w:rPr>
                <w:rFonts w:cs="Times New Roman"/>
                <w:color w:val="000000"/>
              </w:rPr>
            </w:pPr>
            <w:r w:rsidRPr="00203EB0">
              <w:rPr>
                <w:rFonts w:cs="Times New Roman"/>
                <w:color w:val="000000"/>
              </w:rPr>
              <w:t>Gammaproteobacteria</w:t>
            </w:r>
          </w:p>
        </w:tc>
        <w:tc>
          <w:tcPr>
            <w:tcW w:w="1121" w:type="pct"/>
          </w:tcPr>
          <w:p w14:paraId="665D35D6" w14:textId="77777777" w:rsidR="00C96F1F" w:rsidRPr="00203EB0" w:rsidRDefault="00C96F1F" w:rsidP="00C17D6E">
            <w:pPr>
              <w:rPr>
                <w:rFonts w:cs="Times New Roman"/>
                <w:color w:val="000000"/>
              </w:rPr>
            </w:pPr>
            <w:proofErr w:type="spellStart"/>
            <w:r w:rsidRPr="00203EB0">
              <w:rPr>
                <w:rFonts w:cs="Times New Roman"/>
                <w:color w:val="000000"/>
              </w:rPr>
              <w:t>Burkholderiales</w:t>
            </w:r>
            <w:proofErr w:type="spellEnd"/>
          </w:p>
        </w:tc>
        <w:tc>
          <w:tcPr>
            <w:tcW w:w="1085" w:type="pct"/>
          </w:tcPr>
          <w:p w14:paraId="20E73FFD" w14:textId="77777777" w:rsidR="00C96F1F" w:rsidRPr="00203EB0" w:rsidRDefault="00C96F1F" w:rsidP="00C17D6E">
            <w:pPr>
              <w:rPr>
                <w:rFonts w:cs="Times New Roman"/>
                <w:color w:val="000000"/>
              </w:rPr>
            </w:pPr>
            <w:r w:rsidRPr="00203EB0">
              <w:rPr>
                <w:rFonts w:cs="Times New Roman"/>
                <w:color w:val="000000"/>
              </w:rPr>
              <w:t>SC-I-84</w:t>
            </w:r>
          </w:p>
        </w:tc>
        <w:tc>
          <w:tcPr>
            <w:tcW w:w="940" w:type="pct"/>
          </w:tcPr>
          <w:p w14:paraId="628EA04E" w14:textId="77777777" w:rsidR="00C96F1F" w:rsidRPr="00203EB0" w:rsidRDefault="00C96F1F" w:rsidP="00C17D6E">
            <w:pPr>
              <w:rPr>
                <w:rFonts w:cs="Times New Roman"/>
              </w:rPr>
            </w:pPr>
            <w:r w:rsidRPr="00203EB0">
              <w:rPr>
                <w:rFonts w:cs="Times New Roman"/>
              </w:rPr>
              <w:t>NA</w:t>
            </w:r>
          </w:p>
        </w:tc>
      </w:tr>
      <w:tr w:rsidR="00C96F1F" w:rsidRPr="00203EB0" w14:paraId="5DD503C4" w14:textId="77777777" w:rsidTr="00C17D6E">
        <w:trPr>
          <w:trHeight w:val="19"/>
        </w:trPr>
        <w:tc>
          <w:tcPr>
            <w:tcW w:w="848" w:type="pct"/>
          </w:tcPr>
          <w:p w14:paraId="2689A707" w14:textId="77777777" w:rsidR="00C96F1F" w:rsidRPr="00203EB0" w:rsidRDefault="00C96F1F" w:rsidP="00C17D6E">
            <w:pPr>
              <w:rPr>
                <w:rFonts w:cs="Times New Roman"/>
                <w:color w:val="000000"/>
              </w:rPr>
            </w:pPr>
            <w:r w:rsidRPr="00203EB0">
              <w:rPr>
                <w:rFonts w:cs="Times New Roman"/>
                <w:color w:val="000000"/>
              </w:rPr>
              <w:t>Proteobacteria</w:t>
            </w:r>
          </w:p>
        </w:tc>
        <w:tc>
          <w:tcPr>
            <w:tcW w:w="1006" w:type="pct"/>
          </w:tcPr>
          <w:p w14:paraId="09D98BEA" w14:textId="77777777" w:rsidR="00C96F1F" w:rsidRPr="00203EB0" w:rsidRDefault="00C96F1F" w:rsidP="00C17D6E">
            <w:pPr>
              <w:rPr>
                <w:rFonts w:cs="Times New Roman"/>
                <w:color w:val="000000"/>
              </w:rPr>
            </w:pPr>
            <w:proofErr w:type="spellStart"/>
            <w:r w:rsidRPr="00203EB0">
              <w:rPr>
                <w:rFonts w:cs="Times New Roman"/>
                <w:color w:val="000000"/>
              </w:rPr>
              <w:t>Alphaproteobacteria</w:t>
            </w:r>
            <w:proofErr w:type="spellEnd"/>
          </w:p>
        </w:tc>
        <w:tc>
          <w:tcPr>
            <w:tcW w:w="1121" w:type="pct"/>
          </w:tcPr>
          <w:p w14:paraId="79D957B6" w14:textId="77777777" w:rsidR="00C96F1F" w:rsidRPr="00203EB0" w:rsidRDefault="00C96F1F" w:rsidP="00C17D6E">
            <w:pPr>
              <w:rPr>
                <w:rFonts w:cs="Times New Roman"/>
                <w:color w:val="000000"/>
              </w:rPr>
            </w:pPr>
            <w:proofErr w:type="spellStart"/>
            <w:r w:rsidRPr="00203EB0">
              <w:rPr>
                <w:rFonts w:cs="Times New Roman"/>
                <w:color w:val="000000"/>
              </w:rPr>
              <w:t>Acetobacterales</w:t>
            </w:r>
            <w:proofErr w:type="spellEnd"/>
          </w:p>
        </w:tc>
        <w:tc>
          <w:tcPr>
            <w:tcW w:w="1085" w:type="pct"/>
          </w:tcPr>
          <w:p w14:paraId="2206DACE" w14:textId="77777777" w:rsidR="00C96F1F" w:rsidRPr="00203EB0" w:rsidRDefault="00C96F1F" w:rsidP="00C17D6E">
            <w:pPr>
              <w:rPr>
                <w:rFonts w:cs="Times New Roman"/>
                <w:color w:val="000000"/>
              </w:rPr>
            </w:pPr>
            <w:proofErr w:type="spellStart"/>
            <w:r w:rsidRPr="00203EB0">
              <w:rPr>
                <w:rFonts w:cs="Times New Roman"/>
                <w:color w:val="000000"/>
              </w:rPr>
              <w:t>Acetobacteraceae</w:t>
            </w:r>
            <w:proofErr w:type="spellEnd"/>
          </w:p>
        </w:tc>
        <w:tc>
          <w:tcPr>
            <w:tcW w:w="940" w:type="pct"/>
          </w:tcPr>
          <w:p w14:paraId="7C04C3B5" w14:textId="77777777" w:rsidR="00C96F1F" w:rsidRPr="00203EB0" w:rsidRDefault="00C96F1F" w:rsidP="00C17D6E">
            <w:pPr>
              <w:rPr>
                <w:rFonts w:cs="Times New Roman"/>
              </w:rPr>
            </w:pPr>
            <w:r w:rsidRPr="00203EB0">
              <w:rPr>
                <w:rFonts w:cs="Times New Roman"/>
              </w:rPr>
              <w:t>NA</w:t>
            </w:r>
          </w:p>
        </w:tc>
      </w:tr>
      <w:tr w:rsidR="00C96F1F" w:rsidRPr="00203EB0" w14:paraId="1D7E804A" w14:textId="77777777" w:rsidTr="00C17D6E">
        <w:trPr>
          <w:trHeight w:val="19"/>
        </w:trPr>
        <w:tc>
          <w:tcPr>
            <w:tcW w:w="848" w:type="pct"/>
          </w:tcPr>
          <w:p w14:paraId="4FFE70B6" w14:textId="77777777" w:rsidR="00C96F1F" w:rsidRPr="00203EB0" w:rsidRDefault="00C96F1F" w:rsidP="00C17D6E">
            <w:pPr>
              <w:rPr>
                <w:rFonts w:cs="Times New Roman"/>
                <w:color w:val="000000"/>
              </w:rPr>
            </w:pPr>
            <w:proofErr w:type="spellStart"/>
            <w:r w:rsidRPr="00203EB0">
              <w:rPr>
                <w:rFonts w:cs="Times New Roman"/>
                <w:color w:val="000000"/>
              </w:rPr>
              <w:t>Gemmatimonadota</w:t>
            </w:r>
            <w:proofErr w:type="spellEnd"/>
          </w:p>
        </w:tc>
        <w:tc>
          <w:tcPr>
            <w:tcW w:w="1006" w:type="pct"/>
          </w:tcPr>
          <w:p w14:paraId="6F36CF48" w14:textId="77777777" w:rsidR="00C96F1F" w:rsidRPr="00203EB0" w:rsidRDefault="00C96F1F" w:rsidP="00C17D6E">
            <w:pPr>
              <w:rPr>
                <w:rFonts w:cs="Times New Roman"/>
                <w:color w:val="000000"/>
              </w:rPr>
            </w:pPr>
            <w:proofErr w:type="spellStart"/>
            <w:r w:rsidRPr="00203EB0">
              <w:rPr>
                <w:rFonts w:cs="Times New Roman"/>
                <w:color w:val="000000"/>
              </w:rPr>
              <w:t>Gemmatimonadetes</w:t>
            </w:r>
            <w:proofErr w:type="spellEnd"/>
          </w:p>
        </w:tc>
        <w:tc>
          <w:tcPr>
            <w:tcW w:w="1121" w:type="pct"/>
          </w:tcPr>
          <w:p w14:paraId="24BADCD7" w14:textId="77777777" w:rsidR="00C96F1F" w:rsidRPr="00203EB0" w:rsidRDefault="00C96F1F" w:rsidP="00C17D6E">
            <w:pPr>
              <w:rPr>
                <w:rFonts w:cs="Times New Roman"/>
                <w:color w:val="000000"/>
              </w:rPr>
            </w:pPr>
            <w:proofErr w:type="spellStart"/>
            <w:r w:rsidRPr="00203EB0">
              <w:rPr>
                <w:rFonts w:cs="Times New Roman"/>
                <w:color w:val="000000"/>
              </w:rPr>
              <w:t>Gemmatimonadales</w:t>
            </w:r>
            <w:proofErr w:type="spellEnd"/>
          </w:p>
        </w:tc>
        <w:tc>
          <w:tcPr>
            <w:tcW w:w="1085" w:type="pct"/>
          </w:tcPr>
          <w:p w14:paraId="2FB6FC4C" w14:textId="77777777" w:rsidR="00C96F1F" w:rsidRPr="00203EB0" w:rsidRDefault="00C96F1F" w:rsidP="00C17D6E">
            <w:pPr>
              <w:rPr>
                <w:rFonts w:cs="Times New Roman"/>
                <w:color w:val="000000"/>
              </w:rPr>
            </w:pPr>
            <w:proofErr w:type="spellStart"/>
            <w:r w:rsidRPr="00203EB0">
              <w:rPr>
                <w:rFonts w:cs="Times New Roman"/>
                <w:color w:val="000000"/>
              </w:rPr>
              <w:t>Gemmatimonadaceae</w:t>
            </w:r>
            <w:proofErr w:type="spellEnd"/>
          </w:p>
        </w:tc>
        <w:tc>
          <w:tcPr>
            <w:tcW w:w="940" w:type="pct"/>
          </w:tcPr>
          <w:p w14:paraId="19F9C16F" w14:textId="77777777" w:rsidR="00C96F1F" w:rsidRPr="00203EB0" w:rsidRDefault="00C96F1F" w:rsidP="00C17D6E">
            <w:pPr>
              <w:rPr>
                <w:rFonts w:cs="Times New Roman"/>
                <w:color w:val="000000"/>
              </w:rPr>
            </w:pPr>
            <w:proofErr w:type="spellStart"/>
            <w:r w:rsidRPr="00203EB0">
              <w:rPr>
                <w:rFonts w:cs="Times New Roman"/>
                <w:color w:val="000000"/>
              </w:rPr>
              <w:t>Gemmatimonas</w:t>
            </w:r>
            <w:proofErr w:type="spellEnd"/>
          </w:p>
        </w:tc>
      </w:tr>
      <w:tr w:rsidR="00C96F1F" w:rsidRPr="00203EB0" w14:paraId="558AEA11" w14:textId="77777777" w:rsidTr="00C17D6E">
        <w:trPr>
          <w:trHeight w:val="19"/>
        </w:trPr>
        <w:tc>
          <w:tcPr>
            <w:tcW w:w="848" w:type="pct"/>
          </w:tcPr>
          <w:p w14:paraId="190C5CDE" w14:textId="77777777" w:rsidR="00C96F1F" w:rsidRPr="00203EB0" w:rsidRDefault="00C96F1F" w:rsidP="00C17D6E">
            <w:pPr>
              <w:rPr>
                <w:rFonts w:cs="Times New Roman"/>
                <w:color w:val="000000"/>
              </w:rPr>
            </w:pPr>
            <w:proofErr w:type="spellStart"/>
            <w:r w:rsidRPr="00203EB0">
              <w:rPr>
                <w:rFonts w:cs="Times New Roman"/>
                <w:color w:val="000000"/>
              </w:rPr>
              <w:t>Crenarchaeota</w:t>
            </w:r>
            <w:proofErr w:type="spellEnd"/>
          </w:p>
        </w:tc>
        <w:tc>
          <w:tcPr>
            <w:tcW w:w="1006" w:type="pct"/>
          </w:tcPr>
          <w:p w14:paraId="0A537D27" w14:textId="77777777" w:rsidR="00C96F1F" w:rsidRPr="00203EB0" w:rsidRDefault="00C96F1F" w:rsidP="00C17D6E">
            <w:pPr>
              <w:rPr>
                <w:rFonts w:cs="Times New Roman"/>
                <w:color w:val="000000"/>
              </w:rPr>
            </w:pPr>
            <w:proofErr w:type="spellStart"/>
            <w:r w:rsidRPr="00203EB0">
              <w:rPr>
                <w:rFonts w:cs="Times New Roman"/>
                <w:color w:val="000000"/>
              </w:rPr>
              <w:t>Nitrososphaeria</w:t>
            </w:r>
            <w:proofErr w:type="spellEnd"/>
          </w:p>
        </w:tc>
        <w:tc>
          <w:tcPr>
            <w:tcW w:w="1121" w:type="pct"/>
          </w:tcPr>
          <w:p w14:paraId="3FF5061A" w14:textId="77777777" w:rsidR="00C96F1F" w:rsidRPr="00203EB0" w:rsidRDefault="00C96F1F" w:rsidP="00C17D6E">
            <w:pPr>
              <w:rPr>
                <w:rFonts w:cs="Times New Roman"/>
                <w:color w:val="000000"/>
              </w:rPr>
            </w:pPr>
            <w:proofErr w:type="spellStart"/>
            <w:r w:rsidRPr="00203EB0">
              <w:rPr>
                <w:rFonts w:cs="Times New Roman"/>
                <w:color w:val="000000"/>
              </w:rPr>
              <w:t>Nitrosotaleales</w:t>
            </w:r>
            <w:proofErr w:type="spellEnd"/>
          </w:p>
        </w:tc>
        <w:tc>
          <w:tcPr>
            <w:tcW w:w="1085" w:type="pct"/>
          </w:tcPr>
          <w:p w14:paraId="35F7F17B" w14:textId="77777777" w:rsidR="00C96F1F" w:rsidRPr="00203EB0" w:rsidRDefault="00C96F1F" w:rsidP="00C17D6E">
            <w:pPr>
              <w:rPr>
                <w:rFonts w:cs="Times New Roman"/>
                <w:color w:val="000000"/>
              </w:rPr>
            </w:pPr>
            <w:proofErr w:type="spellStart"/>
            <w:r w:rsidRPr="00203EB0">
              <w:rPr>
                <w:rFonts w:cs="Times New Roman"/>
                <w:color w:val="000000"/>
              </w:rPr>
              <w:t>Nitrosotaleaceae</w:t>
            </w:r>
            <w:proofErr w:type="spellEnd"/>
          </w:p>
        </w:tc>
        <w:tc>
          <w:tcPr>
            <w:tcW w:w="940" w:type="pct"/>
          </w:tcPr>
          <w:p w14:paraId="03F7D3F4" w14:textId="77777777" w:rsidR="00C96F1F" w:rsidRPr="00203EB0" w:rsidRDefault="00C96F1F" w:rsidP="00C17D6E">
            <w:pPr>
              <w:rPr>
                <w:rFonts w:cs="Times New Roman"/>
                <w:color w:val="000000"/>
              </w:rPr>
            </w:pPr>
            <w:r w:rsidRPr="00203EB0">
              <w:rPr>
                <w:rFonts w:cs="Times New Roman"/>
                <w:i/>
                <w:color w:val="000000"/>
              </w:rPr>
              <w:t>Candidatus</w:t>
            </w:r>
            <w:r w:rsidRPr="00203EB0">
              <w:rPr>
                <w:rFonts w:cs="Times New Roman"/>
                <w:color w:val="000000"/>
              </w:rPr>
              <w:t xml:space="preserve"> </w:t>
            </w:r>
            <w:proofErr w:type="spellStart"/>
            <w:r w:rsidRPr="00203EB0">
              <w:rPr>
                <w:rFonts w:cs="Times New Roman"/>
                <w:color w:val="000000"/>
              </w:rPr>
              <w:t>Nitrosotalea</w:t>
            </w:r>
            <w:proofErr w:type="spellEnd"/>
          </w:p>
        </w:tc>
      </w:tr>
      <w:tr w:rsidR="00C96F1F" w:rsidRPr="00203EB0" w14:paraId="38DFDC03" w14:textId="77777777" w:rsidTr="00C17D6E">
        <w:trPr>
          <w:trHeight w:val="19"/>
        </w:trPr>
        <w:tc>
          <w:tcPr>
            <w:tcW w:w="848" w:type="pct"/>
          </w:tcPr>
          <w:p w14:paraId="4D427161" w14:textId="77777777" w:rsidR="00C96F1F" w:rsidRPr="00203EB0" w:rsidRDefault="00C96F1F" w:rsidP="00C17D6E">
            <w:pPr>
              <w:rPr>
                <w:rFonts w:cs="Times New Roman"/>
                <w:color w:val="000000"/>
              </w:rPr>
            </w:pPr>
            <w:proofErr w:type="spellStart"/>
            <w:r w:rsidRPr="00203EB0">
              <w:rPr>
                <w:rFonts w:cs="Times New Roman"/>
                <w:color w:val="000000"/>
              </w:rPr>
              <w:t>Actinobacteriota</w:t>
            </w:r>
            <w:proofErr w:type="spellEnd"/>
          </w:p>
        </w:tc>
        <w:tc>
          <w:tcPr>
            <w:tcW w:w="1006" w:type="pct"/>
          </w:tcPr>
          <w:p w14:paraId="090482F7" w14:textId="77777777" w:rsidR="00C96F1F" w:rsidRPr="00203EB0" w:rsidRDefault="00C96F1F" w:rsidP="00C17D6E">
            <w:pPr>
              <w:rPr>
                <w:rFonts w:cs="Times New Roman"/>
                <w:color w:val="000000"/>
              </w:rPr>
            </w:pPr>
            <w:r w:rsidRPr="00203EB0">
              <w:rPr>
                <w:rFonts w:cs="Times New Roman"/>
                <w:color w:val="000000"/>
              </w:rPr>
              <w:t>Actinobacteria</w:t>
            </w:r>
          </w:p>
        </w:tc>
        <w:tc>
          <w:tcPr>
            <w:tcW w:w="1121" w:type="pct"/>
          </w:tcPr>
          <w:p w14:paraId="0D20E05A" w14:textId="77777777" w:rsidR="00C96F1F" w:rsidRPr="00203EB0" w:rsidRDefault="00C96F1F" w:rsidP="00C17D6E">
            <w:pPr>
              <w:rPr>
                <w:rFonts w:cs="Times New Roman"/>
                <w:color w:val="000000"/>
              </w:rPr>
            </w:pPr>
            <w:proofErr w:type="spellStart"/>
            <w:r w:rsidRPr="00203EB0">
              <w:rPr>
                <w:rFonts w:cs="Times New Roman"/>
                <w:color w:val="000000"/>
              </w:rPr>
              <w:t>Micromonosporales</w:t>
            </w:r>
            <w:proofErr w:type="spellEnd"/>
          </w:p>
        </w:tc>
        <w:tc>
          <w:tcPr>
            <w:tcW w:w="1085" w:type="pct"/>
          </w:tcPr>
          <w:p w14:paraId="414B8D06" w14:textId="77777777" w:rsidR="00C96F1F" w:rsidRPr="00203EB0" w:rsidRDefault="00C96F1F" w:rsidP="00C17D6E">
            <w:pPr>
              <w:rPr>
                <w:rFonts w:cs="Times New Roman"/>
                <w:color w:val="000000"/>
              </w:rPr>
            </w:pPr>
            <w:proofErr w:type="spellStart"/>
            <w:r w:rsidRPr="00203EB0">
              <w:rPr>
                <w:rFonts w:cs="Times New Roman"/>
                <w:color w:val="000000"/>
              </w:rPr>
              <w:t>Micromonosporaceae</w:t>
            </w:r>
            <w:proofErr w:type="spellEnd"/>
          </w:p>
        </w:tc>
        <w:tc>
          <w:tcPr>
            <w:tcW w:w="940" w:type="pct"/>
          </w:tcPr>
          <w:p w14:paraId="0A6DFF17" w14:textId="77777777" w:rsidR="00C96F1F" w:rsidRPr="00203EB0" w:rsidRDefault="00C96F1F" w:rsidP="00C17D6E">
            <w:pPr>
              <w:rPr>
                <w:rFonts w:cs="Times New Roman"/>
              </w:rPr>
            </w:pPr>
            <w:r w:rsidRPr="00203EB0">
              <w:rPr>
                <w:rFonts w:cs="Times New Roman"/>
              </w:rPr>
              <w:t>NA</w:t>
            </w:r>
          </w:p>
        </w:tc>
      </w:tr>
      <w:tr w:rsidR="00C96F1F" w:rsidRPr="00203EB0" w14:paraId="25D696AF" w14:textId="77777777" w:rsidTr="00C17D6E">
        <w:trPr>
          <w:trHeight w:val="19"/>
        </w:trPr>
        <w:tc>
          <w:tcPr>
            <w:tcW w:w="848" w:type="pct"/>
          </w:tcPr>
          <w:p w14:paraId="7F0843F1" w14:textId="77777777" w:rsidR="00C96F1F" w:rsidRPr="00203EB0" w:rsidRDefault="00C96F1F" w:rsidP="00C17D6E">
            <w:pPr>
              <w:rPr>
                <w:rFonts w:cs="Times New Roman"/>
                <w:color w:val="000000"/>
              </w:rPr>
            </w:pPr>
            <w:proofErr w:type="spellStart"/>
            <w:r w:rsidRPr="00203EB0">
              <w:rPr>
                <w:rFonts w:cs="Times New Roman"/>
                <w:color w:val="000000"/>
              </w:rPr>
              <w:t>Chloroflexi</w:t>
            </w:r>
            <w:proofErr w:type="spellEnd"/>
          </w:p>
        </w:tc>
        <w:tc>
          <w:tcPr>
            <w:tcW w:w="1006" w:type="pct"/>
          </w:tcPr>
          <w:p w14:paraId="7B23611E" w14:textId="77777777" w:rsidR="00C96F1F" w:rsidRPr="00203EB0" w:rsidRDefault="00C96F1F" w:rsidP="00C17D6E">
            <w:pPr>
              <w:rPr>
                <w:rFonts w:cs="Times New Roman"/>
                <w:color w:val="000000"/>
              </w:rPr>
            </w:pPr>
            <w:proofErr w:type="spellStart"/>
            <w:r w:rsidRPr="00203EB0">
              <w:rPr>
                <w:rFonts w:cs="Times New Roman"/>
                <w:color w:val="000000"/>
              </w:rPr>
              <w:t>Ktedonobacteria</w:t>
            </w:r>
            <w:proofErr w:type="spellEnd"/>
          </w:p>
        </w:tc>
        <w:tc>
          <w:tcPr>
            <w:tcW w:w="1121" w:type="pct"/>
          </w:tcPr>
          <w:p w14:paraId="1751C3BF" w14:textId="77777777" w:rsidR="00C96F1F" w:rsidRPr="00203EB0" w:rsidRDefault="00C96F1F" w:rsidP="00C17D6E">
            <w:pPr>
              <w:rPr>
                <w:rFonts w:cs="Times New Roman"/>
                <w:color w:val="000000"/>
              </w:rPr>
            </w:pPr>
            <w:proofErr w:type="spellStart"/>
            <w:r w:rsidRPr="00203EB0">
              <w:rPr>
                <w:rFonts w:cs="Times New Roman"/>
                <w:color w:val="000000"/>
              </w:rPr>
              <w:t>Ktedonobacterales</w:t>
            </w:r>
            <w:proofErr w:type="spellEnd"/>
          </w:p>
        </w:tc>
        <w:tc>
          <w:tcPr>
            <w:tcW w:w="1085" w:type="pct"/>
          </w:tcPr>
          <w:p w14:paraId="36CF3600" w14:textId="77777777" w:rsidR="00C96F1F" w:rsidRPr="00203EB0" w:rsidRDefault="00C96F1F" w:rsidP="00C17D6E">
            <w:pPr>
              <w:rPr>
                <w:rFonts w:cs="Times New Roman"/>
                <w:color w:val="000000"/>
              </w:rPr>
            </w:pPr>
            <w:proofErr w:type="spellStart"/>
            <w:r w:rsidRPr="00203EB0">
              <w:rPr>
                <w:rFonts w:cs="Times New Roman"/>
                <w:color w:val="000000"/>
              </w:rPr>
              <w:t>Ktedonobacteraceae</w:t>
            </w:r>
            <w:proofErr w:type="spellEnd"/>
          </w:p>
        </w:tc>
        <w:tc>
          <w:tcPr>
            <w:tcW w:w="940" w:type="pct"/>
          </w:tcPr>
          <w:p w14:paraId="46578002" w14:textId="77777777" w:rsidR="00C96F1F" w:rsidRPr="00203EB0" w:rsidRDefault="00C96F1F" w:rsidP="00C17D6E">
            <w:pPr>
              <w:rPr>
                <w:rFonts w:cs="Times New Roman"/>
              </w:rPr>
            </w:pPr>
            <w:r w:rsidRPr="00203EB0">
              <w:rPr>
                <w:rFonts w:cs="Times New Roman"/>
              </w:rPr>
              <w:t>NA</w:t>
            </w:r>
          </w:p>
        </w:tc>
      </w:tr>
      <w:tr w:rsidR="00C96F1F" w:rsidRPr="00203EB0" w14:paraId="6D44FBA9" w14:textId="77777777" w:rsidTr="00C17D6E">
        <w:trPr>
          <w:trHeight w:val="19"/>
        </w:trPr>
        <w:tc>
          <w:tcPr>
            <w:tcW w:w="848" w:type="pct"/>
          </w:tcPr>
          <w:p w14:paraId="345F75C4" w14:textId="77777777" w:rsidR="00C96F1F" w:rsidRPr="00203EB0" w:rsidRDefault="00C96F1F" w:rsidP="00C17D6E">
            <w:pPr>
              <w:rPr>
                <w:rFonts w:cs="Times New Roman"/>
                <w:color w:val="000000"/>
              </w:rPr>
            </w:pPr>
            <w:proofErr w:type="spellStart"/>
            <w:r w:rsidRPr="00203EB0">
              <w:rPr>
                <w:rFonts w:cs="Times New Roman"/>
                <w:color w:val="000000"/>
              </w:rPr>
              <w:t>Bacteroidota</w:t>
            </w:r>
            <w:proofErr w:type="spellEnd"/>
          </w:p>
        </w:tc>
        <w:tc>
          <w:tcPr>
            <w:tcW w:w="1006" w:type="pct"/>
          </w:tcPr>
          <w:p w14:paraId="4D35B0E7" w14:textId="77777777" w:rsidR="00C96F1F" w:rsidRPr="00203EB0" w:rsidRDefault="00C96F1F" w:rsidP="00C17D6E">
            <w:pPr>
              <w:rPr>
                <w:rFonts w:cs="Times New Roman"/>
                <w:color w:val="000000"/>
              </w:rPr>
            </w:pPr>
            <w:proofErr w:type="spellStart"/>
            <w:r w:rsidRPr="00203EB0">
              <w:rPr>
                <w:rFonts w:cs="Times New Roman"/>
                <w:color w:val="000000"/>
              </w:rPr>
              <w:t>Bacteroidia</w:t>
            </w:r>
            <w:proofErr w:type="spellEnd"/>
          </w:p>
        </w:tc>
        <w:tc>
          <w:tcPr>
            <w:tcW w:w="1121" w:type="pct"/>
          </w:tcPr>
          <w:p w14:paraId="1FD05973" w14:textId="77777777" w:rsidR="00C96F1F" w:rsidRPr="00203EB0" w:rsidRDefault="00C96F1F" w:rsidP="00C17D6E">
            <w:pPr>
              <w:rPr>
                <w:rFonts w:cs="Times New Roman"/>
                <w:color w:val="000000"/>
              </w:rPr>
            </w:pPr>
            <w:proofErr w:type="spellStart"/>
            <w:r w:rsidRPr="00203EB0">
              <w:rPr>
                <w:rFonts w:cs="Times New Roman"/>
                <w:color w:val="000000"/>
              </w:rPr>
              <w:t>Chitinophagales</w:t>
            </w:r>
            <w:proofErr w:type="spellEnd"/>
          </w:p>
        </w:tc>
        <w:tc>
          <w:tcPr>
            <w:tcW w:w="1085" w:type="pct"/>
          </w:tcPr>
          <w:p w14:paraId="170447DA" w14:textId="77777777" w:rsidR="00C96F1F" w:rsidRPr="00203EB0" w:rsidRDefault="00C96F1F" w:rsidP="00C17D6E">
            <w:pPr>
              <w:rPr>
                <w:rFonts w:cs="Times New Roman"/>
                <w:color w:val="000000"/>
              </w:rPr>
            </w:pPr>
            <w:proofErr w:type="spellStart"/>
            <w:r w:rsidRPr="00203EB0">
              <w:rPr>
                <w:rFonts w:cs="Times New Roman"/>
                <w:color w:val="000000"/>
              </w:rPr>
              <w:t>Chitinophagaceae</w:t>
            </w:r>
            <w:proofErr w:type="spellEnd"/>
          </w:p>
        </w:tc>
        <w:tc>
          <w:tcPr>
            <w:tcW w:w="940" w:type="pct"/>
          </w:tcPr>
          <w:p w14:paraId="1A453D15" w14:textId="77777777" w:rsidR="00C96F1F" w:rsidRPr="00203EB0" w:rsidRDefault="00C96F1F" w:rsidP="00C17D6E">
            <w:pPr>
              <w:rPr>
                <w:rFonts w:cs="Times New Roman"/>
                <w:i/>
                <w:color w:val="000000"/>
              </w:rPr>
            </w:pPr>
            <w:proofErr w:type="spellStart"/>
            <w:r w:rsidRPr="00203EB0">
              <w:rPr>
                <w:rFonts w:cs="Times New Roman"/>
                <w:i/>
                <w:color w:val="000000"/>
              </w:rPr>
              <w:t>Flavisolibacter</w:t>
            </w:r>
            <w:proofErr w:type="spellEnd"/>
            <w:r w:rsidRPr="00203EB0">
              <w:rPr>
                <w:rFonts w:cs="Times New Roman"/>
                <w:i/>
                <w:color w:val="000000"/>
              </w:rPr>
              <w:t xml:space="preserve"> </w:t>
            </w:r>
          </w:p>
        </w:tc>
      </w:tr>
      <w:tr w:rsidR="00C96F1F" w:rsidRPr="00203EB0" w14:paraId="2C549F9A" w14:textId="77777777" w:rsidTr="00C17D6E">
        <w:trPr>
          <w:trHeight w:val="410"/>
        </w:trPr>
        <w:tc>
          <w:tcPr>
            <w:tcW w:w="848" w:type="pct"/>
            <w:tcBorders>
              <w:bottom w:val="single" w:sz="4" w:space="0" w:color="auto"/>
            </w:tcBorders>
          </w:tcPr>
          <w:p w14:paraId="0A77629B" w14:textId="77777777" w:rsidR="00C96F1F" w:rsidRPr="00203EB0" w:rsidRDefault="00C96F1F" w:rsidP="00C17D6E">
            <w:pPr>
              <w:rPr>
                <w:rFonts w:cs="Times New Roman"/>
                <w:color w:val="000000"/>
              </w:rPr>
            </w:pPr>
            <w:r w:rsidRPr="00203EB0">
              <w:rPr>
                <w:rFonts w:cs="Times New Roman"/>
                <w:color w:val="000000"/>
              </w:rPr>
              <w:t>Proteobacteria</w:t>
            </w:r>
          </w:p>
        </w:tc>
        <w:tc>
          <w:tcPr>
            <w:tcW w:w="1006" w:type="pct"/>
            <w:tcBorders>
              <w:bottom w:val="single" w:sz="4" w:space="0" w:color="auto"/>
            </w:tcBorders>
          </w:tcPr>
          <w:p w14:paraId="210E907A" w14:textId="77777777" w:rsidR="00C96F1F" w:rsidRPr="00203EB0" w:rsidRDefault="00C96F1F" w:rsidP="00C17D6E">
            <w:pPr>
              <w:rPr>
                <w:rFonts w:cs="Times New Roman"/>
                <w:color w:val="000000"/>
              </w:rPr>
            </w:pPr>
            <w:r w:rsidRPr="00203EB0">
              <w:rPr>
                <w:rFonts w:cs="Times New Roman"/>
                <w:color w:val="000000"/>
              </w:rPr>
              <w:t>Gammaproteobacteria</w:t>
            </w:r>
          </w:p>
        </w:tc>
        <w:tc>
          <w:tcPr>
            <w:tcW w:w="1121" w:type="pct"/>
            <w:tcBorders>
              <w:bottom w:val="single" w:sz="4" w:space="0" w:color="auto"/>
            </w:tcBorders>
          </w:tcPr>
          <w:p w14:paraId="46C96CB1" w14:textId="77777777" w:rsidR="00C96F1F" w:rsidRPr="00203EB0" w:rsidRDefault="00C96F1F" w:rsidP="00C17D6E">
            <w:pPr>
              <w:rPr>
                <w:rFonts w:cs="Times New Roman"/>
                <w:color w:val="000000"/>
              </w:rPr>
            </w:pPr>
            <w:proofErr w:type="spellStart"/>
            <w:r w:rsidRPr="00203EB0">
              <w:rPr>
                <w:rFonts w:cs="Times New Roman"/>
                <w:color w:val="000000"/>
              </w:rPr>
              <w:t>Xanthomonadales</w:t>
            </w:r>
            <w:proofErr w:type="spellEnd"/>
          </w:p>
        </w:tc>
        <w:tc>
          <w:tcPr>
            <w:tcW w:w="1085" w:type="pct"/>
            <w:tcBorders>
              <w:bottom w:val="single" w:sz="4" w:space="0" w:color="auto"/>
            </w:tcBorders>
          </w:tcPr>
          <w:p w14:paraId="385B8A02" w14:textId="77777777" w:rsidR="00C96F1F" w:rsidRPr="00203EB0" w:rsidRDefault="00C96F1F" w:rsidP="00C17D6E">
            <w:pPr>
              <w:rPr>
                <w:rFonts w:cs="Times New Roman"/>
                <w:color w:val="000000"/>
              </w:rPr>
            </w:pPr>
            <w:proofErr w:type="spellStart"/>
            <w:r w:rsidRPr="00203EB0">
              <w:rPr>
                <w:rFonts w:cs="Times New Roman"/>
                <w:color w:val="000000"/>
              </w:rPr>
              <w:t>Rhodanobacteraceae</w:t>
            </w:r>
            <w:proofErr w:type="spellEnd"/>
          </w:p>
        </w:tc>
        <w:tc>
          <w:tcPr>
            <w:tcW w:w="940" w:type="pct"/>
          </w:tcPr>
          <w:p w14:paraId="2ACA420C" w14:textId="77777777" w:rsidR="00C96F1F" w:rsidRPr="00203EB0" w:rsidRDefault="00C96F1F" w:rsidP="00C17D6E">
            <w:pPr>
              <w:rPr>
                <w:rFonts w:cs="Times New Roman"/>
                <w:i/>
                <w:color w:val="000000"/>
              </w:rPr>
            </w:pPr>
            <w:proofErr w:type="spellStart"/>
            <w:r w:rsidRPr="00203EB0">
              <w:rPr>
                <w:rFonts w:cs="Times New Roman"/>
                <w:i/>
                <w:color w:val="000000"/>
              </w:rPr>
              <w:t>Mizugakiibacter</w:t>
            </w:r>
            <w:proofErr w:type="spellEnd"/>
          </w:p>
        </w:tc>
      </w:tr>
      <w:tr w:rsidR="00C96F1F" w:rsidRPr="00203EB0" w14:paraId="3165ACCB" w14:textId="77777777" w:rsidTr="00C17D6E">
        <w:trPr>
          <w:trHeight w:val="297"/>
        </w:trPr>
        <w:tc>
          <w:tcPr>
            <w:tcW w:w="5000" w:type="pct"/>
            <w:gridSpan w:val="5"/>
            <w:tcBorders>
              <w:top w:val="single" w:sz="4" w:space="0" w:color="auto"/>
              <w:bottom w:val="single" w:sz="4" w:space="0" w:color="auto"/>
            </w:tcBorders>
          </w:tcPr>
          <w:p w14:paraId="457B973C" w14:textId="77777777" w:rsidR="00C96F1F" w:rsidRPr="00203EB0" w:rsidRDefault="00C96F1F" w:rsidP="00C17D6E">
            <w:pPr>
              <w:jc w:val="center"/>
              <w:rPr>
                <w:rFonts w:cs="Times New Roman"/>
                <w:b/>
              </w:rPr>
            </w:pPr>
            <w:r w:rsidRPr="00203EB0">
              <w:rPr>
                <w:rFonts w:cs="Times New Roman"/>
                <w:b/>
              </w:rPr>
              <w:t>10-20 cm</w:t>
            </w:r>
          </w:p>
        </w:tc>
      </w:tr>
      <w:tr w:rsidR="00C96F1F" w:rsidRPr="00203EB0" w14:paraId="52425E1D" w14:textId="77777777" w:rsidTr="00C17D6E">
        <w:trPr>
          <w:trHeight w:val="297"/>
        </w:trPr>
        <w:tc>
          <w:tcPr>
            <w:tcW w:w="848" w:type="pct"/>
            <w:tcBorders>
              <w:top w:val="single" w:sz="4" w:space="0" w:color="auto"/>
              <w:bottom w:val="single" w:sz="4" w:space="0" w:color="auto"/>
            </w:tcBorders>
            <w:vAlign w:val="center"/>
          </w:tcPr>
          <w:p w14:paraId="24A2B2FA" w14:textId="77777777" w:rsidR="00C96F1F" w:rsidRPr="00203EB0" w:rsidRDefault="00C96F1F" w:rsidP="00C17D6E">
            <w:pPr>
              <w:jc w:val="center"/>
              <w:rPr>
                <w:rFonts w:cs="Times New Roman"/>
                <w:b/>
              </w:rPr>
            </w:pPr>
            <w:r w:rsidRPr="00203EB0">
              <w:rPr>
                <w:rFonts w:cs="Times New Roman"/>
                <w:b/>
              </w:rPr>
              <w:t>Phylum</w:t>
            </w:r>
          </w:p>
        </w:tc>
        <w:tc>
          <w:tcPr>
            <w:tcW w:w="1006" w:type="pct"/>
            <w:tcBorders>
              <w:top w:val="single" w:sz="4" w:space="0" w:color="auto"/>
              <w:bottom w:val="single" w:sz="4" w:space="0" w:color="auto"/>
            </w:tcBorders>
            <w:vAlign w:val="center"/>
          </w:tcPr>
          <w:p w14:paraId="10B8E263" w14:textId="77777777" w:rsidR="00C96F1F" w:rsidRPr="00203EB0" w:rsidRDefault="00C96F1F" w:rsidP="00C17D6E">
            <w:pPr>
              <w:jc w:val="center"/>
              <w:rPr>
                <w:rFonts w:cs="Times New Roman"/>
                <w:b/>
              </w:rPr>
            </w:pPr>
            <w:r w:rsidRPr="00203EB0">
              <w:rPr>
                <w:rFonts w:cs="Times New Roman"/>
                <w:b/>
              </w:rPr>
              <w:t>Class</w:t>
            </w:r>
          </w:p>
        </w:tc>
        <w:tc>
          <w:tcPr>
            <w:tcW w:w="1121" w:type="pct"/>
            <w:tcBorders>
              <w:top w:val="single" w:sz="4" w:space="0" w:color="auto"/>
              <w:bottom w:val="single" w:sz="4" w:space="0" w:color="auto"/>
            </w:tcBorders>
            <w:vAlign w:val="center"/>
          </w:tcPr>
          <w:p w14:paraId="1FD1A0F8" w14:textId="77777777" w:rsidR="00C96F1F" w:rsidRPr="00203EB0" w:rsidRDefault="00C96F1F" w:rsidP="00C17D6E">
            <w:pPr>
              <w:jc w:val="center"/>
              <w:rPr>
                <w:rFonts w:cs="Times New Roman"/>
                <w:b/>
              </w:rPr>
            </w:pPr>
            <w:r w:rsidRPr="00203EB0">
              <w:rPr>
                <w:rFonts w:cs="Times New Roman"/>
                <w:b/>
              </w:rPr>
              <w:t>Order</w:t>
            </w:r>
          </w:p>
        </w:tc>
        <w:tc>
          <w:tcPr>
            <w:tcW w:w="1085" w:type="pct"/>
            <w:tcBorders>
              <w:top w:val="single" w:sz="4" w:space="0" w:color="auto"/>
              <w:bottom w:val="single" w:sz="4" w:space="0" w:color="auto"/>
            </w:tcBorders>
            <w:vAlign w:val="center"/>
          </w:tcPr>
          <w:p w14:paraId="48191BFD" w14:textId="77777777" w:rsidR="00C96F1F" w:rsidRPr="00203EB0" w:rsidRDefault="00C96F1F" w:rsidP="00C17D6E">
            <w:pPr>
              <w:jc w:val="center"/>
              <w:rPr>
                <w:rFonts w:cs="Times New Roman"/>
                <w:b/>
              </w:rPr>
            </w:pPr>
            <w:r w:rsidRPr="00203EB0">
              <w:rPr>
                <w:rFonts w:cs="Times New Roman"/>
                <w:b/>
              </w:rPr>
              <w:t>Family</w:t>
            </w:r>
          </w:p>
        </w:tc>
        <w:tc>
          <w:tcPr>
            <w:tcW w:w="940" w:type="pct"/>
            <w:tcBorders>
              <w:top w:val="single" w:sz="4" w:space="0" w:color="auto"/>
              <w:bottom w:val="single" w:sz="4" w:space="0" w:color="auto"/>
            </w:tcBorders>
            <w:vAlign w:val="center"/>
          </w:tcPr>
          <w:p w14:paraId="0653A735" w14:textId="77777777" w:rsidR="00C96F1F" w:rsidRPr="00203EB0" w:rsidRDefault="00C96F1F" w:rsidP="00C17D6E">
            <w:pPr>
              <w:jc w:val="center"/>
              <w:rPr>
                <w:rFonts w:cs="Times New Roman"/>
                <w:b/>
              </w:rPr>
            </w:pPr>
            <w:r w:rsidRPr="00203EB0">
              <w:rPr>
                <w:rFonts w:cs="Times New Roman"/>
                <w:b/>
              </w:rPr>
              <w:t>Genus</w:t>
            </w:r>
          </w:p>
        </w:tc>
      </w:tr>
      <w:tr w:rsidR="00C96F1F" w:rsidRPr="00203EB0" w14:paraId="54CBDF29" w14:textId="77777777" w:rsidTr="00C17D6E">
        <w:trPr>
          <w:trHeight w:val="297"/>
        </w:trPr>
        <w:tc>
          <w:tcPr>
            <w:tcW w:w="848" w:type="pct"/>
            <w:tcBorders>
              <w:top w:val="single" w:sz="4" w:space="0" w:color="auto"/>
            </w:tcBorders>
          </w:tcPr>
          <w:p w14:paraId="572171C6" w14:textId="77777777" w:rsidR="00C96F1F" w:rsidRPr="00203EB0" w:rsidRDefault="00C96F1F" w:rsidP="00C17D6E">
            <w:pPr>
              <w:rPr>
                <w:rFonts w:cs="Times New Roman"/>
                <w:color w:val="000000"/>
              </w:rPr>
            </w:pPr>
            <w:r w:rsidRPr="00203EB0">
              <w:rPr>
                <w:rFonts w:cs="Times New Roman"/>
                <w:color w:val="000000"/>
              </w:rPr>
              <w:t>Proteobacteria</w:t>
            </w:r>
          </w:p>
        </w:tc>
        <w:tc>
          <w:tcPr>
            <w:tcW w:w="1006" w:type="pct"/>
            <w:tcBorders>
              <w:top w:val="single" w:sz="4" w:space="0" w:color="auto"/>
            </w:tcBorders>
          </w:tcPr>
          <w:p w14:paraId="3916A0B5" w14:textId="77777777" w:rsidR="00C96F1F" w:rsidRPr="00203EB0" w:rsidRDefault="00C96F1F" w:rsidP="00C17D6E">
            <w:pPr>
              <w:rPr>
                <w:rFonts w:cs="Times New Roman"/>
                <w:color w:val="000000"/>
              </w:rPr>
            </w:pPr>
            <w:r w:rsidRPr="00203EB0">
              <w:rPr>
                <w:rFonts w:cs="Times New Roman"/>
                <w:color w:val="000000"/>
              </w:rPr>
              <w:t>Gammaproteobacteria</w:t>
            </w:r>
          </w:p>
        </w:tc>
        <w:tc>
          <w:tcPr>
            <w:tcW w:w="1121" w:type="pct"/>
            <w:tcBorders>
              <w:top w:val="single" w:sz="4" w:space="0" w:color="auto"/>
            </w:tcBorders>
          </w:tcPr>
          <w:p w14:paraId="3420092F" w14:textId="77777777" w:rsidR="00C96F1F" w:rsidRPr="00203EB0" w:rsidRDefault="00C96F1F" w:rsidP="00C17D6E">
            <w:pPr>
              <w:rPr>
                <w:rFonts w:cs="Times New Roman"/>
                <w:color w:val="000000"/>
              </w:rPr>
            </w:pPr>
            <w:proofErr w:type="spellStart"/>
            <w:r w:rsidRPr="00203EB0">
              <w:rPr>
                <w:rFonts w:cs="Times New Roman"/>
                <w:color w:val="000000"/>
              </w:rPr>
              <w:t>Burkholderiales</w:t>
            </w:r>
            <w:proofErr w:type="spellEnd"/>
          </w:p>
        </w:tc>
        <w:tc>
          <w:tcPr>
            <w:tcW w:w="1085" w:type="pct"/>
            <w:tcBorders>
              <w:top w:val="single" w:sz="4" w:space="0" w:color="auto"/>
            </w:tcBorders>
          </w:tcPr>
          <w:p w14:paraId="4C0D2A36" w14:textId="77777777" w:rsidR="00C96F1F" w:rsidRPr="00203EB0" w:rsidRDefault="00C96F1F" w:rsidP="00C17D6E">
            <w:pPr>
              <w:rPr>
                <w:rFonts w:cs="Times New Roman"/>
                <w:color w:val="000000"/>
              </w:rPr>
            </w:pPr>
            <w:r w:rsidRPr="00203EB0">
              <w:rPr>
                <w:rFonts w:cs="Times New Roman"/>
                <w:color w:val="000000"/>
              </w:rPr>
              <w:t>SC-I-84</w:t>
            </w:r>
          </w:p>
        </w:tc>
        <w:tc>
          <w:tcPr>
            <w:tcW w:w="940" w:type="pct"/>
            <w:tcBorders>
              <w:top w:val="single" w:sz="4" w:space="0" w:color="auto"/>
            </w:tcBorders>
          </w:tcPr>
          <w:p w14:paraId="3019472A" w14:textId="77777777" w:rsidR="00C96F1F" w:rsidRPr="00203EB0" w:rsidRDefault="00C96F1F" w:rsidP="00C17D6E">
            <w:pPr>
              <w:rPr>
                <w:rFonts w:cs="Times New Roman"/>
                <w:color w:val="000000"/>
              </w:rPr>
            </w:pPr>
            <w:r w:rsidRPr="00203EB0">
              <w:rPr>
                <w:rFonts w:cs="Times New Roman"/>
                <w:color w:val="000000"/>
              </w:rPr>
              <w:t>NA</w:t>
            </w:r>
          </w:p>
        </w:tc>
      </w:tr>
      <w:tr w:rsidR="00C96F1F" w:rsidRPr="00203EB0" w14:paraId="278007BA" w14:textId="77777777" w:rsidTr="00C17D6E">
        <w:trPr>
          <w:trHeight w:val="297"/>
        </w:trPr>
        <w:tc>
          <w:tcPr>
            <w:tcW w:w="848" w:type="pct"/>
          </w:tcPr>
          <w:p w14:paraId="2C3D1DFC" w14:textId="77777777" w:rsidR="00C96F1F" w:rsidRPr="00203EB0" w:rsidRDefault="00C96F1F" w:rsidP="00C17D6E">
            <w:pPr>
              <w:rPr>
                <w:rFonts w:cs="Times New Roman"/>
                <w:color w:val="000000"/>
              </w:rPr>
            </w:pPr>
            <w:proofErr w:type="spellStart"/>
            <w:r w:rsidRPr="00203EB0">
              <w:rPr>
                <w:rFonts w:cs="Times New Roman"/>
                <w:color w:val="000000"/>
              </w:rPr>
              <w:t>Crenarchaeota</w:t>
            </w:r>
            <w:proofErr w:type="spellEnd"/>
          </w:p>
        </w:tc>
        <w:tc>
          <w:tcPr>
            <w:tcW w:w="1006" w:type="pct"/>
          </w:tcPr>
          <w:p w14:paraId="3FB40A37" w14:textId="77777777" w:rsidR="00C96F1F" w:rsidRPr="00203EB0" w:rsidRDefault="00C96F1F" w:rsidP="00C17D6E">
            <w:pPr>
              <w:rPr>
                <w:rFonts w:cs="Times New Roman"/>
                <w:color w:val="000000"/>
              </w:rPr>
            </w:pPr>
            <w:proofErr w:type="spellStart"/>
            <w:r w:rsidRPr="00203EB0">
              <w:rPr>
                <w:rFonts w:cs="Times New Roman"/>
                <w:color w:val="000000"/>
              </w:rPr>
              <w:t>Nitrososphaeria</w:t>
            </w:r>
            <w:proofErr w:type="spellEnd"/>
          </w:p>
        </w:tc>
        <w:tc>
          <w:tcPr>
            <w:tcW w:w="1121" w:type="pct"/>
          </w:tcPr>
          <w:p w14:paraId="78F8A643" w14:textId="77777777" w:rsidR="00C96F1F" w:rsidRPr="00203EB0" w:rsidRDefault="00C96F1F" w:rsidP="00C17D6E">
            <w:pPr>
              <w:rPr>
                <w:rFonts w:cs="Times New Roman"/>
                <w:color w:val="000000"/>
              </w:rPr>
            </w:pPr>
            <w:proofErr w:type="spellStart"/>
            <w:r w:rsidRPr="00203EB0">
              <w:rPr>
                <w:rFonts w:cs="Times New Roman"/>
                <w:color w:val="000000"/>
              </w:rPr>
              <w:t>Nitrosotaleales</w:t>
            </w:r>
            <w:proofErr w:type="spellEnd"/>
          </w:p>
        </w:tc>
        <w:tc>
          <w:tcPr>
            <w:tcW w:w="1085" w:type="pct"/>
          </w:tcPr>
          <w:p w14:paraId="760F40B6" w14:textId="77777777" w:rsidR="00C96F1F" w:rsidRPr="00203EB0" w:rsidRDefault="00C96F1F" w:rsidP="00C17D6E">
            <w:pPr>
              <w:rPr>
                <w:rFonts w:cs="Times New Roman"/>
                <w:color w:val="000000"/>
              </w:rPr>
            </w:pPr>
            <w:proofErr w:type="spellStart"/>
            <w:r w:rsidRPr="00203EB0">
              <w:rPr>
                <w:rFonts w:cs="Times New Roman"/>
                <w:color w:val="000000"/>
              </w:rPr>
              <w:t>Nitrosotaleaceae</w:t>
            </w:r>
            <w:proofErr w:type="spellEnd"/>
          </w:p>
        </w:tc>
        <w:tc>
          <w:tcPr>
            <w:tcW w:w="940" w:type="pct"/>
          </w:tcPr>
          <w:p w14:paraId="4232875E" w14:textId="77777777" w:rsidR="00C96F1F" w:rsidRPr="00203EB0" w:rsidRDefault="00C96F1F" w:rsidP="00C17D6E">
            <w:pPr>
              <w:rPr>
                <w:rFonts w:cs="Times New Roman"/>
                <w:color w:val="000000"/>
              </w:rPr>
            </w:pPr>
            <w:r w:rsidRPr="00203EB0">
              <w:rPr>
                <w:rFonts w:cs="Times New Roman"/>
                <w:i/>
                <w:color w:val="000000"/>
              </w:rPr>
              <w:t>Candidatus</w:t>
            </w:r>
            <w:r w:rsidRPr="00203EB0">
              <w:rPr>
                <w:rFonts w:cs="Times New Roman"/>
                <w:color w:val="000000"/>
              </w:rPr>
              <w:t xml:space="preserve"> </w:t>
            </w:r>
            <w:proofErr w:type="spellStart"/>
            <w:r w:rsidRPr="00203EB0">
              <w:rPr>
                <w:rFonts w:cs="Times New Roman"/>
                <w:color w:val="000000"/>
              </w:rPr>
              <w:t>Nitrosotalea</w:t>
            </w:r>
            <w:proofErr w:type="spellEnd"/>
          </w:p>
        </w:tc>
      </w:tr>
      <w:tr w:rsidR="00C96F1F" w:rsidRPr="00203EB0" w14:paraId="43C51C6B" w14:textId="77777777" w:rsidTr="00C17D6E">
        <w:trPr>
          <w:trHeight w:val="297"/>
        </w:trPr>
        <w:tc>
          <w:tcPr>
            <w:tcW w:w="848" w:type="pct"/>
          </w:tcPr>
          <w:p w14:paraId="75B53798" w14:textId="77777777" w:rsidR="00C96F1F" w:rsidRPr="00203EB0" w:rsidRDefault="00C96F1F" w:rsidP="00C17D6E">
            <w:pPr>
              <w:rPr>
                <w:rFonts w:cs="Times New Roman"/>
                <w:color w:val="000000"/>
              </w:rPr>
            </w:pPr>
            <w:proofErr w:type="spellStart"/>
            <w:r w:rsidRPr="00203EB0">
              <w:rPr>
                <w:rFonts w:cs="Times New Roman"/>
                <w:color w:val="000000"/>
              </w:rPr>
              <w:t>Actinobacteriota</w:t>
            </w:r>
            <w:proofErr w:type="spellEnd"/>
          </w:p>
        </w:tc>
        <w:tc>
          <w:tcPr>
            <w:tcW w:w="1006" w:type="pct"/>
          </w:tcPr>
          <w:p w14:paraId="4422B7EE" w14:textId="77777777" w:rsidR="00C96F1F" w:rsidRPr="00203EB0" w:rsidRDefault="00C96F1F" w:rsidP="00C17D6E">
            <w:pPr>
              <w:rPr>
                <w:rFonts w:cs="Times New Roman"/>
                <w:color w:val="000000"/>
              </w:rPr>
            </w:pPr>
            <w:proofErr w:type="spellStart"/>
            <w:r w:rsidRPr="00203EB0">
              <w:rPr>
                <w:rFonts w:cs="Times New Roman"/>
                <w:color w:val="000000"/>
              </w:rPr>
              <w:t>Thermoleophilia</w:t>
            </w:r>
            <w:proofErr w:type="spellEnd"/>
          </w:p>
        </w:tc>
        <w:tc>
          <w:tcPr>
            <w:tcW w:w="1121" w:type="pct"/>
          </w:tcPr>
          <w:p w14:paraId="02F70D17" w14:textId="77777777" w:rsidR="00C96F1F" w:rsidRPr="00203EB0" w:rsidRDefault="00C96F1F" w:rsidP="00C17D6E">
            <w:pPr>
              <w:rPr>
                <w:rFonts w:cs="Times New Roman"/>
                <w:color w:val="000000"/>
              </w:rPr>
            </w:pPr>
            <w:proofErr w:type="spellStart"/>
            <w:r w:rsidRPr="00203EB0">
              <w:rPr>
                <w:rFonts w:cs="Times New Roman"/>
                <w:color w:val="000000"/>
              </w:rPr>
              <w:t>Solirubrobacterales</w:t>
            </w:r>
            <w:proofErr w:type="spellEnd"/>
          </w:p>
        </w:tc>
        <w:tc>
          <w:tcPr>
            <w:tcW w:w="1085" w:type="pct"/>
          </w:tcPr>
          <w:p w14:paraId="5ABDE6D9" w14:textId="77777777" w:rsidR="00C96F1F" w:rsidRPr="00203EB0" w:rsidRDefault="00C96F1F" w:rsidP="00C17D6E">
            <w:pPr>
              <w:rPr>
                <w:rFonts w:cs="Times New Roman"/>
                <w:color w:val="000000"/>
              </w:rPr>
            </w:pPr>
            <w:proofErr w:type="spellStart"/>
            <w:r w:rsidRPr="00203EB0">
              <w:rPr>
                <w:rFonts w:cs="Times New Roman"/>
                <w:color w:val="000000"/>
              </w:rPr>
              <w:t>Solirubrobacteraceae</w:t>
            </w:r>
            <w:proofErr w:type="spellEnd"/>
          </w:p>
        </w:tc>
        <w:tc>
          <w:tcPr>
            <w:tcW w:w="940" w:type="pct"/>
          </w:tcPr>
          <w:p w14:paraId="424DF537" w14:textId="77777777" w:rsidR="00C96F1F" w:rsidRPr="00203EB0" w:rsidRDefault="00C96F1F" w:rsidP="00C17D6E">
            <w:pPr>
              <w:rPr>
                <w:rFonts w:cs="Times New Roman"/>
                <w:i/>
                <w:color w:val="000000"/>
              </w:rPr>
            </w:pPr>
            <w:proofErr w:type="spellStart"/>
            <w:r w:rsidRPr="00203EB0">
              <w:rPr>
                <w:rFonts w:cs="Times New Roman"/>
                <w:i/>
                <w:color w:val="000000"/>
              </w:rPr>
              <w:t>Conexibacter</w:t>
            </w:r>
            <w:proofErr w:type="spellEnd"/>
          </w:p>
        </w:tc>
      </w:tr>
      <w:tr w:rsidR="00C96F1F" w:rsidRPr="00203EB0" w14:paraId="42876C5F" w14:textId="77777777" w:rsidTr="00C17D6E">
        <w:trPr>
          <w:trHeight w:val="297"/>
        </w:trPr>
        <w:tc>
          <w:tcPr>
            <w:tcW w:w="848" w:type="pct"/>
          </w:tcPr>
          <w:p w14:paraId="7BDFFBC0" w14:textId="77777777" w:rsidR="00C96F1F" w:rsidRPr="00203EB0" w:rsidRDefault="00C96F1F" w:rsidP="00C17D6E">
            <w:pPr>
              <w:rPr>
                <w:rFonts w:cs="Times New Roman"/>
                <w:color w:val="000000"/>
              </w:rPr>
            </w:pPr>
            <w:r w:rsidRPr="00203EB0">
              <w:rPr>
                <w:rFonts w:cs="Times New Roman"/>
                <w:color w:val="000000"/>
              </w:rPr>
              <w:t>Proteobacteria</w:t>
            </w:r>
          </w:p>
        </w:tc>
        <w:tc>
          <w:tcPr>
            <w:tcW w:w="1006" w:type="pct"/>
          </w:tcPr>
          <w:p w14:paraId="5AC9EE82" w14:textId="77777777" w:rsidR="00C96F1F" w:rsidRPr="00203EB0" w:rsidRDefault="00C96F1F" w:rsidP="00C17D6E">
            <w:pPr>
              <w:rPr>
                <w:rFonts w:cs="Times New Roman"/>
                <w:color w:val="000000"/>
              </w:rPr>
            </w:pPr>
            <w:proofErr w:type="spellStart"/>
            <w:r w:rsidRPr="00203EB0">
              <w:rPr>
                <w:rFonts w:cs="Times New Roman"/>
                <w:color w:val="000000"/>
              </w:rPr>
              <w:t>Alphaproteobacteria</w:t>
            </w:r>
            <w:proofErr w:type="spellEnd"/>
          </w:p>
        </w:tc>
        <w:tc>
          <w:tcPr>
            <w:tcW w:w="1121" w:type="pct"/>
          </w:tcPr>
          <w:p w14:paraId="0FCFD183" w14:textId="77777777" w:rsidR="00C96F1F" w:rsidRPr="00203EB0" w:rsidRDefault="00C96F1F" w:rsidP="00C17D6E">
            <w:pPr>
              <w:rPr>
                <w:rFonts w:cs="Times New Roman"/>
                <w:color w:val="000000"/>
              </w:rPr>
            </w:pPr>
            <w:proofErr w:type="spellStart"/>
            <w:r w:rsidRPr="00203EB0">
              <w:rPr>
                <w:rFonts w:cs="Times New Roman"/>
                <w:color w:val="000000"/>
              </w:rPr>
              <w:t>Rhizobiales</w:t>
            </w:r>
            <w:proofErr w:type="spellEnd"/>
          </w:p>
        </w:tc>
        <w:tc>
          <w:tcPr>
            <w:tcW w:w="1085" w:type="pct"/>
          </w:tcPr>
          <w:p w14:paraId="32A551BA" w14:textId="77777777" w:rsidR="00C96F1F" w:rsidRPr="00203EB0" w:rsidRDefault="00C96F1F" w:rsidP="00C17D6E">
            <w:pPr>
              <w:rPr>
                <w:rFonts w:cs="Times New Roman"/>
                <w:color w:val="000000"/>
              </w:rPr>
            </w:pPr>
            <w:r w:rsidRPr="00203EB0">
              <w:rPr>
                <w:rFonts w:cs="Times New Roman"/>
                <w:color w:val="000000"/>
              </w:rPr>
              <w:t>Amb-16S-1323</w:t>
            </w:r>
          </w:p>
        </w:tc>
        <w:tc>
          <w:tcPr>
            <w:tcW w:w="940" w:type="pct"/>
          </w:tcPr>
          <w:p w14:paraId="0B3D1CD2" w14:textId="77777777" w:rsidR="00C96F1F" w:rsidRPr="00203EB0" w:rsidRDefault="00C96F1F" w:rsidP="00C17D6E">
            <w:pPr>
              <w:rPr>
                <w:rFonts w:cs="Times New Roman"/>
              </w:rPr>
            </w:pPr>
            <w:r w:rsidRPr="00203EB0">
              <w:rPr>
                <w:rFonts w:cs="Times New Roman"/>
              </w:rPr>
              <w:t>NA</w:t>
            </w:r>
          </w:p>
        </w:tc>
      </w:tr>
      <w:tr w:rsidR="00C96F1F" w:rsidRPr="00203EB0" w14:paraId="227E049B" w14:textId="77777777" w:rsidTr="00C17D6E">
        <w:trPr>
          <w:trHeight w:val="297"/>
        </w:trPr>
        <w:tc>
          <w:tcPr>
            <w:tcW w:w="848" w:type="pct"/>
          </w:tcPr>
          <w:p w14:paraId="6055484F" w14:textId="77777777" w:rsidR="00C96F1F" w:rsidRPr="00203EB0" w:rsidRDefault="00C96F1F" w:rsidP="00C17D6E">
            <w:pPr>
              <w:rPr>
                <w:rFonts w:cs="Times New Roman"/>
                <w:color w:val="000000"/>
              </w:rPr>
            </w:pPr>
            <w:r w:rsidRPr="00203EB0">
              <w:rPr>
                <w:rFonts w:cs="Times New Roman"/>
                <w:color w:val="000000"/>
              </w:rPr>
              <w:t>Proteobacteria</w:t>
            </w:r>
          </w:p>
        </w:tc>
        <w:tc>
          <w:tcPr>
            <w:tcW w:w="1006" w:type="pct"/>
          </w:tcPr>
          <w:p w14:paraId="42C3E9B2" w14:textId="77777777" w:rsidR="00C96F1F" w:rsidRPr="00203EB0" w:rsidRDefault="00C96F1F" w:rsidP="00C17D6E">
            <w:pPr>
              <w:rPr>
                <w:rFonts w:cs="Times New Roman"/>
                <w:color w:val="000000"/>
              </w:rPr>
            </w:pPr>
            <w:r w:rsidRPr="00203EB0">
              <w:rPr>
                <w:rFonts w:cs="Times New Roman"/>
                <w:color w:val="000000"/>
              </w:rPr>
              <w:t>Gammaproteobacteria</w:t>
            </w:r>
          </w:p>
        </w:tc>
        <w:tc>
          <w:tcPr>
            <w:tcW w:w="1121" w:type="pct"/>
          </w:tcPr>
          <w:p w14:paraId="70E93A30" w14:textId="77777777" w:rsidR="00C96F1F" w:rsidRPr="00203EB0" w:rsidRDefault="00C96F1F" w:rsidP="00C17D6E">
            <w:pPr>
              <w:rPr>
                <w:rFonts w:cs="Times New Roman"/>
                <w:color w:val="000000"/>
              </w:rPr>
            </w:pPr>
            <w:proofErr w:type="spellStart"/>
            <w:r w:rsidRPr="00203EB0">
              <w:rPr>
                <w:rFonts w:cs="Times New Roman"/>
                <w:color w:val="000000"/>
              </w:rPr>
              <w:t>Burkholderiales</w:t>
            </w:r>
            <w:proofErr w:type="spellEnd"/>
          </w:p>
        </w:tc>
        <w:tc>
          <w:tcPr>
            <w:tcW w:w="1085" w:type="pct"/>
          </w:tcPr>
          <w:p w14:paraId="3E6A2C30" w14:textId="77777777" w:rsidR="00C96F1F" w:rsidRPr="00203EB0" w:rsidRDefault="00C96F1F" w:rsidP="00C17D6E">
            <w:pPr>
              <w:rPr>
                <w:rFonts w:cs="Times New Roman"/>
                <w:color w:val="000000"/>
              </w:rPr>
            </w:pPr>
            <w:proofErr w:type="spellStart"/>
            <w:r w:rsidRPr="00203EB0">
              <w:rPr>
                <w:rFonts w:cs="Times New Roman"/>
                <w:color w:val="000000"/>
              </w:rPr>
              <w:t>Chromobacteriaceae</w:t>
            </w:r>
            <w:proofErr w:type="spellEnd"/>
          </w:p>
        </w:tc>
        <w:tc>
          <w:tcPr>
            <w:tcW w:w="940" w:type="pct"/>
          </w:tcPr>
          <w:p w14:paraId="0A2E04E2" w14:textId="77777777" w:rsidR="00C96F1F" w:rsidRPr="00203EB0" w:rsidRDefault="00C96F1F" w:rsidP="00C17D6E">
            <w:pPr>
              <w:rPr>
                <w:rFonts w:cs="Times New Roman"/>
                <w:i/>
                <w:color w:val="000000"/>
              </w:rPr>
            </w:pPr>
            <w:proofErr w:type="spellStart"/>
            <w:r w:rsidRPr="00203EB0">
              <w:rPr>
                <w:rFonts w:cs="Times New Roman"/>
                <w:i/>
                <w:color w:val="000000"/>
              </w:rPr>
              <w:t>Pseudogulbenkiania</w:t>
            </w:r>
            <w:proofErr w:type="spellEnd"/>
          </w:p>
        </w:tc>
      </w:tr>
      <w:tr w:rsidR="00C96F1F" w:rsidRPr="00203EB0" w14:paraId="048011B2" w14:textId="77777777" w:rsidTr="00C17D6E">
        <w:trPr>
          <w:trHeight w:val="297"/>
        </w:trPr>
        <w:tc>
          <w:tcPr>
            <w:tcW w:w="848" w:type="pct"/>
          </w:tcPr>
          <w:p w14:paraId="5783721E" w14:textId="77777777" w:rsidR="00C96F1F" w:rsidRPr="00203EB0" w:rsidRDefault="00C96F1F" w:rsidP="00C17D6E">
            <w:pPr>
              <w:rPr>
                <w:rFonts w:cs="Times New Roman"/>
                <w:color w:val="000000"/>
              </w:rPr>
            </w:pPr>
            <w:r w:rsidRPr="00203EB0">
              <w:rPr>
                <w:rFonts w:cs="Times New Roman"/>
                <w:color w:val="000000"/>
              </w:rPr>
              <w:t>Proteobacteria</w:t>
            </w:r>
          </w:p>
        </w:tc>
        <w:tc>
          <w:tcPr>
            <w:tcW w:w="1006" w:type="pct"/>
          </w:tcPr>
          <w:p w14:paraId="68BDD17F" w14:textId="77777777" w:rsidR="00C96F1F" w:rsidRPr="00203EB0" w:rsidRDefault="00C96F1F" w:rsidP="00C17D6E">
            <w:pPr>
              <w:rPr>
                <w:rFonts w:cs="Times New Roman"/>
                <w:color w:val="000000"/>
              </w:rPr>
            </w:pPr>
            <w:r w:rsidRPr="00203EB0">
              <w:rPr>
                <w:rFonts w:cs="Times New Roman"/>
                <w:color w:val="000000"/>
              </w:rPr>
              <w:t>Gammaproteobacteria</w:t>
            </w:r>
          </w:p>
        </w:tc>
        <w:tc>
          <w:tcPr>
            <w:tcW w:w="1121" w:type="pct"/>
          </w:tcPr>
          <w:p w14:paraId="551AE4DB" w14:textId="77777777" w:rsidR="00C96F1F" w:rsidRPr="00203EB0" w:rsidRDefault="00C96F1F" w:rsidP="00C17D6E">
            <w:pPr>
              <w:rPr>
                <w:rFonts w:cs="Times New Roman"/>
                <w:color w:val="000000"/>
              </w:rPr>
            </w:pPr>
            <w:proofErr w:type="spellStart"/>
            <w:r w:rsidRPr="00203EB0">
              <w:rPr>
                <w:rFonts w:cs="Times New Roman"/>
                <w:color w:val="000000"/>
              </w:rPr>
              <w:t>Burkholderiales</w:t>
            </w:r>
            <w:proofErr w:type="spellEnd"/>
          </w:p>
        </w:tc>
        <w:tc>
          <w:tcPr>
            <w:tcW w:w="1085" w:type="pct"/>
          </w:tcPr>
          <w:p w14:paraId="03CA78BC" w14:textId="77777777" w:rsidR="00C96F1F" w:rsidRPr="00203EB0" w:rsidRDefault="00C96F1F" w:rsidP="00C17D6E">
            <w:pPr>
              <w:rPr>
                <w:rFonts w:cs="Times New Roman"/>
                <w:color w:val="000000"/>
              </w:rPr>
            </w:pPr>
            <w:r w:rsidRPr="00203EB0">
              <w:rPr>
                <w:rFonts w:cs="Times New Roman"/>
                <w:color w:val="000000"/>
              </w:rPr>
              <w:t>A21b</w:t>
            </w:r>
          </w:p>
        </w:tc>
        <w:tc>
          <w:tcPr>
            <w:tcW w:w="940" w:type="pct"/>
          </w:tcPr>
          <w:p w14:paraId="0986693D" w14:textId="77777777" w:rsidR="00C96F1F" w:rsidRPr="00203EB0" w:rsidRDefault="00C96F1F" w:rsidP="00C17D6E">
            <w:pPr>
              <w:rPr>
                <w:rFonts w:cs="Times New Roman"/>
              </w:rPr>
            </w:pPr>
            <w:r w:rsidRPr="00203EB0">
              <w:rPr>
                <w:rFonts w:cs="Times New Roman"/>
              </w:rPr>
              <w:t>NA</w:t>
            </w:r>
          </w:p>
        </w:tc>
      </w:tr>
      <w:tr w:rsidR="00C96F1F" w:rsidRPr="00203EB0" w14:paraId="580D0F91" w14:textId="77777777" w:rsidTr="00C17D6E">
        <w:trPr>
          <w:trHeight w:val="297"/>
        </w:trPr>
        <w:tc>
          <w:tcPr>
            <w:tcW w:w="848" w:type="pct"/>
          </w:tcPr>
          <w:p w14:paraId="4033868C" w14:textId="77777777" w:rsidR="00C96F1F" w:rsidRPr="00203EB0" w:rsidRDefault="00C96F1F" w:rsidP="00C17D6E">
            <w:pPr>
              <w:rPr>
                <w:rFonts w:cs="Times New Roman"/>
                <w:color w:val="000000"/>
              </w:rPr>
            </w:pPr>
            <w:r w:rsidRPr="00203EB0">
              <w:rPr>
                <w:rFonts w:cs="Times New Roman"/>
                <w:color w:val="000000"/>
              </w:rPr>
              <w:t>Proteobacteria</w:t>
            </w:r>
          </w:p>
        </w:tc>
        <w:tc>
          <w:tcPr>
            <w:tcW w:w="1006" w:type="pct"/>
          </w:tcPr>
          <w:p w14:paraId="13BD7B22" w14:textId="77777777" w:rsidR="00C96F1F" w:rsidRPr="00203EB0" w:rsidRDefault="00C96F1F" w:rsidP="00C17D6E">
            <w:pPr>
              <w:rPr>
                <w:rFonts w:cs="Times New Roman"/>
                <w:color w:val="000000"/>
              </w:rPr>
            </w:pPr>
            <w:proofErr w:type="spellStart"/>
            <w:r w:rsidRPr="00203EB0">
              <w:rPr>
                <w:rFonts w:cs="Times New Roman"/>
                <w:color w:val="000000"/>
              </w:rPr>
              <w:t>Alphaproteobacteria</w:t>
            </w:r>
            <w:proofErr w:type="spellEnd"/>
          </w:p>
        </w:tc>
        <w:tc>
          <w:tcPr>
            <w:tcW w:w="1121" w:type="pct"/>
          </w:tcPr>
          <w:p w14:paraId="67298BC2" w14:textId="77777777" w:rsidR="00C96F1F" w:rsidRPr="00203EB0" w:rsidRDefault="00C96F1F" w:rsidP="00C17D6E">
            <w:pPr>
              <w:rPr>
                <w:rFonts w:cs="Times New Roman"/>
                <w:color w:val="000000"/>
              </w:rPr>
            </w:pPr>
            <w:proofErr w:type="spellStart"/>
            <w:r w:rsidRPr="00203EB0">
              <w:rPr>
                <w:rFonts w:cs="Times New Roman"/>
                <w:color w:val="000000"/>
              </w:rPr>
              <w:t>Micropepsales</w:t>
            </w:r>
            <w:proofErr w:type="spellEnd"/>
          </w:p>
        </w:tc>
        <w:tc>
          <w:tcPr>
            <w:tcW w:w="1085" w:type="pct"/>
          </w:tcPr>
          <w:p w14:paraId="3FE38B76" w14:textId="77777777" w:rsidR="00C96F1F" w:rsidRPr="00203EB0" w:rsidRDefault="00C96F1F" w:rsidP="00C17D6E">
            <w:pPr>
              <w:rPr>
                <w:rFonts w:cs="Times New Roman"/>
                <w:color w:val="000000"/>
              </w:rPr>
            </w:pPr>
            <w:proofErr w:type="spellStart"/>
            <w:r w:rsidRPr="00203EB0">
              <w:rPr>
                <w:rFonts w:cs="Times New Roman"/>
                <w:color w:val="000000"/>
              </w:rPr>
              <w:t>Micropepsaceae</w:t>
            </w:r>
            <w:proofErr w:type="spellEnd"/>
          </w:p>
        </w:tc>
        <w:tc>
          <w:tcPr>
            <w:tcW w:w="940" w:type="pct"/>
          </w:tcPr>
          <w:p w14:paraId="1769FC9F" w14:textId="77777777" w:rsidR="00C96F1F" w:rsidRPr="00203EB0" w:rsidRDefault="00C96F1F" w:rsidP="00C17D6E">
            <w:pPr>
              <w:rPr>
                <w:rFonts w:cs="Times New Roman"/>
              </w:rPr>
            </w:pPr>
            <w:r w:rsidRPr="00203EB0">
              <w:rPr>
                <w:rFonts w:cs="Times New Roman"/>
              </w:rPr>
              <w:t>NA</w:t>
            </w:r>
          </w:p>
        </w:tc>
      </w:tr>
      <w:tr w:rsidR="00C96F1F" w:rsidRPr="00203EB0" w14:paraId="7073B1A2" w14:textId="77777777" w:rsidTr="00C17D6E">
        <w:trPr>
          <w:trHeight w:val="297"/>
        </w:trPr>
        <w:tc>
          <w:tcPr>
            <w:tcW w:w="848" w:type="pct"/>
          </w:tcPr>
          <w:p w14:paraId="081B032C" w14:textId="77777777" w:rsidR="00C96F1F" w:rsidRPr="00203EB0" w:rsidRDefault="00C96F1F" w:rsidP="00C17D6E">
            <w:pPr>
              <w:rPr>
                <w:rFonts w:cs="Times New Roman"/>
                <w:color w:val="000000"/>
              </w:rPr>
            </w:pPr>
            <w:proofErr w:type="spellStart"/>
            <w:r w:rsidRPr="00203EB0">
              <w:rPr>
                <w:rFonts w:cs="Times New Roman"/>
                <w:color w:val="000000"/>
              </w:rPr>
              <w:t>Bacteroidota</w:t>
            </w:r>
            <w:proofErr w:type="spellEnd"/>
          </w:p>
        </w:tc>
        <w:tc>
          <w:tcPr>
            <w:tcW w:w="1006" w:type="pct"/>
          </w:tcPr>
          <w:p w14:paraId="0F556C21" w14:textId="77777777" w:rsidR="00C96F1F" w:rsidRPr="00203EB0" w:rsidRDefault="00C96F1F" w:rsidP="00C17D6E">
            <w:pPr>
              <w:rPr>
                <w:rFonts w:cs="Times New Roman"/>
                <w:color w:val="000000"/>
              </w:rPr>
            </w:pPr>
            <w:proofErr w:type="spellStart"/>
            <w:r w:rsidRPr="00203EB0">
              <w:rPr>
                <w:rFonts w:cs="Times New Roman"/>
                <w:color w:val="000000"/>
              </w:rPr>
              <w:t>Bacteroidia</w:t>
            </w:r>
            <w:proofErr w:type="spellEnd"/>
          </w:p>
        </w:tc>
        <w:tc>
          <w:tcPr>
            <w:tcW w:w="1121" w:type="pct"/>
          </w:tcPr>
          <w:p w14:paraId="5B21E9DB" w14:textId="77777777" w:rsidR="00C96F1F" w:rsidRPr="00203EB0" w:rsidRDefault="00C96F1F" w:rsidP="00C17D6E">
            <w:pPr>
              <w:rPr>
                <w:rFonts w:cs="Times New Roman"/>
                <w:color w:val="000000"/>
              </w:rPr>
            </w:pPr>
            <w:proofErr w:type="spellStart"/>
            <w:r w:rsidRPr="00203EB0">
              <w:rPr>
                <w:rFonts w:cs="Times New Roman"/>
                <w:color w:val="000000"/>
              </w:rPr>
              <w:t>Flavobacteriales</w:t>
            </w:r>
            <w:proofErr w:type="spellEnd"/>
          </w:p>
        </w:tc>
        <w:tc>
          <w:tcPr>
            <w:tcW w:w="1085" w:type="pct"/>
          </w:tcPr>
          <w:p w14:paraId="3F15556B" w14:textId="77777777" w:rsidR="00C96F1F" w:rsidRPr="00203EB0" w:rsidRDefault="00C96F1F" w:rsidP="00C17D6E">
            <w:pPr>
              <w:rPr>
                <w:rFonts w:cs="Times New Roman"/>
                <w:color w:val="000000"/>
              </w:rPr>
            </w:pPr>
            <w:proofErr w:type="spellStart"/>
            <w:r w:rsidRPr="00203EB0">
              <w:rPr>
                <w:rFonts w:cs="Times New Roman"/>
                <w:color w:val="000000"/>
              </w:rPr>
              <w:t>Flavobacteriaceae</w:t>
            </w:r>
            <w:proofErr w:type="spellEnd"/>
          </w:p>
        </w:tc>
        <w:tc>
          <w:tcPr>
            <w:tcW w:w="940" w:type="pct"/>
          </w:tcPr>
          <w:p w14:paraId="307AC210" w14:textId="77777777" w:rsidR="00C96F1F" w:rsidRPr="00203EB0" w:rsidRDefault="00C96F1F" w:rsidP="00C17D6E">
            <w:pPr>
              <w:rPr>
                <w:rFonts w:cs="Times New Roman"/>
                <w:i/>
                <w:color w:val="000000"/>
              </w:rPr>
            </w:pPr>
            <w:r w:rsidRPr="00203EB0">
              <w:rPr>
                <w:rFonts w:cs="Times New Roman"/>
                <w:i/>
                <w:color w:val="000000"/>
              </w:rPr>
              <w:t>Flavobacterium</w:t>
            </w:r>
          </w:p>
        </w:tc>
      </w:tr>
      <w:tr w:rsidR="00C96F1F" w:rsidRPr="00203EB0" w14:paraId="4AAF6065" w14:textId="77777777" w:rsidTr="00C17D6E">
        <w:trPr>
          <w:trHeight w:val="297"/>
        </w:trPr>
        <w:tc>
          <w:tcPr>
            <w:tcW w:w="848" w:type="pct"/>
          </w:tcPr>
          <w:p w14:paraId="21727B2E" w14:textId="77777777" w:rsidR="00C96F1F" w:rsidRPr="00203EB0" w:rsidRDefault="00C96F1F" w:rsidP="00C17D6E">
            <w:pPr>
              <w:rPr>
                <w:rFonts w:cs="Times New Roman"/>
                <w:color w:val="000000"/>
              </w:rPr>
            </w:pPr>
            <w:proofErr w:type="spellStart"/>
            <w:r w:rsidRPr="00203EB0">
              <w:rPr>
                <w:rFonts w:cs="Times New Roman"/>
                <w:color w:val="000000"/>
              </w:rPr>
              <w:t>Myxococcota</w:t>
            </w:r>
            <w:proofErr w:type="spellEnd"/>
          </w:p>
        </w:tc>
        <w:tc>
          <w:tcPr>
            <w:tcW w:w="1006" w:type="pct"/>
          </w:tcPr>
          <w:p w14:paraId="3FEC59C5" w14:textId="77777777" w:rsidR="00C96F1F" w:rsidRPr="00203EB0" w:rsidRDefault="00C96F1F" w:rsidP="00C17D6E">
            <w:pPr>
              <w:rPr>
                <w:rFonts w:cs="Times New Roman"/>
                <w:color w:val="000000"/>
              </w:rPr>
            </w:pPr>
            <w:proofErr w:type="spellStart"/>
            <w:r w:rsidRPr="00203EB0">
              <w:rPr>
                <w:rFonts w:cs="Times New Roman"/>
                <w:color w:val="000000"/>
              </w:rPr>
              <w:t>Myxococcia</w:t>
            </w:r>
            <w:proofErr w:type="spellEnd"/>
          </w:p>
        </w:tc>
        <w:tc>
          <w:tcPr>
            <w:tcW w:w="1121" w:type="pct"/>
          </w:tcPr>
          <w:p w14:paraId="693CAE09" w14:textId="77777777" w:rsidR="00C96F1F" w:rsidRPr="00203EB0" w:rsidRDefault="00C96F1F" w:rsidP="00C17D6E">
            <w:pPr>
              <w:rPr>
                <w:rFonts w:cs="Times New Roman"/>
                <w:color w:val="000000"/>
              </w:rPr>
            </w:pPr>
            <w:proofErr w:type="spellStart"/>
            <w:r w:rsidRPr="00203EB0">
              <w:rPr>
                <w:rFonts w:cs="Times New Roman"/>
                <w:color w:val="000000"/>
              </w:rPr>
              <w:t>Myxococcales</w:t>
            </w:r>
            <w:proofErr w:type="spellEnd"/>
          </w:p>
        </w:tc>
        <w:tc>
          <w:tcPr>
            <w:tcW w:w="1085" w:type="pct"/>
          </w:tcPr>
          <w:p w14:paraId="57ED7672" w14:textId="77777777" w:rsidR="00C96F1F" w:rsidRPr="00203EB0" w:rsidRDefault="00C96F1F" w:rsidP="00C17D6E">
            <w:pPr>
              <w:rPr>
                <w:rFonts w:cs="Times New Roman"/>
                <w:color w:val="000000"/>
              </w:rPr>
            </w:pPr>
            <w:proofErr w:type="spellStart"/>
            <w:r w:rsidRPr="00203EB0">
              <w:rPr>
                <w:rFonts w:cs="Times New Roman"/>
                <w:color w:val="000000"/>
              </w:rPr>
              <w:t>Anaeromyxobacteraceae</w:t>
            </w:r>
            <w:proofErr w:type="spellEnd"/>
          </w:p>
        </w:tc>
        <w:tc>
          <w:tcPr>
            <w:tcW w:w="940" w:type="pct"/>
          </w:tcPr>
          <w:p w14:paraId="4BE5D1D3" w14:textId="77777777" w:rsidR="00C96F1F" w:rsidRPr="00203EB0" w:rsidRDefault="00C96F1F" w:rsidP="00C17D6E">
            <w:pPr>
              <w:rPr>
                <w:rFonts w:cs="Times New Roman"/>
                <w:i/>
                <w:color w:val="000000"/>
              </w:rPr>
            </w:pPr>
            <w:proofErr w:type="spellStart"/>
            <w:r w:rsidRPr="00203EB0">
              <w:rPr>
                <w:rFonts w:cs="Times New Roman"/>
                <w:i/>
                <w:color w:val="000000"/>
              </w:rPr>
              <w:t>Anaeromyxobacter</w:t>
            </w:r>
            <w:proofErr w:type="spellEnd"/>
          </w:p>
        </w:tc>
      </w:tr>
      <w:tr w:rsidR="00C96F1F" w:rsidRPr="00203EB0" w14:paraId="6A5D528C" w14:textId="77777777" w:rsidTr="00C17D6E">
        <w:trPr>
          <w:trHeight w:val="297"/>
        </w:trPr>
        <w:tc>
          <w:tcPr>
            <w:tcW w:w="848" w:type="pct"/>
            <w:tcBorders>
              <w:bottom w:val="single" w:sz="4" w:space="0" w:color="auto"/>
            </w:tcBorders>
          </w:tcPr>
          <w:p w14:paraId="4511ED3D" w14:textId="77777777" w:rsidR="00C96F1F" w:rsidRPr="00203EB0" w:rsidRDefault="00C96F1F" w:rsidP="00C17D6E">
            <w:pPr>
              <w:rPr>
                <w:rFonts w:cs="Times New Roman"/>
                <w:color w:val="000000"/>
              </w:rPr>
            </w:pPr>
            <w:proofErr w:type="spellStart"/>
            <w:r w:rsidRPr="00203EB0">
              <w:rPr>
                <w:rFonts w:cs="Times New Roman"/>
                <w:color w:val="000000"/>
              </w:rPr>
              <w:t>Thermoplasmatota</w:t>
            </w:r>
            <w:proofErr w:type="spellEnd"/>
          </w:p>
        </w:tc>
        <w:tc>
          <w:tcPr>
            <w:tcW w:w="1006" w:type="pct"/>
            <w:tcBorders>
              <w:bottom w:val="single" w:sz="4" w:space="0" w:color="auto"/>
            </w:tcBorders>
          </w:tcPr>
          <w:p w14:paraId="5BC7223D" w14:textId="77777777" w:rsidR="00C96F1F" w:rsidRPr="00203EB0" w:rsidRDefault="00C96F1F" w:rsidP="00C17D6E">
            <w:pPr>
              <w:rPr>
                <w:rFonts w:cs="Times New Roman"/>
                <w:color w:val="000000"/>
              </w:rPr>
            </w:pPr>
            <w:proofErr w:type="spellStart"/>
            <w:r w:rsidRPr="00203EB0">
              <w:rPr>
                <w:rFonts w:cs="Times New Roman"/>
                <w:color w:val="000000"/>
              </w:rPr>
              <w:t>Thermoplasmata</w:t>
            </w:r>
            <w:proofErr w:type="spellEnd"/>
          </w:p>
        </w:tc>
        <w:tc>
          <w:tcPr>
            <w:tcW w:w="1121" w:type="pct"/>
            <w:tcBorders>
              <w:bottom w:val="single" w:sz="4" w:space="0" w:color="auto"/>
            </w:tcBorders>
          </w:tcPr>
          <w:p w14:paraId="01795947" w14:textId="77777777" w:rsidR="00C96F1F" w:rsidRPr="00203EB0" w:rsidRDefault="00C96F1F" w:rsidP="00C17D6E">
            <w:pPr>
              <w:rPr>
                <w:rFonts w:cs="Times New Roman"/>
                <w:color w:val="000000"/>
              </w:rPr>
            </w:pPr>
            <w:proofErr w:type="spellStart"/>
            <w:r w:rsidRPr="00203EB0">
              <w:rPr>
                <w:rFonts w:cs="Times New Roman"/>
                <w:color w:val="000000"/>
              </w:rPr>
              <w:t>Methanomassiliicoccales</w:t>
            </w:r>
            <w:proofErr w:type="spellEnd"/>
          </w:p>
        </w:tc>
        <w:tc>
          <w:tcPr>
            <w:tcW w:w="1085" w:type="pct"/>
            <w:tcBorders>
              <w:bottom w:val="single" w:sz="4" w:space="0" w:color="auto"/>
            </w:tcBorders>
          </w:tcPr>
          <w:p w14:paraId="2762A77A" w14:textId="77777777" w:rsidR="00C96F1F" w:rsidRPr="00203EB0" w:rsidRDefault="00C96F1F" w:rsidP="00C17D6E">
            <w:pPr>
              <w:rPr>
                <w:rFonts w:cs="Times New Roman"/>
              </w:rPr>
            </w:pPr>
            <w:r w:rsidRPr="00203EB0">
              <w:rPr>
                <w:rFonts w:cs="Times New Roman"/>
              </w:rPr>
              <w:t>NA</w:t>
            </w:r>
          </w:p>
        </w:tc>
        <w:tc>
          <w:tcPr>
            <w:tcW w:w="940" w:type="pct"/>
            <w:tcBorders>
              <w:bottom w:val="single" w:sz="4" w:space="0" w:color="auto"/>
            </w:tcBorders>
          </w:tcPr>
          <w:p w14:paraId="0EBFAD05" w14:textId="77777777" w:rsidR="00C96F1F" w:rsidRPr="00203EB0" w:rsidRDefault="00C96F1F" w:rsidP="00C17D6E">
            <w:pPr>
              <w:rPr>
                <w:rFonts w:cs="Times New Roman"/>
              </w:rPr>
            </w:pPr>
            <w:r w:rsidRPr="00203EB0">
              <w:rPr>
                <w:rFonts w:cs="Times New Roman"/>
              </w:rPr>
              <w:t>NA</w:t>
            </w:r>
          </w:p>
        </w:tc>
      </w:tr>
    </w:tbl>
    <w:p w14:paraId="6BC65C4E" w14:textId="44EF79D5" w:rsidR="00F57D6F" w:rsidRPr="00203EB0" w:rsidRDefault="00C96F1F" w:rsidP="00970B19">
      <w:pPr>
        <w:rPr>
          <w:rFonts w:cs="Times New Roman"/>
        </w:rPr>
        <w:sectPr w:rsidR="00F57D6F" w:rsidRPr="00203EB0" w:rsidSect="00FE7DF1">
          <w:pgSz w:w="15840" w:h="12240" w:orient="landscape" w:code="1"/>
          <w:pgMar w:top="1800" w:right="1440" w:bottom="1800" w:left="1872" w:header="720" w:footer="1440" w:gutter="0"/>
          <w:pgNumType w:start="97"/>
          <w:cols w:space="720"/>
          <w:noEndnote/>
          <w:docGrid w:linePitch="360"/>
        </w:sectPr>
      </w:pPr>
      <w:r w:rsidRPr="00203EB0">
        <w:rPr>
          <w:rFonts w:cs="Times New Roman"/>
        </w:rPr>
        <w:t>*NA: Unknow</w:t>
      </w:r>
      <w:r w:rsidR="00354000">
        <w:rPr>
          <w:rFonts w:cs="Times New Roman"/>
        </w:rPr>
        <w:t>n</w:t>
      </w:r>
    </w:p>
    <w:p w14:paraId="50CFB84B" w14:textId="77777777" w:rsidR="00436F2D" w:rsidRPr="00203EB0" w:rsidRDefault="00436F2D" w:rsidP="00354000">
      <w:pPr>
        <w:rPr>
          <w:rFonts w:cs="Times New Roman"/>
        </w:rPr>
      </w:pPr>
    </w:p>
    <w:p w14:paraId="3EF5CEED" w14:textId="77DDC17B" w:rsidR="00436F2D" w:rsidRPr="00203EB0" w:rsidRDefault="00084368" w:rsidP="00832A7A">
      <w:pPr>
        <w:spacing w:line="480" w:lineRule="auto"/>
        <w:jc w:val="center"/>
        <w:rPr>
          <w:rFonts w:cs="Times New Roman"/>
          <w:b/>
          <w:caps/>
        </w:rPr>
      </w:pPr>
      <w:r>
        <w:rPr>
          <w:noProof/>
        </w:rPr>
        <w:drawing>
          <wp:inline distT="0" distB="0" distL="0" distR="0" wp14:anchorId="52E9002C" wp14:editId="07E7F050">
            <wp:extent cx="3856178" cy="5913120"/>
            <wp:effectExtent l="0" t="0" r="0" b="0"/>
            <wp:docPr id="1965623265" name="Picture 2"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23265" name="Picture 2" descr="A close-up of a graph&#10;&#10;AI-generated content may be incorrect."/>
                    <pic:cNvPicPr>
                      <a:picLocks noChangeAspect="1" noChangeArrowheads="1"/>
                    </pic:cNvPicPr>
                  </pic:nvPicPr>
                  <pic:blipFill>
                    <a:blip r:embed="rId37" cstate="hqprint">
                      <a:extLst>
                        <a:ext uri="{28A0092B-C50C-407E-A947-70E740481C1C}">
                          <a14:useLocalDpi xmlns:a14="http://schemas.microsoft.com/office/drawing/2010/main" val="0"/>
                        </a:ext>
                      </a:extLst>
                    </a:blip>
                    <a:srcRect/>
                    <a:stretch>
                      <a:fillRect/>
                    </a:stretch>
                  </pic:blipFill>
                  <pic:spPr bwMode="auto">
                    <a:xfrm>
                      <a:off x="0" y="0"/>
                      <a:ext cx="3884147" cy="5956009"/>
                    </a:xfrm>
                    <a:prstGeom prst="rect">
                      <a:avLst/>
                    </a:prstGeom>
                    <a:noFill/>
                    <a:ln>
                      <a:noFill/>
                    </a:ln>
                  </pic:spPr>
                </pic:pic>
              </a:graphicData>
            </a:graphic>
          </wp:inline>
        </w:drawing>
      </w:r>
    </w:p>
    <w:p w14:paraId="30B2867F" w14:textId="6EE87BAD" w:rsidR="00436F2D" w:rsidRPr="00203EB0" w:rsidRDefault="00832A7A" w:rsidP="00001ABC">
      <w:pPr>
        <w:pStyle w:val="Caption"/>
      </w:pPr>
      <w:bookmarkStart w:id="101" w:name="_Toc206669279"/>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5</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6</w:t>
      </w:r>
      <w:r w:rsidR="00BD46F8" w:rsidRPr="00203EB0">
        <w:rPr>
          <w:b/>
          <w:bCs/>
        </w:rPr>
        <w:fldChar w:fldCharType="end"/>
      </w:r>
      <w:r w:rsidRPr="00203EB0">
        <w:rPr>
          <w:b/>
          <w:bCs/>
        </w:rPr>
        <w:t>:</w:t>
      </w:r>
      <w:r w:rsidRPr="00203EB0">
        <w:t xml:space="preserve"> Time-series horizon plots showing the relative abundance of microbial taxa associated with N</w:t>
      </w:r>
      <w:r w:rsidRPr="00203EB0">
        <w:rPr>
          <w:vertAlign w:val="subscript"/>
        </w:rPr>
        <w:t>2</w:t>
      </w:r>
      <w:r w:rsidRPr="00203EB0">
        <w:t>O emissions, as identified by the Random Forest model, at 0-10 (A) and 10-20 cm (B) depths. Each plot shows one taxon’s relative abundance over time, with the median (depth-specific</w:t>
      </w:r>
      <w:proofErr w:type="gramStart"/>
      <w:r w:rsidRPr="00203EB0">
        <w:t>)</w:t>
      </w:r>
      <w:r w:rsidR="00084368">
        <w:t xml:space="preserve"> </w:t>
      </w:r>
      <w:r w:rsidRPr="00203EB0">
        <w:t>as</w:t>
      </w:r>
      <w:proofErr w:type="gramEnd"/>
      <w:r w:rsidRPr="00203EB0">
        <w:t xml:space="preserve"> baseline. Blue shades indicate above-median values and red below, with color intensity reflecting the magnitude of deviation. Note: color scales are not comparable across </w:t>
      </w:r>
      <w:proofErr w:type="gramStart"/>
      <w:r w:rsidRPr="00203EB0">
        <w:t>taxa</w:t>
      </w:r>
      <w:proofErr w:type="gramEnd"/>
      <w:r w:rsidRPr="00203EB0">
        <w:t xml:space="preserve"> or depths, as medians are calculated independently.</w:t>
      </w:r>
      <w:bookmarkEnd w:id="101"/>
      <w:r w:rsidRPr="00203EB0">
        <w:t xml:space="preserve"> </w:t>
      </w:r>
      <w:r w:rsidR="007B2FF0">
        <w:t>Black boxes indicate periods of highest N</w:t>
      </w:r>
      <w:r w:rsidR="007B2FF0" w:rsidRPr="007B2FF0">
        <w:rPr>
          <w:vertAlign w:val="subscript"/>
        </w:rPr>
        <w:t>2</w:t>
      </w:r>
      <w:r w:rsidR="007B2FF0">
        <w:t xml:space="preserve">O flux. </w:t>
      </w:r>
    </w:p>
    <w:p w14:paraId="0E15743A" w14:textId="77777777" w:rsidR="00436F2D" w:rsidRPr="00203EB0" w:rsidRDefault="00436F2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13714F8C" w14:textId="77777777" w:rsidR="00436F2D" w:rsidRPr="00203EB0" w:rsidRDefault="00436F2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EEF27E4" w14:textId="0F37395E" w:rsidR="00E12865" w:rsidRPr="00203EB0" w:rsidRDefault="00E12865" w:rsidP="00D56363">
      <w:pPr>
        <w:spacing w:line="480" w:lineRule="auto"/>
        <w:rPr>
          <w:b/>
          <w:caps/>
        </w:rPr>
      </w:pPr>
      <w:r w:rsidRPr="00203EB0">
        <w:t xml:space="preserve">To evaluate the relationship between the relative abundance of the top ten </w:t>
      </w:r>
      <w:proofErr w:type="gramStart"/>
      <w:r w:rsidRPr="00203EB0">
        <w:t>taxa</w:t>
      </w:r>
      <w:proofErr w:type="gramEnd"/>
      <w:r w:rsidRPr="00203EB0">
        <w:t xml:space="preserve"> and management practices across sampling time-points, statistical analyses were conducted separately for each soil depth (</w:t>
      </w:r>
      <w:r w:rsidRPr="00203EB0">
        <w:rPr>
          <w:b/>
        </w:rPr>
        <w:t>Table 5.3</w:t>
      </w:r>
      <w:r w:rsidRPr="00203EB0">
        <w:t xml:space="preserve"> and </w:t>
      </w:r>
      <w:r w:rsidRPr="00203EB0">
        <w:rPr>
          <w:b/>
        </w:rPr>
        <w:t>5.4</w:t>
      </w:r>
      <w:r w:rsidRPr="00203EB0">
        <w:t xml:space="preserve">). Sampling time-point significantly influenced the abundance of 8 out of 10 taxa in the topsoil, and 7 out of 10 taxa in the subsoil (p-value </w:t>
      </w:r>
      <m:oMath>
        <m:r>
          <m:rPr>
            <m:sty m:val="bi"/>
          </m:rPr>
          <w:rPr>
            <w:rFonts w:ascii="Cambria Math" w:hAnsi="Cambria Math"/>
          </w:rPr>
          <m:t>≤</m:t>
        </m:r>
      </m:oMath>
      <w:r w:rsidRPr="00203EB0">
        <w:t xml:space="preserve"> 0.10). Nitrogen fertilization was often a major driver of taxonomic shifts. In the topsoil, SC-I-84, Acetobacteraceae sp., </w:t>
      </w:r>
      <w:proofErr w:type="spellStart"/>
      <w:r w:rsidRPr="00203EB0">
        <w:rPr>
          <w:i/>
        </w:rPr>
        <w:t>Gemmatimonas</w:t>
      </w:r>
      <w:proofErr w:type="spellEnd"/>
      <w:r w:rsidRPr="00203EB0">
        <w:rPr>
          <w:i/>
        </w:rPr>
        <w:t xml:space="preserve"> </w:t>
      </w:r>
      <w:r w:rsidRPr="00203EB0">
        <w:t xml:space="preserve">sp., </w:t>
      </w:r>
      <w:r w:rsidRPr="00203EB0">
        <w:rPr>
          <w:i/>
        </w:rPr>
        <w:t>Candidatus</w:t>
      </w:r>
      <w:r w:rsidRPr="00203EB0">
        <w:t xml:space="preserve"> </w:t>
      </w:r>
      <w:proofErr w:type="spellStart"/>
      <w:r w:rsidRPr="00203EB0">
        <w:t>Nitrosotalea</w:t>
      </w:r>
      <w:proofErr w:type="spellEnd"/>
      <w:r w:rsidRPr="00203EB0">
        <w:t xml:space="preserve"> sp., </w:t>
      </w:r>
      <w:proofErr w:type="spellStart"/>
      <w:r w:rsidRPr="00203EB0">
        <w:t>Ktedonobacteraceae</w:t>
      </w:r>
      <w:proofErr w:type="spellEnd"/>
      <w:r w:rsidRPr="00203EB0">
        <w:t xml:space="preserve"> sp., and </w:t>
      </w:r>
      <w:proofErr w:type="spellStart"/>
      <w:r w:rsidRPr="00203EB0">
        <w:rPr>
          <w:i/>
        </w:rPr>
        <w:t>Mizugakiibacter</w:t>
      </w:r>
      <w:proofErr w:type="spellEnd"/>
      <w:r w:rsidRPr="00203EB0">
        <w:t xml:space="preserve"> sp. were positively associated with fertilization (</w:t>
      </w:r>
      <w:r w:rsidRPr="00203EB0">
        <w:rPr>
          <w:b/>
        </w:rPr>
        <w:t xml:space="preserve">Table </w:t>
      </w:r>
      <w:r w:rsidR="003E786C" w:rsidRPr="00203EB0">
        <w:rPr>
          <w:b/>
        </w:rPr>
        <w:t>5.3</w:t>
      </w:r>
      <w:r w:rsidRPr="00203EB0">
        <w:t xml:space="preserve">), whereas in the subsoil, </w:t>
      </w:r>
      <w:proofErr w:type="spellStart"/>
      <w:r w:rsidRPr="00203EB0">
        <w:t>Micropepsaceae</w:t>
      </w:r>
      <w:proofErr w:type="spellEnd"/>
      <w:r w:rsidRPr="00203EB0">
        <w:t xml:space="preserve"> sp. and </w:t>
      </w:r>
      <w:r w:rsidRPr="00203EB0">
        <w:rPr>
          <w:i/>
        </w:rPr>
        <w:t>Candidatus</w:t>
      </w:r>
      <w:r w:rsidRPr="00203EB0">
        <w:t xml:space="preserve"> </w:t>
      </w:r>
      <w:proofErr w:type="spellStart"/>
      <w:r w:rsidRPr="00203EB0">
        <w:t>Nitrosotalea</w:t>
      </w:r>
      <w:proofErr w:type="spellEnd"/>
      <w:r w:rsidRPr="00203EB0">
        <w:t xml:space="preserve"> sp. showed significant responses to N fertilization (</w:t>
      </w:r>
      <w:r w:rsidRPr="00203EB0">
        <w:rPr>
          <w:b/>
        </w:rPr>
        <w:t>Table 5.4</w:t>
      </w:r>
      <w:r w:rsidRPr="00203EB0">
        <w:t xml:space="preserve">). </w:t>
      </w:r>
      <w:proofErr w:type="gramStart"/>
      <w:r w:rsidRPr="00203EB0">
        <w:t>All of</w:t>
      </w:r>
      <w:proofErr w:type="gramEnd"/>
      <w:r w:rsidRPr="00203EB0">
        <w:t xml:space="preserve"> these </w:t>
      </w:r>
      <w:proofErr w:type="gramStart"/>
      <w:r w:rsidRPr="00203EB0">
        <w:t>taxa</w:t>
      </w:r>
      <w:proofErr w:type="gramEnd"/>
      <w:r w:rsidRPr="00203EB0">
        <w:t xml:space="preserve"> </w:t>
      </w:r>
      <w:r w:rsidR="007B2FF0">
        <w:t>were previously reported as being associated with</w:t>
      </w:r>
      <w:r w:rsidRPr="00203EB0">
        <w:t xml:space="preserve"> nitrate respiration or aerobic ammonia oxidation pathways (</w:t>
      </w:r>
      <w:r w:rsidRPr="00203EB0">
        <w:rPr>
          <w:b/>
        </w:rPr>
        <w:t>Table 5.5</w:t>
      </w:r>
      <w:r w:rsidRPr="00203EB0">
        <w:t xml:space="preserve">). Tillage also </w:t>
      </w:r>
      <w:r w:rsidR="007B2FF0">
        <w:t>influenc</w:t>
      </w:r>
      <w:r w:rsidRPr="00203EB0">
        <w:t xml:space="preserve">ed the relative abundance of several </w:t>
      </w:r>
      <w:proofErr w:type="gramStart"/>
      <w:r w:rsidRPr="00203EB0">
        <w:t>taxa</w:t>
      </w:r>
      <w:proofErr w:type="gramEnd"/>
      <w:r w:rsidRPr="00203EB0">
        <w:t xml:space="preserve">. In the topsoil, </w:t>
      </w:r>
      <w:proofErr w:type="spellStart"/>
      <w:r w:rsidRPr="00203EB0">
        <w:rPr>
          <w:i/>
        </w:rPr>
        <w:t>Pseudarthrobacter</w:t>
      </w:r>
      <w:proofErr w:type="spellEnd"/>
      <w:r w:rsidRPr="00203EB0">
        <w:t xml:space="preserve"> sp., </w:t>
      </w:r>
      <w:proofErr w:type="spellStart"/>
      <w:r w:rsidRPr="00203EB0">
        <w:t>Ktedonobacteraceae</w:t>
      </w:r>
      <w:proofErr w:type="spellEnd"/>
      <w:r w:rsidRPr="00203EB0">
        <w:t xml:space="preserve"> sp., and </w:t>
      </w:r>
      <w:proofErr w:type="spellStart"/>
      <w:r w:rsidRPr="00203EB0">
        <w:rPr>
          <w:i/>
        </w:rPr>
        <w:t>Mizugakiibacter</w:t>
      </w:r>
      <w:proofErr w:type="spellEnd"/>
      <w:r w:rsidRPr="00203EB0">
        <w:t xml:space="preserve"> sp., w</w:t>
      </w:r>
      <w:r w:rsidR="00F444E4">
        <w:t>ere more abundant</w:t>
      </w:r>
      <w:r w:rsidRPr="00203EB0">
        <w:t xml:space="preserve"> under CT </w:t>
      </w:r>
      <w:r w:rsidR="00F444E4">
        <w:t>than</w:t>
      </w:r>
      <w:r w:rsidRPr="00203EB0">
        <w:t xml:space="preserve"> NT (p-value </w:t>
      </w:r>
      <m:oMath>
        <m:r>
          <m:rPr>
            <m:sty m:val="bi"/>
          </m:rPr>
          <w:rPr>
            <w:rFonts w:ascii="Cambria Math" w:hAnsi="Cambria Math"/>
          </w:rPr>
          <m:t>≤</m:t>
        </m:r>
      </m:oMath>
      <w:r w:rsidRPr="00203EB0">
        <w:t xml:space="preserve"> 0.05), while </w:t>
      </w:r>
      <w:proofErr w:type="spellStart"/>
      <w:r w:rsidRPr="00203EB0">
        <w:rPr>
          <w:i/>
        </w:rPr>
        <w:t>Sphingomonas</w:t>
      </w:r>
      <w:proofErr w:type="spellEnd"/>
      <w:r w:rsidRPr="00203EB0">
        <w:t xml:space="preserve"> sp. and </w:t>
      </w:r>
      <w:r w:rsidRPr="00203EB0">
        <w:rPr>
          <w:i/>
        </w:rPr>
        <w:t xml:space="preserve">Flavobacterium </w:t>
      </w:r>
      <w:proofErr w:type="spellStart"/>
      <w:r w:rsidRPr="00203EB0">
        <w:rPr>
          <w:i/>
        </w:rPr>
        <w:t>ginsengisoli</w:t>
      </w:r>
      <w:proofErr w:type="spellEnd"/>
      <w:r w:rsidRPr="00203EB0">
        <w:t xml:space="preserve"> showed marginal responses (p-value </w:t>
      </w:r>
      <m:oMath>
        <m:r>
          <m:rPr>
            <m:sty m:val="bi"/>
          </m:rPr>
          <w:rPr>
            <w:rFonts w:ascii="Cambria Math" w:hAnsi="Cambria Math"/>
          </w:rPr>
          <m:t>≤</m:t>
        </m:r>
      </m:oMath>
      <w:r w:rsidRPr="00203EB0">
        <w:t xml:space="preserve"> 0.10) (</w:t>
      </w:r>
      <w:r w:rsidRPr="00203EB0">
        <w:rPr>
          <w:b/>
        </w:rPr>
        <w:t>Table 5.3</w:t>
      </w:r>
      <w:r w:rsidRPr="00203EB0">
        <w:t xml:space="preserve">). In the subsoil, only </w:t>
      </w:r>
      <w:proofErr w:type="spellStart"/>
      <w:r w:rsidRPr="00203EB0">
        <w:rPr>
          <w:i/>
        </w:rPr>
        <w:t>Pseudogulbenkiania</w:t>
      </w:r>
      <w:proofErr w:type="spellEnd"/>
      <w:r w:rsidRPr="00203EB0">
        <w:t xml:space="preserve"> sp. was significantly affected by tillage (</w:t>
      </w:r>
      <w:r w:rsidRPr="00203EB0">
        <w:rPr>
          <w:b/>
        </w:rPr>
        <w:t>Table 5.4</w:t>
      </w:r>
      <w:r w:rsidRPr="00203EB0">
        <w:t xml:space="preserve">). Notably, </w:t>
      </w:r>
      <w:proofErr w:type="spellStart"/>
      <w:r w:rsidRPr="00203EB0">
        <w:rPr>
          <w:i/>
        </w:rPr>
        <w:t>Sphingomonas</w:t>
      </w:r>
      <w:proofErr w:type="spellEnd"/>
      <w:r w:rsidRPr="00203EB0">
        <w:t xml:space="preserve"> sp., which plays a role in lignin and aromatic compound degradation, may respond to the tillage induced redistribution of cotton residues rich in recalcitrant carbon (</w:t>
      </w:r>
      <w:r w:rsidRPr="00203EB0">
        <w:rPr>
          <w:b/>
        </w:rPr>
        <w:t>Table 5.5</w:t>
      </w:r>
      <w:r w:rsidRPr="00203EB0">
        <w:t xml:space="preserve">). </w:t>
      </w:r>
      <w:r w:rsidR="00F444E4">
        <w:t>C</w:t>
      </w:r>
      <w:r w:rsidRPr="00203EB0">
        <w:t xml:space="preserve">over cropping </w:t>
      </w:r>
      <w:r w:rsidR="00F444E4">
        <w:t xml:space="preserve">effects </w:t>
      </w:r>
      <w:r w:rsidRPr="00203EB0">
        <w:t xml:space="preserve">were minimal. </w:t>
      </w:r>
      <w:r w:rsidR="00F444E4">
        <w:t>N</w:t>
      </w:r>
      <w:r w:rsidRPr="00203EB0">
        <w:t>o significant changes were observed in the topsoil (</w:t>
      </w:r>
      <w:r w:rsidRPr="00203EB0">
        <w:rPr>
          <w:b/>
        </w:rPr>
        <w:t>Table 5.3</w:t>
      </w:r>
      <w:r w:rsidRPr="00203EB0">
        <w:t xml:space="preserve">), </w:t>
      </w:r>
      <w:r w:rsidR="00F444E4">
        <w:t xml:space="preserve">and in the subsoil </w:t>
      </w:r>
      <w:r w:rsidRPr="00203EB0">
        <w:t xml:space="preserve">only Amb-16S-1323 and </w:t>
      </w:r>
      <w:proofErr w:type="spellStart"/>
      <w:r w:rsidRPr="00203EB0">
        <w:t>Micropepsaceae</w:t>
      </w:r>
      <w:proofErr w:type="spellEnd"/>
      <w:r w:rsidRPr="00203EB0">
        <w:t xml:space="preserve"> sp. </w:t>
      </w:r>
      <w:r w:rsidR="00F444E4">
        <w:t xml:space="preserve">responded </w:t>
      </w:r>
      <w:r w:rsidRPr="00203EB0">
        <w:t>significant</w:t>
      </w:r>
      <w:r w:rsidR="00F444E4">
        <w:t xml:space="preserve">ly </w:t>
      </w:r>
      <w:r w:rsidRPr="00203EB0">
        <w:t>(</w:t>
      </w:r>
      <w:r w:rsidRPr="00203EB0">
        <w:rPr>
          <w:b/>
        </w:rPr>
        <w:t>Table 5.4</w:t>
      </w:r>
      <w:r w:rsidRPr="00203EB0">
        <w:t xml:space="preserve">). </w:t>
      </w:r>
    </w:p>
    <w:p w14:paraId="2DF55CFA" w14:textId="77777777" w:rsidR="00F444E4" w:rsidRDefault="00F444E4" w:rsidP="003E786C">
      <w:pPr>
        <w:rPr>
          <w:b/>
          <w:bCs/>
        </w:rPr>
      </w:pPr>
      <w:bookmarkStart w:id="102" w:name="_Toc206669226"/>
    </w:p>
    <w:p w14:paraId="2E30DA14" w14:textId="54A08AB0" w:rsidR="003E786C" w:rsidRPr="00203EB0" w:rsidRDefault="003E786C" w:rsidP="003E786C">
      <w:pPr>
        <w:rPr>
          <w:rFonts w:eastAsiaTheme="minorEastAsia" w:cs="Times New Roman"/>
        </w:rPr>
      </w:pPr>
      <w:r w:rsidRPr="00203EB0">
        <w:rPr>
          <w:b/>
          <w:bCs/>
        </w:rPr>
        <w:lastRenderedPageBreak/>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5</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3</w:t>
      </w:r>
      <w:r w:rsidR="00775F57" w:rsidRPr="00203EB0">
        <w:rPr>
          <w:b/>
          <w:bCs/>
        </w:rPr>
        <w:fldChar w:fldCharType="end"/>
      </w:r>
      <w:r w:rsidRPr="00203EB0">
        <w:rPr>
          <w:b/>
          <w:bCs/>
        </w:rPr>
        <w:t>:</w:t>
      </w:r>
      <w:r w:rsidRPr="00203EB0">
        <w:t xml:space="preserve"> </w:t>
      </w:r>
      <w:r w:rsidRPr="00203EB0">
        <w:rPr>
          <w:rFonts w:cs="Times New Roman"/>
        </w:rPr>
        <w:t>Effects of management practices and sampling time-point on the relative abundance of microbial taxa associated with N</w:t>
      </w:r>
      <w:r w:rsidRPr="00203EB0">
        <w:rPr>
          <w:rFonts w:cs="Times New Roman"/>
          <w:vertAlign w:val="subscript"/>
        </w:rPr>
        <w:t>2</w:t>
      </w:r>
      <w:r w:rsidRPr="00203EB0">
        <w:rPr>
          <w:rFonts w:cs="Times New Roman"/>
        </w:rPr>
        <w:t xml:space="preserve">O emissions in the 0-10 cm soil layer. F-test statistics are shown, with significance levels indicated as follows: * 0.05 &lt; P </w:t>
      </w:r>
      <m:oMath>
        <m:r>
          <w:rPr>
            <w:rFonts w:ascii="Cambria Math" w:hAnsi="Cambria Math" w:cs="Times New Roman"/>
          </w:rPr>
          <m:t>≤</m:t>
        </m:r>
      </m:oMath>
      <w:r w:rsidRPr="00203EB0">
        <w:rPr>
          <w:rFonts w:eastAsiaTheme="minorEastAsia" w:cs="Times New Roman"/>
        </w:rPr>
        <w:t xml:space="preserve"> 0.10, </w:t>
      </w:r>
      <w:r w:rsidRPr="00203EB0">
        <w:rPr>
          <w:rFonts w:cs="Times New Roman"/>
        </w:rPr>
        <w:t xml:space="preserve">** 0.001 &lt; P </w:t>
      </w:r>
      <m:oMath>
        <m:r>
          <w:rPr>
            <w:rFonts w:ascii="Cambria Math" w:hAnsi="Cambria Math" w:cs="Times New Roman"/>
          </w:rPr>
          <m:t>≤</m:t>
        </m:r>
      </m:oMath>
      <w:r w:rsidRPr="00203EB0">
        <w:rPr>
          <w:rFonts w:eastAsiaTheme="minorEastAsia" w:cs="Times New Roman"/>
        </w:rPr>
        <w:t xml:space="preserve"> 0.05, *** </w:t>
      </w:r>
      <w:proofErr w:type="spellStart"/>
      <w:r w:rsidRPr="00203EB0">
        <w:rPr>
          <w:rFonts w:cs="Times New Roman"/>
        </w:rPr>
        <w:t>P</w:t>
      </w:r>
      <w:proofErr w:type="spellEnd"/>
      <w:r w:rsidRPr="00203EB0">
        <w:rPr>
          <w:rFonts w:cs="Times New Roman"/>
        </w:rPr>
        <w:t xml:space="preserve"> </w:t>
      </w:r>
      <m:oMath>
        <m:r>
          <w:rPr>
            <w:rFonts w:ascii="Cambria Math" w:hAnsi="Cambria Math" w:cs="Times New Roman"/>
          </w:rPr>
          <m:t>≤</m:t>
        </m:r>
      </m:oMath>
      <w:r w:rsidRPr="00203EB0">
        <w:rPr>
          <w:rFonts w:eastAsiaTheme="minorEastAsia" w:cs="Times New Roman"/>
        </w:rPr>
        <w:t xml:space="preserve"> 0.001, and NS (not significant) P &gt; 0.10. When significant, the direction of relative abundance shifts is indicated based on Tukey’s HSD test.</w:t>
      </w:r>
      <w:bookmarkEnd w:id="102"/>
    </w:p>
    <w:p w14:paraId="267A8095" w14:textId="77777777" w:rsidR="003E786C" w:rsidRPr="00203EB0" w:rsidRDefault="003E786C" w:rsidP="003E786C">
      <w:pPr>
        <w:rPr>
          <w:rFonts w:eastAsiaTheme="minorEastAsia"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1"/>
        <w:gridCol w:w="1498"/>
        <w:gridCol w:w="1407"/>
        <w:gridCol w:w="1377"/>
        <w:gridCol w:w="1457"/>
      </w:tblGrid>
      <w:tr w:rsidR="003E786C" w:rsidRPr="00203EB0" w14:paraId="2CE0FD5A" w14:textId="77777777" w:rsidTr="00C17D6E">
        <w:trPr>
          <w:trHeight w:val="242"/>
        </w:trPr>
        <w:tc>
          <w:tcPr>
            <w:tcW w:w="5000" w:type="pct"/>
            <w:gridSpan w:val="5"/>
            <w:tcBorders>
              <w:top w:val="single" w:sz="4" w:space="0" w:color="auto"/>
              <w:bottom w:val="single" w:sz="4" w:space="0" w:color="auto"/>
            </w:tcBorders>
          </w:tcPr>
          <w:p w14:paraId="6D35328B" w14:textId="77777777" w:rsidR="003E786C" w:rsidRPr="00203EB0" w:rsidRDefault="003E786C" w:rsidP="00C17D6E">
            <w:pPr>
              <w:jc w:val="center"/>
              <w:rPr>
                <w:rFonts w:cs="Times New Roman"/>
                <w:b/>
              </w:rPr>
            </w:pPr>
            <w:r w:rsidRPr="00203EB0">
              <w:rPr>
                <w:rFonts w:cs="Times New Roman"/>
                <w:b/>
              </w:rPr>
              <w:t>0-10 cm</w:t>
            </w:r>
          </w:p>
        </w:tc>
      </w:tr>
      <w:tr w:rsidR="003E786C" w:rsidRPr="00203EB0" w14:paraId="62F398BE" w14:textId="77777777" w:rsidTr="003E786C">
        <w:trPr>
          <w:trHeight w:val="493"/>
        </w:trPr>
        <w:tc>
          <w:tcPr>
            <w:tcW w:w="1679" w:type="pct"/>
            <w:tcBorders>
              <w:top w:val="single" w:sz="4" w:space="0" w:color="auto"/>
              <w:bottom w:val="single" w:sz="4" w:space="0" w:color="auto"/>
            </w:tcBorders>
            <w:vAlign w:val="center"/>
          </w:tcPr>
          <w:p w14:paraId="4E642D1A" w14:textId="77777777" w:rsidR="003E786C" w:rsidRPr="00203EB0" w:rsidRDefault="003E786C" w:rsidP="00F444E4">
            <w:pPr>
              <w:jc w:val="left"/>
              <w:rPr>
                <w:rFonts w:cs="Times New Roman"/>
                <w:b/>
              </w:rPr>
            </w:pPr>
            <w:r w:rsidRPr="00203EB0">
              <w:rPr>
                <w:rFonts w:cs="Times New Roman"/>
                <w:b/>
              </w:rPr>
              <w:t>Lowest assigned Taxonomic Level</w:t>
            </w:r>
          </w:p>
        </w:tc>
        <w:tc>
          <w:tcPr>
            <w:tcW w:w="867" w:type="pct"/>
            <w:tcBorders>
              <w:top w:val="single" w:sz="4" w:space="0" w:color="auto"/>
              <w:bottom w:val="single" w:sz="4" w:space="0" w:color="auto"/>
            </w:tcBorders>
            <w:vAlign w:val="center"/>
          </w:tcPr>
          <w:p w14:paraId="74231C41" w14:textId="77777777" w:rsidR="003E786C" w:rsidRPr="00203EB0" w:rsidRDefault="003E786C" w:rsidP="00C17D6E">
            <w:pPr>
              <w:rPr>
                <w:rFonts w:cs="Times New Roman"/>
                <w:b/>
              </w:rPr>
            </w:pPr>
            <w:r w:rsidRPr="00203EB0">
              <w:rPr>
                <w:rFonts w:cs="Times New Roman"/>
                <w:b/>
              </w:rPr>
              <w:t xml:space="preserve">Sampling Time-point </w:t>
            </w:r>
          </w:p>
        </w:tc>
        <w:tc>
          <w:tcPr>
            <w:tcW w:w="814" w:type="pct"/>
            <w:tcBorders>
              <w:top w:val="single" w:sz="4" w:space="0" w:color="auto"/>
              <w:bottom w:val="single" w:sz="4" w:space="0" w:color="auto"/>
            </w:tcBorders>
            <w:vAlign w:val="center"/>
          </w:tcPr>
          <w:p w14:paraId="01FFD357" w14:textId="77777777" w:rsidR="003E786C" w:rsidRPr="00203EB0" w:rsidRDefault="003E786C" w:rsidP="00C17D6E">
            <w:pPr>
              <w:rPr>
                <w:rFonts w:cs="Times New Roman"/>
                <w:b/>
              </w:rPr>
            </w:pPr>
            <w:r w:rsidRPr="00203EB0">
              <w:rPr>
                <w:rFonts w:cs="Times New Roman"/>
                <w:b/>
              </w:rPr>
              <w:t>Fertilizer</w:t>
            </w:r>
          </w:p>
        </w:tc>
        <w:tc>
          <w:tcPr>
            <w:tcW w:w="797" w:type="pct"/>
            <w:tcBorders>
              <w:top w:val="single" w:sz="4" w:space="0" w:color="auto"/>
              <w:bottom w:val="single" w:sz="4" w:space="0" w:color="auto"/>
            </w:tcBorders>
            <w:vAlign w:val="center"/>
          </w:tcPr>
          <w:p w14:paraId="4E5B6F78" w14:textId="77777777" w:rsidR="003E786C" w:rsidRPr="00203EB0" w:rsidRDefault="003E786C" w:rsidP="00C17D6E">
            <w:pPr>
              <w:rPr>
                <w:rFonts w:cs="Times New Roman"/>
                <w:b/>
              </w:rPr>
            </w:pPr>
            <w:r w:rsidRPr="00203EB0">
              <w:rPr>
                <w:rFonts w:cs="Times New Roman"/>
                <w:b/>
              </w:rPr>
              <w:t>Tillage</w:t>
            </w:r>
          </w:p>
        </w:tc>
        <w:tc>
          <w:tcPr>
            <w:tcW w:w="843" w:type="pct"/>
            <w:tcBorders>
              <w:top w:val="single" w:sz="4" w:space="0" w:color="auto"/>
              <w:bottom w:val="single" w:sz="4" w:space="0" w:color="auto"/>
            </w:tcBorders>
            <w:vAlign w:val="center"/>
          </w:tcPr>
          <w:p w14:paraId="24D037A6" w14:textId="77777777" w:rsidR="003E786C" w:rsidRPr="00203EB0" w:rsidRDefault="003E786C" w:rsidP="00C17D6E">
            <w:pPr>
              <w:rPr>
                <w:rFonts w:cs="Times New Roman"/>
                <w:b/>
              </w:rPr>
            </w:pPr>
            <w:r w:rsidRPr="00203EB0">
              <w:rPr>
                <w:rFonts w:cs="Times New Roman"/>
                <w:b/>
              </w:rPr>
              <w:t>Cover Crop</w:t>
            </w:r>
          </w:p>
        </w:tc>
      </w:tr>
      <w:tr w:rsidR="003E786C" w:rsidRPr="00203EB0" w14:paraId="2D7BB351" w14:textId="77777777" w:rsidTr="003E786C">
        <w:trPr>
          <w:trHeight w:val="19"/>
        </w:trPr>
        <w:tc>
          <w:tcPr>
            <w:tcW w:w="1679" w:type="pct"/>
            <w:tcBorders>
              <w:top w:val="single" w:sz="4" w:space="0" w:color="auto"/>
              <w:bottom w:val="single" w:sz="4" w:space="0" w:color="auto"/>
            </w:tcBorders>
            <w:vAlign w:val="center"/>
          </w:tcPr>
          <w:p w14:paraId="3637AF21" w14:textId="77777777" w:rsidR="003E786C" w:rsidRPr="00203EB0" w:rsidRDefault="003E786C" w:rsidP="00C17D6E">
            <w:pPr>
              <w:rPr>
                <w:rFonts w:cs="Times New Roman"/>
                <w:i/>
              </w:rPr>
            </w:pPr>
            <w:proofErr w:type="spellStart"/>
            <w:r w:rsidRPr="00203EB0">
              <w:rPr>
                <w:rFonts w:cs="Times New Roman"/>
                <w:i/>
              </w:rPr>
              <w:t>Pseudarthrobacter</w:t>
            </w:r>
            <w:proofErr w:type="spellEnd"/>
          </w:p>
        </w:tc>
        <w:tc>
          <w:tcPr>
            <w:tcW w:w="867" w:type="pct"/>
            <w:tcBorders>
              <w:top w:val="single" w:sz="4" w:space="0" w:color="auto"/>
              <w:bottom w:val="single" w:sz="4" w:space="0" w:color="auto"/>
            </w:tcBorders>
          </w:tcPr>
          <w:p w14:paraId="1146535E" w14:textId="77777777" w:rsidR="003E786C" w:rsidRPr="00203EB0" w:rsidRDefault="003E786C" w:rsidP="00C17D6E">
            <w:pPr>
              <w:rPr>
                <w:rFonts w:cs="Times New Roman"/>
                <w:color w:val="000000"/>
              </w:rPr>
            </w:pPr>
            <w:r w:rsidRPr="00203EB0">
              <w:rPr>
                <w:rFonts w:cs="Times New Roman"/>
                <w:color w:val="000000"/>
              </w:rPr>
              <w:t>F = 17.63***</w:t>
            </w:r>
          </w:p>
          <w:p w14:paraId="51F8F079" w14:textId="77777777" w:rsidR="003E786C" w:rsidRPr="00203EB0" w:rsidRDefault="003E786C" w:rsidP="00C17D6E">
            <w:pPr>
              <w:rPr>
                <w:rFonts w:cs="Times New Roman"/>
                <w:color w:val="000000"/>
              </w:rPr>
            </w:pPr>
            <w:r w:rsidRPr="00203EB0">
              <w:rPr>
                <w:rFonts w:cs="Times New Roman"/>
                <w:color w:val="000000"/>
              </w:rPr>
              <w:t>(Lower mid-growing season)</w:t>
            </w:r>
          </w:p>
        </w:tc>
        <w:tc>
          <w:tcPr>
            <w:tcW w:w="814" w:type="pct"/>
            <w:tcBorders>
              <w:top w:val="single" w:sz="4" w:space="0" w:color="auto"/>
              <w:bottom w:val="single" w:sz="4" w:space="0" w:color="auto"/>
            </w:tcBorders>
          </w:tcPr>
          <w:p w14:paraId="562E3C0E" w14:textId="77777777" w:rsidR="003E786C" w:rsidRPr="00203EB0" w:rsidRDefault="003E786C" w:rsidP="00C17D6E">
            <w:pPr>
              <w:rPr>
                <w:rFonts w:cs="Times New Roman"/>
                <w:color w:val="000000"/>
              </w:rPr>
            </w:pPr>
            <w:r w:rsidRPr="00203EB0">
              <w:rPr>
                <w:rFonts w:cs="Times New Roman"/>
                <w:color w:val="000000"/>
              </w:rPr>
              <w:t>F = 0.012</w:t>
            </w:r>
            <w:r w:rsidRPr="00203EB0">
              <w:rPr>
                <w:rFonts w:cs="Times New Roman"/>
                <w:color w:val="000000"/>
                <w:vertAlign w:val="superscript"/>
              </w:rPr>
              <w:t>NS</w:t>
            </w:r>
          </w:p>
        </w:tc>
        <w:tc>
          <w:tcPr>
            <w:tcW w:w="797" w:type="pct"/>
            <w:tcBorders>
              <w:top w:val="single" w:sz="4" w:space="0" w:color="auto"/>
              <w:bottom w:val="single" w:sz="4" w:space="0" w:color="auto"/>
            </w:tcBorders>
          </w:tcPr>
          <w:p w14:paraId="46C2C6B8" w14:textId="77777777" w:rsidR="003E786C" w:rsidRPr="00203EB0" w:rsidRDefault="003E786C" w:rsidP="00C17D6E">
            <w:pPr>
              <w:rPr>
                <w:rFonts w:cs="Times New Roman"/>
                <w:color w:val="000000"/>
              </w:rPr>
            </w:pPr>
            <w:r w:rsidRPr="00203EB0">
              <w:rPr>
                <w:rFonts w:cs="Times New Roman"/>
                <w:color w:val="000000"/>
              </w:rPr>
              <w:t>F = 3.91**</w:t>
            </w:r>
          </w:p>
          <w:p w14:paraId="394E4E52" w14:textId="77777777" w:rsidR="003E786C" w:rsidRPr="00203EB0" w:rsidRDefault="003E786C" w:rsidP="00C17D6E">
            <w:pPr>
              <w:rPr>
                <w:rFonts w:cs="Times New Roman"/>
                <w:color w:val="000000"/>
              </w:rPr>
            </w:pPr>
            <w:r w:rsidRPr="00203EB0">
              <w:rPr>
                <w:rFonts w:cs="Times New Roman"/>
                <w:color w:val="000000"/>
              </w:rPr>
              <w:t>CT &gt;NT</w:t>
            </w:r>
          </w:p>
        </w:tc>
        <w:tc>
          <w:tcPr>
            <w:tcW w:w="843" w:type="pct"/>
            <w:tcBorders>
              <w:top w:val="single" w:sz="4" w:space="0" w:color="auto"/>
              <w:bottom w:val="single" w:sz="4" w:space="0" w:color="auto"/>
            </w:tcBorders>
          </w:tcPr>
          <w:p w14:paraId="0C1F7297" w14:textId="77777777" w:rsidR="003E786C" w:rsidRPr="00203EB0" w:rsidRDefault="003E786C" w:rsidP="00C17D6E">
            <w:pPr>
              <w:rPr>
                <w:rFonts w:cs="Times New Roman"/>
                <w:color w:val="000000"/>
              </w:rPr>
            </w:pPr>
            <w:r w:rsidRPr="00203EB0">
              <w:rPr>
                <w:rFonts w:cs="Times New Roman"/>
                <w:color w:val="000000"/>
              </w:rPr>
              <w:t>F = 0.63</w:t>
            </w:r>
            <w:r w:rsidRPr="00203EB0">
              <w:rPr>
                <w:rFonts w:cs="Times New Roman"/>
                <w:color w:val="000000"/>
                <w:vertAlign w:val="superscript"/>
              </w:rPr>
              <w:t>NS</w:t>
            </w:r>
          </w:p>
        </w:tc>
      </w:tr>
      <w:tr w:rsidR="003E786C" w:rsidRPr="00203EB0" w14:paraId="15E6D2C2" w14:textId="77777777" w:rsidTr="003E786C">
        <w:trPr>
          <w:trHeight w:val="19"/>
        </w:trPr>
        <w:tc>
          <w:tcPr>
            <w:tcW w:w="1679" w:type="pct"/>
            <w:tcBorders>
              <w:top w:val="single" w:sz="4" w:space="0" w:color="auto"/>
              <w:bottom w:val="single" w:sz="4" w:space="0" w:color="auto"/>
            </w:tcBorders>
            <w:vAlign w:val="center"/>
          </w:tcPr>
          <w:p w14:paraId="7D9B078F" w14:textId="77777777" w:rsidR="003E786C" w:rsidRPr="00203EB0" w:rsidRDefault="003E786C" w:rsidP="00C17D6E">
            <w:pPr>
              <w:rPr>
                <w:rFonts w:cs="Times New Roman"/>
                <w:i/>
              </w:rPr>
            </w:pPr>
            <w:proofErr w:type="spellStart"/>
            <w:r w:rsidRPr="00203EB0">
              <w:rPr>
                <w:rFonts w:cs="Times New Roman"/>
                <w:i/>
              </w:rPr>
              <w:t>Sphingomonas</w:t>
            </w:r>
            <w:proofErr w:type="spellEnd"/>
          </w:p>
        </w:tc>
        <w:tc>
          <w:tcPr>
            <w:tcW w:w="867" w:type="pct"/>
            <w:tcBorders>
              <w:top w:val="single" w:sz="4" w:space="0" w:color="auto"/>
              <w:bottom w:val="single" w:sz="4" w:space="0" w:color="auto"/>
            </w:tcBorders>
          </w:tcPr>
          <w:p w14:paraId="3F7DF0AF" w14:textId="77777777" w:rsidR="003E786C" w:rsidRPr="00203EB0" w:rsidRDefault="003E786C" w:rsidP="00C17D6E">
            <w:pPr>
              <w:rPr>
                <w:rFonts w:cs="Times New Roman"/>
                <w:color w:val="000000"/>
              </w:rPr>
            </w:pPr>
            <w:r w:rsidRPr="00203EB0">
              <w:rPr>
                <w:rFonts w:cs="Times New Roman"/>
                <w:color w:val="000000"/>
              </w:rPr>
              <w:t xml:space="preserve">F = </w:t>
            </w:r>
            <w:proofErr w:type="gramStart"/>
            <w:r w:rsidRPr="00203EB0">
              <w:rPr>
                <w:rFonts w:cs="Times New Roman"/>
                <w:color w:val="000000"/>
              </w:rPr>
              <w:t>5.86**</w:t>
            </w:r>
            <w:proofErr w:type="gramEnd"/>
            <w:r w:rsidRPr="00203EB0">
              <w:rPr>
                <w:rFonts w:cs="Times New Roman"/>
                <w:color w:val="000000"/>
              </w:rPr>
              <w:t>*</w:t>
            </w:r>
          </w:p>
          <w:p w14:paraId="5D874D9A" w14:textId="77777777" w:rsidR="003E786C" w:rsidRPr="00203EB0" w:rsidRDefault="003E786C" w:rsidP="00C17D6E">
            <w:pPr>
              <w:rPr>
                <w:rFonts w:cs="Times New Roman"/>
                <w:color w:val="000000"/>
              </w:rPr>
            </w:pPr>
            <w:r w:rsidRPr="00203EB0">
              <w:rPr>
                <w:rFonts w:cs="Times New Roman"/>
                <w:color w:val="000000"/>
              </w:rPr>
              <w:t>(Higher mid-growing season)</w:t>
            </w:r>
          </w:p>
        </w:tc>
        <w:tc>
          <w:tcPr>
            <w:tcW w:w="814" w:type="pct"/>
            <w:tcBorders>
              <w:top w:val="single" w:sz="4" w:space="0" w:color="auto"/>
              <w:bottom w:val="single" w:sz="4" w:space="0" w:color="auto"/>
            </w:tcBorders>
          </w:tcPr>
          <w:p w14:paraId="2AB8F998" w14:textId="77777777" w:rsidR="003E786C" w:rsidRPr="00203EB0" w:rsidRDefault="003E786C" w:rsidP="00C17D6E">
            <w:pPr>
              <w:rPr>
                <w:rFonts w:cs="Times New Roman"/>
                <w:color w:val="000000"/>
              </w:rPr>
            </w:pPr>
            <w:r w:rsidRPr="00203EB0">
              <w:rPr>
                <w:rFonts w:cs="Times New Roman"/>
                <w:color w:val="000000"/>
              </w:rPr>
              <w:t>F &lt; 0.001</w:t>
            </w:r>
            <w:r w:rsidRPr="00203EB0">
              <w:rPr>
                <w:rFonts w:cs="Times New Roman"/>
                <w:color w:val="000000"/>
                <w:vertAlign w:val="superscript"/>
              </w:rPr>
              <w:t>NS</w:t>
            </w:r>
          </w:p>
        </w:tc>
        <w:tc>
          <w:tcPr>
            <w:tcW w:w="797" w:type="pct"/>
            <w:tcBorders>
              <w:top w:val="single" w:sz="4" w:space="0" w:color="auto"/>
              <w:bottom w:val="single" w:sz="4" w:space="0" w:color="auto"/>
            </w:tcBorders>
          </w:tcPr>
          <w:p w14:paraId="154BFE3C" w14:textId="77777777" w:rsidR="003E786C" w:rsidRPr="00203EB0" w:rsidRDefault="003E786C" w:rsidP="00C17D6E">
            <w:pPr>
              <w:rPr>
                <w:rFonts w:cs="Times New Roman"/>
                <w:color w:val="000000"/>
              </w:rPr>
            </w:pPr>
            <w:r w:rsidRPr="00203EB0">
              <w:rPr>
                <w:rFonts w:cs="Times New Roman"/>
                <w:color w:val="000000"/>
              </w:rPr>
              <w:t>F = 2.64*</w:t>
            </w:r>
          </w:p>
          <w:p w14:paraId="1F64F840" w14:textId="77777777" w:rsidR="003E786C" w:rsidRPr="00203EB0" w:rsidRDefault="003E786C" w:rsidP="00C17D6E">
            <w:pPr>
              <w:rPr>
                <w:rFonts w:cs="Times New Roman"/>
              </w:rPr>
            </w:pPr>
            <w:r w:rsidRPr="00203EB0">
              <w:rPr>
                <w:rFonts w:cs="Times New Roman"/>
              </w:rPr>
              <w:t>CT&gt;NT</w:t>
            </w:r>
          </w:p>
          <w:p w14:paraId="7F94686B" w14:textId="77777777" w:rsidR="003E786C" w:rsidRPr="00203EB0" w:rsidRDefault="003E786C" w:rsidP="00C17D6E">
            <w:pPr>
              <w:rPr>
                <w:rFonts w:cs="Times New Roman"/>
              </w:rPr>
            </w:pPr>
          </w:p>
        </w:tc>
        <w:tc>
          <w:tcPr>
            <w:tcW w:w="843" w:type="pct"/>
            <w:tcBorders>
              <w:top w:val="single" w:sz="4" w:space="0" w:color="auto"/>
              <w:bottom w:val="single" w:sz="4" w:space="0" w:color="auto"/>
            </w:tcBorders>
          </w:tcPr>
          <w:p w14:paraId="7B76C169" w14:textId="77777777" w:rsidR="003E786C" w:rsidRPr="00203EB0" w:rsidRDefault="003E786C" w:rsidP="00C17D6E">
            <w:pPr>
              <w:rPr>
                <w:rFonts w:cs="Times New Roman"/>
                <w:color w:val="000000"/>
              </w:rPr>
            </w:pPr>
            <w:r w:rsidRPr="00203EB0">
              <w:rPr>
                <w:rFonts w:cs="Times New Roman"/>
                <w:color w:val="000000"/>
              </w:rPr>
              <w:t>F = 1.47</w:t>
            </w:r>
            <w:r w:rsidRPr="00203EB0">
              <w:rPr>
                <w:rFonts w:cs="Times New Roman"/>
                <w:color w:val="000000"/>
                <w:vertAlign w:val="superscript"/>
              </w:rPr>
              <w:t>NS</w:t>
            </w:r>
          </w:p>
        </w:tc>
      </w:tr>
      <w:tr w:rsidR="003E786C" w:rsidRPr="00203EB0" w14:paraId="444F137B" w14:textId="77777777" w:rsidTr="003E786C">
        <w:trPr>
          <w:trHeight w:val="19"/>
        </w:trPr>
        <w:tc>
          <w:tcPr>
            <w:tcW w:w="1679" w:type="pct"/>
            <w:tcBorders>
              <w:top w:val="single" w:sz="4" w:space="0" w:color="auto"/>
              <w:bottom w:val="single" w:sz="4" w:space="0" w:color="auto"/>
            </w:tcBorders>
            <w:vAlign w:val="center"/>
          </w:tcPr>
          <w:p w14:paraId="53300875" w14:textId="77777777" w:rsidR="003E786C" w:rsidRPr="00203EB0" w:rsidRDefault="003E786C" w:rsidP="00C17D6E">
            <w:pPr>
              <w:rPr>
                <w:rFonts w:cs="Times New Roman"/>
              </w:rPr>
            </w:pPr>
            <w:r w:rsidRPr="00203EB0">
              <w:rPr>
                <w:rFonts w:cs="Times New Roman"/>
              </w:rPr>
              <w:t>SC-I-84</w:t>
            </w:r>
          </w:p>
        </w:tc>
        <w:tc>
          <w:tcPr>
            <w:tcW w:w="867" w:type="pct"/>
            <w:tcBorders>
              <w:top w:val="single" w:sz="4" w:space="0" w:color="auto"/>
              <w:bottom w:val="single" w:sz="4" w:space="0" w:color="auto"/>
            </w:tcBorders>
          </w:tcPr>
          <w:p w14:paraId="74C1623E" w14:textId="77777777" w:rsidR="003E786C" w:rsidRPr="00203EB0" w:rsidRDefault="003E786C" w:rsidP="00C17D6E">
            <w:pPr>
              <w:rPr>
                <w:rFonts w:cs="Times New Roman"/>
                <w:color w:val="000000"/>
              </w:rPr>
            </w:pPr>
            <w:r w:rsidRPr="00203EB0">
              <w:rPr>
                <w:rFonts w:cs="Times New Roman"/>
                <w:color w:val="000000"/>
              </w:rPr>
              <w:t>F = 2.07*</w:t>
            </w:r>
          </w:p>
          <w:p w14:paraId="39E2DA63" w14:textId="77777777" w:rsidR="003E786C" w:rsidRPr="00203EB0" w:rsidRDefault="003E786C" w:rsidP="00C17D6E">
            <w:pPr>
              <w:rPr>
                <w:rFonts w:cs="Times New Roman"/>
                <w:color w:val="000000"/>
              </w:rPr>
            </w:pPr>
            <w:r w:rsidRPr="00203EB0">
              <w:rPr>
                <w:rFonts w:cs="Times New Roman"/>
                <w:color w:val="000000"/>
              </w:rPr>
              <w:t>(Higher mid-growing season)</w:t>
            </w:r>
          </w:p>
        </w:tc>
        <w:tc>
          <w:tcPr>
            <w:tcW w:w="814" w:type="pct"/>
            <w:tcBorders>
              <w:top w:val="single" w:sz="4" w:space="0" w:color="auto"/>
              <w:bottom w:val="single" w:sz="4" w:space="0" w:color="auto"/>
            </w:tcBorders>
          </w:tcPr>
          <w:p w14:paraId="4EE0D72A" w14:textId="77777777" w:rsidR="003E786C" w:rsidRPr="00203EB0" w:rsidRDefault="003E786C" w:rsidP="00C17D6E">
            <w:pPr>
              <w:rPr>
                <w:rFonts w:cs="Times New Roman"/>
                <w:color w:val="000000"/>
              </w:rPr>
            </w:pPr>
            <w:r w:rsidRPr="00203EB0">
              <w:rPr>
                <w:rFonts w:cs="Times New Roman"/>
                <w:color w:val="000000"/>
              </w:rPr>
              <w:t>F = 4.32**</w:t>
            </w:r>
          </w:p>
          <w:p w14:paraId="22AB3FE0" w14:textId="77777777" w:rsidR="003E786C" w:rsidRPr="00203EB0" w:rsidRDefault="003E786C" w:rsidP="00C17D6E">
            <w:pPr>
              <w:rPr>
                <w:rFonts w:cs="Times New Roman"/>
                <w:color w:val="000000"/>
              </w:rPr>
            </w:pPr>
            <w:r w:rsidRPr="00203EB0">
              <w:rPr>
                <w:rFonts w:cs="Times New Roman"/>
                <w:color w:val="000000"/>
              </w:rPr>
              <w:t>0N &lt; 60N</w:t>
            </w:r>
          </w:p>
        </w:tc>
        <w:tc>
          <w:tcPr>
            <w:tcW w:w="797" w:type="pct"/>
            <w:tcBorders>
              <w:top w:val="single" w:sz="4" w:space="0" w:color="auto"/>
              <w:bottom w:val="single" w:sz="4" w:space="0" w:color="auto"/>
            </w:tcBorders>
          </w:tcPr>
          <w:p w14:paraId="1EBE3125" w14:textId="77777777" w:rsidR="003E786C" w:rsidRPr="00203EB0" w:rsidRDefault="003E786C" w:rsidP="00C17D6E">
            <w:pPr>
              <w:rPr>
                <w:rFonts w:cs="Times New Roman"/>
                <w:color w:val="000000"/>
              </w:rPr>
            </w:pPr>
            <w:r w:rsidRPr="00203EB0">
              <w:rPr>
                <w:rFonts w:cs="Times New Roman"/>
                <w:color w:val="000000"/>
              </w:rPr>
              <w:t>F = 0.44</w:t>
            </w:r>
            <w:r w:rsidRPr="00203EB0">
              <w:rPr>
                <w:rFonts w:cs="Times New Roman"/>
                <w:color w:val="000000"/>
                <w:vertAlign w:val="superscript"/>
              </w:rPr>
              <w:t>NS</w:t>
            </w:r>
          </w:p>
        </w:tc>
        <w:tc>
          <w:tcPr>
            <w:tcW w:w="843" w:type="pct"/>
            <w:tcBorders>
              <w:top w:val="single" w:sz="4" w:space="0" w:color="auto"/>
              <w:bottom w:val="single" w:sz="4" w:space="0" w:color="auto"/>
            </w:tcBorders>
          </w:tcPr>
          <w:p w14:paraId="017017D6" w14:textId="77777777" w:rsidR="003E786C" w:rsidRPr="00203EB0" w:rsidRDefault="003E786C" w:rsidP="00C17D6E">
            <w:pPr>
              <w:rPr>
                <w:rFonts w:cs="Times New Roman"/>
              </w:rPr>
            </w:pPr>
            <w:r w:rsidRPr="00203EB0">
              <w:rPr>
                <w:rFonts w:cs="Times New Roman"/>
                <w:color w:val="000000"/>
              </w:rPr>
              <w:t>F = 2.16</w:t>
            </w:r>
            <w:r w:rsidRPr="00203EB0">
              <w:rPr>
                <w:rFonts w:cs="Times New Roman"/>
                <w:color w:val="000000"/>
                <w:vertAlign w:val="superscript"/>
              </w:rPr>
              <w:t>NS</w:t>
            </w:r>
          </w:p>
        </w:tc>
      </w:tr>
      <w:tr w:rsidR="003E786C" w:rsidRPr="00203EB0" w14:paraId="3CA1158A" w14:textId="77777777" w:rsidTr="003E786C">
        <w:trPr>
          <w:trHeight w:val="19"/>
        </w:trPr>
        <w:tc>
          <w:tcPr>
            <w:tcW w:w="1679" w:type="pct"/>
            <w:tcBorders>
              <w:top w:val="single" w:sz="4" w:space="0" w:color="auto"/>
              <w:bottom w:val="single" w:sz="4" w:space="0" w:color="auto"/>
            </w:tcBorders>
            <w:vAlign w:val="center"/>
          </w:tcPr>
          <w:p w14:paraId="28AB2C01" w14:textId="77777777" w:rsidR="003E786C" w:rsidRPr="00203EB0" w:rsidRDefault="003E786C" w:rsidP="00C17D6E">
            <w:pPr>
              <w:rPr>
                <w:rFonts w:cs="Times New Roman"/>
              </w:rPr>
            </w:pPr>
            <w:proofErr w:type="spellStart"/>
            <w:r w:rsidRPr="00203EB0">
              <w:rPr>
                <w:rFonts w:cs="Times New Roman"/>
              </w:rPr>
              <w:t>Acetobacteraceae</w:t>
            </w:r>
            <w:proofErr w:type="spellEnd"/>
          </w:p>
        </w:tc>
        <w:tc>
          <w:tcPr>
            <w:tcW w:w="867" w:type="pct"/>
            <w:tcBorders>
              <w:top w:val="single" w:sz="4" w:space="0" w:color="auto"/>
              <w:bottom w:val="single" w:sz="4" w:space="0" w:color="auto"/>
            </w:tcBorders>
          </w:tcPr>
          <w:p w14:paraId="49C3EAE5" w14:textId="77777777" w:rsidR="003E786C" w:rsidRPr="00203EB0" w:rsidRDefault="003E786C" w:rsidP="00C17D6E">
            <w:pPr>
              <w:rPr>
                <w:rFonts w:cs="Times New Roman"/>
                <w:color w:val="000000"/>
              </w:rPr>
            </w:pPr>
            <w:r w:rsidRPr="00203EB0">
              <w:rPr>
                <w:rFonts w:cs="Times New Roman"/>
                <w:color w:val="000000"/>
              </w:rPr>
              <w:t>F = 1.49</w:t>
            </w:r>
            <w:r w:rsidRPr="00203EB0">
              <w:rPr>
                <w:rFonts w:cs="Times New Roman"/>
                <w:color w:val="000000"/>
                <w:vertAlign w:val="superscript"/>
              </w:rPr>
              <w:t>NS</w:t>
            </w:r>
          </w:p>
        </w:tc>
        <w:tc>
          <w:tcPr>
            <w:tcW w:w="814" w:type="pct"/>
            <w:tcBorders>
              <w:top w:val="single" w:sz="4" w:space="0" w:color="auto"/>
              <w:bottom w:val="single" w:sz="4" w:space="0" w:color="auto"/>
            </w:tcBorders>
          </w:tcPr>
          <w:p w14:paraId="7C17266F" w14:textId="77777777" w:rsidR="003E786C" w:rsidRPr="00203EB0" w:rsidRDefault="003E786C" w:rsidP="00C17D6E">
            <w:pPr>
              <w:rPr>
                <w:rFonts w:cs="Times New Roman"/>
                <w:color w:val="000000"/>
              </w:rPr>
            </w:pPr>
            <w:r w:rsidRPr="00203EB0">
              <w:rPr>
                <w:rFonts w:cs="Times New Roman"/>
                <w:color w:val="000000"/>
              </w:rPr>
              <w:t>F = 11.39**</w:t>
            </w:r>
          </w:p>
          <w:p w14:paraId="1F2A68F6" w14:textId="77777777" w:rsidR="003E786C" w:rsidRPr="00203EB0" w:rsidRDefault="003E786C" w:rsidP="00C17D6E">
            <w:pPr>
              <w:rPr>
                <w:rFonts w:cs="Times New Roman"/>
                <w:color w:val="000000"/>
              </w:rPr>
            </w:pPr>
            <w:r w:rsidRPr="00203EB0">
              <w:rPr>
                <w:rFonts w:cs="Times New Roman"/>
                <w:color w:val="000000"/>
              </w:rPr>
              <w:t>0N &lt; 60N</w:t>
            </w:r>
          </w:p>
        </w:tc>
        <w:tc>
          <w:tcPr>
            <w:tcW w:w="797" w:type="pct"/>
            <w:tcBorders>
              <w:top w:val="single" w:sz="4" w:space="0" w:color="auto"/>
              <w:bottom w:val="single" w:sz="4" w:space="0" w:color="auto"/>
            </w:tcBorders>
          </w:tcPr>
          <w:p w14:paraId="390969ED" w14:textId="77777777" w:rsidR="003E786C" w:rsidRPr="00203EB0" w:rsidRDefault="003E786C" w:rsidP="00C17D6E">
            <w:pPr>
              <w:rPr>
                <w:rFonts w:cs="Times New Roman"/>
                <w:color w:val="000000"/>
              </w:rPr>
            </w:pPr>
            <w:r w:rsidRPr="00203EB0">
              <w:rPr>
                <w:rFonts w:cs="Times New Roman"/>
                <w:color w:val="000000"/>
              </w:rPr>
              <w:t>F = 0.61</w:t>
            </w:r>
            <w:r w:rsidRPr="00203EB0">
              <w:rPr>
                <w:rFonts w:cs="Times New Roman"/>
                <w:color w:val="000000"/>
                <w:vertAlign w:val="superscript"/>
              </w:rPr>
              <w:t>NS</w:t>
            </w:r>
          </w:p>
        </w:tc>
        <w:tc>
          <w:tcPr>
            <w:tcW w:w="843" w:type="pct"/>
            <w:tcBorders>
              <w:top w:val="single" w:sz="4" w:space="0" w:color="auto"/>
              <w:bottom w:val="single" w:sz="4" w:space="0" w:color="auto"/>
            </w:tcBorders>
          </w:tcPr>
          <w:p w14:paraId="39318AA8" w14:textId="77777777" w:rsidR="003E786C" w:rsidRPr="00203EB0" w:rsidRDefault="003E786C" w:rsidP="00C17D6E">
            <w:pPr>
              <w:rPr>
                <w:rFonts w:cs="Times New Roman"/>
              </w:rPr>
            </w:pPr>
            <w:r w:rsidRPr="00203EB0">
              <w:rPr>
                <w:rFonts w:cs="Times New Roman"/>
                <w:color w:val="000000"/>
              </w:rPr>
              <w:t>F = 0.06</w:t>
            </w:r>
            <w:r w:rsidRPr="00203EB0">
              <w:rPr>
                <w:rFonts w:cs="Times New Roman"/>
                <w:color w:val="000000"/>
                <w:vertAlign w:val="superscript"/>
              </w:rPr>
              <w:t>NS</w:t>
            </w:r>
          </w:p>
        </w:tc>
      </w:tr>
      <w:tr w:rsidR="003E786C" w:rsidRPr="00203EB0" w14:paraId="32C908FB" w14:textId="77777777" w:rsidTr="003E786C">
        <w:trPr>
          <w:trHeight w:val="19"/>
        </w:trPr>
        <w:tc>
          <w:tcPr>
            <w:tcW w:w="1679" w:type="pct"/>
            <w:tcBorders>
              <w:top w:val="single" w:sz="4" w:space="0" w:color="auto"/>
              <w:bottom w:val="single" w:sz="4" w:space="0" w:color="auto"/>
            </w:tcBorders>
            <w:vAlign w:val="center"/>
          </w:tcPr>
          <w:p w14:paraId="0AC4260E" w14:textId="77777777" w:rsidR="003E786C" w:rsidRPr="00203EB0" w:rsidRDefault="003E786C" w:rsidP="00C17D6E">
            <w:pPr>
              <w:rPr>
                <w:rFonts w:cs="Times New Roman"/>
                <w:i/>
              </w:rPr>
            </w:pPr>
            <w:proofErr w:type="spellStart"/>
            <w:r w:rsidRPr="00203EB0">
              <w:rPr>
                <w:rFonts w:cs="Times New Roman"/>
                <w:i/>
              </w:rPr>
              <w:t>Gemmatimonas</w:t>
            </w:r>
            <w:proofErr w:type="spellEnd"/>
          </w:p>
        </w:tc>
        <w:tc>
          <w:tcPr>
            <w:tcW w:w="867" w:type="pct"/>
            <w:tcBorders>
              <w:top w:val="single" w:sz="4" w:space="0" w:color="auto"/>
              <w:bottom w:val="single" w:sz="4" w:space="0" w:color="auto"/>
            </w:tcBorders>
          </w:tcPr>
          <w:p w14:paraId="21F48F2D" w14:textId="77777777" w:rsidR="003E786C" w:rsidRPr="00203EB0" w:rsidRDefault="003E786C" w:rsidP="00C17D6E">
            <w:pPr>
              <w:rPr>
                <w:rFonts w:cs="Times New Roman"/>
                <w:color w:val="000000"/>
              </w:rPr>
            </w:pPr>
            <w:r w:rsidRPr="00203EB0">
              <w:rPr>
                <w:rFonts w:cs="Times New Roman"/>
                <w:color w:val="000000"/>
              </w:rPr>
              <w:t>F = 2.96**</w:t>
            </w:r>
          </w:p>
          <w:p w14:paraId="3E256BA4" w14:textId="77777777" w:rsidR="003E786C" w:rsidRPr="00203EB0" w:rsidRDefault="003E786C" w:rsidP="00C17D6E">
            <w:pPr>
              <w:rPr>
                <w:rFonts w:cs="Times New Roman"/>
                <w:color w:val="000000"/>
              </w:rPr>
            </w:pPr>
            <w:r w:rsidRPr="00203EB0">
              <w:rPr>
                <w:rFonts w:cs="Times New Roman"/>
                <w:color w:val="000000"/>
              </w:rPr>
              <w:t>(Higher mid-growing season)</w:t>
            </w:r>
          </w:p>
        </w:tc>
        <w:tc>
          <w:tcPr>
            <w:tcW w:w="814" w:type="pct"/>
            <w:tcBorders>
              <w:top w:val="single" w:sz="4" w:space="0" w:color="auto"/>
              <w:bottom w:val="single" w:sz="4" w:space="0" w:color="auto"/>
            </w:tcBorders>
          </w:tcPr>
          <w:p w14:paraId="3C9F588E" w14:textId="77777777" w:rsidR="003E786C" w:rsidRPr="00203EB0" w:rsidRDefault="003E786C" w:rsidP="00C17D6E">
            <w:pPr>
              <w:rPr>
                <w:rFonts w:cs="Times New Roman"/>
                <w:color w:val="000000"/>
              </w:rPr>
            </w:pPr>
            <w:r w:rsidRPr="00203EB0">
              <w:rPr>
                <w:rFonts w:cs="Times New Roman"/>
                <w:color w:val="000000"/>
              </w:rPr>
              <w:t>F = 16.95***</w:t>
            </w:r>
          </w:p>
          <w:p w14:paraId="48152198" w14:textId="77777777" w:rsidR="003E786C" w:rsidRPr="00203EB0" w:rsidRDefault="003E786C" w:rsidP="00C17D6E">
            <w:pPr>
              <w:rPr>
                <w:rFonts w:cs="Times New Roman"/>
                <w:color w:val="000000"/>
              </w:rPr>
            </w:pPr>
            <w:r w:rsidRPr="00203EB0">
              <w:rPr>
                <w:rFonts w:cs="Times New Roman"/>
                <w:color w:val="000000"/>
              </w:rPr>
              <w:t>0N &lt; 60N</w:t>
            </w:r>
          </w:p>
        </w:tc>
        <w:tc>
          <w:tcPr>
            <w:tcW w:w="797" w:type="pct"/>
            <w:tcBorders>
              <w:top w:val="single" w:sz="4" w:space="0" w:color="auto"/>
              <w:bottom w:val="single" w:sz="4" w:space="0" w:color="auto"/>
            </w:tcBorders>
          </w:tcPr>
          <w:p w14:paraId="6DB68E2C" w14:textId="77777777" w:rsidR="003E786C" w:rsidRPr="00203EB0" w:rsidRDefault="003E786C" w:rsidP="00C17D6E">
            <w:pPr>
              <w:rPr>
                <w:rFonts w:cs="Times New Roman"/>
                <w:color w:val="000000"/>
              </w:rPr>
            </w:pPr>
            <w:r w:rsidRPr="00203EB0">
              <w:rPr>
                <w:rFonts w:cs="Times New Roman"/>
                <w:color w:val="000000"/>
              </w:rPr>
              <w:t>F = 0.032</w:t>
            </w:r>
            <w:r w:rsidRPr="00203EB0">
              <w:rPr>
                <w:rFonts w:cs="Times New Roman"/>
                <w:color w:val="000000"/>
                <w:vertAlign w:val="superscript"/>
              </w:rPr>
              <w:t>NS</w:t>
            </w:r>
          </w:p>
        </w:tc>
        <w:tc>
          <w:tcPr>
            <w:tcW w:w="843" w:type="pct"/>
            <w:tcBorders>
              <w:top w:val="single" w:sz="4" w:space="0" w:color="auto"/>
              <w:bottom w:val="single" w:sz="4" w:space="0" w:color="auto"/>
            </w:tcBorders>
          </w:tcPr>
          <w:p w14:paraId="0F79128B" w14:textId="77777777" w:rsidR="003E786C" w:rsidRPr="00203EB0" w:rsidRDefault="003E786C" w:rsidP="00C17D6E">
            <w:pPr>
              <w:rPr>
                <w:rFonts w:cs="Times New Roman"/>
              </w:rPr>
            </w:pPr>
            <w:r w:rsidRPr="00203EB0">
              <w:rPr>
                <w:rFonts w:cs="Times New Roman"/>
                <w:color w:val="000000"/>
              </w:rPr>
              <w:t>F = 0.04</w:t>
            </w:r>
            <w:r w:rsidRPr="00203EB0">
              <w:rPr>
                <w:rFonts w:cs="Times New Roman"/>
                <w:color w:val="000000"/>
                <w:vertAlign w:val="superscript"/>
              </w:rPr>
              <w:t>NS</w:t>
            </w:r>
          </w:p>
        </w:tc>
      </w:tr>
      <w:tr w:rsidR="003E786C" w:rsidRPr="00203EB0" w14:paraId="5D3B4610" w14:textId="77777777" w:rsidTr="003E786C">
        <w:trPr>
          <w:trHeight w:val="19"/>
        </w:trPr>
        <w:tc>
          <w:tcPr>
            <w:tcW w:w="1679" w:type="pct"/>
            <w:tcBorders>
              <w:top w:val="single" w:sz="4" w:space="0" w:color="auto"/>
              <w:bottom w:val="single" w:sz="4" w:space="0" w:color="auto"/>
            </w:tcBorders>
            <w:vAlign w:val="center"/>
          </w:tcPr>
          <w:p w14:paraId="656A5EA5" w14:textId="77777777" w:rsidR="003E786C" w:rsidRPr="00203EB0" w:rsidRDefault="003E786C" w:rsidP="00C17D6E">
            <w:pPr>
              <w:rPr>
                <w:rFonts w:cs="Times New Roman"/>
              </w:rPr>
            </w:pPr>
            <w:r w:rsidRPr="00203EB0">
              <w:rPr>
                <w:rFonts w:cs="Times New Roman"/>
                <w:i/>
              </w:rPr>
              <w:t>Candidatus</w:t>
            </w:r>
            <w:r w:rsidRPr="00203EB0">
              <w:rPr>
                <w:rFonts w:cs="Times New Roman"/>
              </w:rPr>
              <w:t xml:space="preserve"> </w:t>
            </w:r>
            <w:proofErr w:type="spellStart"/>
            <w:r w:rsidRPr="00203EB0">
              <w:rPr>
                <w:rFonts w:cs="Times New Roman"/>
              </w:rPr>
              <w:t>Nitrosotalea</w:t>
            </w:r>
            <w:proofErr w:type="spellEnd"/>
          </w:p>
        </w:tc>
        <w:tc>
          <w:tcPr>
            <w:tcW w:w="867" w:type="pct"/>
            <w:tcBorders>
              <w:top w:val="single" w:sz="4" w:space="0" w:color="auto"/>
              <w:bottom w:val="single" w:sz="4" w:space="0" w:color="auto"/>
            </w:tcBorders>
          </w:tcPr>
          <w:p w14:paraId="3CBDDB80" w14:textId="77777777" w:rsidR="003E786C" w:rsidRPr="00203EB0" w:rsidRDefault="003E786C" w:rsidP="00C17D6E">
            <w:pPr>
              <w:rPr>
                <w:rFonts w:cs="Times New Roman"/>
                <w:color w:val="000000"/>
              </w:rPr>
            </w:pPr>
            <w:r w:rsidRPr="00203EB0">
              <w:rPr>
                <w:rFonts w:cs="Times New Roman"/>
                <w:color w:val="000000"/>
              </w:rPr>
              <w:t>F = 6.96***</w:t>
            </w:r>
          </w:p>
          <w:p w14:paraId="5A9A8521" w14:textId="77777777" w:rsidR="003E786C" w:rsidRPr="00203EB0" w:rsidRDefault="003E786C" w:rsidP="00C17D6E">
            <w:pPr>
              <w:rPr>
                <w:rFonts w:cs="Times New Roman"/>
                <w:color w:val="000000"/>
              </w:rPr>
            </w:pPr>
            <w:r w:rsidRPr="00203EB0">
              <w:rPr>
                <w:rFonts w:cs="Times New Roman"/>
                <w:color w:val="000000"/>
              </w:rPr>
              <w:t>(Higher mid-growing season)</w:t>
            </w:r>
          </w:p>
        </w:tc>
        <w:tc>
          <w:tcPr>
            <w:tcW w:w="814" w:type="pct"/>
            <w:tcBorders>
              <w:top w:val="single" w:sz="4" w:space="0" w:color="auto"/>
              <w:bottom w:val="single" w:sz="4" w:space="0" w:color="auto"/>
            </w:tcBorders>
          </w:tcPr>
          <w:p w14:paraId="74F235B3" w14:textId="77777777" w:rsidR="003E786C" w:rsidRPr="00203EB0" w:rsidRDefault="003E786C" w:rsidP="00C17D6E">
            <w:pPr>
              <w:rPr>
                <w:rFonts w:cs="Times New Roman"/>
                <w:color w:val="000000"/>
              </w:rPr>
            </w:pPr>
            <w:r w:rsidRPr="00203EB0">
              <w:rPr>
                <w:rFonts w:cs="Times New Roman"/>
                <w:color w:val="000000"/>
              </w:rPr>
              <w:t>F = 20.05***</w:t>
            </w:r>
          </w:p>
          <w:p w14:paraId="0B0317C1" w14:textId="77777777" w:rsidR="003E786C" w:rsidRPr="00203EB0" w:rsidRDefault="003E786C" w:rsidP="00C17D6E">
            <w:pPr>
              <w:rPr>
                <w:rFonts w:cs="Times New Roman"/>
                <w:color w:val="000000"/>
              </w:rPr>
            </w:pPr>
            <w:r w:rsidRPr="00203EB0">
              <w:rPr>
                <w:rFonts w:cs="Times New Roman"/>
                <w:color w:val="000000"/>
              </w:rPr>
              <w:t>0N &lt; 60N</w:t>
            </w:r>
          </w:p>
        </w:tc>
        <w:tc>
          <w:tcPr>
            <w:tcW w:w="797" w:type="pct"/>
            <w:tcBorders>
              <w:top w:val="single" w:sz="4" w:space="0" w:color="auto"/>
              <w:bottom w:val="single" w:sz="4" w:space="0" w:color="auto"/>
            </w:tcBorders>
          </w:tcPr>
          <w:p w14:paraId="10B3072E" w14:textId="77777777" w:rsidR="003E786C" w:rsidRPr="00203EB0" w:rsidRDefault="003E786C" w:rsidP="00C17D6E">
            <w:pPr>
              <w:rPr>
                <w:rFonts w:cs="Times New Roman"/>
                <w:color w:val="000000"/>
              </w:rPr>
            </w:pPr>
            <w:r w:rsidRPr="00203EB0">
              <w:rPr>
                <w:rFonts w:cs="Times New Roman"/>
                <w:color w:val="000000"/>
              </w:rPr>
              <w:t>F = 1.94</w:t>
            </w:r>
            <w:r w:rsidRPr="00203EB0">
              <w:rPr>
                <w:rFonts w:cs="Times New Roman"/>
                <w:color w:val="000000"/>
                <w:vertAlign w:val="superscript"/>
              </w:rPr>
              <w:t>NS</w:t>
            </w:r>
          </w:p>
        </w:tc>
        <w:tc>
          <w:tcPr>
            <w:tcW w:w="843" w:type="pct"/>
            <w:tcBorders>
              <w:top w:val="single" w:sz="4" w:space="0" w:color="auto"/>
              <w:bottom w:val="single" w:sz="4" w:space="0" w:color="auto"/>
            </w:tcBorders>
          </w:tcPr>
          <w:p w14:paraId="3F272ECD" w14:textId="77777777" w:rsidR="003E786C" w:rsidRPr="00203EB0" w:rsidRDefault="003E786C" w:rsidP="00C17D6E">
            <w:pPr>
              <w:rPr>
                <w:rFonts w:cs="Times New Roman"/>
                <w:color w:val="000000"/>
              </w:rPr>
            </w:pPr>
            <w:r w:rsidRPr="00203EB0">
              <w:rPr>
                <w:rFonts w:cs="Times New Roman"/>
                <w:color w:val="000000"/>
              </w:rPr>
              <w:t>F = 0.77</w:t>
            </w:r>
            <w:r w:rsidRPr="00203EB0">
              <w:rPr>
                <w:rFonts w:cs="Times New Roman"/>
                <w:color w:val="000000"/>
                <w:vertAlign w:val="superscript"/>
              </w:rPr>
              <w:t>NS</w:t>
            </w:r>
          </w:p>
        </w:tc>
      </w:tr>
      <w:tr w:rsidR="003E786C" w:rsidRPr="00203EB0" w14:paraId="658E092B" w14:textId="77777777" w:rsidTr="003E786C">
        <w:trPr>
          <w:trHeight w:val="19"/>
        </w:trPr>
        <w:tc>
          <w:tcPr>
            <w:tcW w:w="1679" w:type="pct"/>
            <w:tcBorders>
              <w:top w:val="single" w:sz="4" w:space="0" w:color="auto"/>
              <w:bottom w:val="single" w:sz="4" w:space="0" w:color="auto"/>
            </w:tcBorders>
            <w:vAlign w:val="center"/>
          </w:tcPr>
          <w:p w14:paraId="45FBBA9D" w14:textId="77777777" w:rsidR="003E786C" w:rsidRPr="00203EB0" w:rsidRDefault="003E786C" w:rsidP="00C17D6E">
            <w:pPr>
              <w:rPr>
                <w:rFonts w:cs="Times New Roman"/>
              </w:rPr>
            </w:pPr>
            <w:proofErr w:type="spellStart"/>
            <w:r w:rsidRPr="00203EB0">
              <w:rPr>
                <w:rFonts w:cs="Times New Roman"/>
              </w:rPr>
              <w:t>Micromonosporaceae</w:t>
            </w:r>
            <w:proofErr w:type="spellEnd"/>
          </w:p>
        </w:tc>
        <w:tc>
          <w:tcPr>
            <w:tcW w:w="867" w:type="pct"/>
            <w:tcBorders>
              <w:top w:val="single" w:sz="4" w:space="0" w:color="auto"/>
              <w:bottom w:val="single" w:sz="4" w:space="0" w:color="auto"/>
            </w:tcBorders>
          </w:tcPr>
          <w:p w14:paraId="6532FAF7" w14:textId="77777777" w:rsidR="003E786C" w:rsidRPr="00203EB0" w:rsidRDefault="003E786C" w:rsidP="00C17D6E">
            <w:pPr>
              <w:rPr>
                <w:rFonts w:cs="Times New Roman"/>
                <w:color w:val="000000"/>
              </w:rPr>
            </w:pPr>
            <w:r w:rsidRPr="00203EB0">
              <w:rPr>
                <w:rFonts w:cs="Times New Roman"/>
                <w:color w:val="000000"/>
              </w:rPr>
              <w:t>F = 6.26***</w:t>
            </w:r>
          </w:p>
          <w:p w14:paraId="6FD2BF14" w14:textId="77777777" w:rsidR="003E786C" w:rsidRPr="00203EB0" w:rsidRDefault="003E786C" w:rsidP="00C17D6E">
            <w:pPr>
              <w:rPr>
                <w:rFonts w:cs="Times New Roman"/>
                <w:color w:val="000000"/>
              </w:rPr>
            </w:pPr>
            <w:r w:rsidRPr="00203EB0">
              <w:rPr>
                <w:rFonts w:cs="Times New Roman"/>
                <w:color w:val="000000"/>
              </w:rPr>
              <w:t>(Higher mid-growing season)</w:t>
            </w:r>
          </w:p>
        </w:tc>
        <w:tc>
          <w:tcPr>
            <w:tcW w:w="814" w:type="pct"/>
            <w:tcBorders>
              <w:top w:val="single" w:sz="4" w:space="0" w:color="auto"/>
              <w:bottom w:val="single" w:sz="4" w:space="0" w:color="auto"/>
            </w:tcBorders>
          </w:tcPr>
          <w:p w14:paraId="02F94AF2" w14:textId="77777777" w:rsidR="003E786C" w:rsidRPr="00203EB0" w:rsidRDefault="003E786C" w:rsidP="00C17D6E">
            <w:pPr>
              <w:rPr>
                <w:rFonts w:cs="Times New Roman"/>
                <w:color w:val="000000"/>
              </w:rPr>
            </w:pPr>
            <w:r w:rsidRPr="00203EB0">
              <w:rPr>
                <w:rFonts w:cs="Times New Roman"/>
                <w:color w:val="000000"/>
              </w:rPr>
              <w:t>F = 0.013</w:t>
            </w:r>
            <w:r w:rsidRPr="00203EB0">
              <w:rPr>
                <w:rFonts w:cs="Times New Roman"/>
                <w:color w:val="000000"/>
                <w:vertAlign w:val="superscript"/>
              </w:rPr>
              <w:t>NS</w:t>
            </w:r>
          </w:p>
        </w:tc>
        <w:tc>
          <w:tcPr>
            <w:tcW w:w="797" w:type="pct"/>
            <w:tcBorders>
              <w:top w:val="single" w:sz="4" w:space="0" w:color="auto"/>
              <w:bottom w:val="single" w:sz="4" w:space="0" w:color="auto"/>
            </w:tcBorders>
          </w:tcPr>
          <w:p w14:paraId="30BCCFF3" w14:textId="77777777" w:rsidR="003E786C" w:rsidRPr="00203EB0" w:rsidRDefault="003E786C" w:rsidP="00C17D6E">
            <w:pPr>
              <w:rPr>
                <w:rFonts w:cs="Times New Roman"/>
                <w:color w:val="000000"/>
              </w:rPr>
            </w:pPr>
            <w:r w:rsidRPr="00203EB0">
              <w:rPr>
                <w:rFonts w:cs="Times New Roman"/>
                <w:color w:val="000000"/>
              </w:rPr>
              <w:t>F = 0.37</w:t>
            </w:r>
            <w:r w:rsidRPr="00203EB0">
              <w:rPr>
                <w:rFonts w:cs="Times New Roman"/>
                <w:color w:val="000000"/>
                <w:vertAlign w:val="superscript"/>
              </w:rPr>
              <w:t>NS</w:t>
            </w:r>
          </w:p>
        </w:tc>
        <w:tc>
          <w:tcPr>
            <w:tcW w:w="843" w:type="pct"/>
            <w:tcBorders>
              <w:top w:val="single" w:sz="4" w:space="0" w:color="auto"/>
              <w:bottom w:val="single" w:sz="4" w:space="0" w:color="auto"/>
            </w:tcBorders>
          </w:tcPr>
          <w:p w14:paraId="5682734C" w14:textId="77777777" w:rsidR="003E786C" w:rsidRPr="00203EB0" w:rsidRDefault="003E786C" w:rsidP="00C17D6E">
            <w:pPr>
              <w:rPr>
                <w:rFonts w:cs="Times New Roman"/>
              </w:rPr>
            </w:pPr>
            <w:r w:rsidRPr="00203EB0">
              <w:rPr>
                <w:rFonts w:cs="Times New Roman"/>
                <w:color w:val="000000"/>
              </w:rPr>
              <w:t>F = 0.05</w:t>
            </w:r>
            <w:r w:rsidRPr="00203EB0">
              <w:rPr>
                <w:rFonts w:cs="Times New Roman"/>
                <w:color w:val="000000"/>
                <w:vertAlign w:val="superscript"/>
              </w:rPr>
              <w:t>NS</w:t>
            </w:r>
          </w:p>
        </w:tc>
      </w:tr>
      <w:tr w:rsidR="003E786C" w:rsidRPr="00203EB0" w14:paraId="17F42604" w14:textId="77777777" w:rsidTr="003E786C">
        <w:trPr>
          <w:trHeight w:val="19"/>
        </w:trPr>
        <w:tc>
          <w:tcPr>
            <w:tcW w:w="1679" w:type="pct"/>
            <w:tcBorders>
              <w:top w:val="single" w:sz="4" w:space="0" w:color="auto"/>
              <w:bottom w:val="single" w:sz="4" w:space="0" w:color="auto"/>
            </w:tcBorders>
            <w:vAlign w:val="center"/>
          </w:tcPr>
          <w:p w14:paraId="1502994E" w14:textId="77777777" w:rsidR="003E786C" w:rsidRPr="00203EB0" w:rsidRDefault="003E786C" w:rsidP="00C17D6E">
            <w:pPr>
              <w:rPr>
                <w:rFonts w:cs="Times New Roman"/>
              </w:rPr>
            </w:pPr>
            <w:proofErr w:type="spellStart"/>
            <w:r w:rsidRPr="00203EB0">
              <w:rPr>
                <w:rFonts w:cs="Times New Roman"/>
              </w:rPr>
              <w:t>Ktedonobacteraceae</w:t>
            </w:r>
            <w:proofErr w:type="spellEnd"/>
          </w:p>
        </w:tc>
        <w:tc>
          <w:tcPr>
            <w:tcW w:w="867" w:type="pct"/>
            <w:tcBorders>
              <w:top w:val="single" w:sz="4" w:space="0" w:color="auto"/>
              <w:bottom w:val="single" w:sz="4" w:space="0" w:color="auto"/>
            </w:tcBorders>
          </w:tcPr>
          <w:p w14:paraId="1FC00148" w14:textId="77777777" w:rsidR="003E786C" w:rsidRPr="00203EB0" w:rsidRDefault="003E786C" w:rsidP="00C17D6E">
            <w:pPr>
              <w:rPr>
                <w:rFonts w:cs="Times New Roman"/>
                <w:color w:val="000000"/>
              </w:rPr>
            </w:pPr>
            <w:r w:rsidRPr="00203EB0">
              <w:rPr>
                <w:rFonts w:cs="Times New Roman"/>
                <w:color w:val="000000"/>
              </w:rPr>
              <w:t>F = 1.17</w:t>
            </w:r>
            <w:r w:rsidRPr="00203EB0">
              <w:rPr>
                <w:rFonts w:cs="Times New Roman"/>
                <w:color w:val="000000"/>
                <w:vertAlign w:val="superscript"/>
              </w:rPr>
              <w:t>NS</w:t>
            </w:r>
          </w:p>
        </w:tc>
        <w:tc>
          <w:tcPr>
            <w:tcW w:w="814" w:type="pct"/>
            <w:tcBorders>
              <w:top w:val="single" w:sz="4" w:space="0" w:color="auto"/>
              <w:bottom w:val="single" w:sz="4" w:space="0" w:color="auto"/>
            </w:tcBorders>
          </w:tcPr>
          <w:p w14:paraId="23FDE69F" w14:textId="77777777" w:rsidR="003E786C" w:rsidRPr="00203EB0" w:rsidRDefault="003E786C" w:rsidP="00C17D6E">
            <w:pPr>
              <w:rPr>
                <w:rFonts w:cs="Times New Roman"/>
                <w:color w:val="000000"/>
              </w:rPr>
            </w:pPr>
            <w:r w:rsidRPr="00203EB0">
              <w:rPr>
                <w:rFonts w:cs="Times New Roman"/>
                <w:color w:val="000000"/>
              </w:rPr>
              <w:t>F = 9.60**</w:t>
            </w:r>
          </w:p>
          <w:p w14:paraId="5E8535D4" w14:textId="77777777" w:rsidR="003E786C" w:rsidRPr="00203EB0" w:rsidRDefault="003E786C" w:rsidP="00C17D6E">
            <w:pPr>
              <w:rPr>
                <w:rFonts w:cs="Times New Roman"/>
                <w:color w:val="000000"/>
              </w:rPr>
            </w:pPr>
            <w:r w:rsidRPr="00203EB0">
              <w:rPr>
                <w:rFonts w:cs="Times New Roman"/>
                <w:color w:val="000000"/>
              </w:rPr>
              <w:t>0N &lt; 60N</w:t>
            </w:r>
          </w:p>
        </w:tc>
        <w:tc>
          <w:tcPr>
            <w:tcW w:w="797" w:type="pct"/>
            <w:tcBorders>
              <w:top w:val="single" w:sz="4" w:space="0" w:color="auto"/>
              <w:bottom w:val="single" w:sz="4" w:space="0" w:color="auto"/>
            </w:tcBorders>
          </w:tcPr>
          <w:p w14:paraId="376EFE93" w14:textId="77777777" w:rsidR="003E786C" w:rsidRPr="00203EB0" w:rsidRDefault="003E786C" w:rsidP="00C17D6E">
            <w:pPr>
              <w:rPr>
                <w:rFonts w:cs="Times New Roman"/>
                <w:color w:val="000000"/>
              </w:rPr>
            </w:pPr>
            <w:r w:rsidRPr="00203EB0">
              <w:rPr>
                <w:rFonts w:cs="Times New Roman"/>
                <w:color w:val="000000"/>
              </w:rPr>
              <w:t>F = 23.07***</w:t>
            </w:r>
          </w:p>
          <w:p w14:paraId="38293135" w14:textId="77777777" w:rsidR="003E786C" w:rsidRPr="00203EB0" w:rsidRDefault="003E786C" w:rsidP="00C17D6E">
            <w:pPr>
              <w:rPr>
                <w:rFonts w:cs="Times New Roman"/>
                <w:color w:val="000000"/>
              </w:rPr>
            </w:pPr>
            <w:r w:rsidRPr="00203EB0">
              <w:rPr>
                <w:rFonts w:cs="Times New Roman"/>
                <w:color w:val="000000"/>
              </w:rPr>
              <w:t>CT &gt; NT</w:t>
            </w:r>
          </w:p>
        </w:tc>
        <w:tc>
          <w:tcPr>
            <w:tcW w:w="843" w:type="pct"/>
            <w:tcBorders>
              <w:top w:val="single" w:sz="4" w:space="0" w:color="auto"/>
              <w:bottom w:val="single" w:sz="4" w:space="0" w:color="auto"/>
            </w:tcBorders>
          </w:tcPr>
          <w:p w14:paraId="1F5195FF" w14:textId="77777777" w:rsidR="003E786C" w:rsidRPr="00203EB0" w:rsidRDefault="003E786C" w:rsidP="00C17D6E">
            <w:pPr>
              <w:rPr>
                <w:rFonts w:cs="Times New Roman"/>
              </w:rPr>
            </w:pPr>
            <w:r w:rsidRPr="00203EB0">
              <w:rPr>
                <w:rFonts w:cs="Times New Roman"/>
                <w:color w:val="000000"/>
              </w:rPr>
              <w:t>F = 0.51</w:t>
            </w:r>
            <w:r w:rsidRPr="00203EB0">
              <w:rPr>
                <w:rFonts w:cs="Times New Roman"/>
                <w:color w:val="000000"/>
                <w:vertAlign w:val="superscript"/>
              </w:rPr>
              <w:t>NS</w:t>
            </w:r>
          </w:p>
        </w:tc>
      </w:tr>
      <w:tr w:rsidR="003E786C" w:rsidRPr="00203EB0" w14:paraId="72417B15" w14:textId="77777777" w:rsidTr="003E786C">
        <w:trPr>
          <w:trHeight w:val="19"/>
        </w:trPr>
        <w:tc>
          <w:tcPr>
            <w:tcW w:w="1679" w:type="pct"/>
            <w:tcBorders>
              <w:top w:val="single" w:sz="4" w:space="0" w:color="auto"/>
              <w:bottom w:val="single" w:sz="4" w:space="0" w:color="auto"/>
            </w:tcBorders>
            <w:vAlign w:val="center"/>
          </w:tcPr>
          <w:p w14:paraId="0C631AC8" w14:textId="77777777" w:rsidR="003E786C" w:rsidRPr="00203EB0" w:rsidRDefault="003E786C" w:rsidP="00C17D6E">
            <w:pPr>
              <w:rPr>
                <w:rFonts w:cs="Times New Roman"/>
                <w:i/>
              </w:rPr>
            </w:pPr>
            <w:proofErr w:type="spellStart"/>
            <w:r w:rsidRPr="00203EB0">
              <w:rPr>
                <w:rFonts w:cs="Times New Roman"/>
                <w:i/>
              </w:rPr>
              <w:t>Flavisolibacter</w:t>
            </w:r>
            <w:proofErr w:type="spellEnd"/>
            <w:r w:rsidRPr="00203EB0">
              <w:rPr>
                <w:rFonts w:cs="Times New Roman"/>
                <w:i/>
              </w:rPr>
              <w:t xml:space="preserve"> </w:t>
            </w:r>
            <w:proofErr w:type="spellStart"/>
            <w:r w:rsidRPr="00203EB0">
              <w:rPr>
                <w:rFonts w:cs="Times New Roman"/>
                <w:i/>
              </w:rPr>
              <w:t>ginsengisoli</w:t>
            </w:r>
            <w:proofErr w:type="spellEnd"/>
          </w:p>
        </w:tc>
        <w:tc>
          <w:tcPr>
            <w:tcW w:w="867" w:type="pct"/>
            <w:tcBorders>
              <w:top w:val="single" w:sz="4" w:space="0" w:color="auto"/>
              <w:bottom w:val="single" w:sz="4" w:space="0" w:color="auto"/>
            </w:tcBorders>
          </w:tcPr>
          <w:p w14:paraId="51072E64" w14:textId="77777777" w:rsidR="003E786C" w:rsidRPr="00203EB0" w:rsidRDefault="003E786C" w:rsidP="00C17D6E">
            <w:pPr>
              <w:rPr>
                <w:rFonts w:cs="Times New Roman"/>
                <w:color w:val="000000"/>
              </w:rPr>
            </w:pPr>
            <w:r w:rsidRPr="00203EB0">
              <w:rPr>
                <w:rFonts w:cs="Times New Roman"/>
                <w:color w:val="000000"/>
              </w:rPr>
              <w:t>F = 12.54***</w:t>
            </w:r>
          </w:p>
          <w:p w14:paraId="1B8B93F6" w14:textId="77777777" w:rsidR="003E786C" w:rsidRPr="00203EB0" w:rsidRDefault="003E786C" w:rsidP="00F444E4">
            <w:pPr>
              <w:jc w:val="left"/>
              <w:rPr>
                <w:rFonts w:cs="Times New Roman"/>
                <w:color w:val="000000"/>
              </w:rPr>
            </w:pPr>
            <w:r w:rsidRPr="00203EB0">
              <w:rPr>
                <w:rFonts w:cs="Times New Roman"/>
                <w:color w:val="000000"/>
              </w:rPr>
              <w:t>(Higher early and mid-growing season)</w:t>
            </w:r>
          </w:p>
        </w:tc>
        <w:tc>
          <w:tcPr>
            <w:tcW w:w="814" w:type="pct"/>
            <w:tcBorders>
              <w:top w:val="single" w:sz="4" w:space="0" w:color="auto"/>
              <w:bottom w:val="single" w:sz="4" w:space="0" w:color="auto"/>
            </w:tcBorders>
          </w:tcPr>
          <w:p w14:paraId="54B811D8" w14:textId="77777777" w:rsidR="003E786C" w:rsidRPr="00203EB0" w:rsidRDefault="003E786C" w:rsidP="00C17D6E">
            <w:pPr>
              <w:rPr>
                <w:rFonts w:cs="Times New Roman"/>
                <w:color w:val="000000"/>
              </w:rPr>
            </w:pPr>
            <w:r w:rsidRPr="00203EB0">
              <w:rPr>
                <w:rFonts w:cs="Times New Roman"/>
                <w:color w:val="000000"/>
              </w:rPr>
              <w:t>F = 0.89</w:t>
            </w:r>
            <w:r w:rsidRPr="00203EB0">
              <w:rPr>
                <w:rFonts w:cs="Times New Roman"/>
                <w:color w:val="000000"/>
                <w:vertAlign w:val="superscript"/>
              </w:rPr>
              <w:t>NS</w:t>
            </w:r>
          </w:p>
        </w:tc>
        <w:tc>
          <w:tcPr>
            <w:tcW w:w="797" w:type="pct"/>
            <w:tcBorders>
              <w:top w:val="single" w:sz="4" w:space="0" w:color="auto"/>
              <w:bottom w:val="single" w:sz="4" w:space="0" w:color="auto"/>
            </w:tcBorders>
          </w:tcPr>
          <w:p w14:paraId="34915E44" w14:textId="77777777" w:rsidR="003E786C" w:rsidRPr="00203EB0" w:rsidRDefault="003E786C" w:rsidP="00C17D6E">
            <w:pPr>
              <w:rPr>
                <w:rFonts w:cs="Times New Roman"/>
                <w:color w:val="000000"/>
              </w:rPr>
            </w:pPr>
            <w:r w:rsidRPr="00203EB0">
              <w:rPr>
                <w:rFonts w:cs="Times New Roman"/>
                <w:color w:val="000000"/>
              </w:rPr>
              <w:t>F = 3.35*</w:t>
            </w:r>
          </w:p>
          <w:p w14:paraId="47DA2587" w14:textId="77777777" w:rsidR="003E786C" w:rsidRPr="00203EB0" w:rsidRDefault="003E786C" w:rsidP="00C17D6E">
            <w:pPr>
              <w:rPr>
                <w:rFonts w:cs="Times New Roman"/>
                <w:color w:val="000000"/>
              </w:rPr>
            </w:pPr>
            <w:r w:rsidRPr="00203EB0">
              <w:rPr>
                <w:rFonts w:cs="Times New Roman"/>
                <w:color w:val="000000"/>
              </w:rPr>
              <w:t>CT&gt;NT</w:t>
            </w:r>
          </w:p>
        </w:tc>
        <w:tc>
          <w:tcPr>
            <w:tcW w:w="843" w:type="pct"/>
            <w:tcBorders>
              <w:top w:val="single" w:sz="4" w:space="0" w:color="auto"/>
              <w:bottom w:val="single" w:sz="4" w:space="0" w:color="auto"/>
            </w:tcBorders>
          </w:tcPr>
          <w:p w14:paraId="16DE892F" w14:textId="77777777" w:rsidR="003E786C" w:rsidRPr="00203EB0" w:rsidRDefault="003E786C" w:rsidP="00C17D6E">
            <w:pPr>
              <w:rPr>
                <w:rFonts w:cs="Times New Roman"/>
                <w:color w:val="000000"/>
              </w:rPr>
            </w:pPr>
            <w:r w:rsidRPr="00203EB0">
              <w:rPr>
                <w:rFonts w:cs="Times New Roman"/>
                <w:color w:val="000000"/>
              </w:rPr>
              <w:t>F = 0.045</w:t>
            </w:r>
            <w:r w:rsidRPr="00203EB0">
              <w:rPr>
                <w:rFonts w:cs="Times New Roman"/>
                <w:color w:val="000000"/>
                <w:vertAlign w:val="superscript"/>
              </w:rPr>
              <w:t>NS</w:t>
            </w:r>
          </w:p>
        </w:tc>
      </w:tr>
      <w:tr w:rsidR="003E786C" w:rsidRPr="00203EB0" w14:paraId="0B10B3CE" w14:textId="77777777" w:rsidTr="003E786C">
        <w:trPr>
          <w:trHeight w:val="410"/>
        </w:trPr>
        <w:tc>
          <w:tcPr>
            <w:tcW w:w="1679" w:type="pct"/>
            <w:tcBorders>
              <w:top w:val="single" w:sz="4" w:space="0" w:color="auto"/>
              <w:bottom w:val="single" w:sz="4" w:space="0" w:color="auto"/>
            </w:tcBorders>
            <w:vAlign w:val="center"/>
          </w:tcPr>
          <w:p w14:paraId="551BB882" w14:textId="77777777" w:rsidR="003E786C" w:rsidRPr="00203EB0" w:rsidRDefault="003E786C" w:rsidP="00C17D6E">
            <w:pPr>
              <w:rPr>
                <w:rFonts w:cs="Times New Roman"/>
                <w:i/>
              </w:rPr>
            </w:pPr>
            <w:proofErr w:type="spellStart"/>
            <w:r w:rsidRPr="00203EB0">
              <w:rPr>
                <w:rFonts w:cs="Times New Roman"/>
                <w:i/>
              </w:rPr>
              <w:lastRenderedPageBreak/>
              <w:t>Mizugakiibacter</w:t>
            </w:r>
            <w:proofErr w:type="spellEnd"/>
          </w:p>
        </w:tc>
        <w:tc>
          <w:tcPr>
            <w:tcW w:w="867" w:type="pct"/>
            <w:tcBorders>
              <w:top w:val="single" w:sz="4" w:space="0" w:color="auto"/>
              <w:bottom w:val="single" w:sz="4" w:space="0" w:color="auto"/>
            </w:tcBorders>
          </w:tcPr>
          <w:p w14:paraId="23823203" w14:textId="77777777" w:rsidR="003E786C" w:rsidRPr="00203EB0" w:rsidRDefault="003E786C" w:rsidP="00C17D6E">
            <w:pPr>
              <w:rPr>
                <w:rFonts w:cs="Times New Roman"/>
                <w:color w:val="000000"/>
              </w:rPr>
            </w:pPr>
            <w:r w:rsidRPr="00203EB0">
              <w:rPr>
                <w:rFonts w:cs="Times New Roman"/>
                <w:color w:val="000000"/>
              </w:rPr>
              <w:t>F = 2.63**</w:t>
            </w:r>
          </w:p>
          <w:p w14:paraId="54C56E50" w14:textId="77777777" w:rsidR="003E786C" w:rsidRPr="00203EB0" w:rsidRDefault="003E786C" w:rsidP="00C17D6E">
            <w:pPr>
              <w:rPr>
                <w:rFonts w:cs="Times New Roman"/>
                <w:color w:val="000000"/>
              </w:rPr>
            </w:pPr>
            <w:r w:rsidRPr="00203EB0">
              <w:rPr>
                <w:rFonts w:cs="Times New Roman"/>
                <w:color w:val="000000"/>
              </w:rPr>
              <w:t>(Higher mid-growing season)</w:t>
            </w:r>
          </w:p>
        </w:tc>
        <w:tc>
          <w:tcPr>
            <w:tcW w:w="814" w:type="pct"/>
            <w:tcBorders>
              <w:top w:val="single" w:sz="4" w:space="0" w:color="auto"/>
              <w:bottom w:val="single" w:sz="4" w:space="0" w:color="auto"/>
            </w:tcBorders>
          </w:tcPr>
          <w:p w14:paraId="3525C902" w14:textId="77777777" w:rsidR="003E786C" w:rsidRPr="00203EB0" w:rsidRDefault="003E786C" w:rsidP="00C17D6E">
            <w:pPr>
              <w:rPr>
                <w:rFonts w:cs="Times New Roman"/>
                <w:color w:val="000000"/>
              </w:rPr>
            </w:pPr>
            <w:r w:rsidRPr="00203EB0">
              <w:rPr>
                <w:rFonts w:cs="Times New Roman"/>
                <w:color w:val="000000"/>
              </w:rPr>
              <w:t>F = 14.44***</w:t>
            </w:r>
          </w:p>
          <w:p w14:paraId="059D1252" w14:textId="77777777" w:rsidR="003E786C" w:rsidRPr="00203EB0" w:rsidRDefault="003E786C" w:rsidP="00C17D6E">
            <w:pPr>
              <w:rPr>
                <w:rFonts w:cs="Times New Roman"/>
                <w:color w:val="000000"/>
              </w:rPr>
            </w:pPr>
            <w:r w:rsidRPr="00203EB0">
              <w:rPr>
                <w:rFonts w:cs="Times New Roman"/>
                <w:color w:val="000000"/>
              </w:rPr>
              <w:t>0N &lt; 60N</w:t>
            </w:r>
          </w:p>
        </w:tc>
        <w:tc>
          <w:tcPr>
            <w:tcW w:w="797" w:type="pct"/>
            <w:tcBorders>
              <w:top w:val="single" w:sz="4" w:space="0" w:color="auto"/>
              <w:bottom w:val="single" w:sz="4" w:space="0" w:color="auto"/>
            </w:tcBorders>
          </w:tcPr>
          <w:p w14:paraId="75D476ED" w14:textId="77777777" w:rsidR="003E786C" w:rsidRPr="00203EB0" w:rsidRDefault="003E786C" w:rsidP="00C17D6E">
            <w:pPr>
              <w:rPr>
                <w:rFonts w:cs="Times New Roman"/>
                <w:color w:val="000000"/>
              </w:rPr>
            </w:pPr>
            <w:r w:rsidRPr="00203EB0">
              <w:rPr>
                <w:rFonts w:cs="Times New Roman"/>
                <w:color w:val="000000"/>
              </w:rPr>
              <w:t>F = 6.69**</w:t>
            </w:r>
          </w:p>
          <w:p w14:paraId="72E36991" w14:textId="77777777" w:rsidR="003E786C" w:rsidRPr="00203EB0" w:rsidRDefault="003E786C" w:rsidP="00C17D6E">
            <w:pPr>
              <w:rPr>
                <w:rFonts w:cs="Times New Roman"/>
                <w:color w:val="000000"/>
              </w:rPr>
            </w:pPr>
            <w:r w:rsidRPr="00203EB0">
              <w:rPr>
                <w:rFonts w:cs="Times New Roman"/>
                <w:color w:val="000000"/>
              </w:rPr>
              <w:t>CT &gt; NT</w:t>
            </w:r>
          </w:p>
        </w:tc>
        <w:tc>
          <w:tcPr>
            <w:tcW w:w="843" w:type="pct"/>
            <w:tcBorders>
              <w:top w:val="single" w:sz="4" w:space="0" w:color="auto"/>
              <w:bottom w:val="single" w:sz="4" w:space="0" w:color="auto"/>
            </w:tcBorders>
          </w:tcPr>
          <w:p w14:paraId="1955C91A" w14:textId="77777777" w:rsidR="003E786C" w:rsidRPr="00203EB0" w:rsidRDefault="003E786C" w:rsidP="00C17D6E">
            <w:pPr>
              <w:rPr>
                <w:rFonts w:cs="Times New Roman"/>
                <w:color w:val="000000"/>
              </w:rPr>
            </w:pPr>
            <w:r w:rsidRPr="00203EB0">
              <w:rPr>
                <w:rFonts w:cs="Times New Roman"/>
                <w:color w:val="000000"/>
              </w:rPr>
              <w:t>F = 0.46</w:t>
            </w:r>
            <w:r w:rsidRPr="00203EB0">
              <w:rPr>
                <w:rFonts w:cs="Times New Roman"/>
                <w:color w:val="000000"/>
                <w:vertAlign w:val="superscript"/>
              </w:rPr>
              <w:t>NS</w:t>
            </w:r>
          </w:p>
        </w:tc>
      </w:tr>
    </w:tbl>
    <w:p w14:paraId="1ACE92A5" w14:textId="77777777" w:rsidR="003E786C" w:rsidRPr="00203EB0" w:rsidRDefault="003E786C" w:rsidP="003E786C">
      <w:pPr>
        <w:rPr>
          <w:rFonts w:cs="Times New Roman"/>
          <w:sz w:val="20"/>
          <w:szCs w:val="20"/>
        </w:rPr>
      </w:pPr>
      <w:r w:rsidRPr="00203EB0">
        <w:rPr>
          <w:rFonts w:cs="Times New Roman"/>
          <w:sz w:val="20"/>
          <w:szCs w:val="20"/>
        </w:rPr>
        <w:t>*0N: Unfertilized, 60N: Fertilized, CT: conventional tillage, NT: no-tillage. Growing season, early: 27-Apr and 17-Jun, mid: 2-Aug and 30-Aug, late: 20-Oct</w:t>
      </w:r>
    </w:p>
    <w:p w14:paraId="14D180B6" w14:textId="77777777" w:rsidR="00436F2D" w:rsidRDefault="00436F2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CD21F54"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DE68F72"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18D78004"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31EE490"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213BB9C"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4BB9669"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28EEA22"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50826E1B"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5D021FB7"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120243CF"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5BDFFD5C"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7E456FB"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137A1C8"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5DBCF103"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36E75D3"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636A8B09"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513C028" w14:textId="77777777" w:rsidR="00FB682B"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A84F76C" w14:textId="77777777" w:rsidR="00FB682B" w:rsidRPr="00203EB0" w:rsidRDefault="00FB682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60C1F166" w14:textId="06D37412" w:rsidR="003E786C" w:rsidRPr="00203EB0" w:rsidRDefault="003E786C" w:rsidP="003E786C">
      <w:pPr>
        <w:rPr>
          <w:rFonts w:eastAsiaTheme="minorEastAsia" w:cs="Times New Roman"/>
        </w:rPr>
      </w:pPr>
      <w:bookmarkStart w:id="103" w:name="_Toc206669227"/>
      <w:r w:rsidRPr="00203EB0">
        <w:rPr>
          <w:b/>
          <w:bCs/>
        </w:rPr>
        <w:lastRenderedPageBreak/>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5</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4</w:t>
      </w:r>
      <w:r w:rsidR="00775F57" w:rsidRPr="00203EB0">
        <w:rPr>
          <w:b/>
          <w:bCs/>
        </w:rPr>
        <w:fldChar w:fldCharType="end"/>
      </w:r>
      <w:r w:rsidRPr="00203EB0">
        <w:rPr>
          <w:b/>
          <w:bCs/>
        </w:rPr>
        <w:t>:</w:t>
      </w:r>
      <w:r w:rsidRPr="00203EB0">
        <w:t xml:space="preserve"> </w:t>
      </w:r>
      <w:r w:rsidRPr="00203EB0">
        <w:rPr>
          <w:rFonts w:cs="Times New Roman"/>
        </w:rPr>
        <w:t>Effects of management practices and sampling time-point on the relative abundance of microbial taxa associated with N</w:t>
      </w:r>
      <w:r w:rsidRPr="00203EB0">
        <w:rPr>
          <w:rFonts w:cs="Times New Roman"/>
          <w:vertAlign w:val="subscript"/>
        </w:rPr>
        <w:t>2</w:t>
      </w:r>
      <w:r w:rsidRPr="00203EB0">
        <w:rPr>
          <w:rFonts w:cs="Times New Roman"/>
        </w:rPr>
        <w:t xml:space="preserve">O emissions in the 10-20 cm soil layer. F-test statistics are shown, with significance levels indicated as follows: * 0.05 &lt; P </w:t>
      </w:r>
      <m:oMath>
        <m:r>
          <w:rPr>
            <w:rFonts w:ascii="Cambria Math" w:hAnsi="Cambria Math" w:cs="Times New Roman"/>
          </w:rPr>
          <m:t>≤</m:t>
        </m:r>
      </m:oMath>
      <w:r w:rsidRPr="00203EB0">
        <w:rPr>
          <w:rFonts w:eastAsiaTheme="minorEastAsia" w:cs="Times New Roman"/>
        </w:rPr>
        <w:t xml:space="preserve"> 0.10, </w:t>
      </w:r>
      <w:r w:rsidRPr="00203EB0">
        <w:rPr>
          <w:rFonts w:cs="Times New Roman"/>
        </w:rPr>
        <w:t xml:space="preserve">** 0.001 &lt; P </w:t>
      </w:r>
      <m:oMath>
        <m:r>
          <w:rPr>
            <w:rFonts w:ascii="Cambria Math" w:hAnsi="Cambria Math" w:cs="Times New Roman"/>
          </w:rPr>
          <m:t>≤</m:t>
        </m:r>
      </m:oMath>
      <w:r w:rsidRPr="00203EB0">
        <w:rPr>
          <w:rFonts w:eastAsiaTheme="minorEastAsia" w:cs="Times New Roman"/>
        </w:rPr>
        <w:t xml:space="preserve"> 0.05, *** </w:t>
      </w:r>
      <w:proofErr w:type="spellStart"/>
      <w:r w:rsidRPr="00203EB0">
        <w:rPr>
          <w:rFonts w:cs="Times New Roman"/>
        </w:rPr>
        <w:t>P</w:t>
      </w:r>
      <w:proofErr w:type="spellEnd"/>
      <w:r w:rsidRPr="00203EB0">
        <w:rPr>
          <w:rFonts w:cs="Times New Roman"/>
        </w:rPr>
        <w:t xml:space="preserve"> </w:t>
      </w:r>
      <m:oMath>
        <m:r>
          <w:rPr>
            <w:rFonts w:ascii="Cambria Math" w:hAnsi="Cambria Math" w:cs="Times New Roman"/>
          </w:rPr>
          <m:t>≤</m:t>
        </m:r>
      </m:oMath>
      <w:r w:rsidRPr="00203EB0">
        <w:rPr>
          <w:rFonts w:eastAsiaTheme="minorEastAsia" w:cs="Times New Roman"/>
        </w:rPr>
        <w:t xml:space="preserve"> 0.001, and NS (not significant) P &gt; 0.10. When significant, the direction of relative abundance shifts is indicated based on Tukey’s HSD test.</w:t>
      </w:r>
      <w:bookmarkEnd w:id="103"/>
    </w:p>
    <w:p w14:paraId="3CB62879" w14:textId="77777777" w:rsidR="003E786C" w:rsidRPr="00203EB0" w:rsidRDefault="003E786C" w:rsidP="003E786C">
      <w:pPr>
        <w:rPr>
          <w:rFonts w:eastAsiaTheme="minorEastAsia"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1551"/>
        <w:gridCol w:w="1744"/>
        <w:gridCol w:w="1351"/>
        <w:gridCol w:w="1365"/>
      </w:tblGrid>
      <w:tr w:rsidR="003E786C" w:rsidRPr="00203EB0" w14:paraId="5B2B47C1" w14:textId="77777777" w:rsidTr="00C17D6E">
        <w:trPr>
          <w:trHeight w:val="242"/>
        </w:trPr>
        <w:tc>
          <w:tcPr>
            <w:tcW w:w="5000" w:type="pct"/>
            <w:gridSpan w:val="5"/>
            <w:tcBorders>
              <w:top w:val="single" w:sz="4" w:space="0" w:color="auto"/>
              <w:bottom w:val="single" w:sz="4" w:space="0" w:color="auto"/>
            </w:tcBorders>
          </w:tcPr>
          <w:p w14:paraId="3ADA1382" w14:textId="77777777" w:rsidR="003E786C" w:rsidRPr="00203EB0" w:rsidRDefault="003E786C" w:rsidP="00C17D6E">
            <w:pPr>
              <w:jc w:val="center"/>
              <w:rPr>
                <w:rFonts w:cs="Times New Roman"/>
                <w:b/>
              </w:rPr>
            </w:pPr>
            <w:r w:rsidRPr="00203EB0">
              <w:rPr>
                <w:rFonts w:cs="Times New Roman"/>
                <w:b/>
              </w:rPr>
              <w:t>10-20 cm</w:t>
            </w:r>
          </w:p>
        </w:tc>
      </w:tr>
      <w:tr w:rsidR="003E786C" w:rsidRPr="00203EB0" w14:paraId="7553CE00" w14:textId="77777777" w:rsidTr="00C17D6E">
        <w:trPr>
          <w:trHeight w:val="493"/>
        </w:trPr>
        <w:tc>
          <w:tcPr>
            <w:tcW w:w="1488" w:type="pct"/>
            <w:tcBorders>
              <w:top w:val="single" w:sz="4" w:space="0" w:color="auto"/>
              <w:bottom w:val="single" w:sz="4" w:space="0" w:color="auto"/>
            </w:tcBorders>
            <w:vAlign w:val="center"/>
          </w:tcPr>
          <w:p w14:paraId="266C95AD" w14:textId="77777777" w:rsidR="003E786C" w:rsidRPr="00203EB0" w:rsidRDefault="003E786C" w:rsidP="00C17D6E">
            <w:pPr>
              <w:rPr>
                <w:rFonts w:cs="Times New Roman"/>
                <w:b/>
              </w:rPr>
            </w:pPr>
            <w:r w:rsidRPr="00203EB0">
              <w:rPr>
                <w:rFonts w:cs="Times New Roman"/>
                <w:b/>
              </w:rPr>
              <w:t>Lowest assigned Taxonomic Level</w:t>
            </w:r>
          </w:p>
        </w:tc>
        <w:tc>
          <w:tcPr>
            <w:tcW w:w="906" w:type="pct"/>
            <w:tcBorders>
              <w:top w:val="single" w:sz="4" w:space="0" w:color="auto"/>
              <w:bottom w:val="single" w:sz="4" w:space="0" w:color="auto"/>
            </w:tcBorders>
            <w:vAlign w:val="center"/>
          </w:tcPr>
          <w:p w14:paraId="2EB6CA2B" w14:textId="77777777" w:rsidR="003E786C" w:rsidRPr="00203EB0" w:rsidRDefault="003E786C" w:rsidP="00C17D6E">
            <w:pPr>
              <w:rPr>
                <w:rFonts w:cs="Times New Roman"/>
                <w:b/>
              </w:rPr>
            </w:pPr>
            <w:r w:rsidRPr="00203EB0">
              <w:rPr>
                <w:rFonts w:cs="Times New Roman"/>
                <w:b/>
              </w:rPr>
              <w:t xml:space="preserve">Sampling Time-point </w:t>
            </w:r>
          </w:p>
        </w:tc>
        <w:tc>
          <w:tcPr>
            <w:tcW w:w="1018" w:type="pct"/>
            <w:tcBorders>
              <w:top w:val="single" w:sz="4" w:space="0" w:color="auto"/>
              <w:bottom w:val="single" w:sz="4" w:space="0" w:color="auto"/>
            </w:tcBorders>
            <w:vAlign w:val="center"/>
          </w:tcPr>
          <w:p w14:paraId="35768F91" w14:textId="77777777" w:rsidR="003E786C" w:rsidRPr="00203EB0" w:rsidRDefault="003E786C" w:rsidP="00C17D6E">
            <w:pPr>
              <w:rPr>
                <w:rFonts w:cs="Times New Roman"/>
                <w:b/>
              </w:rPr>
            </w:pPr>
            <w:r w:rsidRPr="00203EB0">
              <w:rPr>
                <w:rFonts w:cs="Times New Roman"/>
                <w:b/>
              </w:rPr>
              <w:t>Fertilizer</w:t>
            </w:r>
          </w:p>
        </w:tc>
        <w:tc>
          <w:tcPr>
            <w:tcW w:w="790" w:type="pct"/>
            <w:tcBorders>
              <w:top w:val="single" w:sz="4" w:space="0" w:color="auto"/>
              <w:bottom w:val="single" w:sz="4" w:space="0" w:color="auto"/>
            </w:tcBorders>
            <w:vAlign w:val="center"/>
          </w:tcPr>
          <w:p w14:paraId="206E6D24" w14:textId="77777777" w:rsidR="003E786C" w:rsidRPr="00203EB0" w:rsidRDefault="003E786C" w:rsidP="00C17D6E">
            <w:pPr>
              <w:rPr>
                <w:rFonts w:cs="Times New Roman"/>
                <w:b/>
              </w:rPr>
            </w:pPr>
            <w:r w:rsidRPr="00203EB0">
              <w:rPr>
                <w:rFonts w:cs="Times New Roman"/>
                <w:b/>
              </w:rPr>
              <w:t>Tillage</w:t>
            </w:r>
          </w:p>
        </w:tc>
        <w:tc>
          <w:tcPr>
            <w:tcW w:w="799" w:type="pct"/>
            <w:tcBorders>
              <w:top w:val="single" w:sz="4" w:space="0" w:color="auto"/>
              <w:bottom w:val="single" w:sz="4" w:space="0" w:color="auto"/>
            </w:tcBorders>
            <w:vAlign w:val="center"/>
          </w:tcPr>
          <w:p w14:paraId="475DD226" w14:textId="77777777" w:rsidR="003E786C" w:rsidRPr="00203EB0" w:rsidRDefault="003E786C" w:rsidP="00C17D6E">
            <w:pPr>
              <w:rPr>
                <w:rFonts w:cs="Times New Roman"/>
                <w:b/>
              </w:rPr>
            </w:pPr>
            <w:r w:rsidRPr="00203EB0">
              <w:rPr>
                <w:rFonts w:cs="Times New Roman"/>
                <w:b/>
              </w:rPr>
              <w:t>Cover Crop</w:t>
            </w:r>
          </w:p>
        </w:tc>
      </w:tr>
      <w:tr w:rsidR="003E786C" w:rsidRPr="00203EB0" w14:paraId="2FFFB8C9" w14:textId="77777777" w:rsidTr="00C17D6E">
        <w:trPr>
          <w:trHeight w:val="19"/>
        </w:trPr>
        <w:tc>
          <w:tcPr>
            <w:tcW w:w="1488" w:type="pct"/>
            <w:tcBorders>
              <w:top w:val="single" w:sz="4" w:space="0" w:color="auto"/>
              <w:bottom w:val="single" w:sz="4" w:space="0" w:color="auto"/>
            </w:tcBorders>
          </w:tcPr>
          <w:p w14:paraId="2B12B9CE" w14:textId="77777777" w:rsidR="003E786C" w:rsidRPr="00203EB0" w:rsidRDefault="003E786C" w:rsidP="00C17D6E">
            <w:pPr>
              <w:rPr>
                <w:rFonts w:cs="Times New Roman"/>
              </w:rPr>
            </w:pPr>
            <w:r w:rsidRPr="00203EB0">
              <w:rPr>
                <w:rFonts w:cs="Times New Roman"/>
              </w:rPr>
              <w:t>SC-I-84</w:t>
            </w:r>
          </w:p>
        </w:tc>
        <w:tc>
          <w:tcPr>
            <w:tcW w:w="906" w:type="pct"/>
            <w:tcBorders>
              <w:top w:val="single" w:sz="4" w:space="0" w:color="auto"/>
              <w:bottom w:val="single" w:sz="4" w:space="0" w:color="auto"/>
            </w:tcBorders>
          </w:tcPr>
          <w:p w14:paraId="086EEB95" w14:textId="77777777" w:rsidR="003E786C" w:rsidRPr="00203EB0" w:rsidRDefault="003E786C" w:rsidP="00C17D6E">
            <w:pPr>
              <w:rPr>
                <w:rFonts w:cs="Times New Roman"/>
                <w:color w:val="000000"/>
              </w:rPr>
            </w:pPr>
            <w:r w:rsidRPr="00203EB0">
              <w:rPr>
                <w:rFonts w:cs="Times New Roman"/>
                <w:color w:val="000000"/>
              </w:rPr>
              <w:t>F = 2.22*</w:t>
            </w:r>
          </w:p>
          <w:p w14:paraId="22505B25" w14:textId="77777777" w:rsidR="003E786C" w:rsidRPr="00203EB0" w:rsidRDefault="003E786C" w:rsidP="00C17D6E">
            <w:pPr>
              <w:rPr>
                <w:rFonts w:cs="Times New Roman"/>
                <w:color w:val="000000"/>
              </w:rPr>
            </w:pPr>
            <w:r w:rsidRPr="00203EB0">
              <w:rPr>
                <w:rFonts w:cs="Times New Roman"/>
                <w:color w:val="000000"/>
              </w:rPr>
              <w:t>(Higher mid-growing season)</w:t>
            </w:r>
          </w:p>
        </w:tc>
        <w:tc>
          <w:tcPr>
            <w:tcW w:w="1018" w:type="pct"/>
            <w:tcBorders>
              <w:top w:val="single" w:sz="4" w:space="0" w:color="auto"/>
              <w:bottom w:val="single" w:sz="4" w:space="0" w:color="auto"/>
            </w:tcBorders>
          </w:tcPr>
          <w:p w14:paraId="7FC54DC4" w14:textId="77777777" w:rsidR="003E786C" w:rsidRPr="00203EB0" w:rsidRDefault="003E786C" w:rsidP="00C17D6E">
            <w:pPr>
              <w:rPr>
                <w:rFonts w:cs="Times New Roman"/>
                <w:color w:val="000000"/>
              </w:rPr>
            </w:pPr>
            <w:r w:rsidRPr="00203EB0">
              <w:rPr>
                <w:rFonts w:cs="Times New Roman"/>
                <w:color w:val="000000"/>
              </w:rPr>
              <w:t>F = 0.64</w:t>
            </w:r>
            <w:r w:rsidRPr="00203EB0">
              <w:rPr>
                <w:rFonts w:cs="Times New Roman"/>
                <w:color w:val="000000"/>
                <w:vertAlign w:val="superscript"/>
              </w:rPr>
              <w:t>NS</w:t>
            </w:r>
          </w:p>
        </w:tc>
        <w:tc>
          <w:tcPr>
            <w:tcW w:w="790" w:type="pct"/>
            <w:tcBorders>
              <w:top w:val="single" w:sz="4" w:space="0" w:color="auto"/>
              <w:bottom w:val="single" w:sz="4" w:space="0" w:color="auto"/>
            </w:tcBorders>
          </w:tcPr>
          <w:p w14:paraId="4F45424D" w14:textId="77777777" w:rsidR="003E786C" w:rsidRPr="00203EB0" w:rsidRDefault="003E786C" w:rsidP="00C17D6E">
            <w:pPr>
              <w:rPr>
                <w:rFonts w:cs="Times New Roman"/>
                <w:color w:val="000000"/>
              </w:rPr>
            </w:pPr>
            <w:r w:rsidRPr="00203EB0">
              <w:rPr>
                <w:rFonts w:cs="Times New Roman"/>
                <w:color w:val="000000"/>
              </w:rPr>
              <w:t>F = 0.84</w:t>
            </w:r>
            <w:r w:rsidRPr="00203EB0">
              <w:rPr>
                <w:rFonts w:cs="Times New Roman"/>
                <w:color w:val="000000"/>
                <w:vertAlign w:val="superscript"/>
              </w:rPr>
              <w:t>NS</w:t>
            </w:r>
          </w:p>
        </w:tc>
        <w:tc>
          <w:tcPr>
            <w:tcW w:w="799" w:type="pct"/>
            <w:tcBorders>
              <w:top w:val="single" w:sz="4" w:space="0" w:color="auto"/>
              <w:bottom w:val="single" w:sz="4" w:space="0" w:color="auto"/>
            </w:tcBorders>
          </w:tcPr>
          <w:p w14:paraId="2F0D659B" w14:textId="77777777" w:rsidR="003E786C" w:rsidRPr="00203EB0" w:rsidRDefault="003E786C" w:rsidP="00C17D6E">
            <w:pPr>
              <w:rPr>
                <w:rFonts w:cs="Times New Roman"/>
                <w:color w:val="000000"/>
              </w:rPr>
            </w:pPr>
            <w:r w:rsidRPr="00203EB0">
              <w:rPr>
                <w:rFonts w:cs="Times New Roman"/>
                <w:color w:val="000000"/>
              </w:rPr>
              <w:t>F = 0.016</w:t>
            </w:r>
            <w:r w:rsidRPr="00203EB0">
              <w:rPr>
                <w:rFonts w:cs="Times New Roman"/>
                <w:color w:val="000000"/>
                <w:vertAlign w:val="superscript"/>
              </w:rPr>
              <w:t>NS</w:t>
            </w:r>
          </w:p>
        </w:tc>
      </w:tr>
      <w:tr w:rsidR="003E786C" w:rsidRPr="00203EB0" w14:paraId="4129BA7B" w14:textId="77777777" w:rsidTr="00C17D6E">
        <w:trPr>
          <w:trHeight w:val="19"/>
        </w:trPr>
        <w:tc>
          <w:tcPr>
            <w:tcW w:w="1488" w:type="pct"/>
            <w:tcBorders>
              <w:top w:val="single" w:sz="4" w:space="0" w:color="auto"/>
              <w:bottom w:val="single" w:sz="4" w:space="0" w:color="auto"/>
            </w:tcBorders>
          </w:tcPr>
          <w:p w14:paraId="0060C9D2" w14:textId="77777777" w:rsidR="003E786C" w:rsidRPr="00203EB0" w:rsidRDefault="003E786C" w:rsidP="00C17D6E">
            <w:pPr>
              <w:rPr>
                <w:rFonts w:cs="Times New Roman"/>
                <w:i/>
              </w:rPr>
            </w:pPr>
            <w:proofErr w:type="spellStart"/>
            <w:r w:rsidRPr="00203EB0">
              <w:rPr>
                <w:rFonts w:cs="Times New Roman"/>
                <w:i/>
              </w:rPr>
              <w:t>Conexibacter</w:t>
            </w:r>
            <w:proofErr w:type="spellEnd"/>
          </w:p>
        </w:tc>
        <w:tc>
          <w:tcPr>
            <w:tcW w:w="906" w:type="pct"/>
            <w:tcBorders>
              <w:top w:val="single" w:sz="4" w:space="0" w:color="auto"/>
              <w:bottom w:val="single" w:sz="4" w:space="0" w:color="auto"/>
            </w:tcBorders>
          </w:tcPr>
          <w:p w14:paraId="1C2B25C1" w14:textId="77777777" w:rsidR="003E786C" w:rsidRPr="00203EB0" w:rsidRDefault="003E786C" w:rsidP="00C17D6E">
            <w:pPr>
              <w:rPr>
                <w:rFonts w:cs="Times New Roman"/>
                <w:color w:val="000000"/>
              </w:rPr>
            </w:pPr>
            <w:r w:rsidRPr="00203EB0">
              <w:rPr>
                <w:rFonts w:cs="Times New Roman"/>
                <w:color w:val="000000"/>
              </w:rPr>
              <w:t>F = 0.35</w:t>
            </w:r>
            <w:r w:rsidRPr="00203EB0">
              <w:rPr>
                <w:rFonts w:cs="Times New Roman"/>
                <w:color w:val="000000"/>
                <w:vertAlign w:val="superscript"/>
              </w:rPr>
              <w:t>NS</w:t>
            </w:r>
          </w:p>
        </w:tc>
        <w:tc>
          <w:tcPr>
            <w:tcW w:w="1018" w:type="pct"/>
            <w:tcBorders>
              <w:top w:val="single" w:sz="4" w:space="0" w:color="auto"/>
              <w:bottom w:val="single" w:sz="4" w:space="0" w:color="auto"/>
            </w:tcBorders>
          </w:tcPr>
          <w:p w14:paraId="3E5413E3" w14:textId="77777777" w:rsidR="003E786C" w:rsidRPr="00203EB0" w:rsidRDefault="003E786C" w:rsidP="00C17D6E">
            <w:pPr>
              <w:rPr>
                <w:rFonts w:cs="Times New Roman"/>
                <w:color w:val="000000"/>
              </w:rPr>
            </w:pPr>
            <w:r w:rsidRPr="00203EB0">
              <w:rPr>
                <w:rFonts w:cs="Times New Roman"/>
                <w:color w:val="000000"/>
              </w:rPr>
              <w:t>F =0.14</w:t>
            </w:r>
            <w:r w:rsidRPr="00203EB0">
              <w:rPr>
                <w:rFonts w:cs="Times New Roman"/>
                <w:color w:val="000000"/>
                <w:vertAlign w:val="superscript"/>
              </w:rPr>
              <w:t>NS</w:t>
            </w:r>
          </w:p>
        </w:tc>
        <w:tc>
          <w:tcPr>
            <w:tcW w:w="790" w:type="pct"/>
            <w:tcBorders>
              <w:top w:val="single" w:sz="4" w:space="0" w:color="auto"/>
              <w:bottom w:val="single" w:sz="4" w:space="0" w:color="auto"/>
            </w:tcBorders>
          </w:tcPr>
          <w:p w14:paraId="3A8BCB39" w14:textId="77777777" w:rsidR="003E786C" w:rsidRPr="00203EB0" w:rsidRDefault="003E786C" w:rsidP="00C17D6E">
            <w:pPr>
              <w:rPr>
                <w:rFonts w:cs="Times New Roman"/>
                <w:color w:val="000000"/>
              </w:rPr>
            </w:pPr>
            <w:r w:rsidRPr="00203EB0">
              <w:rPr>
                <w:rFonts w:cs="Times New Roman"/>
                <w:color w:val="000000"/>
              </w:rPr>
              <w:t>F = 0.67</w:t>
            </w:r>
            <w:r w:rsidRPr="00203EB0">
              <w:rPr>
                <w:rFonts w:cs="Times New Roman"/>
                <w:color w:val="000000"/>
                <w:vertAlign w:val="superscript"/>
              </w:rPr>
              <w:t>NS</w:t>
            </w:r>
          </w:p>
        </w:tc>
        <w:tc>
          <w:tcPr>
            <w:tcW w:w="799" w:type="pct"/>
            <w:tcBorders>
              <w:top w:val="single" w:sz="4" w:space="0" w:color="auto"/>
              <w:bottom w:val="single" w:sz="4" w:space="0" w:color="auto"/>
            </w:tcBorders>
          </w:tcPr>
          <w:p w14:paraId="200028CB" w14:textId="77777777" w:rsidR="003E786C" w:rsidRPr="00203EB0" w:rsidRDefault="003E786C" w:rsidP="00C17D6E">
            <w:pPr>
              <w:rPr>
                <w:rFonts w:cs="Times New Roman"/>
                <w:color w:val="000000"/>
              </w:rPr>
            </w:pPr>
            <w:r w:rsidRPr="00203EB0">
              <w:rPr>
                <w:rFonts w:cs="Times New Roman"/>
                <w:color w:val="000000"/>
              </w:rPr>
              <w:t>F = 2.14</w:t>
            </w:r>
            <w:r w:rsidRPr="00203EB0">
              <w:rPr>
                <w:rFonts w:cs="Times New Roman"/>
                <w:color w:val="000000"/>
                <w:vertAlign w:val="superscript"/>
              </w:rPr>
              <w:t>NS</w:t>
            </w:r>
          </w:p>
        </w:tc>
      </w:tr>
      <w:tr w:rsidR="003E786C" w:rsidRPr="00203EB0" w14:paraId="0F0097FE" w14:textId="77777777" w:rsidTr="00C17D6E">
        <w:trPr>
          <w:trHeight w:val="19"/>
        </w:trPr>
        <w:tc>
          <w:tcPr>
            <w:tcW w:w="1488" w:type="pct"/>
            <w:tcBorders>
              <w:top w:val="single" w:sz="4" w:space="0" w:color="auto"/>
              <w:bottom w:val="single" w:sz="4" w:space="0" w:color="auto"/>
            </w:tcBorders>
          </w:tcPr>
          <w:p w14:paraId="78E3C624" w14:textId="77777777" w:rsidR="003E786C" w:rsidRPr="00203EB0" w:rsidRDefault="003E786C" w:rsidP="00C17D6E">
            <w:pPr>
              <w:rPr>
                <w:rFonts w:cs="Times New Roman"/>
              </w:rPr>
            </w:pPr>
            <w:r w:rsidRPr="00203EB0">
              <w:rPr>
                <w:rFonts w:cs="Times New Roman"/>
              </w:rPr>
              <w:t>Amb-16S-1323</w:t>
            </w:r>
          </w:p>
        </w:tc>
        <w:tc>
          <w:tcPr>
            <w:tcW w:w="906" w:type="pct"/>
            <w:tcBorders>
              <w:top w:val="single" w:sz="4" w:space="0" w:color="auto"/>
              <w:bottom w:val="single" w:sz="4" w:space="0" w:color="auto"/>
            </w:tcBorders>
          </w:tcPr>
          <w:p w14:paraId="55353B87" w14:textId="77777777" w:rsidR="003E786C" w:rsidRPr="00203EB0" w:rsidRDefault="003E786C" w:rsidP="00C17D6E">
            <w:pPr>
              <w:rPr>
                <w:rFonts w:cs="Times New Roman"/>
                <w:color w:val="000000"/>
              </w:rPr>
            </w:pPr>
            <w:r w:rsidRPr="00203EB0">
              <w:rPr>
                <w:rFonts w:cs="Times New Roman"/>
                <w:color w:val="000000"/>
              </w:rPr>
              <w:t>F = 1.81</w:t>
            </w:r>
            <w:r w:rsidRPr="00203EB0">
              <w:rPr>
                <w:rFonts w:cs="Times New Roman"/>
                <w:color w:val="000000"/>
                <w:vertAlign w:val="superscript"/>
              </w:rPr>
              <w:t>NS</w:t>
            </w:r>
          </w:p>
        </w:tc>
        <w:tc>
          <w:tcPr>
            <w:tcW w:w="1018" w:type="pct"/>
            <w:tcBorders>
              <w:top w:val="single" w:sz="4" w:space="0" w:color="auto"/>
              <w:bottom w:val="single" w:sz="4" w:space="0" w:color="auto"/>
            </w:tcBorders>
          </w:tcPr>
          <w:p w14:paraId="76398BF9" w14:textId="77777777" w:rsidR="003E786C" w:rsidRPr="00203EB0" w:rsidRDefault="003E786C" w:rsidP="00C17D6E">
            <w:pPr>
              <w:rPr>
                <w:rFonts w:cs="Times New Roman"/>
                <w:color w:val="000000"/>
              </w:rPr>
            </w:pPr>
            <w:r w:rsidRPr="00203EB0">
              <w:rPr>
                <w:rFonts w:cs="Times New Roman"/>
                <w:color w:val="000000"/>
              </w:rPr>
              <w:t>F =0.50</w:t>
            </w:r>
            <w:r w:rsidRPr="00203EB0">
              <w:rPr>
                <w:rFonts w:cs="Times New Roman"/>
                <w:color w:val="000000"/>
                <w:vertAlign w:val="superscript"/>
              </w:rPr>
              <w:t>NS</w:t>
            </w:r>
          </w:p>
        </w:tc>
        <w:tc>
          <w:tcPr>
            <w:tcW w:w="790" w:type="pct"/>
            <w:tcBorders>
              <w:top w:val="single" w:sz="4" w:space="0" w:color="auto"/>
              <w:bottom w:val="single" w:sz="4" w:space="0" w:color="auto"/>
            </w:tcBorders>
          </w:tcPr>
          <w:p w14:paraId="18BBB8CF" w14:textId="77777777" w:rsidR="003E786C" w:rsidRPr="00203EB0" w:rsidRDefault="003E786C" w:rsidP="00C17D6E">
            <w:pPr>
              <w:rPr>
                <w:rFonts w:cs="Times New Roman"/>
                <w:color w:val="000000"/>
              </w:rPr>
            </w:pPr>
            <w:r w:rsidRPr="00203EB0">
              <w:rPr>
                <w:rFonts w:cs="Times New Roman"/>
                <w:color w:val="000000"/>
              </w:rPr>
              <w:t>F = 0.016</w:t>
            </w:r>
            <w:r w:rsidRPr="00203EB0">
              <w:rPr>
                <w:rFonts w:cs="Times New Roman"/>
                <w:color w:val="000000"/>
                <w:vertAlign w:val="superscript"/>
              </w:rPr>
              <w:t>NS</w:t>
            </w:r>
          </w:p>
        </w:tc>
        <w:tc>
          <w:tcPr>
            <w:tcW w:w="799" w:type="pct"/>
            <w:tcBorders>
              <w:top w:val="single" w:sz="4" w:space="0" w:color="auto"/>
              <w:bottom w:val="single" w:sz="4" w:space="0" w:color="auto"/>
            </w:tcBorders>
          </w:tcPr>
          <w:p w14:paraId="74AD9FA8" w14:textId="77777777" w:rsidR="003E786C" w:rsidRPr="00203EB0" w:rsidRDefault="003E786C" w:rsidP="00C17D6E">
            <w:pPr>
              <w:rPr>
                <w:rFonts w:cs="Times New Roman"/>
                <w:color w:val="000000"/>
              </w:rPr>
            </w:pPr>
            <w:r w:rsidRPr="00203EB0">
              <w:rPr>
                <w:rFonts w:cs="Times New Roman"/>
                <w:color w:val="000000"/>
              </w:rPr>
              <w:t>F = 6.95**</w:t>
            </w:r>
          </w:p>
          <w:p w14:paraId="43D2F4A8" w14:textId="77777777" w:rsidR="003E786C" w:rsidRPr="00203EB0" w:rsidRDefault="003E786C" w:rsidP="00C17D6E">
            <w:pPr>
              <w:rPr>
                <w:rFonts w:cs="Times New Roman"/>
              </w:rPr>
            </w:pPr>
            <w:r w:rsidRPr="00203EB0">
              <w:rPr>
                <w:rFonts w:cs="Times New Roman"/>
                <w:color w:val="000000"/>
              </w:rPr>
              <w:t>NC &lt; HV</w:t>
            </w:r>
          </w:p>
        </w:tc>
      </w:tr>
      <w:tr w:rsidR="003E786C" w:rsidRPr="00203EB0" w14:paraId="5AB72D9E" w14:textId="77777777" w:rsidTr="00C17D6E">
        <w:trPr>
          <w:trHeight w:val="19"/>
        </w:trPr>
        <w:tc>
          <w:tcPr>
            <w:tcW w:w="1488" w:type="pct"/>
            <w:tcBorders>
              <w:top w:val="single" w:sz="4" w:space="0" w:color="auto"/>
              <w:bottom w:val="single" w:sz="4" w:space="0" w:color="auto"/>
            </w:tcBorders>
          </w:tcPr>
          <w:p w14:paraId="24D39F47" w14:textId="77777777" w:rsidR="003E786C" w:rsidRPr="00203EB0" w:rsidRDefault="003E786C" w:rsidP="00C17D6E">
            <w:pPr>
              <w:rPr>
                <w:rFonts w:cs="Times New Roman"/>
                <w:i/>
              </w:rPr>
            </w:pPr>
            <w:proofErr w:type="spellStart"/>
            <w:r w:rsidRPr="00203EB0">
              <w:rPr>
                <w:rFonts w:cs="Times New Roman"/>
                <w:i/>
              </w:rPr>
              <w:t>Pseudogulbenkiania</w:t>
            </w:r>
            <w:proofErr w:type="spellEnd"/>
          </w:p>
        </w:tc>
        <w:tc>
          <w:tcPr>
            <w:tcW w:w="906" w:type="pct"/>
            <w:tcBorders>
              <w:top w:val="single" w:sz="4" w:space="0" w:color="auto"/>
              <w:bottom w:val="single" w:sz="4" w:space="0" w:color="auto"/>
            </w:tcBorders>
          </w:tcPr>
          <w:p w14:paraId="65921C84" w14:textId="77777777" w:rsidR="003E786C" w:rsidRPr="00203EB0" w:rsidRDefault="003E786C" w:rsidP="00C17D6E">
            <w:pPr>
              <w:rPr>
                <w:rFonts w:cs="Times New Roman"/>
                <w:color w:val="000000"/>
              </w:rPr>
            </w:pPr>
            <w:r w:rsidRPr="00203EB0">
              <w:rPr>
                <w:rFonts w:cs="Times New Roman"/>
                <w:color w:val="000000"/>
              </w:rPr>
              <w:t xml:space="preserve">F = </w:t>
            </w:r>
            <w:proofErr w:type="gramStart"/>
            <w:r w:rsidRPr="00203EB0">
              <w:rPr>
                <w:rFonts w:cs="Times New Roman"/>
                <w:color w:val="000000"/>
              </w:rPr>
              <w:t>7.41**</w:t>
            </w:r>
            <w:proofErr w:type="gramEnd"/>
            <w:r w:rsidRPr="00203EB0">
              <w:rPr>
                <w:rFonts w:cs="Times New Roman"/>
                <w:color w:val="000000"/>
              </w:rPr>
              <w:t>*</w:t>
            </w:r>
          </w:p>
          <w:p w14:paraId="315CD6DC" w14:textId="77777777" w:rsidR="003E786C" w:rsidRPr="00203EB0" w:rsidRDefault="003E786C" w:rsidP="00C17D6E">
            <w:pPr>
              <w:rPr>
                <w:rFonts w:cs="Times New Roman"/>
                <w:color w:val="000000"/>
              </w:rPr>
            </w:pPr>
            <w:r w:rsidRPr="00203EB0">
              <w:rPr>
                <w:rFonts w:cs="Times New Roman"/>
                <w:color w:val="000000"/>
              </w:rPr>
              <w:t>(Higher mid-growing season)</w:t>
            </w:r>
          </w:p>
        </w:tc>
        <w:tc>
          <w:tcPr>
            <w:tcW w:w="1018" w:type="pct"/>
            <w:tcBorders>
              <w:top w:val="single" w:sz="4" w:space="0" w:color="auto"/>
              <w:bottom w:val="single" w:sz="4" w:space="0" w:color="auto"/>
            </w:tcBorders>
          </w:tcPr>
          <w:p w14:paraId="51AB86C5" w14:textId="77777777" w:rsidR="003E786C" w:rsidRPr="00203EB0" w:rsidRDefault="003E786C" w:rsidP="00C17D6E">
            <w:pPr>
              <w:rPr>
                <w:rFonts w:cs="Times New Roman"/>
                <w:color w:val="000000"/>
              </w:rPr>
            </w:pPr>
            <w:r w:rsidRPr="00203EB0">
              <w:rPr>
                <w:rFonts w:cs="Times New Roman"/>
                <w:color w:val="000000"/>
              </w:rPr>
              <w:t>F =1.70</w:t>
            </w:r>
            <w:r w:rsidRPr="00203EB0">
              <w:rPr>
                <w:rFonts w:cs="Times New Roman"/>
                <w:color w:val="000000"/>
                <w:vertAlign w:val="superscript"/>
              </w:rPr>
              <w:t>NS</w:t>
            </w:r>
          </w:p>
        </w:tc>
        <w:tc>
          <w:tcPr>
            <w:tcW w:w="790" w:type="pct"/>
            <w:tcBorders>
              <w:top w:val="single" w:sz="4" w:space="0" w:color="auto"/>
              <w:bottom w:val="single" w:sz="4" w:space="0" w:color="auto"/>
            </w:tcBorders>
          </w:tcPr>
          <w:p w14:paraId="3C5E0D08" w14:textId="77777777" w:rsidR="003E786C" w:rsidRPr="00203EB0" w:rsidRDefault="003E786C" w:rsidP="00C17D6E">
            <w:pPr>
              <w:rPr>
                <w:rFonts w:cs="Times New Roman"/>
                <w:color w:val="000000"/>
              </w:rPr>
            </w:pPr>
            <w:r w:rsidRPr="00203EB0">
              <w:rPr>
                <w:rFonts w:cs="Times New Roman"/>
                <w:color w:val="000000"/>
              </w:rPr>
              <w:t>F = 10.68**</w:t>
            </w:r>
          </w:p>
          <w:p w14:paraId="7F26C119" w14:textId="77777777" w:rsidR="003E786C" w:rsidRPr="00203EB0" w:rsidRDefault="003E786C" w:rsidP="00C17D6E">
            <w:pPr>
              <w:rPr>
                <w:rFonts w:cs="Times New Roman"/>
                <w:color w:val="000000"/>
              </w:rPr>
            </w:pPr>
            <w:r w:rsidRPr="00203EB0">
              <w:rPr>
                <w:rFonts w:cs="Times New Roman"/>
                <w:color w:val="000000"/>
              </w:rPr>
              <w:t>CT &gt; NT</w:t>
            </w:r>
          </w:p>
        </w:tc>
        <w:tc>
          <w:tcPr>
            <w:tcW w:w="799" w:type="pct"/>
            <w:tcBorders>
              <w:top w:val="single" w:sz="4" w:space="0" w:color="auto"/>
              <w:bottom w:val="single" w:sz="4" w:space="0" w:color="auto"/>
            </w:tcBorders>
          </w:tcPr>
          <w:p w14:paraId="0CCACA15" w14:textId="77777777" w:rsidR="003E786C" w:rsidRPr="00203EB0" w:rsidRDefault="003E786C" w:rsidP="00C17D6E">
            <w:pPr>
              <w:rPr>
                <w:rFonts w:cs="Times New Roman"/>
              </w:rPr>
            </w:pPr>
            <w:r w:rsidRPr="00203EB0">
              <w:rPr>
                <w:rFonts w:cs="Times New Roman"/>
                <w:color w:val="000000"/>
              </w:rPr>
              <w:t>F = 0.31</w:t>
            </w:r>
            <w:r w:rsidRPr="00203EB0">
              <w:rPr>
                <w:rFonts w:cs="Times New Roman"/>
                <w:color w:val="000000"/>
                <w:vertAlign w:val="superscript"/>
              </w:rPr>
              <w:t>NS</w:t>
            </w:r>
          </w:p>
        </w:tc>
      </w:tr>
      <w:tr w:rsidR="003E786C" w:rsidRPr="00203EB0" w14:paraId="5DF62F5A" w14:textId="77777777" w:rsidTr="00C17D6E">
        <w:trPr>
          <w:trHeight w:val="19"/>
        </w:trPr>
        <w:tc>
          <w:tcPr>
            <w:tcW w:w="1488" w:type="pct"/>
            <w:tcBorders>
              <w:top w:val="single" w:sz="4" w:space="0" w:color="auto"/>
              <w:bottom w:val="single" w:sz="4" w:space="0" w:color="auto"/>
            </w:tcBorders>
          </w:tcPr>
          <w:p w14:paraId="405DE3C2" w14:textId="77777777" w:rsidR="003E786C" w:rsidRPr="00203EB0" w:rsidRDefault="003E786C" w:rsidP="00C17D6E">
            <w:pPr>
              <w:rPr>
                <w:rFonts w:cs="Times New Roman"/>
              </w:rPr>
            </w:pPr>
            <w:r w:rsidRPr="00203EB0">
              <w:rPr>
                <w:rFonts w:cs="Times New Roman"/>
              </w:rPr>
              <w:t>A21b</w:t>
            </w:r>
          </w:p>
        </w:tc>
        <w:tc>
          <w:tcPr>
            <w:tcW w:w="906" w:type="pct"/>
            <w:tcBorders>
              <w:top w:val="single" w:sz="4" w:space="0" w:color="auto"/>
              <w:bottom w:val="single" w:sz="4" w:space="0" w:color="auto"/>
            </w:tcBorders>
          </w:tcPr>
          <w:p w14:paraId="6CF76FC0" w14:textId="77777777" w:rsidR="003E786C" w:rsidRPr="00203EB0" w:rsidRDefault="003E786C" w:rsidP="00C17D6E">
            <w:pPr>
              <w:rPr>
                <w:rFonts w:cs="Times New Roman"/>
                <w:color w:val="000000"/>
              </w:rPr>
            </w:pPr>
            <w:r w:rsidRPr="00203EB0">
              <w:rPr>
                <w:rFonts w:cs="Times New Roman"/>
                <w:color w:val="000000"/>
              </w:rPr>
              <w:t>F = 5.08**</w:t>
            </w:r>
          </w:p>
          <w:p w14:paraId="6B8716A1" w14:textId="77777777" w:rsidR="003E786C" w:rsidRPr="00203EB0" w:rsidRDefault="003E786C" w:rsidP="00C17D6E">
            <w:pPr>
              <w:rPr>
                <w:rFonts w:cs="Times New Roman"/>
                <w:color w:val="000000"/>
              </w:rPr>
            </w:pPr>
            <w:r w:rsidRPr="00203EB0">
              <w:rPr>
                <w:rFonts w:cs="Times New Roman"/>
                <w:color w:val="000000"/>
              </w:rPr>
              <w:t>(Higher mid-growing season)</w:t>
            </w:r>
          </w:p>
        </w:tc>
        <w:tc>
          <w:tcPr>
            <w:tcW w:w="1018" w:type="pct"/>
            <w:tcBorders>
              <w:top w:val="single" w:sz="4" w:space="0" w:color="auto"/>
              <w:bottom w:val="single" w:sz="4" w:space="0" w:color="auto"/>
            </w:tcBorders>
          </w:tcPr>
          <w:p w14:paraId="387BFE53" w14:textId="77777777" w:rsidR="003E786C" w:rsidRPr="00203EB0" w:rsidRDefault="003E786C" w:rsidP="00C17D6E">
            <w:pPr>
              <w:rPr>
                <w:rFonts w:cs="Times New Roman"/>
                <w:color w:val="000000"/>
              </w:rPr>
            </w:pPr>
            <w:r w:rsidRPr="00203EB0">
              <w:rPr>
                <w:rFonts w:cs="Times New Roman"/>
                <w:color w:val="000000"/>
              </w:rPr>
              <w:t>F =0.008</w:t>
            </w:r>
            <w:r w:rsidRPr="00203EB0">
              <w:rPr>
                <w:rFonts w:cs="Times New Roman"/>
                <w:color w:val="000000"/>
                <w:vertAlign w:val="superscript"/>
              </w:rPr>
              <w:t>NS</w:t>
            </w:r>
          </w:p>
        </w:tc>
        <w:tc>
          <w:tcPr>
            <w:tcW w:w="790" w:type="pct"/>
            <w:tcBorders>
              <w:top w:val="single" w:sz="4" w:space="0" w:color="auto"/>
              <w:bottom w:val="single" w:sz="4" w:space="0" w:color="auto"/>
            </w:tcBorders>
          </w:tcPr>
          <w:p w14:paraId="07D875EC" w14:textId="77777777" w:rsidR="003E786C" w:rsidRPr="00203EB0" w:rsidRDefault="003E786C" w:rsidP="00C17D6E">
            <w:pPr>
              <w:rPr>
                <w:rFonts w:cs="Times New Roman"/>
                <w:color w:val="000000"/>
              </w:rPr>
            </w:pPr>
            <w:r w:rsidRPr="00203EB0">
              <w:rPr>
                <w:rFonts w:cs="Times New Roman"/>
                <w:color w:val="000000"/>
              </w:rPr>
              <w:t>F = 0.082</w:t>
            </w:r>
            <w:r w:rsidRPr="00203EB0">
              <w:rPr>
                <w:rFonts w:cs="Times New Roman"/>
                <w:color w:val="000000"/>
                <w:vertAlign w:val="superscript"/>
              </w:rPr>
              <w:t>NS</w:t>
            </w:r>
          </w:p>
        </w:tc>
        <w:tc>
          <w:tcPr>
            <w:tcW w:w="799" w:type="pct"/>
            <w:tcBorders>
              <w:top w:val="single" w:sz="4" w:space="0" w:color="auto"/>
              <w:bottom w:val="single" w:sz="4" w:space="0" w:color="auto"/>
            </w:tcBorders>
          </w:tcPr>
          <w:p w14:paraId="163081F4" w14:textId="77777777" w:rsidR="003E786C" w:rsidRPr="00203EB0" w:rsidRDefault="003E786C" w:rsidP="00C17D6E">
            <w:pPr>
              <w:rPr>
                <w:rFonts w:cs="Times New Roman"/>
              </w:rPr>
            </w:pPr>
            <w:r w:rsidRPr="00203EB0">
              <w:rPr>
                <w:rFonts w:cs="Times New Roman"/>
                <w:color w:val="000000"/>
              </w:rPr>
              <w:t>F = 0.18</w:t>
            </w:r>
            <w:r w:rsidRPr="00203EB0">
              <w:rPr>
                <w:rFonts w:cs="Times New Roman"/>
                <w:color w:val="000000"/>
                <w:vertAlign w:val="superscript"/>
              </w:rPr>
              <w:t>NS</w:t>
            </w:r>
          </w:p>
        </w:tc>
      </w:tr>
      <w:tr w:rsidR="003E786C" w:rsidRPr="00203EB0" w14:paraId="3FF5025B" w14:textId="77777777" w:rsidTr="00C17D6E">
        <w:trPr>
          <w:trHeight w:val="19"/>
        </w:trPr>
        <w:tc>
          <w:tcPr>
            <w:tcW w:w="1488" w:type="pct"/>
            <w:tcBorders>
              <w:top w:val="single" w:sz="4" w:space="0" w:color="auto"/>
              <w:bottom w:val="single" w:sz="4" w:space="0" w:color="auto"/>
            </w:tcBorders>
          </w:tcPr>
          <w:p w14:paraId="48837500" w14:textId="77777777" w:rsidR="003E786C" w:rsidRPr="00203EB0" w:rsidRDefault="003E786C" w:rsidP="00C17D6E">
            <w:pPr>
              <w:rPr>
                <w:rFonts w:cs="Times New Roman"/>
              </w:rPr>
            </w:pPr>
            <w:proofErr w:type="spellStart"/>
            <w:r w:rsidRPr="00203EB0">
              <w:rPr>
                <w:rFonts w:cs="Times New Roman"/>
              </w:rPr>
              <w:t>Micropepsaceae</w:t>
            </w:r>
            <w:proofErr w:type="spellEnd"/>
          </w:p>
        </w:tc>
        <w:tc>
          <w:tcPr>
            <w:tcW w:w="906" w:type="pct"/>
            <w:tcBorders>
              <w:top w:val="single" w:sz="4" w:space="0" w:color="auto"/>
              <w:bottom w:val="single" w:sz="4" w:space="0" w:color="auto"/>
            </w:tcBorders>
          </w:tcPr>
          <w:p w14:paraId="762C4AA7" w14:textId="77777777" w:rsidR="003E786C" w:rsidRPr="00203EB0" w:rsidRDefault="003E786C" w:rsidP="00C17D6E">
            <w:pPr>
              <w:rPr>
                <w:rFonts w:cs="Times New Roman"/>
                <w:color w:val="000000"/>
              </w:rPr>
            </w:pPr>
            <w:r w:rsidRPr="00203EB0">
              <w:rPr>
                <w:rFonts w:cs="Times New Roman"/>
                <w:color w:val="000000"/>
              </w:rPr>
              <w:t>F = 3.97**</w:t>
            </w:r>
          </w:p>
          <w:p w14:paraId="1C38D7B7" w14:textId="77777777" w:rsidR="003E786C" w:rsidRPr="00203EB0" w:rsidRDefault="003E786C" w:rsidP="00C17D6E">
            <w:pPr>
              <w:rPr>
                <w:rFonts w:cs="Times New Roman"/>
                <w:color w:val="000000"/>
              </w:rPr>
            </w:pPr>
            <w:r w:rsidRPr="00203EB0">
              <w:rPr>
                <w:rFonts w:cs="Times New Roman"/>
                <w:color w:val="000000"/>
              </w:rPr>
              <w:t>(Higher mid-growing season)</w:t>
            </w:r>
          </w:p>
        </w:tc>
        <w:tc>
          <w:tcPr>
            <w:tcW w:w="1018" w:type="pct"/>
            <w:tcBorders>
              <w:top w:val="single" w:sz="4" w:space="0" w:color="auto"/>
              <w:bottom w:val="single" w:sz="4" w:space="0" w:color="auto"/>
            </w:tcBorders>
          </w:tcPr>
          <w:p w14:paraId="4BB84273" w14:textId="77777777" w:rsidR="003E786C" w:rsidRPr="00203EB0" w:rsidRDefault="003E786C" w:rsidP="00C17D6E">
            <w:pPr>
              <w:rPr>
                <w:rFonts w:cs="Times New Roman"/>
                <w:color w:val="000000"/>
              </w:rPr>
            </w:pPr>
            <w:r w:rsidRPr="00203EB0">
              <w:rPr>
                <w:rFonts w:cs="Times New Roman"/>
                <w:color w:val="000000"/>
              </w:rPr>
              <w:t>F = 9.83**</w:t>
            </w:r>
          </w:p>
          <w:p w14:paraId="76DA0DBD" w14:textId="77777777" w:rsidR="003E786C" w:rsidRPr="00203EB0" w:rsidRDefault="003E786C" w:rsidP="00C17D6E">
            <w:pPr>
              <w:rPr>
                <w:rFonts w:cs="Times New Roman"/>
                <w:color w:val="000000"/>
              </w:rPr>
            </w:pPr>
            <w:r w:rsidRPr="00203EB0">
              <w:rPr>
                <w:rFonts w:cs="Times New Roman"/>
                <w:color w:val="000000"/>
              </w:rPr>
              <w:t>0N &lt; 60N</w:t>
            </w:r>
          </w:p>
        </w:tc>
        <w:tc>
          <w:tcPr>
            <w:tcW w:w="790" w:type="pct"/>
            <w:tcBorders>
              <w:top w:val="single" w:sz="4" w:space="0" w:color="auto"/>
              <w:bottom w:val="single" w:sz="4" w:space="0" w:color="auto"/>
            </w:tcBorders>
          </w:tcPr>
          <w:p w14:paraId="264E154E" w14:textId="77777777" w:rsidR="003E786C" w:rsidRPr="00203EB0" w:rsidRDefault="003E786C" w:rsidP="00C17D6E">
            <w:pPr>
              <w:rPr>
                <w:rFonts w:cs="Times New Roman"/>
                <w:color w:val="000000"/>
              </w:rPr>
            </w:pPr>
            <w:r w:rsidRPr="00203EB0">
              <w:rPr>
                <w:rFonts w:cs="Times New Roman"/>
                <w:color w:val="000000"/>
              </w:rPr>
              <w:t>F = 0.69</w:t>
            </w:r>
            <w:r w:rsidRPr="00203EB0">
              <w:rPr>
                <w:rFonts w:cs="Times New Roman"/>
                <w:color w:val="000000"/>
                <w:vertAlign w:val="superscript"/>
              </w:rPr>
              <w:t>NS</w:t>
            </w:r>
          </w:p>
        </w:tc>
        <w:tc>
          <w:tcPr>
            <w:tcW w:w="799" w:type="pct"/>
            <w:tcBorders>
              <w:top w:val="single" w:sz="4" w:space="0" w:color="auto"/>
              <w:bottom w:val="single" w:sz="4" w:space="0" w:color="auto"/>
            </w:tcBorders>
          </w:tcPr>
          <w:p w14:paraId="1C941EBD" w14:textId="77777777" w:rsidR="003E786C" w:rsidRPr="00203EB0" w:rsidRDefault="003E786C" w:rsidP="00C17D6E">
            <w:pPr>
              <w:rPr>
                <w:rFonts w:cs="Times New Roman"/>
                <w:color w:val="000000"/>
              </w:rPr>
            </w:pPr>
            <w:r w:rsidRPr="00203EB0">
              <w:rPr>
                <w:rFonts w:cs="Times New Roman"/>
                <w:color w:val="000000"/>
              </w:rPr>
              <w:t>F = 5.15**</w:t>
            </w:r>
          </w:p>
          <w:p w14:paraId="796C047C" w14:textId="77777777" w:rsidR="003E786C" w:rsidRPr="00203EB0" w:rsidRDefault="003E786C" w:rsidP="00C17D6E">
            <w:pPr>
              <w:rPr>
                <w:rFonts w:cs="Times New Roman"/>
                <w:color w:val="000000"/>
              </w:rPr>
            </w:pPr>
            <w:r w:rsidRPr="00203EB0">
              <w:rPr>
                <w:rFonts w:cs="Times New Roman"/>
                <w:color w:val="000000"/>
              </w:rPr>
              <w:t>NC &lt; HV</w:t>
            </w:r>
          </w:p>
        </w:tc>
      </w:tr>
      <w:tr w:rsidR="003E786C" w:rsidRPr="00203EB0" w14:paraId="6E818490" w14:textId="77777777" w:rsidTr="00C17D6E">
        <w:trPr>
          <w:trHeight w:val="19"/>
        </w:trPr>
        <w:tc>
          <w:tcPr>
            <w:tcW w:w="1488" w:type="pct"/>
            <w:tcBorders>
              <w:top w:val="single" w:sz="4" w:space="0" w:color="auto"/>
              <w:bottom w:val="single" w:sz="4" w:space="0" w:color="auto"/>
            </w:tcBorders>
          </w:tcPr>
          <w:p w14:paraId="356839E5" w14:textId="77777777" w:rsidR="003E786C" w:rsidRPr="00203EB0" w:rsidRDefault="003E786C" w:rsidP="00C17D6E">
            <w:pPr>
              <w:rPr>
                <w:rFonts w:cs="Times New Roman"/>
              </w:rPr>
            </w:pPr>
            <w:r w:rsidRPr="00203EB0">
              <w:rPr>
                <w:rFonts w:cs="Times New Roman"/>
                <w:i/>
              </w:rPr>
              <w:t>Candidatus</w:t>
            </w:r>
            <w:r w:rsidRPr="00203EB0">
              <w:rPr>
                <w:rFonts w:cs="Times New Roman"/>
              </w:rPr>
              <w:t xml:space="preserve"> </w:t>
            </w:r>
            <w:proofErr w:type="spellStart"/>
            <w:r w:rsidRPr="00203EB0">
              <w:rPr>
                <w:rFonts w:cs="Times New Roman"/>
              </w:rPr>
              <w:t>Nitrosotalea</w:t>
            </w:r>
            <w:proofErr w:type="spellEnd"/>
          </w:p>
        </w:tc>
        <w:tc>
          <w:tcPr>
            <w:tcW w:w="906" w:type="pct"/>
            <w:tcBorders>
              <w:top w:val="single" w:sz="4" w:space="0" w:color="auto"/>
              <w:bottom w:val="single" w:sz="4" w:space="0" w:color="auto"/>
            </w:tcBorders>
          </w:tcPr>
          <w:p w14:paraId="7A81E20D" w14:textId="77777777" w:rsidR="003E786C" w:rsidRPr="00203EB0" w:rsidRDefault="003E786C" w:rsidP="00C17D6E">
            <w:pPr>
              <w:rPr>
                <w:rFonts w:cs="Times New Roman"/>
                <w:color w:val="000000"/>
              </w:rPr>
            </w:pPr>
            <w:r w:rsidRPr="00203EB0">
              <w:rPr>
                <w:rFonts w:cs="Times New Roman"/>
                <w:color w:val="000000"/>
              </w:rPr>
              <w:t>F = 2.45*</w:t>
            </w:r>
          </w:p>
          <w:p w14:paraId="63CA0116" w14:textId="77777777" w:rsidR="003E786C" w:rsidRPr="00203EB0" w:rsidRDefault="003E786C" w:rsidP="00C17D6E">
            <w:pPr>
              <w:rPr>
                <w:rFonts w:cs="Times New Roman"/>
                <w:color w:val="000000"/>
              </w:rPr>
            </w:pPr>
            <w:r w:rsidRPr="00203EB0">
              <w:rPr>
                <w:rFonts w:cs="Times New Roman"/>
                <w:color w:val="000000"/>
              </w:rPr>
              <w:t>(Higher mid-growing season)</w:t>
            </w:r>
          </w:p>
        </w:tc>
        <w:tc>
          <w:tcPr>
            <w:tcW w:w="1018" w:type="pct"/>
            <w:tcBorders>
              <w:top w:val="single" w:sz="4" w:space="0" w:color="auto"/>
              <w:bottom w:val="single" w:sz="4" w:space="0" w:color="auto"/>
            </w:tcBorders>
          </w:tcPr>
          <w:p w14:paraId="57988647" w14:textId="77777777" w:rsidR="003E786C" w:rsidRPr="00203EB0" w:rsidRDefault="003E786C" w:rsidP="00C17D6E">
            <w:pPr>
              <w:rPr>
                <w:rFonts w:cs="Times New Roman"/>
                <w:color w:val="000000"/>
              </w:rPr>
            </w:pPr>
            <w:r w:rsidRPr="00203EB0">
              <w:rPr>
                <w:rFonts w:cs="Times New Roman"/>
                <w:color w:val="000000"/>
              </w:rPr>
              <w:t>F = 13.67***</w:t>
            </w:r>
          </w:p>
          <w:p w14:paraId="1164311B" w14:textId="77777777" w:rsidR="003E786C" w:rsidRPr="00203EB0" w:rsidRDefault="003E786C" w:rsidP="00C17D6E">
            <w:pPr>
              <w:rPr>
                <w:rFonts w:cs="Times New Roman"/>
                <w:color w:val="000000"/>
              </w:rPr>
            </w:pPr>
            <w:r w:rsidRPr="00203EB0">
              <w:rPr>
                <w:rFonts w:cs="Times New Roman"/>
                <w:color w:val="000000"/>
              </w:rPr>
              <w:t>0N &lt; 60N</w:t>
            </w:r>
          </w:p>
        </w:tc>
        <w:tc>
          <w:tcPr>
            <w:tcW w:w="790" w:type="pct"/>
            <w:tcBorders>
              <w:top w:val="single" w:sz="4" w:space="0" w:color="auto"/>
              <w:bottom w:val="single" w:sz="4" w:space="0" w:color="auto"/>
            </w:tcBorders>
          </w:tcPr>
          <w:p w14:paraId="4BBC8E15" w14:textId="77777777" w:rsidR="003E786C" w:rsidRPr="00203EB0" w:rsidRDefault="003E786C" w:rsidP="00C17D6E">
            <w:pPr>
              <w:rPr>
                <w:rFonts w:cs="Times New Roman"/>
                <w:color w:val="000000"/>
              </w:rPr>
            </w:pPr>
            <w:r w:rsidRPr="00203EB0">
              <w:rPr>
                <w:rFonts w:cs="Times New Roman"/>
                <w:color w:val="000000"/>
              </w:rPr>
              <w:t>F = 0.008</w:t>
            </w:r>
            <w:r w:rsidRPr="00203EB0">
              <w:rPr>
                <w:rFonts w:cs="Times New Roman"/>
                <w:color w:val="000000"/>
                <w:vertAlign w:val="superscript"/>
              </w:rPr>
              <w:t>NS</w:t>
            </w:r>
          </w:p>
        </w:tc>
        <w:tc>
          <w:tcPr>
            <w:tcW w:w="799" w:type="pct"/>
            <w:tcBorders>
              <w:top w:val="single" w:sz="4" w:space="0" w:color="auto"/>
              <w:bottom w:val="single" w:sz="4" w:space="0" w:color="auto"/>
            </w:tcBorders>
          </w:tcPr>
          <w:p w14:paraId="1BA39B17" w14:textId="77777777" w:rsidR="003E786C" w:rsidRPr="00203EB0" w:rsidRDefault="003E786C" w:rsidP="00C17D6E">
            <w:pPr>
              <w:rPr>
                <w:rFonts w:cs="Times New Roman"/>
              </w:rPr>
            </w:pPr>
            <w:r w:rsidRPr="00203EB0">
              <w:rPr>
                <w:rFonts w:cs="Times New Roman"/>
                <w:color w:val="000000"/>
              </w:rPr>
              <w:t>F = 0.025</w:t>
            </w:r>
            <w:r w:rsidRPr="00203EB0">
              <w:rPr>
                <w:rFonts w:cs="Times New Roman"/>
                <w:color w:val="000000"/>
                <w:vertAlign w:val="superscript"/>
              </w:rPr>
              <w:t>NS</w:t>
            </w:r>
          </w:p>
        </w:tc>
      </w:tr>
      <w:tr w:rsidR="003E786C" w:rsidRPr="00203EB0" w14:paraId="7CA5DB93" w14:textId="77777777" w:rsidTr="00C17D6E">
        <w:trPr>
          <w:trHeight w:val="19"/>
        </w:trPr>
        <w:tc>
          <w:tcPr>
            <w:tcW w:w="1488" w:type="pct"/>
            <w:tcBorders>
              <w:top w:val="single" w:sz="4" w:space="0" w:color="auto"/>
              <w:bottom w:val="single" w:sz="4" w:space="0" w:color="auto"/>
            </w:tcBorders>
          </w:tcPr>
          <w:p w14:paraId="79C785E4" w14:textId="77777777" w:rsidR="003E786C" w:rsidRPr="00203EB0" w:rsidRDefault="003E786C" w:rsidP="00C17D6E">
            <w:pPr>
              <w:rPr>
                <w:rFonts w:cs="Times New Roman"/>
                <w:i/>
              </w:rPr>
            </w:pPr>
            <w:proofErr w:type="spellStart"/>
            <w:r w:rsidRPr="00203EB0">
              <w:rPr>
                <w:rFonts w:cs="Times New Roman"/>
                <w:i/>
              </w:rPr>
              <w:t>Anaeromyxobacter</w:t>
            </w:r>
            <w:proofErr w:type="spellEnd"/>
          </w:p>
        </w:tc>
        <w:tc>
          <w:tcPr>
            <w:tcW w:w="906" w:type="pct"/>
            <w:tcBorders>
              <w:top w:val="single" w:sz="4" w:space="0" w:color="auto"/>
              <w:bottom w:val="single" w:sz="4" w:space="0" w:color="auto"/>
            </w:tcBorders>
          </w:tcPr>
          <w:p w14:paraId="76686626" w14:textId="77777777" w:rsidR="003E786C" w:rsidRPr="00203EB0" w:rsidRDefault="003E786C" w:rsidP="00C17D6E">
            <w:pPr>
              <w:rPr>
                <w:rFonts w:cs="Times New Roman"/>
                <w:color w:val="000000"/>
              </w:rPr>
            </w:pPr>
            <w:r w:rsidRPr="00203EB0">
              <w:rPr>
                <w:rFonts w:cs="Times New Roman"/>
                <w:color w:val="000000"/>
              </w:rPr>
              <w:t>F = 2.19* (Higher mid-growing season)</w:t>
            </w:r>
          </w:p>
        </w:tc>
        <w:tc>
          <w:tcPr>
            <w:tcW w:w="1018" w:type="pct"/>
            <w:tcBorders>
              <w:top w:val="single" w:sz="4" w:space="0" w:color="auto"/>
              <w:bottom w:val="single" w:sz="4" w:space="0" w:color="auto"/>
            </w:tcBorders>
          </w:tcPr>
          <w:p w14:paraId="1E23B66B" w14:textId="77777777" w:rsidR="003E786C" w:rsidRPr="00203EB0" w:rsidRDefault="003E786C" w:rsidP="00C17D6E">
            <w:pPr>
              <w:rPr>
                <w:rFonts w:cs="Times New Roman"/>
                <w:color w:val="000000"/>
              </w:rPr>
            </w:pPr>
            <w:r w:rsidRPr="00203EB0">
              <w:rPr>
                <w:rFonts w:cs="Times New Roman"/>
                <w:color w:val="000000"/>
              </w:rPr>
              <w:t>F = 0.048</w:t>
            </w:r>
            <w:r w:rsidRPr="00203EB0">
              <w:rPr>
                <w:rFonts w:cs="Times New Roman"/>
                <w:color w:val="000000"/>
                <w:vertAlign w:val="superscript"/>
              </w:rPr>
              <w:t>NS</w:t>
            </w:r>
          </w:p>
        </w:tc>
        <w:tc>
          <w:tcPr>
            <w:tcW w:w="790" w:type="pct"/>
            <w:tcBorders>
              <w:top w:val="single" w:sz="4" w:space="0" w:color="auto"/>
              <w:bottom w:val="single" w:sz="4" w:space="0" w:color="auto"/>
            </w:tcBorders>
          </w:tcPr>
          <w:p w14:paraId="5B19EF07" w14:textId="77777777" w:rsidR="003E786C" w:rsidRPr="00203EB0" w:rsidRDefault="003E786C" w:rsidP="00C17D6E">
            <w:pPr>
              <w:rPr>
                <w:rFonts w:cs="Times New Roman"/>
                <w:color w:val="000000"/>
              </w:rPr>
            </w:pPr>
            <w:r w:rsidRPr="00203EB0">
              <w:rPr>
                <w:rFonts w:cs="Times New Roman"/>
                <w:color w:val="000000"/>
              </w:rPr>
              <w:t>F = 0.25</w:t>
            </w:r>
            <w:r w:rsidRPr="00203EB0">
              <w:rPr>
                <w:rFonts w:cs="Times New Roman"/>
                <w:color w:val="000000"/>
                <w:vertAlign w:val="superscript"/>
              </w:rPr>
              <w:t>NS</w:t>
            </w:r>
          </w:p>
        </w:tc>
        <w:tc>
          <w:tcPr>
            <w:tcW w:w="799" w:type="pct"/>
            <w:tcBorders>
              <w:top w:val="single" w:sz="4" w:space="0" w:color="auto"/>
              <w:bottom w:val="single" w:sz="4" w:space="0" w:color="auto"/>
            </w:tcBorders>
          </w:tcPr>
          <w:p w14:paraId="0CF3B650" w14:textId="77777777" w:rsidR="003E786C" w:rsidRPr="00203EB0" w:rsidRDefault="003E786C" w:rsidP="00C17D6E">
            <w:pPr>
              <w:rPr>
                <w:rFonts w:cs="Times New Roman"/>
              </w:rPr>
            </w:pPr>
            <w:r w:rsidRPr="00203EB0">
              <w:rPr>
                <w:rFonts w:cs="Times New Roman"/>
                <w:color w:val="000000"/>
              </w:rPr>
              <w:t>F = 0.001</w:t>
            </w:r>
            <w:r w:rsidRPr="00203EB0">
              <w:rPr>
                <w:rFonts w:cs="Times New Roman"/>
                <w:color w:val="000000"/>
                <w:vertAlign w:val="superscript"/>
              </w:rPr>
              <w:t>NS</w:t>
            </w:r>
          </w:p>
        </w:tc>
      </w:tr>
      <w:tr w:rsidR="003E786C" w:rsidRPr="00203EB0" w14:paraId="16726B99" w14:textId="77777777" w:rsidTr="00C17D6E">
        <w:trPr>
          <w:trHeight w:val="19"/>
        </w:trPr>
        <w:tc>
          <w:tcPr>
            <w:tcW w:w="1488" w:type="pct"/>
            <w:tcBorders>
              <w:top w:val="single" w:sz="4" w:space="0" w:color="auto"/>
              <w:bottom w:val="single" w:sz="4" w:space="0" w:color="auto"/>
            </w:tcBorders>
          </w:tcPr>
          <w:p w14:paraId="01E57F4E" w14:textId="77777777" w:rsidR="003E786C" w:rsidRPr="00203EB0" w:rsidRDefault="003E786C" w:rsidP="00C17D6E">
            <w:pPr>
              <w:rPr>
                <w:rFonts w:cs="Times New Roman"/>
                <w:i/>
              </w:rPr>
            </w:pPr>
            <w:r w:rsidRPr="00203EB0">
              <w:rPr>
                <w:rFonts w:cs="Times New Roman"/>
                <w:i/>
              </w:rPr>
              <w:t>Flavobacterium</w:t>
            </w:r>
          </w:p>
        </w:tc>
        <w:tc>
          <w:tcPr>
            <w:tcW w:w="906" w:type="pct"/>
            <w:tcBorders>
              <w:top w:val="single" w:sz="4" w:space="0" w:color="auto"/>
              <w:bottom w:val="single" w:sz="4" w:space="0" w:color="auto"/>
            </w:tcBorders>
          </w:tcPr>
          <w:p w14:paraId="5C519233" w14:textId="77777777" w:rsidR="003E786C" w:rsidRPr="00203EB0" w:rsidRDefault="003E786C" w:rsidP="00C17D6E">
            <w:pPr>
              <w:rPr>
                <w:rFonts w:cs="Times New Roman"/>
                <w:color w:val="000000"/>
              </w:rPr>
            </w:pPr>
            <w:r w:rsidRPr="00203EB0">
              <w:rPr>
                <w:rFonts w:cs="Times New Roman"/>
                <w:color w:val="000000"/>
              </w:rPr>
              <w:t>F = 4.67***</w:t>
            </w:r>
          </w:p>
          <w:p w14:paraId="40629794" w14:textId="77777777" w:rsidR="003E786C" w:rsidRPr="00203EB0" w:rsidRDefault="003E786C" w:rsidP="00C17D6E">
            <w:pPr>
              <w:rPr>
                <w:rFonts w:cs="Times New Roman"/>
                <w:color w:val="000000"/>
              </w:rPr>
            </w:pPr>
            <w:r w:rsidRPr="00203EB0">
              <w:rPr>
                <w:rFonts w:cs="Times New Roman"/>
                <w:color w:val="000000"/>
              </w:rPr>
              <w:t>(Lower mid-growing season)</w:t>
            </w:r>
          </w:p>
        </w:tc>
        <w:tc>
          <w:tcPr>
            <w:tcW w:w="1018" w:type="pct"/>
            <w:tcBorders>
              <w:top w:val="single" w:sz="4" w:space="0" w:color="auto"/>
              <w:bottom w:val="single" w:sz="4" w:space="0" w:color="auto"/>
            </w:tcBorders>
          </w:tcPr>
          <w:p w14:paraId="215DEC93" w14:textId="77777777" w:rsidR="003E786C" w:rsidRPr="00203EB0" w:rsidRDefault="003E786C" w:rsidP="00C17D6E">
            <w:pPr>
              <w:rPr>
                <w:rFonts w:cs="Times New Roman"/>
                <w:color w:val="000000"/>
              </w:rPr>
            </w:pPr>
            <w:r w:rsidRPr="00203EB0">
              <w:rPr>
                <w:rFonts w:cs="Times New Roman"/>
                <w:color w:val="000000"/>
              </w:rPr>
              <w:t>F = 0.50</w:t>
            </w:r>
            <w:r w:rsidRPr="00203EB0">
              <w:rPr>
                <w:rFonts w:cs="Times New Roman"/>
                <w:color w:val="000000"/>
                <w:vertAlign w:val="superscript"/>
              </w:rPr>
              <w:t>NS</w:t>
            </w:r>
          </w:p>
        </w:tc>
        <w:tc>
          <w:tcPr>
            <w:tcW w:w="790" w:type="pct"/>
            <w:tcBorders>
              <w:top w:val="single" w:sz="4" w:space="0" w:color="auto"/>
              <w:bottom w:val="single" w:sz="4" w:space="0" w:color="auto"/>
            </w:tcBorders>
          </w:tcPr>
          <w:p w14:paraId="2B4974C8" w14:textId="77777777" w:rsidR="003E786C" w:rsidRPr="00203EB0" w:rsidRDefault="003E786C" w:rsidP="00C17D6E">
            <w:pPr>
              <w:rPr>
                <w:rFonts w:cs="Times New Roman"/>
                <w:color w:val="000000"/>
              </w:rPr>
            </w:pPr>
            <w:r w:rsidRPr="00203EB0">
              <w:rPr>
                <w:rFonts w:cs="Times New Roman"/>
                <w:color w:val="000000"/>
              </w:rPr>
              <w:t>F = 0.016</w:t>
            </w:r>
            <w:r w:rsidRPr="00203EB0">
              <w:rPr>
                <w:rFonts w:cs="Times New Roman"/>
                <w:color w:val="000000"/>
                <w:vertAlign w:val="superscript"/>
              </w:rPr>
              <w:t>NS</w:t>
            </w:r>
          </w:p>
        </w:tc>
        <w:tc>
          <w:tcPr>
            <w:tcW w:w="799" w:type="pct"/>
            <w:tcBorders>
              <w:top w:val="single" w:sz="4" w:space="0" w:color="auto"/>
              <w:bottom w:val="single" w:sz="4" w:space="0" w:color="auto"/>
            </w:tcBorders>
          </w:tcPr>
          <w:p w14:paraId="3C11EB08" w14:textId="77777777" w:rsidR="003E786C" w:rsidRPr="00203EB0" w:rsidRDefault="003E786C" w:rsidP="00C17D6E">
            <w:pPr>
              <w:rPr>
                <w:rFonts w:cs="Times New Roman"/>
                <w:color w:val="000000"/>
              </w:rPr>
            </w:pPr>
            <w:r w:rsidRPr="00203EB0">
              <w:rPr>
                <w:rFonts w:cs="Times New Roman"/>
                <w:color w:val="000000"/>
              </w:rPr>
              <w:t>F &lt; 0.001</w:t>
            </w:r>
            <w:r w:rsidRPr="00203EB0">
              <w:rPr>
                <w:rFonts w:cs="Times New Roman"/>
                <w:color w:val="000000"/>
                <w:vertAlign w:val="superscript"/>
              </w:rPr>
              <w:t>NS</w:t>
            </w:r>
          </w:p>
        </w:tc>
      </w:tr>
      <w:tr w:rsidR="003E786C" w:rsidRPr="00203EB0" w14:paraId="0C9C3D98" w14:textId="77777777" w:rsidTr="00C17D6E">
        <w:trPr>
          <w:trHeight w:val="410"/>
        </w:trPr>
        <w:tc>
          <w:tcPr>
            <w:tcW w:w="1488" w:type="pct"/>
            <w:tcBorders>
              <w:top w:val="single" w:sz="4" w:space="0" w:color="auto"/>
              <w:bottom w:val="single" w:sz="4" w:space="0" w:color="auto"/>
            </w:tcBorders>
          </w:tcPr>
          <w:p w14:paraId="3E969051" w14:textId="77777777" w:rsidR="003E786C" w:rsidRPr="00203EB0" w:rsidRDefault="003E786C" w:rsidP="00C17D6E">
            <w:pPr>
              <w:rPr>
                <w:rFonts w:cs="Times New Roman"/>
              </w:rPr>
            </w:pPr>
            <w:proofErr w:type="spellStart"/>
            <w:r w:rsidRPr="00203EB0">
              <w:rPr>
                <w:rFonts w:cs="Times New Roman"/>
              </w:rPr>
              <w:t>Methanomassiliicoccales</w:t>
            </w:r>
            <w:proofErr w:type="spellEnd"/>
          </w:p>
        </w:tc>
        <w:tc>
          <w:tcPr>
            <w:tcW w:w="906" w:type="pct"/>
            <w:tcBorders>
              <w:top w:val="single" w:sz="4" w:space="0" w:color="auto"/>
              <w:bottom w:val="single" w:sz="4" w:space="0" w:color="auto"/>
            </w:tcBorders>
          </w:tcPr>
          <w:p w14:paraId="312B550F" w14:textId="77777777" w:rsidR="003E786C" w:rsidRPr="00203EB0" w:rsidRDefault="003E786C" w:rsidP="00C17D6E">
            <w:pPr>
              <w:rPr>
                <w:rFonts w:cs="Times New Roman"/>
                <w:color w:val="000000"/>
              </w:rPr>
            </w:pPr>
            <w:r w:rsidRPr="00203EB0">
              <w:rPr>
                <w:rFonts w:cs="Times New Roman"/>
                <w:color w:val="000000"/>
              </w:rPr>
              <w:t>F = 1.86</w:t>
            </w:r>
            <w:r w:rsidRPr="00203EB0">
              <w:rPr>
                <w:rFonts w:cs="Times New Roman"/>
                <w:color w:val="000000"/>
                <w:vertAlign w:val="superscript"/>
              </w:rPr>
              <w:t>NS</w:t>
            </w:r>
          </w:p>
        </w:tc>
        <w:tc>
          <w:tcPr>
            <w:tcW w:w="1018" w:type="pct"/>
            <w:tcBorders>
              <w:top w:val="single" w:sz="4" w:space="0" w:color="auto"/>
              <w:bottom w:val="single" w:sz="4" w:space="0" w:color="auto"/>
            </w:tcBorders>
          </w:tcPr>
          <w:p w14:paraId="666AEDEC" w14:textId="77777777" w:rsidR="003E786C" w:rsidRPr="00203EB0" w:rsidRDefault="003E786C" w:rsidP="00C17D6E">
            <w:pPr>
              <w:rPr>
                <w:rFonts w:cs="Times New Roman"/>
                <w:color w:val="000000"/>
              </w:rPr>
            </w:pPr>
            <w:r w:rsidRPr="00203EB0">
              <w:rPr>
                <w:rFonts w:cs="Times New Roman"/>
                <w:color w:val="000000"/>
              </w:rPr>
              <w:t>F = 0.013</w:t>
            </w:r>
            <w:r w:rsidRPr="00203EB0">
              <w:rPr>
                <w:rFonts w:cs="Times New Roman"/>
                <w:color w:val="000000"/>
                <w:vertAlign w:val="superscript"/>
              </w:rPr>
              <w:t>NS</w:t>
            </w:r>
          </w:p>
        </w:tc>
        <w:tc>
          <w:tcPr>
            <w:tcW w:w="790" w:type="pct"/>
            <w:tcBorders>
              <w:top w:val="single" w:sz="4" w:space="0" w:color="auto"/>
              <w:bottom w:val="single" w:sz="4" w:space="0" w:color="auto"/>
            </w:tcBorders>
          </w:tcPr>
          <w:p w14:paraId="2F366FE5" w14:textId="77777777" w:rsidR="003E786C" w:rsidRPr="00203EB0" w:rsidRDefault="003E786C" w:rsidP="00C17D6E">
            <w:pPr>
              <w:rPr>
                <w:rFonts w:cs="Times New Roman"/>
                <w:color w:val="000000"/>
              </w:rPr>
            </w:pPr>
            <w:r w:rsidRPr="00203EB0">
              <w:rPr>
                <w:rFonts w:cs="Times New Roman"/>
                <w:color w:val="000000"/>
              </w:rPr>
              <w:t>F = 0.91</w:t>
            </w:r>
            <w:r w:rsidRPr="00203EB0">
              <w:rPr>
                <w:rFonts w:cs="Times New Roman"/>
                <w:color w:val="000000"/>
                <w:vertAlign w:val="superscript"/>
              </w:rPr>
              <w:t>NS</w:t>
            </w:r>
          </w:p>
        </w:tc>
        <w:tc>
          <w:tcPr>
            <w:tcW w:w="799" w:type="pct"/>
            <w:tcBorders>
              <w:top w:val="single" w:sz="4" w:space="0" w:color="auto"/>
              <w:bottom w:val="single" w:sz="4" w:space="0" w:color="auto"/>
            </w:tcBorders>
          </w:tcPr>
          <w:p w14:paraId="566F7304" w14:textId="77777777" w:rsidR="003E786C" w:rsidRPr="00203EB0" w:rsidRDefault="003E786C" w:rsidP="00C17D6E">
            <w:pPr>
              <w:rPr>
                <w:rFonts w:cs="Times New Roman"/>
                <w:color w:val="000000"/>
              </w:rPr>
            </w:pPr>
            <w:r w:rsidRPr="00203EB0">
              <w:rPr>
                <w:rFonts w:cs="Times New Roman"/>
                <w:color w:val="000000"/>
              </w:rPr>
              <w:t>F = 0.049</w:t>
            </w:r>
            <w:r w:rsidRPr="00203EB0">
              <w:rPr>
                <w:rFonts w:cs="Times New Roman"/>
                <w:color w:val="000000"/>
                <w:vertAlign w:val="superscript"/>
              </w:rPr>
              <w:t>NS</w:t>
            </w:r>
          </w:p>
        </w:tc>
      </w:tr>
    </w:tbl>
    <w:p w14:paraId="60F39B3A" w14:textId="77777777" w:rsidR="003E786C" w:rsidRPr="00203EB0" w:rsidRDefault="003E786C" w:rsidP="003E786C">
      <w:pPr>
        <w:rPr>
          <w:rFonts w:cs="Times New Roman"/>
        </w:rPr>
      </w:pPr>
      <w:r w:rsidRPr="00203EB0">
        <w:rPr>
          <w:rFonts w:cs="Times New Roman"/>
        </w:rPr>
        <w:t>*</w:t>
      </w:r>
      <w:r w:rsidRPr="00203EB0">
        <w:rPr>
          <w:rFonts w:cs="Times New Roman"/>
          <w:sz w:val="20"/>
          <w:szCs w:val="20"/>
        </w:rPr>
        <w:t>0N: Unfertilized, 60N: Fertilized, CT: conventional tillage, NT: no-tillage, NC: no cover crop, HV: Hairy Vetch. Growing season, early: 27-Apr and 17-Jun, mid: 2-Aug and 30-Aug, late: 20-Oct</w:t>
      </w:r>
    </w:p>
    <w:p w14:paraId="556CFF3D" w14:textId="0B56D2D0" w:rsidR="003E786C" w:rsidRPr="00203EB0" w:rsidRDefault="003E786C" w:rsidP="00001ABC">
      <w:pPr>
        <w:pStyle w:val="Caption"/>
      </w:pPr>
    </w:p>
    <w:p w14:paraId="0E1670F5" w14:textId="0A94F2D6" w:rsidR="003E786C" w:rsidRPr="00203EB0" w:rsidRDefault="00A6504B" w:rsidP="00001ABC">
      <w:pPr>
        <w:pStyle w:val="Caption"/>
      </w:pPr>
      <w:bookmarkStart w:id="104" w:name="_Toc206669228"/>
      <w:r w:rsidRPr="00203EB0">
        <w:rPr>
          <w:b/>
          <w:bCs/>
        </w:rPr>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5</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5</w:t>
      </w:r>
      <w:r w:rsidR="00775F57" w:rsidRPr="00203EB0">
        <w:rPr>
          <w:b/>
          <w:bCs/>
        </w:rPr>
        <w:fldChar w:fldCharType="end"/>
      </w:r>
      <w:r w:rsidRPr="00203EB0">
        <w:rPr>
          <w:b/>
          <w:bCs/>
        </w:rPr>
        <w:t>:</w:t>
      </w:r>
      <w:r w:rsidRPr="00203EB0">
        <w:t xml:space="preserve"> Functional annotation of microbial taxa associated with N</w:t>
      </w:r>
      <w:r w:rsidRPr="00203EB0">
        <w:rPr>
          <w:vertAlign w:val="subscript"/>
        </w:rPr>
        <w:t>2</w:t>
      </w:r>
      <w:r w:rsidRPr="00203EB0">
        <w:t>O emissions based on FAPROTAX database and additional literature sources</w:t>
      </w:r>
      <w:bookmarkEnd w:id="104"/>
    </w:p>
    <w:tbl>
      <w:tblPr>
        <w:tblStyle w:val="TableGrid"/>
        <w:tblW w:w="5000" w:type="pct"/>
        <w:tblLook w:val="04A0" w:firstRow="1" w:lastRow="0" w:firstColumn="1" w:lastColumn="0" w:noHBand="0" w:noVBand="1"/>
      </w:tblPr>
      <w:tblGrid>
        <w:gridCol w:w="2901"/>
        <w:gridCol w:w="5739"/>
      </w:tblGrid>
      <w:tr w:rsidR="00A6504B" w:rsidRPr="00203EB0" w14:paraId="6704E02A" w14:textId="77777777" w:rsidTr="00C17D6E">
        <w:tc>
          <w:tcPr>
            <w:tcW w:w="5000" w:type="pct"/>
            <w:gridSpan w:val="2"/>
            <w:tcBorders>
              <w:top w:val="single" w:sz="4" w:space="0" w:color="auto"/>
              <w:left w:val="nil"/>
              <w:bottom w:val="single" w:sz="4" w:space="0" w:color="auto"/>
              <w:right w:val="nil"/>
            </w:tcBorders>
          </w:tcPr>
          <w:p w14:paraId="205E919C" w14:textId="77777777" w:rsidR="00A6504B" w:rsidRPr="00203EB0" w:rsidRDefault="00A6504B" w:rsidP="00C17D6E">
            <w:pPr>
              <w:jc w:val="center"/>
              <w:rPr>
                <w:rFonts w:cs="Times New Roman"/>
                <w:b/>
              </w:rPr>
            </w:pPr>
            <w:r w:rsidRPr="00203EB0">
              <w:rPr>
                <w:rFonts w:cs="Times New Roman"/>
                <w:b/>
              </w:rPr>
              <w:t>0-10 cm</w:t>
            </w:r>
          </w:p>
        </w:tc>
      </w:tr>
      <w:tr w:rsidR="00A6504B" w:rsidRPr="00203EB0" w14:paraId="5FE66549" w14:textId="77777777" w:rsidTr="00C17D6E">
        <w:tc>
          <w:tcPr>
            <w:tcW w:w="1679" w:type="pct"/>
            <w:tcBorders>
              <w:top w:val="single" w:sz="4" w:space="0" w:color="auto"/>
              <w:left w:val="nil"/>
              <w:bottom w:val="single" w:sz="4" w:space="0" w:color="auto"/>
              <w:right w:val="nil"/>
            </w:tcBorders>
          </w:tcPr>
          <w:p w14:paraId="4118AAF0" w14:textId="77777777" w:rsidR="00A6504B" w:rsidRPr="00203EB0" w:rsidRDefault="00A6504B" w:rsidP="00C17D6E">
            <w:pPr>
              <w:jc w:val="center"/>
              <w:rPr>
                <w:rFonts w:cs="Times New Roman"/>
                <w:b/>
              </w:rPr>
            </w:pPr>
            <w:r w:rsidRPr="00203EB0">
              <w:rPr>
                <w:rFonts w:cs="Times New Roman"/>
                <w:b/>
              </w:rPr>
              <w:t>Taxa</w:t>
            </w:r>
          </w:p>
        </w:tc>
        <w:tc>
          <w:tcPr>
            <w:tcW w:w="3321" w:type="pct"/>
            <w:tcBorders>
              <w:top w:val="single" w:sz="4" w:space="0" w:color="auto"/>
              <w:left w:val="nil"/>
              <w:bottom w:val="single" w:sz="4" w:space="0" w:color="auto"/>
              <w:right w:val="nil"/>
            </w:tcBorders>
          </w:tcPr>
          <w:p w14:paraId="6A628071" w14:textId="77777777" w:rsidR="00A6504B" w:rsidRPr="00203EB0" w:rsidRDefault="00A6504B" w:rsidP="00C17D6E">
            <w:pPr>
              <w:jc w:val="center"/>
              <w:rPr>
                <w:rFonts w:cs="Times New Roman"/>
                <w:b/>
              </w:rPr>
            </w:pPr>
            <w:r w:rsidRPr="00203EB0">
              <w:rPr>
                <w:rFonts w:cs="Times New Roman"/>
                <w:b/>
              </w:rPr>
              <w:t xml:space="preserve">Functional annotation </w:t>
            </w:r>
          </w:p>
        </w:tc>
      </w:tr>
      <w:tr w:rsidR="00A6504B" w:rsidRPr="00203EB0" w14:paraId="448584E7" w14:textId="77777777" w:rsidTr="00C17D6E">
        <w:tc>
          <w:tcPr>
            <w:tcW w:w="1679" w:type="pct"/>
            <w:tcBorders>
              <w:top w:val="single" w:sz="4" w:space="0" w:color="auto"/>
              <w:left w:val="nil"/>
              <w:bottom w:val="single" w:sz="4" w:space="0" w:color="auto"/>
              <w:right w:val="nil"/>
            </w:tcBorders>
          </w:tcPr>
          <w:p w14:paraId="24C8937D" w14:textId="77777777" w:rsidR="00A6504B" w:rsidRPr="00203EB0" w:rsidRDefault="00A6504B" w:rsidP="00C17D6E">
            <w:pPr>
              <w:rPr>
                <w:rFonts w:cs="Times New Roman"/>
                <w:i/>
              </w:rPr>
            </w:pPr>
            <w:proofErr w:type="spellStart"/>
            <w:r w:rsidRPr="00203EB0">
              <w:rPr>
                <w:rFonts w:cs="Times New Roman"/>
                <w:i/>
              </w:rPr>
              <w:t>Pseudarthrobacter</w:t>
            </w:r>
            <w:proofErr w:type="spellEnd"/>
          </w:p>
        </w:tc>
        <w:tc>
          <w:tcPr>
            <w:tcW w:w="3321" w:type="pct"/>
            <w:tcBorders>
              <w:top w:val="single" w:sz="4" w:space="0" w:color="auto"/>
              <w:left w:val="nil"/>
              <w:bottom w:val="single" w:sz="4" w:space="0" w:color="auto"/>
              <w:right w:val="nil"/>
            </w:tcBorders>
          </w:tcPr>
          <w:p w14:paraId="3DCEE074" w14:textId="77777777" w:rsidR="00A6504B" w:rsidRPr="00203EB0" w:rsidRDefault="00A6504B" w:rsidP="00C17D6E">
            <w:pPr>
              <w:rPr>
                <w:rFonts w:cs="Times New Roman"/>
              </w:rPr>
            </w:pPr>
          </w:p>
        </w:tc>
      </w:tr>
      <w:tr w:rsidR="00A6504B" w:rsidRPr="00203EB0" w14:paraId="6AB5E10C" w14:textId="77777777" w:rsidTr="00C17D6E">
        <w:tc>
          <w:tcPr>
            <w:tcW w:w="1679" w:type="pct"/>
            <w:tcBorders>
              <w:top w:val="single" w:sz="4" w:space="0" w:color="auto"/>
              <w:left w:val="nil"/>
              <w:bottom w:val="single" w:sz="4" w:space="0" w:color="auto"/>
              <w:right w:val="nil"/>
            </w:tcBorders>
          </w:tcPr>
          <w:p w14:paraId="514865B0" w14:textId="77777777" w:rsidR="00A6504B" w:rsidRPr="00203EB0" w:rsidRDefault="00A6504B" w:rsidP="00C17D6E">
            <w:pPr>
              <w:rPr>
                <w:rFonts w:cs="Times New Roman"/>
                <w:i/>
              </w:rPr>
            </w:pPr>
            <w:proofErr w:type="spellStart"/>
            <w:r w:rsidRPr="00203EB0">
              <w:rPr>
                <w:rFonts w:cs="Times New Roman"/>
                <w:i/>
              </w:rPr>
              <w:t>Sphingomonas</w:t>
            </w:r>
            <w:proofErr w:type="spellEnd"/>
          </w:p>
        </w:tc>
        <w:tc>
          <w:tcPr>
            <w:tcW w:w="3321" w:type="pct"/>
            <w:tcBorders>
              <w:top w:val="single" w:sz="4" w:space="0" w:color="auto"/>
              <w:left w:val="nil"/>
              <w:bottom w:val="single" w:sz="4" w:space="0" w:color="auto"/>
              <w:right w:val="nil"/>
            </w:tcBorders>
          </w:tcPr>
          <w:p w14:paraId="6171ED9F" w14:textId="77777777" w:rsidR="00A6504B" w:rsidRPr="00203EB0" w:rsidRDefault="00A6504B" w:rsidP="00C17D6E">
            <w:pPr>
              <w:rPr>
                <w:rFonts w:cs="Times New Roman"/>
              </w:rPr>
            </w:pPr>
            <w:proofErr w:type="spellStart"/>
            <w:r w:rsidRPr="00203EB0">
              <w:rPr>
                <w:rFonts w:cs="Times New Roman"/>
              </w:rPr>
              <w:t>Ligninolysis</w:t>
            </w:r>
            <w:proofErr w:type="spellEnd"/>
            <w:r w:rsidRPr="00203EB0">
              <w:rPr>
                <w:rFonts w:cs="Times New Roman"/>
              </w:rPr>
              <w:t>/ nitrogen fixation/ aromatic hydrocarbon degradation/ aromatic compound degradation (non-lignin, non-</w:t>
            </w:r>
            <w:proofErr w:type="spellStart"/>
            <w:r w:rsidRPr="00203EB0">
              <w:rPr>
                <w:rFonts w:cs="Times New Roman"/>
              </w:rPr>
              <w:t>xylan</w:t>
            </w:r>
            <w:proofErr w:type="spellEnd"/>
            <w:r w:rsidRPr="00203EB0">
              <w:rPr>
                <w:rFonts w:cs="Times New Roman"/>
              </w:rPr>
              <w:t>), plastic degradation</w:t>
            </w:r>
          </w:p>
        </w:tc>
      </w:tr>
      <w:tr w:rsidR="00A6504B" w:rsidRPr="00203EB0" w14:paraId="640B042F" w14:textId="77777777" w:rsidTr="00C17D6E">
        <w:tc>
          <w:tcPr>
            <w:tcW w:w="1679" w:type="pct"/>
            <w:tcBorders>
              <w:top w:val="single" w:sz="4" w:space="0" w:color="auto"/>
              <w:left w:val="nil"/>
              <w:bottom w:val="single" w:sz="4" w:space="0" w:color="auto"/>
              <w:right w:val="nil"/>
            </w:tcBorders>
          </w:tcPr>
          <w:p w14:paraId="5E8785F7" w14:textId="77777777" w:rsidR="00A6504B" w:rsidRPr="00203EB0" w:rsidRDefault="00A6504B" w:rsidP="00C17D6E">
            <w:pPr>
              <w:rPr>
                <w:rFonts w:cs="Times New Roman"/>
              </w:rPr>
            </w:pPr>
            <w:r w:rsidRPr="00203EB0">
              <w:rPr>
                <w:rFonts w:cs="Times New Roman"/>
              </w:rPr>
              <w:t>SC-I-84</w:t>
            </w:r>
          </w:p>
        </w:tc>
        <w:tc>
          <w:tcPr>
            <w:tcW w:w="3321" w:type="pct"/>
            <w:tcBorders>
              <w:top w:val="single" w:sz="4" w:space="0" w:color="auto"/>
              <w:left w:val="nil"/>
              <w:bottom w:val="single" w:sz="4" w:space="0" w:color="auto"/>
              <w:right w:val="nil"/>
            </w:tcBorders>
          </w:tcPr>
          <w:p w14:paraId="102B3132" w14:textId="77777777" w:rsidR="00A6504B" w:rsidRPr="00203EB0" w:rsidRDefault="00A6504B" w:rsidP="00C17D6E">
            <w:pPr>
              <w:rPr>
                <w:rFonts w:cs="Times New Roman"/>
              </w:rPr>
            </w:pPr>
            <w:r w:rsidRPr="00203EB0">
              <w:rPr>
                <w:rFonts w:cs="Times New Roman"/>
              </w:rPr>
              <w:t>Nitrate respiration</w:t>
            </w:r>
            <w:r w:rsidRPr="00203EB0">
              <w:rPr>
                <w:rFonts w:cs="Times New Roman"/>
                <w:vertAlign w:val="superscript"/>
              </w:rPr>
              <w:t>1</w:t>
            </w:r>
          </w:p>
        </w:tc>
      </w:tr>
      <w:tr w:rsidR="00A6504B" w:rsidRPr="00203EB0" w14:paraId="668F83CE" w14:textId="77777777" w:rsidTr="00C17D6E">
        <w:tc>
          <w:tcPr>
            <w:tcW w:w="1679" w:type="pct"/>
            <w:tcBorders>
              <w:top w:val="single" w:sz="4" w:space="0" w:color="auto"/>
              <w:left w:val="nil"/>
              <w:bottom w:val="single" w:sz="4" w:space="0" w:color="auto"/>
              <w:right w:val="nil"/>
            </w:tcBorders>
          </w:tcPr>
          <w:p w14:paraId="15AC61AF" w14:textId="77777777" w:rsidR="00A6504B" w:rsidRPr="00203EB0" w:rsidRDefault="00A6504B" w:rsidP="00C17D6E">
            <w:pPr>
              <w:rPr>
                <w:rFonts w:cs="Times New Roman"/>
              </w:rPr>
            </w:pPr>
            <w:proofErr w:type="spellStart"/>
            <w:r w:rsidRPr="00203EB0">
              <w:rPr>
                <w:rFonts w:cs="Times New Roman"/>
              </w:rPr>
              <w:t>Acetobacteraceae</w:t>
            </w:r>
            <w:proofErr w:type="spellEnd"/>
          </w:p>
        </w:tc>
        <w:tc>
          <w:tcPr>
            <w:tcW w:w="3321" w:type="pct"/>
            <w:tcBorders>
              <w:top w:val="single" w:sz="4" w:space="0" w:color="auto"/>
              <w:left w:val="nil"/>
              <w:bottom w:val="single" w:sz="4" w:space="0" w:color="auto"/>
              <w:right w:val="nil"/>
            </w:tcBorders>
          </w:tcPr>
          <w:p w14:paraId="112C2B8D" w14:textId="77777777" w:rsidR="00A6504B" w:rsidRPr="00203EB0" w:rsidRDefault="00A6504B" w:rsidP="00C17D6E">
            <w:pPr>
              <w:rPr>
                <w:rFonts w:cs="Times New Roman"/>
              </w:rPr>
            </w:pPr>
            <w:r w:rsidRPr="00203EB0">
              <w:rPr>
                <w:rFonts w:cs="Times New Roman"/>
              </w:rPr>
              <w:t xml:space="preserve">Nitrate respiration (dissimilatory) </w:t>
            </w:r>
          </w:p>
        </w:tc>
      </w:tr>
      <w:tr w:rsidR="00A6504B" w:rsidRPr="00203EB0" w14:paraId="6EFEB1B0" w14:textId="77777777" w:rsidTr="00C17D6E">
        <w:tc>
          <w:tcPr>
            <w:tcW w:w="1679" w:type="pct"/>
            <w:tcBorders>
              <w:top w:val="single" w:sz="4" w:space="0" w:color="auto"/>
              <w:left w:val="nil"/>
              <w:bottom w:val="single" w:sz="4" w:space="0" w:color="auto"/>
              <w:right w:val="nil"/>
            </w:tcBorders>
          </w:tcPr>
          <w:p w14:paraId="2AC06FE5" w14:textId="77777777" w:rsidR="00A6504B" w:rsidRPr="00203EB0" w:rsidRDefault="00A6504B" w:rsidP="00C17D6E">
            <w:pPr>
              <w:rPr>
                <w:rFonts w:cs="Times New Roman"/>
                <w:i/>
              </w:rPr>
            </w:pPr>
            <w:proofErr w:type="spellStart"/>
            <w:r w:rsidRPr="00203EB0">
              <w:rPr>
                <w:rFonts w:cs="Times New Roman"/>
                <w:i/>
              </w:rPr>
              <w:t>Gemmatimonas</w:t>
            </w:r>
            <w:proofErr w:type="spellEnd"/>
          </w:p>
        </w:tc>
        <w:tc>
          <w:tcPr>
            <w:tcW w:w="3321" w:type="pct"/>
            <w:tcBorders>
              <w:top w:val="single" w:sz="4" w:space="0" w:color="auto"/>
              <w:left w:val="nil"/>
              <w:bottom w:val="single" w:sz="4" w:space="0" w:color="auto"/>
              <w:right w:val="nil"/>
            </w:tcBorders>
          </w:tcPr>
          <w:p w14:paraId="339179E9" w14:textId="77777777" w:rsidR="00A6504B" w:rsidRPr="00203EB0" w:rsidRDefault="00A6504B" w:rsidP="00C17D6E">
            <w:pPr>
              <w:rPr>
                <w:rFonts w:cs="Times New Roman"/>
              </w:rPr>
            </w:pPr>
            <w:r w:rsidRPr="00203EB0">
              <w:rPr>
                <w:rFonts w:cs="Times New Roman"/>
              </w:rPr>
              <w:t>Nitrate respiration</w:t>
            </w:r>
            <w:r w:rsidRPr="00203EB0">
              <w:rPr>
                <w:rFonts w:cs="Times New Roman"/>
                <w:vertAlign w:val="superscript"/>
              </w:rPr>
              <w:t>2</w:t>
            </w:r>
          </w:p>
        </w:tc>
      </w:tr>
      <w:tr w:rsidR="00A6504B" w:rsidRPr="00203EB0" w14:paraId="5C48E5AD" w14:textId="77777777" w:rsidTr="00C17D6E">
        <w:tc>
          <w:tcPr>
            <w:tcW w:w="1679" w:type="pct"/>
            <w:tcBorders>
              <w:top w:val="single" w:sz="4" w:space="0" w:color="auto"/>
              <w:left w:val="nil"/>
              <w:bottom w:val="single" w:sz="4" w:space="0" w:color="auto"/>
              <w:right w:val="nil"/>
            </w:tcBorders>
          </w:tcPr>
          <w:p w14:paraId="3BF3A92B" w14:textId="77777777" w:rsidR="00A6504B" w:rsidRPr="00203EB0" w:rsidRDefault="00A6504B" w:rsidP="00C17D6E">
            <w:pPr>
              <w:rPr>
                <w:rFonts w:cs="Times New Roman"/>
              </w:rPr>
            </w:pPr>
            <w:r w:rsidRPr="00203EB0">
              <w:rPr>
                <w:rFonts w:cs="Times New Roman"/>
                <w:i/>
              </w:rPr>
              <w:t xml:space="preserve">Candidatus </w:t>
            </w:r>
            <w:proofErr w:type="spellStart"/>
            <w:r w:rsidRPr="00203EB0">
              <w:rPr>
                <w:rFonts w:cs="Times New Roman"/>
              </w:rPr>
              <w:t>Nitrosotalea</w:t>
            </w:r>
            <w:proofErr w:type="spellEnd"/>
          </w:p>
        </w:tc>
        <w:tc>
          <w:tcPr>
            <w:tcW w:w="3321" w:type="pct"/>
            <w:tcBorders>
              <w:top w:val="single" w:sz="4" w:space="0" w:color="auto"/>
              <w:left w:val="nil"/>
              <w:bottom w:val="single" w:sz="4" w:space="0" w:color="auto"/>
              <w:right w:val="nil"/>
            </w:tcBorders>
          </w:tcPr>
          <w:p w14:paraId="0DADB6C2" w14:textId="77777777" w:rsidR="00A6504B" w:rsidRPr="00203EB0" w:rsidRDefault="00A6504B" w:rsidP="00C17D6E">
            <w:pPr>
              <w:rPr>
                <w:rFonts w:cs="Times New Roman"/>
              </w:rPr>
            </w:pPr>
            <w:r w:rsidRPr="00203EB0">
              <w:rPr>
                <w:rFonts w:cs="Times New Roman"/>
              </w:rPr>
              <w:t>Aerobic ammonia oxidation</w:t>
            </w:r>
          </w:p>
        </w:tc>
      </w:tr>
      <w:tr w:rsidR="00A6504B" w:rsidRPr="00203EB0" w14:paraId="33A78408" w14:textId="77777777" w:rsidTr="00C17D6E">
        <w:tc>
          <w:tcPr>
            <w:tcW w:w="1679" w:type="pct"/>
            <w:tcBorders>
              <w:top w:val="single" w:sz="4" w:space="0" w:color="auto"/>
              <w:left w:val="nil"/>
              <w:bottom w:val="single" w:sz="4" w:space="0" w:color="auto"/>
              <w:right w:val="nil"/>
            </w:tcBorders>
          </w:tcPr>
          <w:p w14:paraId="739FF656" w14:textId="77777777" w:rsidR="00A6504B" w:rsidRPr="00203EB0" w:rsidRDefault="00A6504B" w:rsidP="00C17D6E">
            <w:pPr>
              <w:rPr>
                <w:rFonts w:cs="Times New Roman"/>
              </w:rPr>
            </w:pPr>
            <w:proofErr w:type="spellStart"/>
            <w:r w:rsidRPr="00203EB0">
              <w:rPr>
                <w:rFonts w:cs="Times New Roman"/>
              </w:rPr>
              <w:t>Micromonosporaceae</w:t>
            </w:r>
            <w:proofErr w:type="spellEnd"/>
          </w:p>
        </w:tc>
        <w:tc>
          <w:tcPr>
            <w:tcW w:w="3321" w:type="pct"/>
            <w:tcBorders>
              <w:top w:val="single" w:sz="4" w:space="0" w:color="auto"/>
              <w:left w:val="nil"/>
              <w:bottom w:val="single" w:sz="4" w:space="0" w:color="auto"/>
              <w:right w:val="nil"/>
            </w:tcBorders>
          </w:tcPr>
          <w:p w14:paraId="5ABA2EF0" w14:textId="77777777" w:rsidR="00A6504B" w:rsidRPr="00203EB0" w:rsidRDefault="00A6504B" w:rsidP="00C17D6E">
            <w:pPr>
              <w:rPr>
                <w:rFonts w:cs="Times New Roman"/>
              </w:rPr>
            </w:pPr>
            <w:r w:rsidRPr="00203EB0">
              <w:rPr>
                <w:rFonts w:cs="Times New Roman"/>
              </w:rPr>
              <w:t>Nitrate respiration (dissimilatory)</w:t>
            </w:r>
          </w:p>
        </w:tc>
      </w:tr>
      <w:tr w:rsidR="00A6504B" w:rsidRPr="00203EB0" w14:paraId="54C8CEA0" w14:textId="77777777" w:rsidTr="00C17D6E">
        <w:tc>
          <w:tcPr>
            <w:tcW w:w="1679" w:type="pct"/>
            <w:tcBorders>
              <w:top w:val="single" w:sz="4" w:space="0" w:color="auto"/>
              <w:left w:val="nil"/>
              <w:bottom w:val="single" w:sz="4" w:space="0" w:color="auto"/>
              <w:right w:val="nil"/>
            </w:tcBorders>
          </w:tcPr>
          <w:p w14:paraId="3C80EE63" w14:textId="77777777" w:rsidR="00A6504B" w:rsidRPr="00203EB0" w:rsidRDefault="00A6504B" w:rsidP="00C17D6E">
            <w:pPr>
              <w:rPr>
                <w:rFonts w:cs="Times New Roman"/>
              </w:rPr>
            </w:pPr>
            <w:proofErr w:type="spellStart"/>
            <w:r w:rsidRPr="00203EB0">
              <w:rPr>
                <w:rFonts w:cs="Times New Roman"/>
              </w:rPr>
              <w:t>Ktedonobacteraceae</w:t>
            </w:r>
            <w:proofErr w:type="spellEnd"/>
          </w:p>
        </w:tc>
        <w:tc>
          <w:tcPr>
            <w:tcW w:w="3321" w:type="pct"/>
            <w:tcBorders>
              <w:top w:val="single" w:sz="4" w:space="0" w:color="auto"/>
              <w:left w:val="nil"/>
              <w:bottom w:val="single" w:sz="4" w:space="0" w:color="auto"/>
              <w:right w:val="nil"/>
            </w:tcBorders>
          </w:tcPr>
          <w:p w14:paraId="394630BE" w14:textId="77777777" w:rsidR="00A6504B" w:rsidRPr="00203EB0" w:rsidRDefault="00A6504B" w:rsidP="00C17D6E">
            <w:pPr>
              <w:rPr>
                <w:rFonts w:cs="Times New Roman"/>
              </w:rPr>
            </w:pPr>
            <w:r w:rsidRPr="00203EB0">
              <w:rPr>
                <w:rFonts w:cs="Times New Roman"/>
              </w:rPr>
              <w:t>Nitrate respiration</w:t>
            </w:r>
            <w:r w:rsidRPr="00203EB0">
              <w:rPr>
                <w:rFonts w:cs="Times New Roman"/>
                <w:vertAlign w:val="superscript"/>
              </w:rPr>
              <w:t>3</w:t>
            </w:r>
          </w:p>
        </w:tc>
      </w:tr>
      <w:tr w:rsidR="00A6504B" w:rsidRPr="00203EB0" w14:paraId="5449E1C0" w14:textId="77777777" w:rsidTr="00C17D6E">
        <w:tc>
          <w:tcPr>
            <w:tcW w:w="1679" w:type="pct"/>
            <w:tcBorders>
              <w:top w:val="single" w:sz="4" w:space="0" w:color="auto"/>
              <w:left w:val="nil"/>
              <w:bottom w:val="single" w:sz="4" w:space="0" w:color="auto"/>
              <w:right w:val="nil"/>
            </w:tcBorders>
          </w:tcPr>
          <w:p w14:paraId="36ABB5A7" w14:textId="77777777" w:rsidR="00A6504B" w:rsidRPr="00203EB0" w:rsidRDefault="00A6504B" w:rsidP="00C17D6E">
            <w:pPr>
              <w:rPr>
                <w:rFonts w:cs="Times New Roman"/>
                <w:i/>
              </w:rPr>
            </w:pPr>
            <w:proofErr w:type="spellStart"/>
            <w:r w:rsidRPr="00203EB0">
              <w:rPr>
                <w:rFonts w:cs="Times New Roman"/>
                <w:i/>
              </w:rPr>
              <w:t>Flavisolibacter</w:t>
            </w:r>
            <w:proofErr w:type="spellEnd"/>
            <w:r w:rsidRPr="00203EB0">
              <w:rPr>
                <w:rFonts w:cs="Times New Roman"/>
                <w:i/>
              </w:rPr>
              <w:t xml:space="preserve"> </w:t>
            </w:r>
            <w:proofErr w:type="spellStart"/>
            <w:r w:rsidRPr="00203EB0">
              <w:rPr>
                <w:rFonts w:cs="Times New Roman"/>
                <w:i/>
              </w:rPr>
              <w:t>ginsengisoli</w:t>
            </w:r>
            <w:proofErr w:type="spellEnd"/>
          </w:p>
        </w:tc>
        <w:tc>
          <w:tcPr>
            <w:tcW w:w="3321" w:type="pct"/>
            <w:tcBorders>
              <w:top w:val="single" w:sz="4" w:space="0" w:color="auto"/>
              <w:left w:val="nil"/>
              <w:bottom w:val="single" w:sz="4" w:space="0" w:color="auto"/>
              <w:right w:val="nil"/>
            </w:tcBorders>
          </w:tcPr>
          <w:p w14:paraId="7464A639" w14:textId="77777777" w:rsidR="00A6504B" w:rsidRPr="00203EB0" w:rsidRDefault="00A6504B" w:rsidP="00C17D6E">
            <w:pPr>
              <w:rPr>
                <w:rFonts w:cs="Times New Roman"/>
              </w:rPr>
            </w:pPr>
            <w:r w:rsidRPr="00203EB0">
              <w:rPr>
                <w:rFonts w:cs="Times New Roman"/>
              </w:rPr>
              <w:t>Nitrate respiration</w:t>
            </w:r>
            <w:r w:rsidRPr="00203EB0">
              <w:rPr>
                <w:rFonts w:cs="Times New Roman"/>
                <w:vertAlign w:val="superscript"/>
              </w:rPr>
              <w:t>4</w:t>
            </w:r>
            <w:r w:rsidRPr="00203EB0">
              <w:rPr>
                <w:rFonts w:cs="Times New Roman"/>
              </w:rPr>
              <w:t xml:space="preserve">, </w:t>
            </w:r>
            <m:oMath>
              <m:r>
                <w:rPr>
                  <w:rFonts w:ascii="Cambria Math" w:hAnsi="Cambria Math" w:cs="Times New Roman"/>
                </w:rPr>
                <m:t>β</m:t>
              </m:r>
            </m:oMath>
            <w:r w:rsidRPr="00203EB0">
              <w:rPr>
                <w:rFonts w:eastAsiaTheme="minorEastAsia" w:cs="Times New Roman"/>
              </w:rPr>
              <w:t>-glucosidase activity</w:t>
            </w:r>
            <w:r w:rsidRPr="00203EB0">
              <w:rPr>
                <w:rFonts w:eastAsiaTheme="minorEastAsia" w:cs="Times New Roman"/>
                <w:vertAlign w:val="superscript"/>
              </w:rPr>
              <w:t>5</w:t>
            </w:r>
          </w:p>
        </w:tc>
      </w:tr>
      <w:tr w:rsidR="00A6504B" w:rsidRPr="00203EB0" w14:paraId="5492E1F8" w14:textId="77777777" w:rsidTr="00C17D6E">
        <w:tc>
          <w:tcPr>
            <w:tcW w:w="1679" w:type="pct"/>
            <w:tcBorders>
              <w:top w:val="single" w:sz="4" w:space="0" w:color="auto"/>
              <w:left w:val="nil"/>
              <w:bottom w:val="single" w:sz="4" w:space="0" w:color="auto"/>
              <w:right w:val="nil"/>
            </w:tcBorders>
          </w:tcPr>
          <w:p w14:paraId="31666522" w14:textId="77777777" w:rsidR="00A6504B" w:rsidRPr="00203EB0" w:rsidRDefault="00A6504B" w:rsidP="00C17D6E">
            <w:pPr>
              <w:rPr>
                <w:rFonts w:cs="Times New Roman"/>
                <w:i/>
              </w:rPr>
            </w:pPr>
            <w:proofErr w:type="spellStart"/>
            <w:r w:rsidRPr="00203EB0">
              <w:rPr>
                <w:rFonts w:cs="Times New Roman"/>
                <w:i/>
              </w:rPr>
              <w:t>Mizugakiibacter</w:t>
            </w:r>
            <w:proofErr w:type="spellEnd"/>
          </w:p>
        </w:tc>
        <w:tc>
          <w:tcPr>
            <w:tcW w:w="3321" w:type="pct"/>
            <w:tcBorders>
              <w:top w:val="single" w:sz="4" w:space="0" w:color="auto"/>
              <w:left w:val="nil"/>
              <w:bottom w:val="single" w:sz="4" w:space="0" w:color="auto"/>
              <w:right w:val="nil"/>
            </w:tcBorders>
          </w:tcPr>
          <w:p w14:paraId="40428FC9" w14:textId="77777777" w:rsidR="00A6504B" w:rsidRPr="00203EB0" w:rsidRDefault="00A6504B" w:rsidP="00C17D6E">
            <w:pPr>
              <w:rPr>
                <w:rFonts w:cs="Times New Roman"/>
              </w:rPr>
            </w:pPr>
            <w:r w:rsidRPr="00203EB0">
              <w:rPr>
                <w:rFonts w:cs="Times New Roman"/>
              </w:rPr>
              <w:t>Nitrate respiration (dissimilatory)</w:t>
            </w:r>
          </w:p>
        </w:tc>
      </w:tr>
      <w:tr w:rsidR="00A6504B" w:rsidRPr="00203EB0" w14:paraId="1E268F0B" w14:textId="77777777" w:rsidTr="00C17D6E">
        <w:tc>
          <w:tcPr>
            <w:tcW w:w="5000" w:type="pct"/>
            <w:gridSpan w:val="2"/>
            <w:tcBorders>
              <w:top w:val="single" w:sz="4" w:space="0" w:color="auto"/>
              <w:left w:val="nil"/>
              <w:bottom w:val="single" w:sz="4" w:space="0" w:color="auto"/>
              <w:right w:val="nil"/>
            </w:tcBorders>
          </w:tcPr>
          <w:p w14:paraId="21F3B9AB" w14:textId="77777777" w:rsidR="00A6504B" w:rsidRPr="00203EB0" w:rsidRDefault="00A6504B" w:rsidP="00C17D6E">
            <w:pPr>
              <w:jc w:val="center"/>
              <w:rPr>
                <w:rFonts w:cs="Times New Roman"/>
                <w:b/>
              </w:rPr>
            </w:pPr>
            <w:r w:rsidRPr="00203EB0">
              <w:rPr>
                <w:rFonts w:cs="Times New Roman"/>
                <w:b/>
              </w:rPr>
              <w:t>10-20 cm</w:t>
            </w:r>
          </w:p>
        </w:tc>
      </w:tr>
      <w:tr w:rsidR="00A6504B" w:rsidRPr="00203EB0" w14:paraId="65636006" w14:textId="77777777" w:rsidTr="00C17D6E">
        <w:tc>
          <w:tcPr>
            <w:tcW w:w="1679" w:type="pct"/>
            <w:tcBorders>
              <w:top w:val="single" w:sz="4" w:space="0" w:color="auto"/>
              <w:left w:val="nil"/>
              <w:bottom w:val="single" w:sz="4" w:space="0" w:color="auto"/>
              <w:right w:val="nil"/>
            </w:tcBorders>
          </w:tcPr>
          <w:p w14:paraId="484A5C22" w14:textId="77777777" w:rsidR="00A6504B" w:rsidRPr="00203EB0" w:rsidRDefault="00A6504B" w:rsidP="00C17D6E">
            <w:pPr>
              <w:jc w:val="center"/>
              <w:rPr>
                <w:rFonts w:cs="Times New Roman"/>
                <w:b/>
              </w:rPr>
            </w:pPr>
            <w:r w:rsidRPr="00203EB0">
              <w:rPr>
                <w:rFonts w:cs="Times New Roman"/>
                <w:b/>
              </w:rPr>
              <w:t>Taxa</w:t>
            </w:r>
          </w:p>
        </w:tc>
        <w:tc>
          <w:tcPr>
            <w:tcW w:w="3321" w:type="pct"/>
            <w:tcBorders>
              <w:top w:val="single" w:sz="4" w:space="0" w:color="auto"/>
              <w:left w:val="nil"/>
              <w:bottom w:val="single" w:sz="4" w:space="0" w:color="auto"/>
              <w:right w:val="nil"/>
            </w:tcBorders>
          </w:tcPr>
          <w:p w14:paraId="67BD5499" w14:textId="77777777" w:rsidR="00A6504B" w:rsidRPr="00203EB0" w:rsidRDefault="00A6504B" w:rsidP="00C17D6E">
            <w:pPr>
              <w:jc w:val="center"/>
              <w:rPr>
                <w:rFonts w:cs="Times New Roman"/>
                <w:b/>
              </w:rPr>
            </w:pPr>
            <w:r w:rsidRPr="00203EB0">
              <w:rPr>
                <w:rFonts w:cs="Times New Roman"/>
                <w:b/>
              </w:rPr>
              <w:t xml:space="preserve">Functional annotation </w:t>
            </w:r>
          </w:p>
        </w:tc>
      </w:tr>
      <w:tr w:rsidR="00A6504B" w:rsidRPr="00203EB0" w14:paraId="29083C79" w14:textId="77777777" w:rsidTr="00C17D6E">
        <w:trPr>
          <w:trHeight w:val="163"/>
        </w:trPr>
        <w:tc>
          <w:tcPr>
            <w:tcW w:w="1679" w:type="pct"/>
            <w:tcBorders>
              <w:top w:val="single" w:sz="4" w:space="0" w:color="auto"/>
              <w:left w:val="nil"/>
              <w:bottom w:val="single" w:sz="4" w:space="0" w:color="auto"/>
              <w:right w:val="nil"/>
            </w:tcBorders>
          </w:tcPr>
          <w:p w14:paraId="3067BC58" w14:textId="77777777" w:rsidR="00A6504B" w:rsidRPr="00203EB0" w:rsidRDefault="00A6504B" w:rsidP="00C17D6E">
            <w:pPr>
              <w:rPr>
                <w:rFonts w:cs="Times New Roman"/>
              </w:rPr>
            </w:pPr>
            <w:r w:rsidRPr="00203EB0">
              <w:rPr>
                <w:rFonts w:cs="Times New Roman"/>
              </w:rPr>
              <w:t>SC-I-84</w:t>
            </w:r>
          </w:p>
        </w:tc>
        <w:tc>
          <w:tcPr>
            <w:tcW w:w="3321" w:type="pct"/>
            <w:tcBorders>
              <w:top w:val="single" w:sz="4" w:space="0" w:color="auto"/>
              <w:left w:val="nil"/>
              <w:bottom w:val="single" w:sz="4" w:space="0" w:color="auto"/>
              <w:right w:val="nil"/>
            </w:tcBorders>
          </w:tcPr>
          <w:p w14:paraId="16B1409B" w14:textId="77777777" w:rsidR="00A6504B" w:rsidRPr="00203EB0" w:rsidRDefault="00A6504B" w:rsidP="00C17D6E">
            <w:pPr>
              <w:rPr>
                <w:rFonts w:cs="Times New Roman"/>
              </w:rPr>
            </w:pPr>
            <w:r w:rsidRPr="00203EB0">
              <w:rPr>
                <w:rFonts w:cs="Times New Roman"/>
              </w:rPr>
              <w:t>Nitrate respiration</w:t>
            </w:r>
            <w:r w:rsidRPr="00203EB0">
              <w:rPr>
                <w:rFonts w:cs="Times New Roman"/>
                <w:vertAlign w:val="superscript"/>
              </w:rPr>
              <w:t>1</w:t>
            </w:r>
          </w:p>
        </w:tc>
      </w:tr>
      <w:tr w:rsidR="00A6504B" w:rsidRPr="00203EB0" w14:paraId="36339045" w14:textId="77777777" w:rsidTr="00C17D6E">
        <w:tc>
          <w:tcPr>
            <w:tcW w:w="1679" w:type="pct"/>
            <w:tcBorders>
              <w:top w:val="single" w:sz="4" w:space="0" w:color="auto"/>
              <w:left w:val="nil"/>
              <w:bottom w:val="single" w:sz="4" w:space="0" w:color="auto"/>
              <w:right w:val="nil"/>
            </w:tcBorders>
          </w:tcPr>
          <w:p w14:paraId="3C04B058" w14:textId="77777777" w:rsidR="00A6504B" w:rsidRPr="00203EB0" w:rsidRDefault="00A6504B" w:rsidP="00C17D6E">
            <w:pPr>
              <w:rPr>
                <w:rFonts w:cs="Times New Roman"/>
                <w:i/>
              </w:rPr>
            </w:pPr>
            <w:proofErr w:type="spellStart"/>
            <w:r w:rsidRPr="00203EB0">
              <w:rPr>
                <w:rFonts w:cs="Times New Roman"/>
                <w:i/>
              </w:rPr>
              <w:t>Conexibacter</w:t>
            </w:r>
            <w:proofErr w:type="spellEnd"/>
          </w:p>
        </w:tc>
        <w:tc>
          <w:tcPr>
            <w:tcW w:w="3321" w:type="pct"/>
            <w:tcBorders>
              <w:top w:val="single" w:sz="4" w:space="0" w:color="auto"/>
              <w:left w:val="nil"/>
              <w:bottom w:val="single" w:sz="4" w:space="0" w:color="auto"/>
              <w:right w:val="nil"/>
            </w:tcBorders>
          </w:tcPr>
          <w:p w14:paraId="1AEDF743" w14:textId="77777777" w:rsidR="00A6504B" w:rsidRPr="00203EB0" w:rsidRDefault="00A6504B" w:rsidP="00C17D6E">
            <w:pPr>
              <w:rPr>
                <w:rFonts w:cs="Times New Roman"/>
              </w:rPr>
            </w:pPr>
            <w:r w:rsidRPr="00203EB0">
              <w:rPr>
                <w:rFonts w:cs="Times New Roman"/>
              </w:rPr>
              <w:t xml:space="preserve">Nitrate respiration (assimilatory or dissimilatory)/ aerobic </w:t>
            </w:r>
            <w:proofErr w:type="spellStart"/>
            <w:r w:rsidRPr="00203EB0">
              <w:rPr>
                <w:rFonts w:cs="Times New Roman"/>
              </w:rPr>
              <w:t>chemoheterotrophy</w:t>
            </w:r>
            <w:proofErr w:type="spellEnd"/>
            <w:r w:rsidRPr="00203EB0">
              <w:rPr>
                <w:rFonts w:cs="Times New Roman"/>
              </w:rPr>
              <w:t xml:space="preserve"> (C) </w:t>
            </w:r>
          </w:p>
        </w:tc>
      </w:tr>
      <w:tr w:rsidR="00A6504B" w:rsidRPr="00203EB0" w14:paraId="0422EF4D" w14:textId="77777777" w:rsidTr="00C17D6E">
        <w:tc>
          <w:tcPr>
            <w:tcW w:w="1679" w:type="pct"/>
            <w:tcBorders>
              <w:top w:val="single" w:sz="4" w:space="0" w:color="auto"/>
              <w:left w:val="nil"/>
              <w:bottom w:val="single" w:sz="4" w:space="0" w:color="auto"/>
              <w:right w:val="nil"/>
            </w:tcBorders>
          </w:tcPr>
          <w:p w14:paraId="7332731E" w14:textId="77777777" w:rsidR="00A6504B" w:rsidRPr="00203EB0" w:rsidRDefault="00A6504B" w:rsidP="00C17D6E">
            <w:pPr>
              <w:rPr>
                <w:rFonts w:cs="Times New Roman"/>
              </w:rPr>
            </w:pPr>
            <w:r w:rsidRPr="00203EB0">
              <w:rPr>
                <w:rFonts w:cs="Times New Roman"/>
              </w:rPr>
              <w:t>Amb-16S-1323</w:t>
            </w:r>
          </w:p>
        </w:tc>
        <w:tc>
          <w:tcPr>
            <w:tcW w:w="3321" w:type="pct"/>
            <w:tcBorders>
              <w:top w:val="single" w:sz="4" w:space="0" w:color="auto"/>
              <w:left w:val="nil"/>
              <w:bottom w:val="single" w:sz="4" w:space="0" w:color="auto"/>
              <w:right w:val="nil"/>
            </w:tcBorders>
          </w:tcPr>
          <w:p w14:paraId="71772DBF" w14:textId="77777777" w:rsidR="00A6504B" w:rsidRPr="00203EB0" w:rsidRDefault="00A6504B" w:rsidP="00C17D6E">
            <w:pPr>
              <w:rPr>
                <w:rFonts w:cs="Times New Roman"/>
              </w:rPr>
            </w:pPr>
          </w:p>
        </w:tc>
      </w:tr>
      <w:tr w:rsidR="00A6504B" w:rsidRPr="00203EB0" w14:paraId="0AD69F4D" w14:textId="77777777" w:rsidTr="00C17D6E">
        <w:tc>
          <w:tcPr>
            <w:tcW w:w="1679" w:type="pct"/>
            <w:tcBorders>
              <w:top w:val="single" w:sz="4" w:space="0" w:color="auto"/>
              <w:left w:val="nil"/>
              <w:bottom w:val="single" w:sz="4" w:space="0" w:color="auto"/>
              <w:right w:val="nil"/>
            </w:tcBorders>
          </w:tcPr>
          <w:p w14:paraId="4B431AA3" w14:textId="77777777" w:rsidR="00A6504B" w:rsidRPr="00203EB0" w:rsidRDefault="00A6504B" w:rsidP="00C17D6E">
            <w:pPr>
              <w:rPr>
                <w:rFonts w:cs="Times New Roman"/>
                <w:i/>
              </w:rPr>
            </w:pPr>
            <w:proofErr w:type="spellStart"/>
            <w:r w:rsidRPr="00203EB0">
              <w:rPr>
                <w:rFonts w:cs="Times New Roman"/>
                <w:i/>
              </w:rPr>
              <w:t>Pseudogulbenkiania</w:t>
            </w:r>
            <w:proofErr w:type="spellEnd"/>
          </w:p>
        </w:tc>
        <w:tc>
          <w:tcPr>
            <w:tcW w:w="3321" w:type="pct"/>
            <w:tcBorders>
              <w:top w:val="single" w:sz="4" w:space="0" w:color="auto"/>
              <w:left w:val="nil"/>
              <w:bottom w:val="single" w:sz="4" w:space="0" w:color="auto"/>
              <w:right w:val="nil"/>
            </w:tcBorders>
          </w:tcPr>
          <w:p w14:paraId="6861CBDC" w14:textId="77777777" w:rsidR="00A6504B" w:rsidRPr="00203EB0" w:rsidRDefault="00A6504B" w:rsidP="00C17D6E">
            <w:pPr>
              <w:rPr>
                <w:rFonts w:cs="Times New Roman"/>
              </w:rPr>
            </w:pPr>
            <w:r w:rsidRPr="00203EB0">
              <w:rPr>
                <w:rFonts w:cs="Times New Roman"/>
              </w:rPr>
              <w:t>Nitrate respiration</w:t>
            </w:r>
            <w:r w:rsidRPr="00203EB0">
              <w:rPr>
                <w:rFonts w:cs="Times New Roman"/>
                <w:vertAlign w:val="superscript"/>
              </w:rPr>
              <w:t>6</w:t>
            </w:r>
          </w:p>
        </w:tc>
      </w:tr>
      <w:tr w:rsidR="00A6504B" w:rsidRPr="00203EB0" w14:paraId="22042EBF" w14:textId="77777777" w:rsidTr="00C17D6E">
        <w:tc>
          <w:tcPr>
            <w:tcW w:w="1679" w:type="pct"/>
            <w:tcBorders>
              <w:top w:val="single" w:sz="4" w:space="0" w:color="auto"/>
              <w:left w:val="nil"/>
              <w:bottom w:val="single" w:sz="4" w:space="0" w:color="auto"/>
              <w:right w:val="nil"/>
            </w:tcBorders>
          </w:tcPr>
          <w:p w14:paraId="66AA016C" w14:textId="77777777" w:rsidR="00A6504B" w:rsidRPr="00203EB0" w:rsidRDefault="00A6504B" w:rsidP="00C17D6E">
            <w:pPr>
              <w:rPr>
                <w:rFonts w:cs="Times New Roman"/>
              </w:rPr>
            </w:pPr>
            <w:r w:rsidRPr="00203EB0">
              <w:rPr>
                <w:rFonts w:cs="Times New Roman"/>
              </w:rPr>
              <w:t>A21b</w:t>
            </w:r>
          </w:p>
        </w:tc>
        <w:tc>
          <w:tcPr>
            <w:tcW w:w="3321" w:type="pct"/>
            <w:tcBorders>
              <w:top w:val="single" w:sz="4" w:space="0" w:color="auto"/>
              <w:left w:val="nil"/>
              <w:bottom w:val="single" w:sz="4" w:space="0" w:color="auto"/>
              <w:right w:val="nil"/>
            </w:tcBorders>
          </w:tcPr>
          <w:p w14:paraId="23056BC5" w14:textId="77777777" w:rsidR="00A6504B" w:rsidRPr="00203EB0" w:rsidRDefault="00A6504B" w:rsidP="00C17D6E">
            <w:pPr>
              <w:rPr>
                <w:rFonts w:cs="Times New Roman"/>
              </w:rPr>
            </w:pPr>
            <w:r w:rsidRPr="00203EB0">
              <w:rPr>
                <w:rFonts w:cs="Times New Roman"/>
              </w:rPr>
              <w:t>Nitrate respiration</w:t>
            </w:r>
            <w:r w:rsidRPr="00203EB0">
              <w:rPr>
                <w:rFonts w:cs="Times New Roman"/>
                <w:vertAlign w:val="superscript"/>
              </w:rPr>
              <w:t>7</w:t>
            </w:r>
          </w:p>
        </w:tc>
      </w:tr>
      <w:tr w:rsidR="00A6504B" w:rsidRPr="00203EB0" w14:paraId="6F6E3940" w14:textId="77777777" w:rsidTr="00C17D6E">
        <w:tc>
          <w:tcPr>
            <w:tcW w:w="1679" w:type="pct"/>
            <w:tcBorders>
              <w:top w:val="single" w:sz="4" w:space="0" w:color="auto"/>
              <w:left w:val="nil"/>
              <w:bottom w:val="single" w:sz="4" w:space="0" w:color="auto"/>
              <w:right w:val="nil"/>
            </w:tcBorders>
          </w:tcPr>
          <w:p w14:paraId="1582287C" w14:textId="77777777" w:rsidR="00A6504B" w:rsidRPr="00203EB0" w:rsidRDefault="00A6504B" w:rsidP="00C17D6E">
            <w:pPr>
              <w:rPr>
                <w:rFonts w:cs="Times New Roman"/>
              </w:rPr>
            </w:pPr>
            <w:proofErr w:type="spellStart"/>
            <w:r w:rsidRPr="00203EB0">
              <w:rPr>
                <w:rFonts w:cs="Times New Roman"/>
              </w:rPr>
              <w:t>Micropepsaceae</w:t>
            </w:r>
            <w:proofErr w:type="spellEnd"/>
          </w:p>
        </w:tc>
        <w:tc>
          <w:tcPr>
            <w:tcW w:w="3321" w:type="pct"/>
            <w:tcBorders>
              <w:top w:val="single" w:sz="4" w:space="0" w:color="auto"/>
              <w:left w:val="nil"/>
              <w:bottom w:val="single" w:sz="4" w:space="0" w:color="auto"/>
              <w:right w:val="nil"/>
            </w:tcBorders>
          </w:tcPr>
          <w:p w14:paraId="3D57E162" w14:textId="77777777" w:rsidR="00A6504B" w:rsidRPr="00203EB0" w:rsidRDefault="00A6504B" w:rsidP="00C17D6E">
            <w:pPr>
              <w:rPr>
                <w:rFonts w:cs="Times New Roman"/>
              </w:rPr>
            </w:pPr>
            <w:r w:rsidRPr="00203EB0">
              <w:rPr>
                <w:rFonts w:cs="Times New Roman"/>
              </w:rPr>
              <w:t>Aerobic ammonia oxidation</w:t>
            </w:r>
            <w:r w:rsidRPr="00203EB0">
              <w:rPr>
                <w:rFonts w:cs="Times New Roman"/>
                <w:vertAlign w:val="superscript"/>
              </w:rPr>
              <w:t>8</w:t>
            </w:r>
          </w:p>
        </w:tc>
      </w:tr>
      <w:tr w:rsidR="00A6504B" w:rsidRPr="00203EB0" w14:paraId="410E7FF0" w14:textId="77777777" w:rsidTr="00C17D6E">
        <w:tc>
          <w:tcPr>
            <w:tcW w:w="1679" w:type="pct"/>
            <w:tcBorders>
              <w:top w:val="single" w:sz="4" w:space="0" w:color="auto"/>
              <w:left w:val="nil"/>
              <w:bottom w:val="single" w:sz="4" w:space="0" w:color="auto"/>
              <w:right w:val="nil"/>
            </w:tcBorders>
          </w:tcPr>
          <w:p w14:paraId="7297457B" w14:textId="77777777" w:rsidR="00A6504B" w:rsidRPr="00203EB0" w:rsidRDefault="00A6504B" w:rsidP="00C17D6E">
            <w:pPr>
              <w:rPr>
                <w:rFonts w:cs="Times New Roman"/>
              </w:rPr>
            </w:pPr>
            <w:r w:rsidRPr="00203EB0">
              <w:rPr>
                <w:rFonts w:cs="Times New Roman"/>
                <w:i/>
              </w:rPr>
              <w:t xml:space="preserve">Candidatus </w:t>
            </w:r>
            <w:proofErr w:type="spellStart"/>
            <w:r w:rsidRPr="00203EB0">
              <w:rPr>
                <w:rFonts w:cs="Times New Roman"/>
              </w:rPr>
              <w:t>Nitrosotalea</w:t>
            </w:r>
            <w:proofErr w:type="spellEnd"/>
          </w:p>
        </w:tc>
        <w:tc>
          <w:tcPr>
            <w:tcW w:w="3321" w:type="pct"/>
            <w:tcBorders>
              <w:top w:val="single" w:sz="4" w:space="0" w:color="auto"/>
              <w:left w:val="nil"/>
              <w:bottom w:val="single" w:sz="4" w:space="0" w:color="auto"/>
              <w:right w:val="nil"/>
            </w:tcBorders>
          </w:tcPr>
          <w:p w14:paraId="30517BFE" w14:textId="77777777" w:rsidR="00A6504B" w:rsidRPr="00203EB0" w:rsidRDefault="00A6504B" w:rsidP="00C17D6E">
            <w:pPr>
              <w:rPr>
                <w:rFonts w:cs="Times New Roman"/>
              </w:rPr>
            </w:pPr>
            <w:r w:rsidRPr="00203EB0">
              <w:rPr>
                <w:rFonts w:cs="Times New Roman"/>
              </w:rPr>
              <w:t>Aerobic ammonia oxidation</w:t>
            </w:r>
          </w:p>
        </w:tc>
      </w:tr>
      <w:tr w:rsidR="00A6504B" w:rsidRPr="00203EB0" w14:paraId="3DD29D0A" w14:textId="77777777" w:rsidTr="00C17D6E">
        <w:tc>
          <w:tcPr>
            <w:tcW w:w="1679" w:type="pct"/>
            <w:tcBorders>
              <w:top w:val="single" w:sz="4" w:space="0" w:color="auto"/>
              <w:left w:val="nil"/>
              <w:bottom w:val="single" w:sz="4" w:space="0" w:color="auto"/>
              <w:right w:val="nil"/>
            </w:tcBorders>
          </w:tcPr>
          <w:p w14:paraId="644EEAA9" w14:textId="77777777" w:rsidR="00A6504B" w:rsidRPr="00203EB0" w:rsidRDefault="00A6504B" w:rsidP="00C17D6E">
            <w:pPr>
              <w:rPr>
                <w:rFonts w:cs="Times New Roman"/>
                <w:i/>
              </w:rPr>
            </w:pPr>
            <w:proofErr w:type="spellStart"/>
            <w:r w:rsidRPr="00203EB0">
              <w:rPr>
                <w:rFonts w:cs="Times New Roman"/>
                <w:i/>
              </w:rPr>
              <w:t>Anaeromyxobacter</w:t>
            </w:r>
            <w:proofErr w:type="spellEnd"/>
          </w:p>
        </w:tc>
        <w:tc>
          <w:tcPr>
            <w:tcW w:w="3321" w:type="pct"/>
            <w:tcBorders>
              <w:top w:val="single" w:sz="4" w:space="0" w:color="auto"/>
              <w:left w:val="nil"/>
              <w:bottom w:val="single" w:sz="4" w:space="0" w:color="auto"/>
              <w:right w:val="nil"/>
            </w:tcBorders>
          </w:tcPr>
          <w:p w14:paraId="428D3261" w14:textId="77777777" w:rsidR="00A6504B" w:rsidRPr="00203EB0" w:rsidRDefault="00A6504B" w:rsidP="00C17D6E">
            <w:pPr>
              <w:rPr>
                <w:rFonts w:cs="Times New Roman"/>
              </w:rPr>
            </w:pPr>
            <w:r w:rsidRPr="00203EB0">
              <w:rPr>
                <w:rFonts w:cs="Times New Roman"/>
              </w:rPr>
              <w:t xml:space="preserve">Nitrate respiration (dissimilatory)/ Nitrate ammonification (DNRA)/ nitrite ammonification/ nitrite respiration/ aerobic </w:t>
            </w:r>
            <w:proofErr w:type="spellStart"/>
            <w:r w:rsidRPr="00203EB0">
              <w:rPr>
                <w:rFonts w:cs="Times New Roman"/>
              </w:rPr>
              <w:t>chemoheterotrophy</w:t>
            </w:r>
            <w:proofErr w:type="spellEnd"/>
            <w:r w:rsidRPr="00203EB0">
              <w:rPr>
                <w:rFonts w:cs="Times New Roman"/>
              </w:rPr>
              <w:t xml:space="preserve"> (C)/ fumarate respiration</w:t>
            </w:r>
          </w:p>
        </w:tc>
      </w:tr>
      <w:tr w:rsidR="00A6504B" w:rsidRPr="00203EB0" w14:paraId="7F7C582D" w14:textId="77777777" w:rsidTr="00C17D6E">
        <w:tc>
          <w:tcPr>
            <w:tcW w:w="1679" w:type="pct"/>
            <w:tcBorders>
              <w:top w:val="single" w:sz="4" w:space="0" w:color="auto"/>
              <w:left w:val="nil"/>
              <w:bottom w:val="single" w:sz="4" w:space="0" w:color="auto"/>
              <w:right w:val="nil"/>
            </w:tcBorders>
          </w:tcPr>
          <w:p w14:paraId="53DF4E64" w14:textId="77777777" w:rsidR="00A6504B" w:rsidRPr="00203EB0" w:rsidRDefault="00A6504B" w:rsidP="00C17D6E">
            <w:pPr>
              <w:rPr>
                <w:rFonts w:cs="Times New Roman"/>
                <w:i/>
              </w:rPr>
            </w:pPr>
            <w:r w:rsidRPr="00203EB0">
              <w:rPr>
                <w:rFonts w:cs="Times New Roman"/>
                <w:i/>
              </w:rPr>
              <w:t>Flavobacterium</w:t>
            </w:r>
          </w:p>
        </w:tc>
        <w:tc>
          <w:tcPr>
            <w:tcW w:w="3321" w:type="pct"/>
            <w:tcBorders>
              <w:top w:val="single" w:sz="4" w:space="0" w:color="auto"/>
              <w:left w:val="nil"/>
              <w:bottom w:val="single" w:sz="4" w:space="0" w:color="auto"/>
              <w:right w:val="nil"/>
            </w:tcBorders>
          </w:tcPr>
          <w:p w14:paraId="38CF304A" w14:textId="77777777" w:rsidR="00A6504B" w:rsidRPr="00203EB0" w:rsidRDefault="00A6504B" w:rsidP="00C17D6E">
            <w:pPr>
              <w:rPr>
                <w:rFonts w:cs="Times New Roman"/>
              </w:rPr>
            </w:pPr>
            <w:r w:rsidRPr="00203EB0">
              <w:rPr>
                <w:rFonts w:cs="Times New Roman"/>
              </w:rPr>
              <w:t xml:space="preserve">Nitrate respiration (assimilatory or dissimilatory)/ nitrate denitrification/ </w:t>
            </w:r>
            <w:proofErr w:type="spellStart"/>
            <w:r w:rsidRPr="00203EB0">
              <w:rPr>
                <w:rFonts w:cs="Times New Roman"/>
              </w:rPr>
              <w:t>chitinolysis</w:t>
            </w:r>
            <w:proofErr w:type="spellEnd"/>
            <w:r w:rsidRPr="00203EB0">
              <w:rPr>
                <w:rFonts w:cs="Times New Roman"/>
              </w:rPr>
              <w:t xml:space="preserve">/ DNRA/ nitrite ammonification/ nitrite respiration/ </w:t>
            </w:r>
            <w:proofErr w:type="spellStart"/>
            <w:r w:rsidRPr="00203EB0">
              <w:rPr>
                <w:rFonts w:cs="Times New Roman"/>
              </w:rPr>
              <w:t>xylanolysis</w:t>
            </w:r>
            <w:proofErr w:type="spellEnd"/>
            <w:r w:rsidRPr="00203EB0">
              <w:rPr>
                <w:rFonts w:cs="Times New Roman"/>
              </w:rPr>
              <w:t xml:space="preserve">/ fermentation/ aerobic </w:t>
            </w:r>
            <w:proofErr w:type="spellStart"/>
            <w:r w:rsidRPr="00203EB0">
              <w:rPr>
                <w:rFonts w:cs="Times New Roman"/>
              </w:rPr>
              <w:t>chemoheterotrophy</w:t>
            </w:r>
            <w:proofErr w:type="spellEnd"/>
            <w:r w:rsidRPr="00203EB0">
              <w:rPr>
                <w:rFonts w:cs="Times New Roman"/>
              </w:rPr>
              <w:t xml:space="preserve"> (C)/ fumarate respiration </w:t>
            </w:r>
          </w:p>
        </w:tc>
      </w:tr>
      <w:tr w:rsidR="00A6504B" w:rsidRPr="00203EB0" w14:paraId="6BAAF019" w14:textId="77777777" w:rsidTr="00C17D6E">
        <w:tc>
          <w:tcPr>
            <w:tcW w:w="1679" w:type="pct"/>
            <w:tcBorders>
              <w:top w:val="single" w:sz="4" w:space="0" w:color="auto"/>
              <w:left w:val="nil"/>
              <w:bottom w:val="single" w:sz="4" w:space="0" w:color="auto"/>
              <w:right w:val="nil"/>
            </w:tcBorders>
          </w:tcPr>
          <w:p w14:paraId="604FB99F" w14:textId="77777777" w:rsidR="00A6504B" w:rsidRPr="00203EB0" w:rsidRDefault="00A6504B" w:rsidP="00C17D6E">
            <w:pPr>
              <w:rPr>
                <w:rFonts w:cs="Times New Roman"/>
              </w:rPr>
            </w:pPr>
            <w:proofErr w:type="spellStart"/>
            <w:r w:rsidRPr="00203EB0">
              <w:rPr>
                <w:rFonts w:cs="Times New Roman"/>
              </w:rPr>
              <w:t>Methanomassiliicoccales</w:t>
            </w:r>
            <w:proofErr w:type="spellEnd"/>
          </w:p>
        </w:tc>
        <w:tc>
          <w:tcPr>
            <w:tcW w:w="3321" w:type="pct"/>
            <w:tcBorders>
              <w:top w:val="single" w:sz="4" w:space="0" w:color="auto"/>
              <w:left w:val="nil"/>
              <w:bottom w:val="single" w:sz="4" w:space="0" w:color="auto"/>
              <w:right w:val="nil"/>
            </w:tcBorders>
          </w:tcPr>
          <w:p w14:paraId="6D90EB97" w14:textId="77777777" w:rsidR="00A6504B" w:rsidRPr="00203EB0" w:rsidRDefault="00A6504B" w:rsidP="00C17D6E">
            <w:pPr>
              <w:rPr>
                <w:rFonts w:cs="Times New Roman"/>
              </w:rPr>
            </w:pPr>
            <w:r w:rsidRPr="00203EB0">
              <w:rPr>
                <w:rFonts w:cs="Times New Roman"/>
              </w:rPr>
              <w:t>Methanogens</w:t>
            </w:r>
            <w:r w:rsidRPr="00203EB0">
              <w:rPr>
                <w:rFonts w:cs="Times New Roman"/>
                <w:vertAlign w:val="superscript"/>
              </w:rPr>
              <w:t>9</w:t>
            </w:r>
          </w:p>
        </w:tc>
      </w:tr>
    </w:tbl>
    <w:p w14:paraId="17C9CCD2" w14:textId="77777777" w:rsidR="00A6504B" w:rsidRPr="00622616" w:rsidRDefault="00A6504B" w:rsidP="00A6504B">
      <w:pPr>
        <w:rPr>
          <w:rFonts w:cs="Times New Roman"/>
          <w:lang w:val="es-UY"/>
        </w:rPr>
      </w:pPr>
      <w:r w:rsidRPr="00622616">
        <w:rPr>
          <w:rFonts w:cs="Times New Roman"/>
          <w:lang w:val="es-UY"/>
        </w:rPr>
        <w:t xml:space="preserve">*1: Jin </w:t>
      </w:r>
      <w:r w:rsidRPr="00622616">
        <w:rPr>
          <w:rFonts w:cs="Times New Roman"/>
          <w:i/>
          <w:lang w:val="es-UY"/>
        </w:rPr>
        <w:t>et al</w:t>
      </w:r>
      <w:r w:rsidRPr="00622616">
        <w:rPr>
          <w:rFonts w:cs="Times New Roman"/>
          <w:lang w:val="es-UY"/>
        </w:rPr>
        <w:t xml:space="preserve">. 2022; 2: </w:t>
      </w:r>
      <w:proofErr w:type="spellStart"/>
      <w:r w:rsidRPr="00622616">
        <w:rPr>
          <w:rFonts w:cs="Times New Roman"/>
          <w:lang w:val="es-UY"/>
        </w:rPr>
        <w:t>Pessi</w:t>
      </w:r>
      <w:proofErr w:type="spellEnd"/>
      <w:r w:rsidRPr="00622616">
        <w:rPr>
          <w:rFonts w:cs="Times New Roman"/>
          <w:lang w:val="es-UY"/>
        </w:rPr>
        <w:t xml:space="preserve"> </w:t>
      </w:r>
      <w:r w:rsidRPr="00622616">
        <w:rPr>
          <w:rFonts w:cs="Times New Roman"/>
          <w:i/>
          <w:lang w:val="es-UY"/>
        </w:rPr>
        <w:t>et al.</w:t>
      </w:r>
      <w:r w:rsidRPr="00622616">
        <w:rPr>
          <w:rFonts w:cs="Times New Roman"/>
          <w:lang w:val="es-UY"/>
        </w:rPr>
        <w:t xml:space="preserve"> 2022, Xiao </w:t>
      </w:r>
      <w:r w:rsidRPr="00622616">
        <w:rPr>
          <w:rFonts w:cs="Times New Roman"/>
          <w:i/>
          <w:lang w:val="es-UY"/>
        </w:rPr>
        <w:t>et al</w:t>
      </w:r>
      <w:r w:rsidRPr="00622616">
        <w:rPr>
          <w:rFonts w:cs="Times New Roman"/>
          <w:lang w:val="es-UY"/>
        </w:rPr>
        <w:t xml:space="preserve">. 2024; 3: </w:t>
      </w:r>
      <w:proofErr w:type="spellStart"/>
      <w:r w:rsidRPr="00622616">
        <w:rPr>
          <w:rFonts w:cs="Times New Roman"/>
          <w:lang w:val="es-UY"/>
        </w:rPr>
        <w:t>Xu</w:t>
      </w:r>
      <w:proofErr w:type="spellEnd"/>
      <w:r w:rsidRPr="00622616">
        <w:rPr>
          <w:rFonts w:cs="Times New Roman"/>
          <w:lang w:val="es-UY"/>
        </w:rPr>
        <w:t xml:space="preserve"> </w:t>
      </w:r>
      <w:r w:rsidRPr="00622616">
        <w:rPr>
          <w:rFonts w:cs="Times New Roman"/>
          <w:i/>
          <w:lang w:val="es-UY"/>
        </w:rPr>
        <w:t>et al.</w:t>
      </w:r>
      <w:r w:rsidRPr="00622616">
        <w:rPr>
          <w:rFonts w:cs="Times New Roman"/>
          <w:lang w:val="es-UY"/>
        </w:rPr>
        <w:t xml:space="preserve"> 2024; 4: </w:t>
      </w:r>
      <w:proofErr w:type="spellStart"/>
      <w:r w:rsidRPr="00622616">
        <w:rPr>
          <w:rFonts w:cs="Times New Roman"/>
          <w:lang w:val="es-UY"/>
        </w:rPr>
        <w:t>Bano</w:t>
      </w:r>
      <w:proofErr w:type="spellEnd"/>
      <w:r w:rsidRPr="00622616">
        <w:rPr>
          <w:rFonts w:cs="Times New Roman"/>
          <w:lang w:val="es-UY"/>
        </w:rPr>
        <w:t xml:space="preserve"> </w:t>
      </w:r>
      <w:r w:rsidRPr="00622616">
        <w:rPr>
          <w:rFonts w:cs="Times New Roman"/>
          <w:i/>
          <w:lang w:val="es-UY"/>
        </w:rPr>
        <w:t>et al</w:t>
      </w:r>
      <w:r w:rsidRPr="00622616">
        <w:rPr>
          <w:rFonts w:cs="Times New Roman"/>
          <w:lang w:val="es-UY"/>
        </w:rPr>
        <w:t xml:space="preserve">. 2024; 5: Zhao </w:t>
      </w:r>
      <w:r w:rsidRPr="00622616">
        <w:rPr>
          <w:rFonts w:cs="Times New Roman"/>
          <w:i/>
          <w:lang w:val="es-UY"/>
        </w:rPr>
        <w:t>et al.</w:t>
      </w:r>
      <w:r w:rsidRPr="00622616">
        <w:rPr>
          <w:rFonts w:cs="Times New Roman"/>
          <w:lang w:val="es-UY"/>
        </w:rPr>
        <w:t xml:space="preserve"> 2015; 6: Dong </w:t>
      </w:r>
      <w:r w:rsidRPr="00622616">
        <w:rPr>
          <w:rFonts w:cs="Times New Roman"/>
          <w:i/>
          <w:lang w:val="es-UY"/>
        </w:rPr>
        <w:t>et al</w:t>
      </w:r>
      <w:r w:rsidRPr="00622616">
        <w:rPr>
          <w:rFonts w:cs="Times New Roman"/>
          <w:lang w:val="es-UY"/>
        </w:rPr>
        <w:t xml:space="preserve">. 2024; 7: Dong </w:t>
      </w:r>
      <w:r w:rsidRPr="00622616">
        <w:rPr>
          <w:rFonts w:cs="Times New Roman"/>
          <w:i/>
          <w:lang w:val="es-UY"/>
        </w:rPr>
        <w:t>et al.</w:t>
      </w:r>
      <w:r w:rsidRPr="00622616">
        <w:rPr>
          <w:rFonts w:cs="Times New Roman"/>
          <w:lang w:val="es-UY"/>
        </w:rPr>
        <w:t xml:space="preserve"> 2024, </w:t>
      </w:r>
      <w:proofErr w:type="spellStart"/>
      <w:r w:rsidRPr="00622616">
        <w:rPr>
          <w:rFonts w:cs="Times New Roman"/>
          <w:lang w:val="es-UY"/>
        </w:rPr>
        <w:t>Truu</w:t>
      </w:r>
      <w:proofErr w:type="spellEnd"/>
      <w:r w:rsidRPr="00622616">
        <w:rPr>
          <w:rFonts w:cs="Times New Roman"/>
          <w:lang w:val="es-UY"/>
        </w:rPr>
        <w:t xml:space="preserve"> </w:t>
      </w:r>
      <w:r w:rsidRPr="00622616">
        <w:rPr>
          <w:rFonts w:cs="Times New Roman"/>
          <w:i/>
          <w:lang w:val="es-UY"/>
        </w:rPr>
        <w:t>et al</w:t>
      </w:r>
      <w:r w:rsidRPr="00622616">
        <w:rPr>
          <w:rFonts w:cs="Times New Roman"/>
          <w:lang w:val="es-UY"/>
        </w:rPr>
        <w:t xml:space="preserve">. 2020; 8: Hao </w:t>
      </w:r>
      <w:r w:rsidRPr="00622616">
        <w:rPr>
          <w:rFonts w:cs="Times New Roman"/>
          <w:i/>
          <w:lang w:val="es-UY"/>
        </w:rPr>
        <w:t>et al</w:t>
      </w:r>
      <w:r w:rsidRPr="00622616">
        <w:rPr>
          <w:rFonts w:cs="Times New Roman"/>
          <w:lang w:val="es-UY"/>
        </w:rPr>
        <w:t xml:space="preserve">. 2021; 9: Chen </w:t>
      </w:r>
      <w:r w:rsidRPr="00622616">
        <w:rPr>
          <w:rFonts w:cs="Times New Roman"/>
          <w:i/>
          <w:lang w:val="es-UY"/>
        </w:rPr>
        <w:t>et al</w:t>
      </w:r>
      <w:r w:rsidRPr="00622616">
        <w:rPr>
          <w:rFonts w:cs="Times New Roman"/>
          <w:lang w:val="es-UY"/>
        </w:rPr>
        <w:t xml:space="preserve">. 2023, </w:t>
      </w:r>
      <w:proofErr w:type="spellStart"/>
      <w:r w:rsidRPr="00622616">
        <w:rPr>
          <w:rFonts w:cs="Times New Roman"/>
          <w:lang w:val="es-UY"/>
        </w:rPr>
        <w:t>Gu</w:t>
      </w:r>
      <w:proofErr w:type="spellEnd"/>
      <w:r w:rsidRPr="00622616">
        <w:rPr>
          <w:rFonts w:cs="Times New Roman"/>
          <w:lang w:val="es-UY"/>
        </w:rPr>
        <w:t xml:space="preserve"> </w:t>
      </w:r>
      <w:r w:rsidRPr="00622616">
        <w:rPr>
          <w:rFonts w:cs="Times New Roman"/>
          <w:i/>
          <w:lang w:val="es-UY"/>
        </w:rPr>
        <w:t>et al.</w:t>
      </w:r>
      <w:r w:rsidRPr="00622616">
        <w:rPr>
          <w:rFonts w:cs="Times New Roman"/>
          <w:lang w:val="es-UY"/>
        </w:rPr>
        <w:t xml:space="preserve"> 2024.</w:t>
      </w:r>
    </w:p>
    <w:p w14:paraId="708F10D5" w14:textId="77777777" w:rsidR="00A6504B" w:rsidRPr="00622616" w:rsidRDefault="00A6504B" w:rsidP="00A6504B">
      <w:pPr>
        <w:rPr>
          <w:lang w:val="es-UY"/>
        </w:rPr>
      </w:pPr>
    </w:p>
    <w:p w14:paraId="46B5743D" w14:textId="54461701" w:rsidR="00A6504B" w:rsidRPr="00203EB0" w:rsidRDefault="00A6504B" w:rsidP="00D56363">
      <w:pPr>
        <w:spacing w:line="480" w:lineRule="auto"/>
        <w:rPr>
          <w:b/>
          <w:caps/>
        </w:rPr>
      </w:pPr>
      <w:r w:rsidRPr="00203EB0">
        <w:lastRenderedPageBreak/>
        <w:t xml:space="preserve">While </w:t>
      </w:r>
      <w:proofErr w:type="spellStart"/>
      <w:r w:rsidRPr="00203EB0">
        <w:t>BiomeHorizon</w:t>
      </w:r>
      <w:proofErr w:type="spellEnd"/>
      <w:r w:rsidRPr="00203EB0">
        <w:t xml:space="preserve"> plots in </w:t>
      </w:r>
      <w:r w:rsidRPr="00203EB0">
        <w:rPr>
          <w:b/>
        </w:rPr>
        <w:t xml:space="preserve">Figure </w:t>
      </w:r>
      <w:r w:rsidR="005615B3" w:rsidRPr="00203EB0">
        <w:rPr>
          <w:b/>
        </w:rPr>
        <w:t>5.</w:t>
      </w:r>
      <w:r w:rsidRPr="00203EB0">
        <w:rPr>
          <w:b/>
        </w:rPr>
        <w:t>6</w:t>
      </w:r>
      <w:r w:rsidRPr="00203EB0">
        <w:rPr>
          <w:bCs/>
        </w:rPr>
        <w:t xml:space="preserve"> </w:t>
      </w:r>
      <w:r w:rsidRPr="00203EB0">
        <w:t>highlight temporal abundance, the calculated median</w:t>
      </w:r>
      <w:r w:rsidR="0026501C">
        <w:t>s are</w:t>
      </w:r>
      <w:r w:rsidRPr="00203EB0">
        <w:t xml:space="preserve"> taxa</w:t>
      </w:r>
      <w:r w:rsidR="0026501C">
        <w:t>-</w:t>
      </w:r>
      <w:r w:rsidRPr="00203EB0">
        <w:t xml:space="preserve"> and depth</w:t>
      </w:r>
      <w:r w:rsidR="0026501C">
        <w:t>-</w:t>
      </w:r>
      <w:r w:rsidRPr="00203EB0">
        <w:t>specific and</w:t>
      </w:r>
      <w:r w:rsidR="0026501C">
        <w:t xml:space="preserve"> </w:t>
      </w:r>
      <w:r w:rsidRPr="00203EB0">
        <w:t>not directly comparable across taxa or soil layers. To overcome this limitation,</w:t>
      </w:r>
      <w:r w:rsidR="0026501C">
        <w:t xml:space="preserve"> </w:t>
      </w:r>
      <w:r w:rsidRPr="00203EB0">
        <w:t xml:space="preserve">abundances were standardized across samples to assess whether the temporal dynamics of the top ten taxa associated with each management practice </w:t>
      </w:r>
      <w:r w:rsidR="0026501C">
        <w:t>aligned with</w:t>
      </w:r>
      <w:r w:rsidRPr="00203EB0">
        <w:t xml:space="preserve"> N</w:t>
      </w:r>
      <w:r w:rsidRPr="00203EB0">
        <w:rPr>
          <w:vertAlign w:val="subscript"/>
        </w:rPr>
        <w:t>2</w:t>
      </w:r>
      <w:r w:rsidRPr="00203EB0">
        <w:t>O</w:t>
      </w:r>
      <w:r w:rsidR="0026501C">
        <w:t xml:space="preserve"> fluxes during</w:t>
      </w:r>
      <w:r w:rsidRPr="00203EB0">
        <w:t xml:space="preserve"> the growing season. </w:t>
      </w:r>
      <w:r w:rsidR="0026501C">
        <w:t>S</w:t>
      </w:r>
      <w:r w:rsidRPr="00203EB0">
        <w:t>tandardization facilitate</w:t>
      </w:r>
      <w:r w:rsidR="0026501C">
        <w:t>d treatment and depth</w:t>
      </w:r>
      <w:r w:rsidRPr="00203EB0">
        <w:t xml:space="preserve"> comparisons</w:t>
      </w:r>
      <w:r w:rsidR="0026501C">
        <w:t xml:space="preserve"> </w:t>
      </w:r>
      <w:r w:rsidRPr="00203EB0">
        <w:t>but reduce</w:t>
      </w:r>
      <w:r w:rsidR="0026501C">
        <w:t>d</w:t>
      </w:r>
      <w:r w:rsidRPr="00203EB0">
        <w:t xml:space="preserve"> resolution for detecting changes in relative abundance </w:t>
      </w:r>
      <w:r w:rsidRPr="00203EB0">
        <w:rPr>
          <w:b/>
          <w:caps/>
        </w:rPr>
        <w:fldChar w:fldCharType="begin" w:fldLock="1"/>
      </w:r>
      <w:r w:rsidRPr="00203EB0">
        <w:instrText>ADDIN CSL_CITATION {"citationItems":[{"id":"ITEM-1","itemData":{"DOI":"10.1128/msystems.01380-21","ISSN":"23795077","abstract":"Host-associated microbiota (i.e., the number and types of bacteria in the body) can have profound impacts on an animal’s day-to-day functioning as well as their long-term health. Recent work has shown that these microbial communities change substantially over time, so it is important to be able to link changes in the abundance of certain microbes with host health outcomes. Despite playing a key role in the health of their hosts, host-associated microbial communities demonstrate considerable variation over time. These communities comprise thousands of temporally dynamic taxa, which makes visualizing microbial time series data challenging. As such, a method to visualize both the proportional and absolute change in the relative abundance of multiple taxa across multiple subjects over time is needed. To address this gap, we developed BiomeHorizon , the first automated, open-source R package that visualizes longitudinal compositional microbiome data using horizon plots. BiomeHorizon is available at https://github.com/blekhmanlab/biomehorizon/ and a guide with step-by-step instructions for using the package is provided at https://blekhmanlab.github.io/biomehorizon/ . IMPORTANCE Host-associated microbiota (i.e., the number and types of bacteria in the body) can have profound impacts on an animal’s day-to-day functioning as well as their long-term health. Recent work has shown that these microbial communities change substantially over time, so it is important to be able to link changes in the abundance of certain microbes with host health outcomes. However, visualizing such changes is difficult because the microbiome comprises thousands of different microbes. To address this issue, we developed BiomeHorizon , an R package for visualizing longitudinal microbiome data using horizon plots. BiomeHorizon accepts a range of data formats and was developed with two common microbiome study designs in mind: human health studies, where the microbiome is sampled at set time points, and observational wildlife studies, where samples may be collected at irregular time intervals. BiomeHorizon thus provides a flexible, user-friendly approach to microbiome time series data visualization and analysis.","author":[{"dropping-particle":"","family":"Fink","given":"Isaac","non-dropping-particle":"","parse-names":false,"suffix":""},{"dropping-particle":"","family":"Abdill","given":"Richard J.","non-dropping-particle":"","parse-names":false,"suffix":""},{"dropping-particle":"","family":"Blekhman","given":"Ran","non-dropping-particle":"","parse-names":false,"suffix":""},{"dropping-particle":"","family":"Grieneisen","given":"Laura","non-dropping-particle":"","parse-names":false,"suffix":""}],"container-title":"mSystems","id":"ITEM-1","issue":"3","issued":{"date-parts":[["2022"]]},"publisher":"American Society for Microbiology","title":"BiomeHorizon: Visualizing microbiome time series data in R","type":"article-journal","volume":"7"},"uris":["http://www.mendeley.com/documents/?uuid=95f2f115-f30a-4984-88e2-b1ae494af4e4"]}],"mendeley":{"formattedCitation":"(Fink et al., 2022)","plainTextFormattedCitation":"(Fink et al., 2022)","previouslyFormattedCitation":"(Fink et al., 2022)"},"properties":{"noteIndex":0},"schema":"https://github.com/citation-style-language/schema/raw/master/csl-citation.json"}</w:instrText>
      </w:r>
      <w:r w:rsidRPr="00203EB0">
        <w:rPr>
          <w:b/>
          <w:caps/>
        </w:rPr>
        <w:fldChar w:fldCharType="separate"/>
      </w:r>
      <w:r w:rsidRPr="00203EB0">
        <w:rPr>
          <w:noProof/>
        </w:rPr>
        <w:t>(Fink et al., 2022)</w:t>
      </w:r>
      <w:r w:rsidRPr="00203EB0">
        <w:rPr>
          <w:b/>
          <w:caps/>
        </w:rPr>
        <w:fldChar w:fldCharType="end"/>
      </w:r>
      <w:r w:rsidRPr="00203EB0">
        <w:t>, given the small and uneven abundance of these taxa. Among the top ten taxa, only those</w:t>
      </w:r>
      <w:r w:rsidR="0026501C">
        <w:t xml:space="preserve"> with</w:t>
      </w:r>
      <w:r w:rsidRPr="00203EB0">
        <w:t xml:space="preserve"> management </w:t>
      </w:r>
      <w:r w:rsidR="0026501C">
        <w:t>differences at</w:t>
      </w:r>
      <w:r w:rsidRPr="00203EB0">
        <w:t xml:space="preserve"> p </w:t>
      </w:r>
      <m:oMath>
        <m:r>
          <m:rPr>
            <m:sty m:val="bi"/>
          </m:rPr>
          <w:rPr>
            <w:rFonts w:ascii="Cambria Math" w:hAnsi="Cambria Math"/>
          </w:rPr>
          <m:t>≤</m:t>
        </m:r>
      </m:oMath>
      <w:r w:rsidRPr="00203EB0">
        <w:t xml:space="preserve"> 0.10 are shown in </w:t>
      </w:r>
      <w:r w:rsidRPr="00203EB0">
        <w:rPr>
          <w:b/>
        </w:rPr>
        <w:t xml:space="preserve">Figure </w:t>
      </w:r>
      <w:r w:rsidR="005615B3" w:rsidRPr="00203EB0">
        <w:rPr>
          <w:b/>
        </w:rPr>
        <w:t>5.</w:t>
      </w:r>
      <w:r w:rsidRPr="00203EB0">
        <w:rPr>
          <w:b/>
        </w:rPr>
        <w:t>7</w:t>
      </w:r>
      <w:r w:rsidRPr="00203EB0">
        <w:t xml:space="preserve"> (see also </w:t>
      </w:r>
      <w:r w:rsidRPr="00203EB0">
        <w:rPr>
          <w:b/>
        </w:rPr>
        <w:t xml:space="preserve">Table </w:t>
      </w:r>
      <w:r w:rsidR="005615B3" w:rsidRPr="00203EB0">
        <w:rPr>
          <w:b/>
        </w:rPr>
        <w:t>5.3</w:t>
      </w:r>
      <w:r w:rsidRPr="00203EB0">
        <w:t xml:space="preserve"> and </w:t>
      </w:r>
      <w:r w:rsidR="005615B3" w:rsidRPr="00203EB0">
        <w:rPr>
          <w:b/>
        </w:rPr>
        <w:t>5.4</w:t>
      </w:r>
      <w:r w:rsidRPr="00203EB0">
        <w:t>).</w:t>
      </w:r>
      <w:r w:rsidR="0026501C">
        <w:t xml:space="preserve"> S</w:t>
      </w:r>
      <w:r w:rsidRPr="00203EB0">
        <w:t xml:space="preserve">tandardized </w:t>
      </w:r>
      <w:proofErr w:type="gramStart"/>
      <w:r w:rsidRPr="00203EB0">
        <w:t>abundance</w:t>
      </w:r>
      <w:r w:rsidR="0026501C">
        <w:t>s</w:t>
      </w:r>
      <w:r w:rsidRPr="00203EB0">
        <w:t xml:space="preserve"> of taxa</w:t>
      </w:r>
      <w:proofErr w:type="gramEnd"/>
      <w:r w:rsidRPr="00203EB0">
        <w:t xml:space="preserve"> positively associated with N</w:t>
      </w:r>
      <w:r w:rsidRPr="00203EB0">
        <w:rPr>
          <w:vertAlign w:val="subscript"/>
        </w:rPr>
        <w:t>2</w:t>
      </w:r>
      <w:r w:rsidRPr="00203EB0">
        <w:t>O emissions increased across depths on August 2 and 30 (</w:t>
      </w:r>
      <w:r w:rsidRPr="00203EB0">
        <w:rPr>
          <w:b/>
        </w:rPr>
        <w:t xml:space="preserve">Figure </w:t>
      </w:r>
      <w:r w:rsidR="005615B3" w:rsidRPr="00203EB0">
        <w:rPr>
          <w:b/>
        </w:rPr>
        <w:t>5.</w:t>
      </w:r>
      <w:r w:rsidRPr="00203EB0">
        <w:rPr>
          <w:b/>
        </w:rPr>
        <w:t>7</w:t>
      </w:r>
      <w:r w:rsidRPr="00203EB0">
        <w:t>), coinciding with the mid-season peaks in N</w:t>
      </w:r>
      <w:r w:rsidRPr="00203EB0">
        <w:rPr>
          <w:vertAlign w:val="subscript"/>
        </w:rPr>
        <w:t>2</w:t>
      </w:r>
      <w:r w:rsidRPr="00203EB0">
        <w:t>O fluxes (</w:t>
      </w:r>
      <w:r w:rsidRPr="00203EB0">
        <w:rPr>
          <w:b/>
        </w:rPr>
        <w:t xml:space="preserve">Figure </w:t>
      </w:r>
      <w:r w:rsidR="005615B3" w:rsidRPr="00203EB0">
        <w:rPr>
          <w:b/>
        </w:rPr>
        <w:t>5.</w:t>
      </w:r>
      <w:r w:rsidRPr="00203EB0">
        <w:rPr>
          <w:b/>
        </w:rPr>
        <w:t>1</w:t>
      </w:r>
      <w:r w:rsidRPr="00203EB0">
        <w:t>);</w:t>
      </w:r>
      <w:r w:rsidR="0026501C">
        <w:t xml:space="preserve"> with stronger </w:t>
      </w:r>
      <w:r w:rsidR="00F27329">
        <w:t>responses under fertilized, CT, and HV plots</w:t>
      </w:r>
      <w:r w:rsidRPr="00203EB0">
        <w:t xml:space="preserve">. At 0-10 cm, the relative abundance of </w:t>
      </w:r>
      <w:proofErr w:type="spellStart"/>
      <w:r w:rsidRPr="00203EB0">
        <w:rPr>
          <w:i/>
        </w:rPr>
        <w:t>Pseudarthrobacter</w:t>
      </w:r>
      <w:proofErr w:type="spellEnd"/>
      <w:r w:rsidRPr="00203EB0">
        <w:rPr>
          <w:i/>
        </w:rPr>
        <w:t xml:space="preserve"> </w:t>
      </w:r>
      <w:r w:rsidRPr="00203EB0">
        <w:t>sp., a taxon negatively associated with N</w:t>
      </w:r>
      <w:r w:rsidRPr="00203EB0">
        <w:rPr>
          <w:vertAlign w:val="subscript"/>
        </w:rPr>
        <w:t>2</w:t>
      </w:r>
      <w:r w:rsidRPr="00203EB0">
        <w:t>O emissions (</w:t>
      </w:r>
      <w:r w:rsidRPr="00F27329">
        <w:rPr>
          <w:b/>
        </w:rPr>
        <w:t>Figure 5</w:t>
      </w:r>
      <w:r w:rsidR="005615B3" w:rsidRPr="00F27329">
        <w:rPr>
          <w:b/>
        </w:rPr>
        <w:t>.5</w:t>
      </w:r>
      <w:r w:rsidRPr="00F27329">
        <w:rPr>
          <w:b/>
        </w:rPr>
        <w:t>C</w:t>
      </w:r>
      <w:r w:rsidRPr="00203EB0">
        <w:t>), declined during these same time-points. Although more abundant in CT plots overall (</w:t>
      </w:r>
      <w:r w:rsidRPr="00203EB0">
        <w:rPr>
          <w:b/>
        </w:rPr>
        <w:t xml:space="preserve">Table </w:t>
      </w:r>
      <w:r w:rsidR="005615B3" w:rsidRPr="00203EB0">
        <w:rPr>
          <w:b/>
        </w:rPr>
        <w:t>5.3</w:t>
      </w:r>
      <w:r w:rsidRPr="00203EB0">
        <w:t>), the decline in its relative abundance during peak N</w:t>
      </w:r>
      <w:r w:rsidRPr="00203EB0">
        <w:rPr>
          <w:vertAlign w:val="subscript"/>
        </w:rPr>
        <w:t>2</w:t>
      </w:r>
      <w:r w:rsidRPr="00203EB0">
        <w:t>O emissions period was also more pronounced in CT compared to NT plots (</w:t>
      </w:r>
      <w:r w:rsidRPr="00203EB0">
        <w:rPr>
          <w:b/>
        </w:rPr>
        <w:t xml:space="preserve">Figure </w:t>
      </w:r>
      <w:r w:rsidR="005615B3" w:rsidRPr="00203EB0">
        <w:rPr>
          <w:b/>
        </w:rPr>
        <w:t>5.</w:t>
      </w:r>
      <w:r w:rsidRPr="00203EB0">
        <w:rPr>
          <w:b/>
        </w:rPr>
        <w:t>7B</w:t>
      </w:r>
      <w:r w:rsidRPr="00203EB0">
        <w:t xml:space="preserve">). </w:t>
      </w:r>
    </w:p>
    <w:p w14:paraId="4334ADCE" w14:textId="6FB7CC0E" w:rsidR="005615B3" w:rsidRPr="00F27329" w:rsidRDefault="00F27329" w:rsidP="00F27329">
      <w:pPr>
        <w:spacing w:line="480" w:lineRule="auto"/>
      </w:pPr>
      <w:r>
        <w:t>I</w:t>
      </w:r>
      <w:r w:rsidR="00A6504B" w:rsidRPr="00203EB0">
        <w:t>n the subsoil</w:t>
      </w:r>
      <w:r>
        <w:t xml:space="preserve">, absolute abundances were generally lower than in </w:t>
      </w:r>
      <w:r w:rsidR="00A6504B" w:rsidRPr="00203EB0">
        <w:t>the surface soil</w:t>
      </w:r>
      <w:r>
        <w:t>s</w:t>
      </w:r>
      <w:r w:rsidR="00A6504B" w:rsidRPr="00203EB0">
        <w:t>,</w:t>
      </w:r>
      <w:r>
        <w:t xml:space="preserve"> yet</w:t>
      </w:r>
      <w:r w:rsidR="00A6504B" w:rsidRPr="00203EB0">
        <w:t xml:space="preserve"> clear temporal changes</w:t>
      </w:r>
      <w:r>
        <w:t xml:space="preserve"> </w:t>
      </w:r>
      <w:r w:rsidR="00A6504B" w:rsidRPr="00203EB0">
        <w:t xml:space="preserve">were observed, </w:t>
      </w:r>
      <w:r>
        <w:t>such as</w:t>
      </w:r>
      <w:r w:rsidR="00A6504B" w:rsidRPr="00203EB0">
        <w:t xml:space="preserve"> for </w:t>
      </w:r>
      <w:r w:rsidR="00A6504B" w:rsidRPr="00203EB0">
        <w:rPr>
          <w:i/>
        </w:rPr>
        <w:t>Candidatus</w:t>
      </w:r>
      <w:r w:rsidR="00A6504B" w:rsidRPr="00203EB0">
        <w:t xml:space="preserve"> </w:t>
      </w:r>
      <w:proofErr w:type="spellStart"/>
      <w:r w:rsidR="00A6504B" w:rsidRPr="00203EB0">
        <w:t>Nitrosotalea</w:t>
      </w:r>
      <w:proofErr w:type="spellEnd"/>
      <w:r w:rsidR="00A6504B" w:rsidRPr="00203EB0">
        <w:t xml:space="preserve"> sp. (</w:t>
      </w:r>
      <w:r w:rsidR="00A6504B" w:rsidRPr="00203EB0">
        <w:rPr>
          <w:b/>
        </w:rPr>
        <w:t xml:space="preserve">Figure </w:t>
      </w:r>
      <w:r w:rsidR="005615B3" w:rsidRPr="00203EB0">
        <w:rPr>
          <w:b/>
        </w:rPr>
        <w:t>5.</w:t>
      </w:r>
      <w:r w:rsidR="00A6504B" w:rsidRPr="00203EB0">
        <w:rPr>
          <w:b/>
        </w:rPr>
        <w:t>7A</w:t>
      </w:r>
      <w:r w:rsidR="00A6504B" w:rsidRPr="00203EB0">
        <w:t xml:space="preserve">). These patterns suggest management practices influence microbial dynamics throughout the soil profile, although the effects are comparatively weaker in the subsoil. </w:t>
      </w:r>
    </w:p>
    <w:p w14:paraId="32D4E6DD" w14:textId="0ABF7A3D" w:rsidR="005615B3" w:rsidRPr="00203EB0" w:rsidRDefault="00F27329"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r>
        <w:rPr>
          <w:noProof/>
        </w:rPr>
        <w:lastRenderedPageBreak/>
        <w:drawing>
          <wp:inline distT="0" distB="0" distL="0" distR="0" wp14:anchorId="0BB246E8" wp14:editId="52092115">
            <wp:extent cx="5486400" cy="4800600"/>
            <wp:effectExtent l="0" t="0" r="0" b="0"/>
            <wp:docPr id="1807839063" name="Picture 4"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39063" name="Picture 4" descr="A diagram of a graph&#10;&#10;AI-generated content may be incorrect."/>
                    <pic:cNvPicPr>
                      <a:picLocks noChangeAspect="1" noChangeArrowheads="1"/>
                    </pic:cNvPicPr>
                  </pic:nvPicPr>
                  <pic:blipFill>
                    <a:blip r:embed="rId38" cstate="hqprint">
                      <a:extLst>
                        <a:ext uri="{28A0092B-C50C-407E-A947-70E740481C1C}">
                          <a14:useLocalDpi xmlns:a14="http://schemas.microsoft.com/office/drawing/2010/main" val="0"/>
                        </a:ext>
                      </a:extLst>
                    </a:blip>
                    <a:srcRect/>
                    <a:stretch>
                      <a:fillRect/>
                    </a:stretch>
                  </pic:blipFill>
                  <pic:spPr bwMode="auto">
                    <a:xfrm>
                      <a:off x="0" y="0"/>
                      <a:ext cx="5486400" cy="4800600"/>
                    </a:xfrm>
                    <a:prstGeom prst="rect">
                      <a:avLst/>
                    </a:prstGeom>
                    <a:noFill/>
                    <a:ln>
                      <a:noFill/>
                    </a:ln>
                  </pic:spPr>
                </pic:pic>
              </a:graphicData>
            </a:graphic>
          </wp:inline>
        </w:drawing>
      </w:r>
    </w:p>
    <w:p w14:paraId="19F3C4A1" w14:textId="786CEEBC" w:rsidR="00F27329" w:rsidRPr="00A263B0" w:rsidRDefault="005615B3" w:rsidP="00F27329">
      <w:pPr>
        <w:tabs>
          <w:tab w:val="left" w:pos="1636"/>
        </w:tabs>
        <w:rPr>
          <w:rFonts w:cs="Times New Roman"/>
        </w:rPr>
      </w:pPr>
      <w:bookmarkStart w:id="105" w:name="_Toc206669280"/>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5</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7</w:t>
      </w:r>
      <w:r w:rsidR="00BD46F8" w:rsidRPr="00203EB0">
        <w:rPr>
          <w:b/>
          <w:bCs/>
        </w:rPr>
        <w:fldChar w:fldCharType="end"/>
      </w:r>
      <w:r w:rsidRPr="00203EB0">
        <w:rPr>
          <w:b/>
          <w:bCs/>
        </w:rPr>
        <w:t>:</w:t>
      </w:r>
      <w:r w:rsidRPr="00203EB0">
        <w:t xml:space="preserve"> Time-series horizon plots of microbial taxa relative abundance linked to N</w:t>
      </w:r>
      <w:r w:rsidRPr="00203EB0">
        <w:rPr>
          <w:vertAlign w:val="subscript"/>
        </w:rPr>
        <w:t>2</w:t>
      </w:r>
      <w:r w:rsidRPr="00203EB0">
        <w:t xml:space="preserve">O emissions, identified by the Random Forest model and associated with N fertilization (A), tillage (B), and cover cropping (C) practices. Taxa shown had </w:t>
      </w:r>
      <w:r w:rsidRPr="00203EB0">
        <w:rPr>
          <w:i/>
        </w:rPr>
        <w:t>p-</w:t>
      </w:r>
      <w:r w:rsidRPr="00203EB0">
        <w:t xml:space="preserve">values </w:t>
      </w:r>
      <m:oMath>
        <m:r>
          <m:rPr>
            <m:sty m:val="bi"/>
          </m:rPr>
          <w:rPr>
            <w:rFonts w:ascii="Cambria Math" w:hAnsi="Cambria Math"/>
          </w:rPr>
          <m:t>≤</m:t>
        </m:r>
      </m:oMath>
      <w:r w:rsidRPr="00203EB0">
        <w:t xml:space="preserve"> 0.10, see Tables 2 and 3 for details. Median relative abundance was centered at zero, with a bandwidth of 0.7% and five bands used to standardize abundance dynamics across treatments and depths.</w:t>
      </w:r>
      <w:bookmarkEnd w:id="105"/>
      <w:r w:rsidR="00F27329">
        <w:t xml:space="preserve"> </w:t>
      </w:r>
      <w:r w:rsidR="00F27329">
        <w:rPr>
          <w:rFonts w:cs="Times New Roman"/>
        </w:rPr>
        <w:t>Dashed boxes indicate timing of treatment differences in N</w:t>
      </w:r>
      <w:r w:rsidR="00F27329" w:rsidRPr="006C2A74">
        <w:rPr>
          <w:rFonts w:cs="Times New Roman"/>
          <w:vertAlign w:val="subscript"/>
        </w:rPr>
        <w:t>2</w:t>
      </w:r>
      <w:r w:rsidR="00F27329">
        <w:rPr>
          <w:rFonts w:cs="Times New Roman"/>
        </w:rPr>
        <w:t xml:space="preserve">O fluxes (based on </w:t>
      </w:r>
      <w:r w:rsidR="00F27329" w:rsidRPr="00F27329">
        <w:rPr>
          <w:rFonts w:cs="Times New Roman"/>
          <w:b/>
          <w:bCs/>
        </w:rPr>
        <w:t>Figure 5.1</w:t>
      </w:r>
      <w:r w:rsidR="00F27329">
        <w:rPr>
          <w:rFonts w:cs="Times New Roman"/>
        </w:rPr>
        <w:t xml:space="preserve">), and black arrows mark key management practices. </w:t>
      </w:r>
    </w:p>
    <w:p w14:paraId="19FAC48F" w14:textId="77777777" w:rsidR="005615B3" w:rsidRDefault="005615B3" w:rsidP="005615B3"/>
    <w:p w14:paraId="183A9E6E" w14:textId="77777777" w:rsidR="000061E6" w:rsidRDefault="000061E6" w:rsidP="005615B3"/>
    <w:p w14:paraId="7C854B81" w14:textId="77777777" w:rsidR="000061E6" w:rsidRDefault="000061E6" w:rsidP="005615B3"/>
    <w:p w14:paraId="0020146D" w14:textId="77777777" w:rsidR="000061E6" w:rsidRPr="00203EB0" w:rsidRDefault="000061E6" w:rsidP="005615B3"/>
    <w:p w14:paraId="07898E4B" w14:textId="627F1120" w:rsidR="005615B3" w:rsidRPr="00203EB0" w:rsidRDefault="005615B3" w:rsidP="00A61CF4">
      <w:pPr>
        <w:pStyle w:val="Heading2"/>
      </w:pPr>
      <w:bookmarkStart w:id="106" w:name="_Toc206669152"/>
      <w:r w:rsidRPr="00203EB0">
        <w:lastRenderedPageBreak/>
        <w:t>Discussion</w:t>
      </w:r>
      <w:bookmarkEnd w:id="106"/>
    </w:p>
    <w:p w14:paraId="6A426D7B" w14:textId="77777777" w:rsidR="005615B3" w:rsidRPr="00203EB0" w:rsidRDefault="005615B3" w:rsidP="00D56363">
      <w:pPr>
        <w:spacing w:line="480" w:lineRule="auto"/>
        <w:rPr>
          <w:b/>
          <w:caps/>
        </w:rPr>
      </w:pPr>
      <w:r w:rsidRPr="00203EB0">
        <w:t>In this study, we used 16S rRNA metabarcoding to explore the long-term impacts of 41 years of soil health practices on microbial communities and their relationship with N</w:t>
      </w:r>
      <w:r w:rsidRPr="00203EB0">
        <w:rPr>
          <w:vertAlign w:val="subscript"/>
        </w:rPr>
        <w:t>2</w:t>
      </w:r>
      <w:r w:rsidRPr="00203EB0">
        <w:t>O emissions. Our findings showed that: (</w:t>
      </w:r>
      <w:proofErr w:type="spellStart"/>
      <w:r w:rsidRPr="00203EB0">
        <w:t>i</w:t>
      </w:r>
      <w:proofErr w:type="spellEnd"/>
      <w:r w:rsidRPr="00203EB0">
        <w:t>) N fertilization had a stronger influence on soil microbial community structure than tillage or cover cropping; (ii) a greater number of microbial taxa associated with N</w:t>
      </w:r>
      <w:r w:rsidRPr="00203EB0">
        <w:rPr>
          <w:vertAlign w:val="subscript"/>
        </w:rPr>
        <w:t>2</w:t>
      </w:r>
      <w:r w:rsidRPr="00203EB0">
        <w:t>O emissions were found in the surface soil layer compared to deeper layers; (iii) some taxa linked to N</w:t>
      </w:r>
      <w:r w:rsidRPr="00203EB0">
        <w:rPr>
          <w:vertAlign w:val="subscript"/>
        </w:rPr>
        <w:t>2</w:t>
      </w:r>
      <w:r w:rsidRPr="00203EB0">
        <w:t>O fluxes were unique to specific soil layers, while only few were shared across depths; (iv) the top ten taxa associated with N</w:t>
      </w:r>
      <w:r w:rsidRPr="00203EB0">
        <w:rPr>
          <w:vertAlign w:val="subscript"/>
        </w:rPr>
        <w:t>2</w:t>
      </w:r>
      <w:r w:rsidRPr="00203EB0">
        <w:t>O emissions were often linked to specific management practices; (v) the abundance of these taxa mirrored N</w:t>
      </w:r>
      <w:r w:rsidRPr="00203EB0">
        <w:rPr>
          <w:vertAlign w:val="subscript"/>
        </w:rPr>
        <w:t>2</w:t>
      </w:r>
      <w:r w:rsidRPr="00203EB0">
        <w:t>O fluxes, being higher under CT than NT, HV than NC, and 67 N than 0 N, and increased markedly on August 2 and August 30, coinciding with mid-season peaks in N</w:t>
      </w:r>
      <w:r w:rsidRPr="00203EB0">
        <w:rPr>
          <w:vertAlign w:val="subscript"/>
        </w:rPr>
        <w:t>2</w:t>
      </w:r>
      <w:r w:rsidRPr="00203EB0">
        <w:t>O emissions; and (vi) several soil biochemical variables were correlated with the abundance of microbial taxa linked to N</w:t>
      </w:r>
      <w:r w:rsidRPr="00203EB0">
        <w:rPr>
          <w:vertAlign w:val="subscript"/>
        </w:rPr>
        <w:t>2</w:t>
      </w:r>
      <w:r w:rsidRPr="00203EB0">
        <w:t>O emissions, with pH showing the strongest and most consistent association, suggesting that acidic conditions selectively favored taxa contributing to N</w:t>
      </w:r>
      <w:r w:rsidRPr="00203EB0">
        <w:rPr>
          <w:vertAlign w:val="subscript"/>
        </w:rPr>
        <w:t>2</w:t>
      </w:r>
      <w:r w:rsidRPr="00203EB0">
        <w:t xml:space="preserve">O production across the soil profile.     </w:t>
      </w:r>
    </w:p>
    <w:p w14:paraId="24EEA32D" w14:textId="6DFBE951" w:rsidR="00775E98" w:rsidRPr="00203EB0" w:rsidRDefault="00775E98" w:rsidP="00775E98">
      <w:pPr>
        <w:pStyle w:val="Heading3"/>
        <w:spacing w:line="480" w:lineRule="auto"/>
      </w:pPr>
      <w:bookmarkStart w:id="107" w:name="_Toc206669153"/>
      <w:r w:rsidRPr="00203EB0">
        <w:t>Influence of management practices on microbial communities across soil depths</w:t>
      </w:r>
      <w:bookmarkEnd w:id="107"/>
    </w:p>
    <w:p w14:paraId="33C42B6D" w14:textId="7A5DDD8F" w:rsidR="00775E98" w:rsidRPr="00442EA4" w:rsidRDefault="00775E98" w:rsidP="00D56363">
      <w:pPr>
        <w:spacing w:line="480" w:lineRule="auto"/>
        <w:rPr>
          <w:b/>
          <w:caps/>
        </w:rPr>
      </w:pPr>
      <w:r w:rsidRPr="00203EB0">
        <w:t xml:space="preserve">Our results show that N fertilization exerted a stronger influence on the structure of soil microbial communities compared to tillage and cover cropping. This observation partially aligns with the results of </w:t>
      </w:r>
      <w:r w:rsidRPr="00203EB0">
        <w:rPr>
          <w:b/>
          <w:caps/>
        </w:rPr>
        <w:fldChar w:fldCharType="begin" w:fldLock="1"/>
      </w:r>
      <w:r w:rsidRPr="00203EB0">
        <w:instrText xml:space="preserve">ADDIN CSL_CITATION {"citationItems":[{"id":"ITEM-1","itemData":{"DOI":"10.3389/fmicb.2022.847005","ISSN":"1664302X","abstract":"Agricultural practices alter the structure and functions of soil microbial community. However, few studies have documented the alterations of bacterial communities in soils under long-term conservation management practices for continuous crop production. In this study, we evaluated soil bacterial diversity using 16S rRNA gene sequencing and soil physical and chemical properties within 12 combinations of inorganic N fertilization, cover cropping, and tillage throughout a cotton production cycle. Soil was collected from field plots of the West Tennessee Agriculture Research and Education Center in Jackson, TN, United States. The site has been under continuous cotton production for 38 years. A total of 38,038 OTUs were detected across 171 soil samples. The dominant bacterial phyla were Proteobacteria, Acidobacteria, Actinobacteria, Verrucomicrobia, and Chloroflexi, accounting for </w:instrText>
      </w:r>
      <w:r w:rsidRPr="00203EB0">
        <w:rPr>
          <w:rFonts w:ascii="Cambria Math" w:hAnsi="Cambria Math" w:cs="Cambria Math"/>
        </w:rPr>
        <w:instrText>∼</w:instrText>
      </w:r>
      <w:r w:rsidRPr="00203EB0">
        <w:instrText>70% of the total bacterial community membership. Conventional tillage increased alpha diversity in soil samples collected in different stages of cotton production. The effects of inorganic N fertilization and conventional tillage on the structure of bacterial communities were significant at all four sampling dates (p &lt; 0.01). However, cover cropping (p &lt; 0.05) and soil moisture content (p &lt; 0.05) only showed significant influence on the bacterial community structure after burn-down of the cover crops and before planting of cotton (May). Nitrate-N appeared to have a significant effect on the structure of bacterial communities after inorganic fertilization and at the peak of cotton growth (p &lt; 0.01). Structural equation modeling revealed that the relative abundances of denitrifying and nitrifying bacteria were higher when conventional tillage and vetch cover crop practices were applied, respectively. Our results indicate that long-term tillage and fertilization are key factors increasing the diversity and restructuring the composition of bacterial communities, whereas cover cropping may have shorter-term effects on soil bacteria community structure. In this study, management practices might positively influence relative abundances of bacterial functional groups associated with N cycling. The bacteria functional groups may build a network for providing N and meet microbial N needs in the long term.","author":[{"dropping-particle":"","family":"Duan","given":"Ning","non-dropping-particle":"","parse-names":false,"suffix":""},{"dropping-particle":"","family":"Li","given":"Lidong","non-dropping-particle":"","parse-names":false,"suffix":""},{"dropping-particle":"","family":"Liang","given":"Xiaolong","non-dropping-particle":"","parse-names":false,"suffix":""},{"dropping-particle":"","family":"Fine","given":"Aubrey","non-dropping-particle":"","parse-names":false,"suffix":""},{"dropping-particle":"","family":"Zhuang","given":"Jie","non-dropping-particle":"","parse-names":false,"suffix":""},{"dropping-particle":"","family":"Radosevich","given":"Mark","non-dropping-particle":"","parse-names":false,"suffix":""},{"dropping-particle":"","family":"Schaeffer","given":"Sean M.","non-dropping-particle":"","parse-names":false,"suffix":""}],"container-title":"Frontiers in Microbiology","id":"ITEM-1","issue":"April","issued":{"date-parts":[["2022"]]},"page":"1-14","title":"Variation in bacterial community structure under long-term fertilization, tillage, and cover cropping in continuous cotton production","type":"article-journal","volume":"13"},"uris":["http://www.mendeley.com/documents/?uuid=006864a5-e734-4513-9e34-9e9e655059f0"]}],"mendeley":{"formattedCitation":"(Duan et al., 2022)","manualFormatting":"Duan et al. (2022)","plainTextFormattedCitation":"(Duan et al., 2022)","previouslyFormattedCitation":"(Duan et al., 2022)"},"properties":{"noteIndex":0},"schema":"https://github.com/citation-style-language/schema/raw/master/csl-citation.json"}</w:instrText>
      </w:r>
      <w:r w:rsidRPr="00203EB0">
        <w:rPr>
          <w:b/>
          <w:caps/>
        </w:rPr>
        <w:fldChar w:fldCharType="separate"/>
      </w:r>
      <w:r w:rsidRPr="00203EB0">
        <w:rPr>
          <w:noProof/>
        </w:rPr>
        <w:t>Duan et al. (2022)</w:t>
      </w:r>
      <w:r w:rsidRPr="00203EB0">
        <w:rPr>
          <w:b/>
          <w:caps/>
        </w:rPr>
        <w:fldChar w:fldCharType="end"/>
      </w:r>
      <w:r w:rsidRPr="00203EB0">
        <w:t xml:space="preserve">, who reported that fertilization and tillage have long-lasting impacts on soil bacterial communities, whereas cover cropping primarily induces short-term effects following termination. Both studies focus on surface soils, where management practices tend to exert the strongest influence. Importantly, our study extends </w:t>
      </w:r>
      <w:r w:rsidRPr="00203EB0">
        <w:lastRenderedPageBreak/>
        <w:t>this understanding by showing that the effects of management practices on microbial community structure diminish with depth (</w:t>
      </w:r>
      <w:r w:rsidRPr="00203EB0">
        <w:rPr>
          <w:b/>
        </w:rPr>
        <w:t>Table 5.1, Figure 5.2B</w:t>
      </w:r>
      <w:r w:rsidRPr="00203EB0">
        <w:t xml:space="preserve">). This divergence in subsoil community structure likely reflects the attenuation of management-induced effects with depth and biogeochemical stratification in the soil profile </w:t>
      </w:r>
      <w:r w:rsidRPr="00203EB0">
        <w:rPr>
          <w:b/>
          <w:caps/>
        </w:rPr>
        <w:fldChar w:fldCharType="begin" w:fldLock="1"/>
      </w:r>
      <w:r w:rsidRPr="00203EB0">
        <w:instrText>ADDIN CSL_CITATION {"citationItems":[{"id":"ITEM-1","itemData":{"DOI":"10.1016/j.still.2022.105521","ISSN":"01671987","abstract":"Long-term cover-cropping and no-tillage practices can facilitate soil organic carbon (SOC) accumulation in agroecosystems for soil health and climate mitigation benefits. However, the contribution of these conservation management practices to SOC gain from the subsoil layers is not extensively studied. To understand this knowledge gap, it is essential to determine the distribution of total SOC and SOC fractions in response to management practices across the soil profile. Therefore, this study was conducted by leveraging a 40-year replicated field experiment in a continuous cotton (Gossypium hirsutum) system. The management treatments examined included three cover crop treatments: 1) hairy vetch, HV (Vicia villosa); 2) winter wheat, WW (Triticum aestivum L.), and 3) no cover crop, NC; and two tillage treatments: 1) chisel-tillage, CT (10 cm deep) and 2) no-tillage, NT. Soil samples were collected from four depths (0–5, 5–10, 10–30, and 30–60 cm) and analyzed for total SOC and C fractions such as microbial biomass (MBC), particulate organic matter (POM-C), and mineral-associated organic matter (MAOM-C). Results showed that the profile-scale (0–60 cm) SOC stock was greater for WW (33.7 Mg ha −1) compared to HV (29.1 Mg ha −1) and NC (24.4 Mg ha −1), while the tillage effect was non-significant (28 Mg ha −1 for NT and 29.3 Mg ha −1 for CT). The NT increased SOC in the top 5-cm layer, which was reflected in the concentrations of POM-C and MBC. Below the tillage depth (10–30 cm), SOC accrual was greater under CT (10.4 Mg ha −1) than NT (8.9 Mg ha −1), despite similar profile-scale SOC stocks. Further analysis revealed that total SOC in topsoil and subsoil were driven by POM and MAOM-related parameters, respectively. We also observed a limited accumulation of C in POM fraction (0.2–6.1 g C kg−1 soil in tilled topsoil and 0.01–0.71 g C kg−1 soil in subsoil) with a weak relationship with total SOC concentration (topsoil slope = 0.29, subsoil slope = 0.13). Contrastingly, accumulation of C in MAOM fraction was greater (2.7–12.7 g C kg−1 soil in topsoil and 0.6–5.4 g C kg−1 soil in subsoil), and it was strongly related to total SOC concentration than POM-C, especially in the subsoil (topsoil slope = 0.43, subsoil slope = 0.71). Growing deep-rooted winter wheat cover crop increased SOC in the subsoil, indicating the need for climate, soil, and ecosystem-specific management practices for profile-scale net SOC accumulation and redistribution in agroecosystems.","author":[{"dropping-particle":"","family":"Patra","given":"Rounak","non-dropping-particle":"","parse-names":false,"suffix":""},{"dropping-particle":"","family":"Saha","given":"Debasish","non-dropping-particle":"","parse-names":false,"suffix":""},{"dropping-particle":"","family":"Jagadamma","given":"Sindhu","non-dropping-particle":"","parse-names":false,"suffix":""}],"container-title":"Soil and Tillage Research","id":"ITEM-1","issued":{"date-parts":[["2022"]]},"page":"105521","publisher":"Elsevier B.V.","title":"Winter wheat cover crop increased subsoil organic carbon in a long-term cotton cropping system in Tennessee","type":"article-journal","volume":"224"},"uris":["http://www.mendeley.com/documents/?uuid=839aa637-6dc6-4bc2-93cb-93243f7e60fb"]}],"mendeley":{"formattedCitation":"(Patra et al., 2022)","plainTextFormattedCitation":"(Patra et al., 2022)","previouslyFormattedCitation":"(Patra et al., 2022)"},"properties":{"noteIndex":0},"schema":"https://github.com/citation-style-language/schema/raw/master/csl-citation.json"}</w:instrText>
      </w:r>
      <w:r w:rsidRPr="00203EB0">
        <w:rPr>
          <w:b/>
          <w:caps/>
        </w:rPr>
        <w:fldChar w:fldCharType="separate"/>
      </w:r>
      <w:r w:rsidRPr="00203EB0">
        <w:rPr>
          <w:noProof/>
        </w:rPr>
        <w:t>(Patra et al., 2022)</w:t>
      </w:r>
      <w:r w:rsidRPr="00203EB0">
        <w:rPr>
          <w:b/>
          <w:caps/>
        </w:rPr>
        <w:fldChar w:fldCharType="end"/>
      </w:r>
      <w:r w:rsidRPr="00203EB0">
        <w:t xml:space="preserve">, which have previously reported to shape the abundance, composition, and structure of microbial communities </w:t>
      </w:r>
      <w:r w:rsidRPr="00203EB0">
        <w:rPr>
          <w:b/>
          <w:caps/>
        </w:rPr>
        <w:fldChar w:fldCharType="begin" w:fldLock="1"/>
      </w:r>
      <w:r w:rsidR="004179E3" w:rsidRPr="00203EB0">
        <w:instrText>ADDIN CSL_CITATION {"citationItems":[{"id":"ITEM-1","itemData":{"DOI":"10.1016/S0038-0717(02)00251-1","ISSN":"00380717","abstract":"Soil profiles are often many meters deep, but with the majority of studies in soil microbiology focusing exclusively on the soil surface, we know very little about the nature of the microbial communities inhabiting the deeper soil horizons. We used phospholipid fatty acid (PLFA) analysis to examine the vertical distribution of specific microbial groups and to identify the patterns of microbial abundance and community-level diversity within the soil profile. Samples were collected from the soil surface down to 2 m in depth from two unsaturated Mollisol profiles located near Santa Barbara, CA, USA. While the densities of microorganisms were generally one to two orders of magnitude lower in the deeper horizons of both profiles than at the soil surface, approximately 35% of the total quantity of microbial biomass found in the top 2 m of soil is found below a depth of 25 cm. Principal components analysis of the PLFA signatures indicates that the composition of the soil microbial communities changes significantly with soil depth. The differentiation of microbial communities within the two profiles coincides with an overall decline in microbial diversity. The number of individual PLFAs detected in soil samples decreased by about a third from the soil surface down to 2 m. The ratios of cyclopropyl/monoenoic precursors and total saturated/total monounsaturated fatty acids increased with soil depth, suggesting that the microbes inhabiting the deeper soil horizons are more carbon limited than surface-dwelling microbes. Using PLFAs as biomarkers, we show that Gram-positive bacteria and actinomycetes tended to increase in proportional abundance with increasing soil depth, while the abundances of Gram-negative bacteria, fungi, and protozoa were highest at the soil surface and substantially lower in the subsurface. The vertical distribution of these specific microbial groups can largely be attributed to the decline in carbon availability with soil depth. © 2003 Elsevier Science Ltd. All rights reserved.","author":[{"dropping-particle":"","family":"Fierer","given":"Noah","non-dropping-particle":"","parse-names":false,"suffix":""},{"dropping-particle":"","family":"Schimel","given":"Joshua P.","non-dropping-particle":"","parse-names":false,"suffix":""},{"dropping-particle":"","family":"Holden","given":"Patricia A.","non-dropping-particle":"","parse-names":false,"suffix":""}],"container-title":"Soil Biology and Biochemistry","id":"ITEM-1","issue":"1","issued":{"date-parts":[["2003"]]},"page":"167-176","title":"Variations in microbial community composition through two soil depth profiles","type":"article-journal","volume":"35"},"uris":["http://www.mendeley.com/documents/?uuid=65a29a51-80f3-46cf-bc44-ecede16767fd"]},{"id":"ITEM-2","itemData":{"DOI":"10.3389/fmicb.2017.01516","ISSN":"1664302X","abstract":"Soil microbes provide important ecosystem services. Though the effects of changes in nutrient availability due to fertilization on the soil microbial communities in the topsoil (tilled layer, 0-20 cm) have been extensively explored, the effects on communities and their associations with soil nutrients in the subsoil (below 20 cm) which is rarely impacted by tillage are still unclear. 16S rRNA gene amplicon sequencing was used to investigate bacterial and archaeal communities in a Pup-Calric-Entisol soil treated for 32 years with chemical fertilizer (CF) and CF combined with farmyard manure (CFM), and to reveal links between soil properties and specific bacterial and archaeal taxa in both the top- and subsoil. The results showed that both CF and CFM treatments increased soil organic carbon (SOC), soil moisture (MO) and total nitrogen (TN) while decreased the nitrate_N content through the profile. Fertilizer applications also increased Olsen phosphorus (OP) content in most soil layers. Microbial communities in the topsoil were significantly different from those in subsoil. Compared to the CF treatment, taxa such as Nitrososphaera, Nitrospira, and several members of Acidobacteria in topsoil and Subdivision 3 genera incertae sedis, Leptolinea, and Bellilinea in subsoil were substantially more abundant in CFM. A co-occurrence based network analysis demonstrated that SOC and OP were the most important soil parameters that positively correlated with specific bacterial and archaeal taxa in topsoil and subsoil, respectively. Hydrogenophaga was identified as the keystone genus in the topsoil, while genera Phenylobacterium and Steroidobacter were identified as the keystone taxa in subsoil. The taxa identified above are involved in the decomposition of complex organic compounds and soil carbon, nitrogen, and phosphorus transformations. This study revealed that the spatial variability of soil properties due to long-term fertilization strongly shapes the bacterial and archaeal community composition and their interactions at both high and low taxonomic levels across the whole soil profile.","author":[{"dropping-particle":"","family":"Gu","given":"Yunfu","non-dropping-particle":"","parse-names":false,"suffix":""},{"dropping-particle":"","family":"Wang","given":"Yingyan","non-dropping-particle":"","parse-names":false,"suffix":""},{"dropping-particle":"","family":"Lu","given":"Sheng'e","non-dropping-particle":"","parse-names":false,"suffix":""},{"dropping-particle":"","family":"Xiang","given":"Quanju","non-dropping-particle":"","parse-names":false,"suffix":""},{"dropping-particle":"","family":"Yu","given":"Xiumei","non-dropping-particle":"","parse-names":false,"suffix":""},{"dropping-particle":"","family":"Zhao","given":"Ke","non-dropping-particle":"","parse-names":false,"suffix":""},{"dropping-particle":"","family":"Zou","given":"Likou","non-dropping-particle":"","parse-names":false,"suffix":""},{"dropping-particle":"","family":"Chen","given":"Qiang","non-dropping-particle":"","parse-names":false,"suffix":""},{"dropping-particle":"","family":"Tu","given":"Shihua","non-dropping-particle":"","parse-names":false,"suffix":""},{"dropping-particle":"","family":"Zhang","given":"Xiaoping","non-dropping-particle":"","parse-names":false,"suffix":""}],"container-title":"Frontiers in Microbiology","id":"ITEM-2","issue":"AUG","issued":{"date-parts":[["2017"]]},"page":"1-15","title":"Long-term fertilization structures bacterial and archaeal communities along soil depth gradient in a paddy soil","type":"article-journal","volume":"8"},"uris":["http://www.mendeley.com/documents/?uuid=4ca1b11b-9ae5-4ebf-ab44-a50d17eeb7c7"]},{"id":"ITEM-3","itemData":{"DOI":"10.1186/s13568-018-0549-8","ISBN":"1356801805498","ISSN":"21910855","abstract":"Bacteria play vital roles in soil biological fertility; however, it remains poorly understood about their response to long-term fertilization in Chinese Mollisols, especially when organic manure is substituted for inorganic nitrogen (N) fertilizer. To broaden our knowledge, high-throughput pyrosequencing and quantitative PCR were used to explore the impacts of inorganic fertilizer and manure on bacterial community composition in a 35-year field experiment of Chinese Mollisols. Soils were collected from four treatments: no fertilizer (CK), inorganic phosphorus (P) and potassium (K) fertilizer (PK), inorganic P, K, and N fertilizer (NPK), and inorganic P and K fertilizer plus manure (MPK). All fertilization differently changed soil properties. Compared with CK, the PK and NPK treatments acidified soil by significantly decreasing soil pH from 6.48 to 5.53 and 6.16, respectively, while MPK application showed no significant differences of soil pH, indicating alleviation of soil acidification. Moreover, all fertilization significantly increased soil organic matter (OM) and soybean yields, with the highest observed under MPK regime. In addition, the community composition at each taxonomic level varied considerably among the fertilization strategies. Bacterial taxa, associated with plant growth promotion, OM accumulation, disease suppression, and increased soil enzyme activity, were overrepresented in the MPK regime, while they were present at low abundant levels under NPK treatment, i.e. phyla Proteobacteria and Bacteroidetes, class Alphaproteobacteria, and genera Variovorax, Chthoniobacter, Massilia, Lysobacter, Catelliglobosispora and Steroidobacter. The application of MPK shifted soil bacterial community composition towards a better status, and such shifts were primarily derived from changes in soil pH and OM.","author":[{"dropping-particle":"","family":"Ma","given":"Mingchao","non-dropping-particle":"","parse-names":false,"suffix":""},{"dropping-particle":"","family":"Zhou","given":"Jing","non-dropping-particle":"","parse-names":false,"suffix":""},{"dropping-particle":"","family":"Ongena","given":"Marc","non-dropping-particle":"","parse-names":false,"suffix":""},{"dropping-particle":"","family":"Liu","given":"Wenzheng","non-dropping-particle":"","parse-names":false,"suffix":""},{"dropping-particle":"","family":"Wei","given":"Dan","non-dropping-particle":"","parse-names":false,"suffix":""},{"dropping-particle":"","family":"Zhao","given":"Baisuo","non-dropping-particle":"","parse-names":false,"suffix":""},{"dropping-particle":"","family":"Guan","given":"Dawei","non-dropping-particle":"","parse-names":false,"suffix":""},{"dropping-particle":"","family":"Jiang","given":"Xin","non-dropping-particle":"","parse-names":false,"suffix":""},{"dropping-particle":"","family":"Li","given":"Jun","non-dropping-particle":"","parse-names":false,"suffix":""}],"container-title":"AMB Express","id":"ITEM-3","issue":"1","issued":{"date-parts":[["2018"]]},"publisher":"Springer Berlin Heidelberg","title":"Effect of long-term fertilization strategies on bacterial community composition in a 35-year field experiment of Chinese Mollisols","type":"article-journal","volume":"8"},"uris":["http://www.mendeley.com/documents/?uuid=e9467ea6-f42d-46f0-a48e-8fdd5cb734ac"]},{"id":"ITEM-4","itemData":{"DOI":"10.3390/microorganisms10030540","ISSN":"20762607","abstract":"Microbial communities play important roles in soil health, contributing to processes such as the turnover of organic matter and nutrient cycling. As soil edaphic properties such as chemical composition and physical structure change from surface layers to deeper ones, the soil microbiome similarly exhibits substantial variability with depth, with respect to both community composition and functional profiles. However, soil microbiome studies often neglect deeper soils, instead foc</w:instrText>
      </w:r>
      <w:r w:rsidR="004179E3" w:rsidRPr="00622616">
        <w:rPr>
          <w:lang w:val="es-UY"/>
        </w:rPr>
        <w:instrText>using on the top layer of soil. Here, we provide a synthesis on how the soil and its resident microbiome change with depth. We touch upon soil physicochemical properties, microbial diversity, composition, and functional profiles, with a special emphasis on carbon cycling. In doing so, we seek to highlight the importance of incorporating analyses of deeper soils in soil studies.","author":[{"dropping-particle":"","family":"Naylor","given":"Dan","non-dropping-particle":"","parse-names":false,"suffix":""},{"dropping-particle":"","family":"McClure","given":"Ryan","non-dropping-particle":"","parse-names":false,"suffix":""},{"dropping-particle":"","family":"Jansson","given":"Janet","non-dropping-particle":"","parse-names":false,"suffix":""}],"container-title":"Microorganisms","id":"ITEM-4","issue":"3","issued":{"date-parts":[["2022"]]},"title":"Trends in microbial community composition and function by soil depth","type":"article-journal","volume":"10"},"uris":["http://www.mendeley.com/documents/?uuid=2776f5e9-9a51-4fbb-9a44-de096b113ea4"]}],"mendeley":{"formattedCitation":"(Fierer et al., 2003; Gu et al., 2017; Ma et al., 2018; Naylor et al., 2022)","plainTextFormattedCitation":"(Fierer et al., 2003; Gu et al., 2017; Ma et al., 2018; Naylor et al., 2022)","previouslyFormattedCitation":"(Fierer et al., 2003; Gu et al., 2017; Ma et al., 2018; Naylor et al., 2022)"},"properties":{"noteIndex":0},"schema":"https://github.com/citation-style-language/schema/raw/master/csl-citation.json"}</w:instrText>
      </w:r>
      <w:r w:rsidRPr="00203EB0">
        <w:rPr>
          <w:b/>
          <w:caps/>
        </w:rPr>
        <w:fldChar w:fldCharType="separate"/>
      </w:r>
      <w:r w:rsidRPr="00622616">
        <w:rPr>
          <w:noProof/>
          <w:lang w:val="es-UY"/>
        </w:rPr>
        <w:t>(Fierer et al., 2003; Gu et al., 2017; Ma et al., 2018; Naylor et al., 2022)</w:t>
      </w:r>
      <w:r w:rsidRPr="00203EB0">
        <w:rPr>
          <w:b/>
          <w:caps/>
        </w:rPr>
        <w:fldChar w:fldCharType="end"/>
      </w:r>
      <w:r w:rsidRPr="00622616">
        <w:rPr>
          <w:lang w:val="es-UY"/>
        </w:rPr>
        <w:t xml:space="preserve">. </w:t>
      </w:r>
      <w:r w:rsidR="00442EA4" w:rsidRPr="00AE7B1C">
        <w:t xml:space="preserve">Deeper horizons often harbor slower-growing oligotrophic taxa adapted to nutrient scarcity, whereas surface soils are enriched with </w:t>
      </w:r>
      <w:proofErr w:type="spellStart"/>
      <w:r w:rsidR="00442EA4" w:rsidRPr="00AE7B1C">
        <w:t>copiotrophic</w:t>
      </w:r>
      <w:proofErr w:type="spellEnd"/>
      <w:r w:rsidR="00442EA4" w:rsidRPr="00AE7B1C">
        <w:t xml:space="preserve"> groups that exploit labile carbon inputs from residues and roots</w:t>
      </w:r>
      <w:r w:rsidR="00442EA4">
        <w:t xml:space="preserve"> </w:t>
      </w:r>
      <w:r w:rsidR="00442EA4">
        <w:rPr>
          <w:b/>
          <w:caps/>
        </w:rPr>
        <w:fldChar w:fldCharType="begin" w:fldLock="1"/>
      </w:r>
      <w:r w:rsidR="00442EA4">
        <w:instrText>ADDIN CSL_CITATION {"citationItems":[{"id":"ITEM-1","itemData":{"DOI":"10.3390/microorganisms8111773","ISSN":"20762607","abstract":"Metagenomics in agricultural research allows for searching for bioindicators of soil health to characterize changes caused by management practices. Cover cropping (CC) improves soil health by mitigating nutrient losses, yet the benefits depend on the tillage system used. Field studies searching for indicator taxa within these systems are scarce and narrow in their scope. Our goal was to identify bioindicators of soil health from microbes that were responsive to CC (three levels) and tillage (chisel tillage, no-till) treatments after five years under field conditions. We used rRNA gene-based analysis via Illumina HiSeq2500 technology with QIIME 2.0 processing to characterize the microbial communities. Our results indicated that CC and tillage differentially changed the relative abundances (RAs) of the copiotrophic and oligotrophic guilds. Corn–soybean rotations with legume–grass CC increased the RA of copiotrophic decomposers more than rotations with grass CC, whereas rotations with only bare fallows favored stress-tolerant oligotrophs, including nitrifiers and denitrifiers. Unlike bacteria, fewer indicator fungi and archaea were detected; fungi were poorly identified, and their responses were inconsistent, while the archaea RA increased under bare fallow treatments. This is primary information that allows for understanding the potential for managing the soil community compositions using cover crops to reduce nutrient losses to the environment.","author":[{"dropping-particle":"","family":"Kim","given":"Nakian","non-dropping-particle":"","parse-names":false,"suffix":""},{"dropping-particle":"","family":"Zabaloy","given":"María C.","non-dropping-particle":"","parse-names":false,"suffix":""},{"dropping-particle":"","family":"Villamil","given":"María B.","non-dropping-particle":"","parse-names":false,"suffix":""},{"dropping-particle":"","family":"Riggins","given":"Chance W.","non-dropping-particle":"","parse-names":false,"suffix":""},{"dropping-particle":"","family":"Rodríguez-Zas","given":"Sandra","non-dropping-particle":"","parse-names":false,"suffix":""}],"container-title":"Microorganisms","id":"ITEM-1","issue":"11","issued":{"date-parts":[["2020"]]},"page":"1-21","title":"Microbial shifts following five years of cover cropping and tillage practices in fertile agroecosystems","type":"article-journal","volume":"8"},"uris":["http://www.mendeley.com/documents/?uuid=8f985088-418a-4850-bf14-eefb6599007c"]},{"id":"ITEM-2","itemData":{"DOI":"10.3390/microorganisms10030540","ISSN":"20762607","abstract":"Microbial communities play important roles in soil health, contributing to processes such as the turnover of organic matter and nutrient cycling. As soil edaphic properties such as chemical composition and physical structure change from surface layers to deeper ones, the soil microbiome similarly exhibits substantial variability with depth, with respect to both community composition and functional profiles. However, soil microbiome studies often neglect deeper soils, instead focusing on the top layer of soil. Here, we provide a synthesis on how the soil and its resident microbiome change with depth. We touch upon soil physicochemical properties, microbial diversity, composition, and functional profiles, with a special emphasis on carbon cycling. In doing so, we seek to highlight the importance of incorporating analyses of deeper soils in soil studies.","author":[{"dropping-particle":"","family":"Naylor","given":"Dan","non-dropping-particle":"","parse-names":false,"suffix":""},{"dropping-particle":"","family":"McClure","given":"Ryan","non-dropping-particle":"","parse-names":false,"suffix":""},{"dropping-particle":"","family":"Jansson","given":"Janet","non-dropping-particle":"","parse-names":false,"suffix":""}],"container-title":"Microorganisms","id":"ITEM-2","issue":"3","issued":{"date-parts":[["2022"]]},"title":"Trends in microbial community composition and function by soil depth","type":"article-journal","volume":"10"},"uris":["http://www.mendeley.com/documents/?uuid=2776f5e9-9a51-4fbb-9a44-de096b113ea4"]}],"mendeley":{"formattedCitation":"(Kim et al., 2020; Naylor et al., 2022)","plainTextFormattedCitation":"(Kim et al., 2020; Naylor et al., 2022)","previouslyFormattedCitation":"(Kim et al., 2020; Naylor et al., 2022)"},"properties":{"noteIndex":0},"schema":"https://github.com/citation-style-language/schema/raw/master/csl-citation.json"}</w:instrText>
      </w:r>
      <w:r w:rsidR="00442EA4">
        <w:rPr>
          <w:b/>
          <w:caps/>
        </w:rPr>
        <w:fldChar w:fldCharType="separate"/>
      </w:r>
      <w:r w:rsidR="00442EA4" w:rsidRPr="00D84E42">
        <w:rPr>
          <w:noProof/>
        </w:rPr>
        <w:t>(Kim et al., 2020; Naylor et al., 2022)</w:t>
      </w:r>
      <w:r w:rsidR="00442EA4">
        <w:rPr>
          <w:b/>
          <w:caps/>
        </w:rPr>
        <w:fldChar w:fldCharType="end"/>
      </w:r>
      <w:r w:rsidR="00442EA4" w:rsidRPr="00AE7B1C">
        <w:t xml:space="preserve">. </w:t>
      </w:r>
      <w:r w:rsidR="00442EA4">
        <w:t xml:space="preserve">These ecological contrast help explain why management effects were more pronounced in surface soils than in the subsoil. </w:t>
      </w:r>
      <w:r w:rsidR="00442EA4">
        <w:rPr>
          <w:b/>
          <w:caps/>
        </w:rPr>
        <w:fldChar w:fldCharType="begin" w:fldLock="1"/>
      </w:r>
      <w:r w:rsidR="00442EA4">
        <w:instrText>ADDIN CSL_CITATION {"citationItems":[{"id":"ITEM-1","itemData":{"DOI":"10.3389/fmicb.2019.02047","ISSN":"1664302X","abstract":"Soil biodiversity accomplishes key roles in agro-ecosystem services consisting in preserving and enhancing soil fertility and nutrient cycling, crop productivity and environmental protection. Thus, the improvement of knowledge on the effect of conservation practices, related to tillage and N fertilization, on soil microbial communities is critical to better understand the role and function of microorganisms in regulating agro-ecosystems. In the Mediterranean area, vulnerable to climate change and suffering for management-induced losses of soil fertility, the impact of conservation practices on soil microbial communities is of special interest for building mitigation and adaptation strategies to climate change. A long-term experiment, originally designed to investigate the effect of tillage and N fertilization on crop yield and soil organic carbon, was utilized to understand the effect of these management practices on soil prokaryotic and fungal community diversity. The majority of prokaryotic and fungal taxa were common to all treatments at both soil depths, whereas few bacterial taxa (Cloacimonates, Spirochaetia and Berkelbacteria) and a larger number of fungal taxa (i.e., Coniphoraceae, Debaryomycetaceae, Geastraceae, Cordicypitaceae and Steccherinaceae) were unique to specific management practices. Soil prokaryotic and fungal structure was heavily influenced by the interaction of tillage and N fertilization: the prokaryotic community structure of the fertilized conventional tillage system was remarkably different respect to the unfertilized conservation and conventional systems in the surface layer. In addition, the effect of N fertilization in shaping the fungal community structure of the surface layer was higher under conservation tillage systems than under conventional tillage systems. Soil microbial community was shaped by soil depth irrespective of the effect of plowing and N addition. Finally, chemical and enzymatic parameters of soil and crop yields were significantly related to fungal community structure along the soil profile. The findings of this study gave new insights on the identification of management practices supporting and suppressing beneficial and detrimental taxa, respectively. This highlights the importance of managing soil microbial diversity through agro-ecological intensified systems in the Mediterranean area.","author":[{"dropping-particle":"","family":"Piazza","given":"Gaia","non-dropping-particle":"","parse-names":false,"suffix":""},{"dropping-particle":"","family":"Ercoli","given":"Laura","non-dropping-particle":"","parse-names":false,"suffix":""},{"dropping-particle":"","family":"Nuti","given":"Marco","non-dropping-particle":"","parse-names":false,"suffix":""},{"dropping-particle":"","family":"Pellegrino","given":"Elisa","non-dropping-particle":"","parse-names":false,"suffix":""}],"container-title":"Frontiers in Microbiology","id":"ITEM-1","issue":"September","issued":{"date-parts":[["2019"]]},"page":"1-20","title":"Interaction between conservation tillage and nitrogen fertilization shapes Prokaryotic and fungal diversity at different soil depths: Evidence from a 23-year field experiment in the Mediterranean area","type":"article-journal","volume":"10"},"uris":["http://www.mendeley.com/documents/?uuid=c3a89bc4-ee3d-4eb5-b70c-57391de49944"]}],"mendeley":{"formattedCitation":"(Piazza et al., 2019)","manualFormatting":"Piazza et al., (2019)","plainTextFormattedCitation":"(Piazza et al., 2019)","previouslyFormattedCitation":"(Piazza et al., 2019)"},"properties":{"noteIndex":0},"schema":"https://github.com/citation-style-language/schema/raw/master/csl-citation.json"}</w:instrText>
      </w:r>
      <w:r w:rsidR="00442EA4">
        <w:rPr>
          <w:b/>
          <w:caps/>
        </w:rPr>
        <w:fldChar w:fldCharType="separate"/>
      </w:r>
      <w:r w:rsidR="00442EA4" w:rsidRPr="00D84E42">
        <w:rPr>
          <w:noProof/>
        </w:rPr>
        <w:t xml:space="preserve">Piazza et al., </w:t>
      </w:r>
      <w:r w:rsidR="00442EA4">
        <w:rPr>
          <w:noProof/>
        </w:rPr>
        <w:t>(</w:t>
      </w:r>
      <w:r w:rsidR="00442EA4" w:rsidRPr="00D84E42">
        <w:rPr>
          <w:noProof/>
        </w:rPr>
        <w:t>2019)</w:t>
      </w:r>
      <w:r w:rsidR="00442EA4">
        <w:rPr>
          <w:b/>
          <w:caps/>
        </w:rPr>
        <w:fldChar w:fldCharType="end"/>
      </w:r>
      <w:r w:rsidR="00442EA4">
        <w:t xml:space="preserve"> further showed that the interaction between tillage and N fertilization shifted soil prokaryotic and fungal communities toward a higher presence of functional taxa linked to nutrient cycling, which is consistent with our observation that a greater number of microbial taxa were associated with N</w:t>
      </w:r>
      <w:r w:rsidR="00442EA4" w:rsidRPr="00D84E42">
        <w:rPr>
          <w:vertAlign w:val="subscript"/>
        </w:rPr>
        <w:t>2</w:t>
      </w:r>
      <w:r w:rsidR="00442EA4">
        <w:t>O emissions in the surface layer compared to the subsoil.</w:t>
      </w:r>
    </w:p>
    <w:p w14:paraId="59A9ACDB" w14:textId="07C2B291" w:rsidR="00775E98" w:rsidRPr="00203EB0" w:rsidRDefault="00775E98" w:rsidP="00D56363">
      <w:pPr>
        <w:spacing w:line="480" w:lineRule="auto"/>
      </w:pPr>
      <w:r w:rsidRPr="00203EB0">
        <w:t>Our findings accordingly indicate that microbial taxa linked to N</w:t>
      </w:r>
      <w:r w:rsidRPr="00203EB0">
        <w:rPr>
          <w:vertAlign w:val="subscript"/>
        </w:rPr>
        <w:t>2</w:t>
      </w:r>
      <w:r w:rsidRPr="00203EB0">
        <w:t>O emissions vary by depth, with more distinct taxa identified in the surface layer (45 taxa) than in the subsoil (19 taxa), and limited overlap between them (7 taxa). This highlights the importance of considering soil depth when evaluating microbial contributions to N</w:t>
      </w:r>
      <w:r w:rsidRPr="00203EB0">
        <w:rPr>
          <w:vertAlign w:val="subscript"/>
        </w:rPr>
        <w:t>2</w:t>
      </w:r>
      <w:r w:rsidRPr="00203EB0">
        <w:t>O fluxes in response to management practices. It is important to note that N</w:t>
      </w:r>
      <w:r w:rsidRPr="00203EB0">
        <w:rPr>
          <w:vertAlign w:val="subscript"/>
        </w:rPr>
        <w:t>2</w:t>
      </w:r>
      <w:r w:rsidRPr="00203EB0">
        <w:t>O fluxes were measured at the soil surface, reflecting net emissions rather than total production in each soil layer. Some N</w:t>
      </w:r>
      <w:r w:rsidRPr="00203EB0">
        <w:rPr>
          <w:vertAlign w:val="subscript"/>
        </w:rPr>
        <w:t>2</w:t>
      </w:r>
      <w:r w:rsidRPr="00203EB0">
        <w:t xml:space="preserve">O produced in subsoil may have been reduced before reaching the surface, potentially </w:t>
      </w:r>
      <w:r w:rsidRPr="00203EB0">
        <w:lastRenderedPageBreak/>
        <w:t>underestimating subsoil microbial contributions. Nevertheless, the observed depth specific patterns provide valuable insights into the spatial distribution of microbial drivers of N</w:t>
      </w:r>
      <w:r w:rsidRPr="00203EB0">
        <w:rPr>
          <w:vertAlign w:val="subscript"/>
        </w:rPr>
        <w:t>2</w:t>
      </w:r>
      <w:r w:rsidRPr="00203EB0">
        <w:t>O emissions.</w:t>
      </w:r>
    </w:p>
    <w:p w14:paraId="13F5FD54" w14:textId="15EC0FA7" w:rsidR="008D0B4C" w:rsidRPr="00203EB0" w:rsidRDefault="008D0B4C" w:rsidP="008D0B4C">
      <w:pPr>
        <w:pStyle w:val="Heading3"/>
        <w:spacing w:line="480" w:lineRule="auto"/>
      </w:pPr>
      <w:bookmarkStart w:id="108" w:name="_Toc206669154"/>
      <w:r w:rsidRPr="00203EB0">
        <w:t>Soil biochemical drivers of microbial community structure and N</w:t>
      </w:r>
      <w:r w:rsidRPr="00203EB0">
        <w:rPr>
          <w:vertAlign w:val="subscript"/>
        </w:rPr>
        <w:t>2</w:t>
      </w:r>
      <w:r w:rsidRPr="00203EB0">
        <w:t>O-associated taxa</w:t>
      </w:r>
      <w:bookmarkEnd w:id="108"/>
    </w:p>
    <w:p w14:paraId="010A875E" w14:textId="23FF2A43" w:rsidR="008D0B4C" w:rsidRPr="00203EB0" w:rsidRDefault="008D0B4C" w:rsidP="00D56363">
      <w:pPr>
        <w:spacing w:line="480" w:lineRule="auto"/>
        <w:rPr>
          <w:b/>
          <w:caps/>
        </w:rPr>
      </w:pPr>
      <w:r w:rsidRPr="00203EB0">
        <w:t xml:space="preserve">Long-term N fertilizer application directly influences soil microbial biomass and community composition by increasing nutrient availability and indirectly by changing soil pH </w:t>
      </w:r>
      <w:r w:rsidRPr="00203EB0">
        <w:rPr>
          <w:b/>
          <w:caps/>
        </w:rPr>
        <w:fldChar w:fldCharType="begin" w:fldLock="1"/>
      </w:r>
      <w:r w:rsidRPr="00203EB0">
        <w:instrText>ADDIN CSL_CITATION {"citationItems":[{"id":"ITEM-1","itemData":{"DOI":"10.1016/j.soilbio.2015.09.018","ISSN":"00380717","abstract":"Nitrogen (N) deposition influences both above- and below-ground communities and influences ecosystem functioning. However it is not clear about direct or indirect interactions among plants, soils and microbes in response to nitrogen deposition. In this study, the responses of soil bacterial diversity to N enrichment were investigated at surface (0-10 cm) and sub-surface (10-20 cm) soils in a temperate steppe ecosystem. N addition (&gt;120 kg N ha-1 yr-1) resulted in a significant shift in bacterial community composition and a decrease in bacterial OTU richness in surface soil, but the effect on the sub-surface layer was far less pronounced, even at the highest addition rate (240 kg N ha-1 yr-1). Bacterial OTU richness was significantly correlated with soil and plant characteristics. Hierarchical structural equation modeling showed that soil ammonium availability was responsible for the shift in bacterial richness, whereas the change in bacterial community composition was due to alterations in soil pH and plant composition. These results indicated that N fertilization directly affected soil bacterial richness but indirectly affected bacterial communities through soil acidification and plant community change, indicating distinct controls on soil bacterial diversity and community composition. Our results also suggest that N availability could be a good predictor for the loss of soil bacterial diversity under atmospheric nitrogen deposition.","author":[{"dropping-particle":"","family":"Zeng","given":"Jun","non-dropping-particle":"","parse-names":false,"suffix":""},{"dropping-particle":"","family":"Liu","given":"Xuejun","non-dropping-particle":"","parse-names":false,"suffix":""},{"dropping-particle":"","family":"Song","given":"Ling","non-dropping-particle":"","parse-names":false,"suffix":""},{"dropping-particle":"","family":"Lin","given":"Xiangui","non-dropping-particle":"","parse-names":false,"suffix":""},{"dropping-particle":"","family":"Zhang","given":"Huayong","non-dropping-particle":"","parse-names":false,"suffix":""},{"dropping-particle":"","family":"Shen","given":"Congcong","non-dropping-particle":"","parse-names":false,"suffix":""},{"dropping-particle":"","family":"Chu","given":"Haiyan","non-dropping-particle":"","parse-names":false,"suffix":""}],"container-title":"Soil Biology and Biochemistry","id":"ITEM-1","issued":{"date-parts":[["2016"]]},"page":"41-49","publisher":"Elsevier Ltd","title":"Nitrogen fertilization directly affects soil bacterial diversity and indirectly affects bacterial community composition","type":"article-journal","volume":"92"},"uris":["http://www.mendeley.com/documents/?uuid=c85ec77f-16ff-4aa5-bffd-c744310a9902"]},{"id":"ITEM-2","itemData":{"DOI":"10.3389/fmicb.2017.01325","ISSN":"1664302X","abstract":"Application of chemical fertilizer or manure can affect soil microorganisms directly by supplying nutrients and indirectly by altering soil pH. However, it remains uncertain which effect mostly shapes microbial community structure. We determined soil bacterial diversity and community structure by 454 pyrosequencing the V1-V3 regions of 16S rRNA genes after 7-years (2007-2014) of applying chemical nitrogen, phosphorus and potassium (NPK) fertilizers, composted manure or their combination to acidic (pH 5.8), near-neutral (pH 6.8) or alkaline (pH 8.4) Eutric Regosol soil in a maize-vegetable rotation in southwest China. In alkaline soil, nutrient sources did not affect bacterial Operational Taxonomic Unit (OTU) richness or Shannon diversity index, despite higher available N, P, K, and soil organic carbon in fertilized than in unfertilized soil. In contrast, bacterial OTU richness and Shannon diversity index were significantly lower in acidic and near-neutral soils under NPK than under manure or their combination, which corresponded with changes in soil pH. Permutational multivariate analysis of variance showed that bacterial community structure was significantly affected across these three soils, but the PCoA ordination patterns indicated the effect was less distinct among nutrient sources in alkaline than in acidic and near-neural soils. Distance-based redundancy analysis showed that bacterial community structures were significantly altered by soil pH in acidic and near-neutral soils, but not by any soil chemical properties in alkaline soil. The relative abundance (%) of most bacterial phyla was higher in near-neutral than in acidic or alkaline soils. The most dominant phyla were Proteobacteria (24.6%), Actinobacteria (19.7%), Chloroflexi (15.3%) and Acidobacteria (12.6%); the medium dominant phyla were Bacterioidetes (5.3%), Planctomycetes (4.8%), Gemmatimonadetes (4.5%), Firmicutes (3.4%), Cyanobacteria (2.1%), Nitrospirae (1.8%), and candidate division TM7 (1.0%); the least abundant phyla were Verrucomicrobia (0.7%), Armatimonadetes (0.6%), candidate division WS3 (0.4%) and Fibrobacteres (0.3%). In addition, Cyanobacteria and candidate division TM7 were more abundant in acidic soil, whereas Gemmatimonadetes, Nitrospirae and candidate division WS3 were more abundant in alkaline soil. We conclude that after 7-years of fertilization, soil bacterial diversity and community structure were shaped more by changes in soil pH rather than the direct effect of nu…","author":[{"dropping-particle":"","family":"Zhang","given":"Yuting","non-dropping-particle":"","parse-names":false,"suffix":""},{"dropping-particle":"","family":"Shen","given":"Hong","non-dropping-particle":"","parse-names":false,"suffix":""},{"dropping-particle":"","family":"He","given":"Xinhua","non-dropping-particle":"","parse-names":false,"suffix":""},{"dropping-particle":"","family":"Thomas","given":"Ben W.","non-dropping-particle":"","parse-names":false,"suffix":""},{"dropping-particle":"","family":"Lupwayi","given":"Newton Z.","non-dropping-particle":"","parse-names":false,"suffix":""},{"dropping-particle":"","family":"Hao","given":"Xiying","non-dropping-particle":"","parse-names":false,"suffix":""},{"dropping-particle":"","family":"Thomas","given":"Matthew C.","non-dropping-particle":"","parse-names":false,"suffix":""},{"dropping-particle":"","family":"Shi","given":"Xiaojun","non-dropping-particle":"","parse-names":false,"suffix":""}],"container-title":"Frontiers in Microbiology","id":"ITEM-2","issue":"JUL","issued":{"date-parts":[["2017"]]},"title":"Fertilization shapes bacterial community structure by alteration of soil pH","type":"article-journal","volume":"8"},"uris":["http://www.mendeley.com/documents/?uuid=f219658f-0371-467d-9f0d-5b4633c4cf25"]}],"mendeley":{"formattedCitation":"(Zeng et al., 2016; Zhang et al., 2017)","plainTextFormattedCitation":"(Zeng et al., 2016; Zhang et al., 2017)","previouslyFormattedCitation":"(Zeng et al., 2016; Zhang et al., 2017)"},"properties":{"noteIndex":0},"schema":"https://github.com/citation-style-language/schema/raw/master/csl-citation.json"}</w:instrText>
      </w:r>
      <w:r w:rsidRPr="00203EB0">
        <w:rPr>
          <w:b/>
          <w:caps/>
        </w:rPr>
        <w:fldChar w:fldCharType="separate"/>
      </w:r>
      <w:r w:rsidRPr="00203EB0">
        <w:rPr>
          <w:noProof/>
        </w:rPr>
        <w:t>(Zeng et al., 2016; Zhang et al., 2017)</w:t>
      </w:r>
      <w:r w:rsidRPr="00203EB0">
        <w:rPr>
          <w:b/>
          <w:caps/>
        </w:rPr>
        <w:fldChar w:fldCharType="end"/>
      </w:r>
      <w:r w:rsidRPr="00203EB0">
        <w:t>. In fertilized surface soils (0-10 cm), N</w:t>
      </w:r>
      <w:r w:rsidRPr="00203EB0">
        <w:rPr>
          <w:vertAlign w:val="subscript"/>
        </w:rPr>
        <w:t>2</w:t>
      </w:r>
      <w:r w:rsidRPr="00203EB0">
        <w:t>O fluxes were positively associated with shifts in microbial composition and aligned with patterns in NO</w:t>
      </w:r>
      <w:r w:rsidRPr="00203EB0">
        <w:rPr>
          <w:vertAlign w:val="subscript"/>
        </w:rPr>
        <w:t>3</w:t>
      </w:r>
      <w:r w:rsidRPr="00203EB0">
        <w:rPr>
          <w:vertAlign w:val="superscript"/>
        </w:rPr>
        <w:t>-</w:t>
      </w:r>
      <w:r w:rsidRPr="00203EB0">
        <w:t>, POXC, SOM, and total N (</w:t>
      </w:r>
      <w:r w:rsidRPr="00203EB0">
        <w:rPr>
          <w:b/>
        </w:rPr>
        <w:t>Figure 5.2A</w:t>
      </w:r>
      <w:r w:rsidRPr="00203EB0">
        <w:t xml:space="preserve">). </w:t>
      </w:r>
      <w:r w:rsidR="00B323AF" w:rsidRPr="000D0BDA">
        <w:t xml:space="preserve">Labile C pools captured by POXC represent readily available substrates that can fuel heterotrophic </w:t>
      </w:r>
      <w:proofErr w:type="spellStart"/>
      <w:r w:rsidR="00B323AF" w:rsidRPr="000D0BDA">
        <w:t>denitrifiers</w:t>
      </w:r>
      <w:proofErr w:type="spellEnd"/>
      <w:r w:rsidR="00B323AF" w:rsidRPr="000D0BDA">
        <w:t xml:space="preserve">, thereby enhancing N₂O production under conditions of sufficient N and reduced O₂ availability </w:t>
      </w:r>
      <w:r w:rsidR="00B323AF">
        <w:rPr>
          <w:b/>
          <w:caps/>
        </w:rPr>
        <w:fldChar w:fldCharType="begin" w:fldLock="1"/>
      </w:r>
      <w:r w:rsidR="008E51F8">
        <w:instrText>ADDIN CSL_CITATION {"citationItems":[{"id":"ITEM-1","itemData":{"DOI":"10.1002/9780891189831.ch9","ISBN":"9780891189831","abstract":"Soil C is the primary constituent of organic matter, and therefore soil organic C (SOC) has become the primary or even universal currency of soil health. This chapter focuses on permanganate-oxidizable C (POXC), which is recommended for rapid soil health assessment of biologically active C. Fractionating soil C pools significantly improved our understanding of how management influences soil C dynamics. Microbial biomass C reflects the size of the soil microbial pool and has served as an important indicator, advancing our understanding of the role microbial communities play in stabilizing soil organic C. Metabolism or decomposition of soil organic matter generally proceeds from the most to least thermodynamically stable form. Soil health indicators that are related to crop productivity are of great interest to farmers. There are several reports of positive relationships between POXC and crop productivity. The POXC procedure involves two steps: sample reaction and sample dilution.","author":[{"dropping-particle":"","family":"Culman","given":"Steve W.","non-dropping-particle":"","parse-names":false,"suffix":""},{"dropping-particle":"","family":"Hurisso","given":"Tunsisa T.","non-dropping-particle":"","parse-names":false,"suffix":""},{"dropping-particle":"","family":"Wade","given":"Jordon","non-dropping-particle":"","parse-names":false,"suffix":""}],"container-title":"Laboratory Methods for Soil Health Analysis","id":"ITEM-1","issue":"August","issued":{"date-parts":[["2021"]]},"page":"152-175","title":"Permanganate Oxidizable Carbon: An Indicator of Biologically Active Soil Carbon","type":"article-journal"},"uris":["http://www.mendeley.com/documents/?uuid=a0675f28-7fdb-4ba4-ba55-51e5ee5351d5"]},{"id":"ITEM-2","itemData":{"DOI":"10.1038/s41598-024-58942-7","ISBN":"0123456789","ISSN":"20452322","PMID":"38600170","abstract":"Cover cropping is a promising strategy to improve soil health, but it may also trigger greenhouse gas emissions, especially nitrous oxide (N2O). Beyond nitrogen (N) availability, cover crop residue decomposition may accelerate heterotrophic respiration to limit soil O2 availability, hence promote N2O emissions from denitrification under sub-optimal water-filled pore space (WFPS) conditions that are typically not conducive to large N2O production. We conducted a 21-day incubation experiment to examine the effects of contrasting cover crop residue (grass vs legume) decomposition on soil O2 and biogeochemical changes to influence N2O and CO2 emissions from 15N labeled fertilized soils under 50% and 80% WFPS levels. Irrespective of cover crop type, mixing cover crop residue with N fertilizer resulted in high cumulative N2O emissions under both WFPS conditions. In the absence of cover crop residues, the N fertilizer effect of N2O was only realized under 80% WFPS, whereas it was comparable to the control under 50% WFPS. The N2O peaks under 50% WFPS coincided with soil O2 depletion and concomitant high CO2 emissions when cover crop residues were mixed with N fertilizer. While N fertilizer largely contributed to the total N2O emissions from the cover crop treatments, soil organic matter and/or cover crop residue derived N2O had a greater contribution under 50% than 80% WFPS. Our results underscore the importance of N2O emissions from cover crop-based fertilized systems under relatively lower WFPS via a mechanism of respiration-induced anoxia and highlight potential risks of underestimating N2O emissions under sole reliance on WFPS.","author":[{"dropping-particle":"","family":"Lussich","given":"Facundo","non-dropping-particle":"","parse-names":false,"suffix":""},{"dropping-particle":"","family":"Dhaliwal","given":"Jashanjeet Kaur","non-dropping-particle":"","parse-names":false,"suffix":""},{"dropping-particle":"","family":"Faiia","given":"Anthony M.","non-dropping-particle":"","parse-names":false,"suffix":""},{"dropping-particle":"","family":"Jagadamma","given":"Sindhu","non-dropping-particle":"","parse-names":false,"suffix":""},{"dropping-particle":"","family":"Schaeffer","given":"Sean M.","non-dropping-particle":"","parse-names":false,"suffix":""},{"dropping-particle":"","family":"Saha","given":"Debasish","non-dropping-particle":"","parse-names":false,"suffix":""}],"container-title":"Scientific Reports","id":"ITEM-2","issue":"1","issued":{"date-parts":[["2024"]]},"page":"1-14","publisher":"Nature Publishing Group UK","title":"Cover crop residue decomposition triggered soil oxygen depletion and promoted nitrous oxide emissions","type":"article-journal","volume":"14"},"uris":["http://www.mendeley.com/documents/?uuid=fddb8963-c4ed-4aa6-b2ea-2415802874d0"]}],"mendeley":{"formattedCitation":"(Culman et al., 2021; Lussich et al., 2024a)","plainTextFormattedCitation":"(Culman et al., 2021; Lussich et al., 2024a)","previouslyFormattedCitation":"(Culman et al., 2021; Lussich et al., 2024a)"},"properties":{"noteIndex":0},"schema":"https://github.com/citation-style-language/schema/raw/master/csl-citation.json"}</w:instrText>
      </w:r>
      <w:r w:rsidR="00B323AF">
        <w:rPr>
          <w:b/>
          <w:caps/>
        </w:rPr>
        <w:fldChar w:fldCharType="separate"/>
      </w:r>
      <w:r w:rsidR="00DA3A53" w:rsidRPr="00DA3A53">
        <w:rPr>
          <w:noProof/>
        </w:rPr>
        <w:t>(Culman et al., 2021; Lussich et al., 2024a)</w:t>
      </w:r>
      <w:r w:rsidR="00B323AF">
        <w:rPr>
          <w:b/>
          <w:caps/>
        </w:rPr>
        <w:fldChar w:fldCharType="end"/>
      </w:r>
      <w:r w:rsidR="00B323AF" w:rsidRPr="000D0BDA">
        <w:t>. In contrast, SOM reflects more stable organic matter that shapes microbial community composition over longer timescales, while still contributing to substrate availability through gradual mineralization</w:t>
      </w:r>
      <w:r w:rsidR="00B323AF">
        <w:t xml:space="preserve"> </w:t>
      </w:r>
      <w:r w:rsidR="00B323AF">
        <w:rPr>
          <w:b/>
          <w:caps/>
        </w:rPr>
        <w:fldChar w:fldCharType="begin" w:fldLock="1"/>
      </w:r>
      <w:r w:rsidR="008E51F8">
        <w:instrText>ADDIN CSL_CITATION {"citationItems":[{"id":"ITEM-1","itemData":{"DOI":"10.1016/j.soilbio.2015.06.016","ISSN":"00380717","abstract":"Conservation agriculture practices, such as reduced tillage, cover crops and fertilization, are often associated with greater microbial biomass and activity that are linked to improvements in soil quality. This study characterized the impact of long term (31 years) tillage (till and no-till), cover crops (Hairy vetch- Vicia villosa and winter wheat- Triticum aestivum, and a no cover control), and N-rates (0, 34, 67 and 101 kg N ha&lt;sup&gt;-1&lt;/sup&gt;) on soil microbial community structure, activity and resultant soil quality calculated using the soil management assessment framework (SMAF) scoring index under continuous cotton (Gossypium hirsutum) production on a Lexington silt loam in West Tennessee.No-till treatments were characterized by a significantly greater (P &lt; 0.05) abundance of Gram positive bacteria, actinomycetes and mycorrhizae fungi fatty acid methyl ester (FAME) biomarkers compared to till. Saprophytic fungal FAME biomarkers were significantly less abundant (P &lt; 0.05) under no-till treatments resulting in a lower fungi to bacteria (F:B) ratio. Key enzymes associated with C, N &amp; P cycling (β-glucosidase, β-glucosaminidase, and phosphodiesterase) had significantly higher rates under no-till relative to till, corresponding to significantly greater (P &lt; 0.05) soil C and N, extractable nutrients (P, K and Ca) and yields. Mycorrhizae fungi biomarkers significantly decreased (P &lt; 0.05) with increasing N-rate and was significantly less (P &lt; 0.05) under the vetch cover crop compared to wheat and no cover. Treatments under vetch also had significantly higher β-glucosaminidase and basal microbial respiration rates compared to wheat and no cover.Consequently, the total organic carbon (TOC) and β-glucosidase SMAF quality scores were significantly greater under no-till compared to till and under the vetch compared to wheat and no cover treatments, resulting in a significantly greater overall soil quality index (SQI).Our results demonstrate that long-term no-till and use of cover crops under a low biomass monoculture crop production system like cotton results in significant shifts in the microbial community structure, activity, and conditions that favor C, N and P cycling compared to those under conventional tillage practices. These practices also led to increased yields and improved soil quality with no-till having 13% greater yields than till and treatments under vetch having 5% increase in soil quality compared to no cover and wheat.","author":[{"dropping-particle":"","family":"Mbuthia","given":"Lilian Wanjiru","non-dropping-particle":"","parse-names":false,"suffix":""},{"dropping-particle":"","family":"Acosta-Martínez","given":"Veronica","non-dropping-particle":"","parse-names":false,"suffix":""},{"dropping-particle":"","family":"DeBryun","given":"Jennifer","non-dropping-particle":"","parse-names":false,"suffix":""},{"dropping-particle":"","family":"Schaeffer","given":"Sean","non-dropping-particle":"","parse-names":false,"suffix":""},{"dropping-particle":"","family":"Tyler","given":"Donald","non-dropping-particle":"","parse-names":false,"suffix":""},{"dropping-particle":"","family":"Odoi","given":"Evah","non-dropping-particle":"","parse-names":false,"suffix":""},{"dropping-particle":"","family":"Mpheshea","given":"Molefi","non-dropping-particle":"","parse-names":false,"suffix":""},{"dropping-particle":"","family":"Walker","given":"Forbes","non-dropping-particle":"","parse-names":false,"suffix":""},{"dropping-particle":"","family":"Eash","given":"Neal","non-dropping-particle":"","parse-names":false,"suffix":""}],"container-title":"Soil Biology and Biochemistry","id":"ITEM-1","issued":{"date-parts":[["2015"]]},"page":"24-34","title":"Long term tillage, cover crop, and fertilization effects on microbial community structure, activity: Implications for soil quality","type":"article-journal","volume":"89"},"uris":["http://www.mendeley.com/documents/?uuid=b29c9246-5fdc-4078-b0c7-03f57ac7b274"]},{"id":"ITEM-2","itemData":{"DOI":"10.1038/nrmicro.2017.87","ISSN":"17401534","PMID":"28824177","abstract":"Soil microorganisms are clearly a key component of both natural and managed ecosystems. Despite the challenges of surviving in soil, a gram of soil can contain thousands of individual microbial taxa, including viruses and members of all three domains of life. Recent advances in marker gene, genomic and metagenomic analyses have greatly expanded our ability to characterize the soil microbiome and identify the factors that shape soil microbial communities across space and time. However, although most soil microorganisms remain undescribed, we can begin to categorize soil microorganisms on the basis of their ecological strategies. This is an approach that should prove fruitful for leveraging genomic information to predict the functional attributes of individual taxa. The field is now poised to identify how we can manipulate and manage the soil microbiome to increase soil fertility, improve crop production and improve our understanding of how terrestrial ecosystems will respond to environmental change.","author":[{"dropping-particle":"","family":"Fierer","given":"Noah","non-dropping-particle":"","parse-names":false,"suffix":""}],"container-title":"Nature Reviews Microbiology","id":"ITEM-2","issue":"10","issued":{"date-parts":[["2017"]]},"page":"579-590","publisher":"Nature Publishing Group","title":"Embracing the unknown: Disentangling the complexities of the soil microbiome","type":"article-journal","volume":"15"},"uris":["http://www.mendeley.com/documents/?uuid=f2a139b9-579b-42d4-9e89-8ac19995180c"]},{"id":"ITEM-3","itemData":{"DOI":"10.1007/s42832-024-0241-7","ISSN":"26622297","abstract":"Core taxa play an important role in regulating soil carbon metabolism. Ecological cluster with oligotrophic made key contributions to soil carbon metabolism. Microbial cluster characteristics link microorganisms to carbon metabolism. Characterizing the ecological roles of core soil microbial species in soil carbon metabolism is critically important for enhancing carbon sequestration in agricultural systems; however, no studies to date have determined the effects of core soil microbial taxa on carbon metabolism under various long-term fertilization practices. Here, we collected soil samples from field plots that had been subjected to different fertilization practices for nearly 30 years and examined the long-term effects of fertilization on the preferences of core soil bacterial taxa for different carbon sources. We also examined the relative contribution of core soil bacterial taxa in utilization of different carbon source types in Biolog Eco microplates. Long-term fertilization treatment had a significant effect on soil properties and bacterial community structure. The core taxa were closely related to soil carbon source utilization. The co-occurrence network showed that the major ecological clusters containing core taxa made key contributions to soil carbon source utilization. The organic fertilization increased the abundance of a core cluster with a low weighted average rrn copy number. This ecological cluster was the most important factor affecting soil carbon source utilization even among soil physicochemical factors considered. Our findings indicate that core taxa characterized by oligotrophic bacteria have a major effect on carbon source utilization in Ultisols.","author":[{"dropping-particle":"","family":"Mao","given":"Haoran","non-dropping-particle":"","parse-names":false,"suffix":""},{"dropping-particle":"","family":"Li","given":"Guilong","non-dropping-particle":"","parse-names":false,"suffix":""},{"dropping-particle":"","family":"Leng","given":"Ke","non-dropping-particle":"","parse-names":false,"suffix":""},{"dropping-particle":"","family":"Sun","given":"Luyuan","non-dropping-particle":"","parse-names":false,"suffix":""},{"dropping-particle":"","family":"Liu","given":"Kailou","non-dropping-particle":"","parse-names":false,"suffix":""},{"dropping-particle":"","family":"Lin","given":"Yongxin","non-dropping-particle":"","parse-names":false,"suffix":""},{"dropping-particle":"","family":"Liu","given":"Jia","non-dropping-particle":"","parse-names":false,"suffix":""},{"dropping-particle":"","family":"Xiang","given":"Xingjia","non-dropping-particle":"","parse-names":false,"suffix":""}],"container-title":"Soil Ecology Letters","id":"ITEM-3","issue":"4","issued":{"date-parts":[["2024"]]},"title":"Effects of core soil microbial taxa on soil carbon source utilization under different long-term fertilization treatments in Ultisol","type":"article-journal","volume":"6"},"uris":["http://www.mendeley.com/documents/?uuid=cac29f4c-7f62-4a79-9da2-0f5a67a05600"]}],"mendeley":{"formattedCitation":"(Mbuthia et al., 2015; Fierer, 2017; Mao et al., 2024)","plainTextFormattedCitation":"(Mbuthia et al., 2015; Fierer, 2017; Mao et al., 2024)","previouslyFormattedCitation":"(Mbuthia et al., 2015; Fierer, 2017; Mao et al., 2024)"},"properties":{"noteIndex":0},"schema":"https://github.com/citation-style-language/schema/raw/master/csl-citation.json"}</w:instrText>
      </w:r>
      <w:r w:rsidR="00B323AF">
        <w:rPr>
          <w:b/>
          <w:caps/>
        </w:rPr>
        <w:fldChar w:fldCharType="separate"/>
      </w:r>
      <w:r w:rsidR="00DA3A53" w:rsidRPr="00DA3A53">
        <w:rPr>
          <w:noProof/>
        </w:rPr>
        <w:t>(Mbuthia et al., 2015; Fierer, 2017; Mao et al., 2024)</w:t>
      </w:r>
      <w:r w:rsidR="00B323AF">
        <w:rPr>
          <w:b/>
          <w:caps/>
        </w:rPr>
        <w:fldChar w:fldCharType="end"/>
      </w:r>
      <w:r w:rsidR="00B323AF" w:rsidRPr="000D0BDA">
        <w:t xml:space="preserve">. Together, these C pools influence the balance between </w:t>
      </w:r>
      <w:proofErr w:type="spellStart"/>
      <w:r w:rsidR="00B323AF" w:rsidRPr="000D0BDA">
        <w:t>copiotrophic</w:t>
      </w:r>
      <w:proofErr w:type="spellEnd"/>
      <w:r w:rsidR="00B323AF" w:rsidRPr="000D0BDA">
        <w:t xml:space="preserve"> and oligotrophic taxa and modulate microbial functional potential under long-term fertilization</w:t>
      </w:r>
      <w:r w:rsidR="00B323AF">
        <w:t xml:space="preserve"> </w:t>
      </w:r>
      <w:r w:rsidR="00B323AF">
        <w:rPr>
          <w:b/>
          <w:caps/>
        </w:rPr>
        <w:fldChar w:fldCharType="begin" w:fldLock="1"/>
      </w:r>
      <w:r w:rsidR="008E51F8">
        <w:instrText xml:space="preserve">ADDIN CSL_CITATION {"citationItems":[{"id":"ITEM-1","itemData":{"DOI":"10.3390/microorganisms8111773","ISSN":"20762607","abstract":"Metagenomics in agricultural research allows for searching for bioindicators of soil health to characterize changes caused by management practices. Cover cropping (CC) improves soil health by mitigating nutrient losses, yet the benefits depend on the tillage system used. Field studies searching for indicator taxa within these systems are scarce and narrow in their scope. Our goal was to identify bioindicators of soil health from microbes that were responsive to CC (three levels) and tillage (chisel tillage, no-till) treatments after five years under field conditions. We used rRNA gene-based analysis via Illumina HiSeq2500 technology with QIIME 2.0 processing to characterize the microbial communities. Our results indicated that CC and tillage differentially changed the relative abundances (RAs) of the copiotrophic and oligotrophic guilds. Corn–soybean rotations with legume–grass CC increased the RA of copiotrophic decomposers more than rotations with grass CC, whereas rotations with only bare fallows favored stress-tolerant oligotrophs, including nitrifiers and denitrifiers. Unlike bacteria, fewer indicator fungi and archaea were detected; fungi were poorly identified, and their responses were inconsistent, while the archaea RA increased under bare fallow treatments. This is primary information that allows for understanding the potential for managing the soil community compositions using cover crops to reduce nutrient losses to the environment.","author":[{"dropping-particle":"","family":"Kim","given":"Nakian","non-dropping-particle":"","parse-names":false,"suffix":""},{"dropping-particle":"","family":"Zabaloy","given":"María C.","non-dropping-particle":"","parse-names":false,"suffix":""},{"dropping-particle":"","family":"Villamil","given":"María B.","non-dropping-particle":"","parse-names":false,"suffix":""},{"dropping-particle":"","family":"Riggins","given":"Chance W.","non-dropping-particle":"","parse-names":false,"suffix":""},{"dropping-particle":"","family":"Rodríguez-Zas","given":"Sandra","non-dropping-particle":"","parse-names":false,"suffix":""}],"container-title":"Microorganisms","id":"ITEM-1","issue":"11","issued":{"date-parts":[["2020"]]},"page":"1-21","title":"Microbial shifts following five years of cover cropping and tillage practices in fertile agroecosystems","type":"article-journal","volume":"8"},"uris":["http://www.mendeley.com/documents/?uuid=8f985088-418a-4850-bf14-eefb6599007c"]},{"id":"ITEM-2","itemData":{"DOI":"10.3389/fmicb.2022.847005","ISSN":"1664302X","abstract":"Agricultural practices alter the structure and functions of soil microbial community. However, few studies have documented the alterations of bacterial communities in soils under long-term conservation management practices for continuous crop production. In this study, we evaluated soil bacterial diversity using 16S rRNA gene sequencing and soil physical and chemical properties within 12 combinations of inorganic N fertilization, cover cropping, and tillage throughout a cotton production cycle. Soil was collected from field plots of the West Tennessee Agriculture Research and Education Center in Jackson, TN, United States. The site has been under continuous cotton production for 38 years. A total of 38,038 OTUs were detected across 171 soil samples. The dominant bacterial phyla were Proteobacteria, Acidobacteria, Actinobacteria, Verrucomicrobia, and Chloroflexi, accounting for </w:instrText>
      </w:r>
      <w:r w:rsidR="008E51F8">
        <w:rPr>
          <w:rFonts w:ascii="Cambria Math" w:hAnsi="Cambria Math" w:cs="Cambria Math"/>
        </w:rPr>
        <w:instrText>∼</w:instrText>
      </w:r>
      <w:r w:rsidR="008E51F8">
        <w:instrText>70% of the total bacterial community membership. Conventional tillage increased alpha diversity in soil samples collected in different stages of cotton production. The effects of inorganic N fertilization and conventional tillage on the structure of bacterial communities were significant at all four sampling dates (p &lt; 0.01). However, cover cropping (p &lt; 0.05) and soil moisture content (p &lt; 0.05) only showed significant influence on the bacterial community structure after burn-down of the cover crops and before planting of cotton (May). Nitrate-N appeared to have a significant effect on the structure of bacterial communities after inorganic fertilization and at the peak of cotton growth (p &lt; 0.01). Structural equation modeling revealed that the relative abundances of denitrifying and nitrifying bacteria were higher when conventional tillage and vetch cover crop practices were applied, respectively. Our results indicate that long-term tillage and fertilization are key factors increasing the diversity and restructuring the composition of bacterial communities, whereas cover cropping may have shorter-term effects on soil bacteria community structure. In this study, management practices might positively influence relative abundances of bacterial functional groups associated with N cycling. The bacteria functional groups may build a network for providing N and meet microbial N needs in the long term.","author":[{"dropping-particle":"","family":"Duan","given":"Ning","non-dropping-particle":"","parse-names":false,"suffix":""},{"dropping-particle":"","family":"Li","given":"Lidong","non-dropping-particle":"","parse-names":false,"suffix":""},{"dropping-particle":"","family":"Liang","given":"Xiaolong","non-dropping-particle":"","parse-names":false,"suffix":""},{"dropping-particle":"","family":"Fine","given":"Aubrey","non-dropping-particle":"","parse-names":false,"suffix":""},{"dropping-particle":"","family":"Zhuang","given":"Jie","non-dropping-particle":"","parse-names":false,"suffix":""},{"dropping-particle":"","family":"Radosevich","given":"Mark","non-dropping-particle":"","parse-names":false,"suffix":""},{"dropping-particle":"","family":"Schaeffer","given":"Sean M.","non-dropping-particle":"","parse-names":false,"suffix":""}],"container-title":"Frontiers in Microbiology","id":"ITEM-2","issue":"April","issued":{"date-parts":[["2022"]]},"page":"1-14","title":"Variation in bacterial community structure under long-term fertilization, tillage, and cover cropping in continuous cotton production","type":"article-journal","volume":"13"},"uris":["http://www.mendeley.com/documents/?uuid=006864a5-e734-4513-9e34-9e9e655059f0"]}],"mendeley":{"formattedCitation":"(Kim et al., 2020; Duan et al., 2022)","plainTextFormattedCitation":"(Kim et al., 2020; Duan et al., 2022)","previouslyFormattedCitation":"(Kim et al., 2020; Duan et al., 2022)"},"properties":{"noteIndex":0},"schema":"https://github.com/citation-style-language/schema/raw/master/csl-citation.json"}</w:instrText>
      </w:r>
      <w:r w:rsidR="00B323AF">
        <w:rPr>
          <w:b/>
          <w:caps/>
        </w:rPr>
        <w:fldChar w:fldCharType="separate"/>
      </w:r>
      <w:r w:rsidR="00DA3A53" w:rsidRPr="00DA3A53">
        <w:rPr>
          <w:noProof/>
        </w:rPr>
        <w:t>(Kim et al., 2020; Duan et al., 2022)</w:t>
      </w:r>
      <w:r w:rsidR="00B323AF">
        <w:rPr>
          <w:b/>
          <w:caps/>
        </w:rPr>
        <w:fldChar w:fldCharType="end"/>
      </w:r>
      <w:r w:rsidR="00B323AF" w:rsidRPr="000D0BDA">
        <w:t>.</w:t>
      </w:r>
      <w:r w:rsidR="00B323AF">
        <w:t xml:space="preserve"> </w:t>
      </w:r>
      <w:r w:rsidRPr="00203EB0">
        <w:t>In contrast, soil pH consistently emerged as a key environmental factor shaping community structure across depths and showed negative association with both N</w:t>
      </w:r>
      <w:r w:rsidRPr="00203EB0">
        <w:rPr>
          <w:vertAlign w:val="subscript"/>
        </w:rPr>
        <w:t>2</w:t>
      </w:r>
      <w:r w:rsidRPr="00203EB0">
        <w:t>O emissions and microbial community structure in these plots (</w:t>
      </w:r>
      <w:r w:rsidRPr="00203EB0">
        <w:rPr>
          <w:b/>
          <w:bCs/>
        </w:rPr>
        <w:t xml:space="preserve">Figure </w:t>
      </w:r>
      <w:r w:rsidR="00842756" w:rsidRPr="00203EB0">
        <w:rPr>
          <w:b/>
          <w:bCs/>
        </w:rPr>
        <w:t>5.</w:t>
      </w:r>
      <w:r w:rsidRPr="00203EB0">
        <w:rPr>
          <w:b/>
          <w:bCs/>
        </w:rPr>
        <w:t>2</w:t>
      </w:r>
      <w:r w:rsidRPr="00203EB0">
        <w:t xml:space="preserve">). At our experimental site, higher N application rates were associated with lower soil pH than the unfertilized plots </w:t>
      </w:r>
      <w:r w:rsidRPr="00203EB0">
        <w:rPr>
          <w:b/>
          <w:caps/>
        </w:rPr>
        <w:fldChar w:fldCharType="begin" w:fldLock="1"/>
      </w:r>
      <w:r w:rsidRPr="00203EB0">
        <w:instrText>ADDIN CSL_CITATION {"citationItems":[{"id":"ITEM-1","itemData":{"DOI":"10.1016/j.soilbio.2015.06.016","ISSN":"00380717","abstract":"Conservation agriculture practices, such as reduced tillage, cover crops and fertilization, are often associated with greater microbial biomass and activity that are linked to improvements in soil quality. This study characterized the impact of long term (31 years) tillage (till and no-till), cover crops (Hairy vetch- Vicia villosa and winter wheat- Triticum aestivum, and a no cover control), and N-rates (0, 34, 67 and 101 kg N ha&lt;sup&gt;-1&lt;/sup&gt;) on soil microbial community structure, activity and resultant soil quality calculated using the soil management assessment framework (SMAF) scoring index under continuous cotton (Gossypium hirsutum) production on a Lexington silt loam in West Tennessee.No-till treatments were characterized by a significantly greater (P &lt; 0.05) abundance of Gram positive bacteria, actinomycetes and mycorrhizae fungi fatty acid methyl ester (FAME) biomarkers compared to till. Saprophytic fungal FAME biomarkers were significantly less abundant (P &lt; 0.05) under no-till treatments resulting in a lower fungi to bacteria (F:B) ratio. Key enzymes associated with C, N &amp; P cycling (β-glucosidase, β-glucosaminidase, and phosphodiesterase) had significantly higher rates under no-till relative to till, corresponding to significantly greater (P &lt; 0.05) soil C and N, extractable nutrients (P, K and Ca) and yields. Mycorrhizae fungi biomarkers significantly decreased (P &lt; 0.05) with increasing N-rate and was significantly less (P &lt; 0.05) under the vetch cover crop compared to wheat and no cover. Treatments under vetch also had significantly higher β-glucosaminidase and basal microbial respiration rates compared to wheat and no cover.Consequently, the total organic carbon (TOC) and β-glucosidase SMAF quality scores were significantly greater under no-till compared to till and under the vetch compared to wheat and no cover treatments, resulting in a significantly greater overall soil quality index (SQI).Our results demonstrate that long-term no-till and use of cover crops under a low biomass monoculture crop production system like cotton results in significant shifts in the microbial community structure, activity, and conditions that favor C, N and P cycling compared to those under conventional tillage practices. These practices also led to increased yields and improved soil quality with no-till having 13% greater yields than till and treatments under vetch having 5% increase in soil quality compared to no cover and wheat.","author":[{"dropping-particle":"","family":"Mbuthia","given":"Lilian Wanjiru","non-dropping-particle":"","parse-names":false,"suffix":""},{"dropping-particle":"","family":"Acosta-Martínez","given":"Veronica","non-dropping-particle":"","parse-names":false,"suffix":""},{"dropping-particle":"","family":"DeBryun","given":"Jennifer","non-dropping-particle":"","parse-names":false,"suffix":""},{"dropping-particle":"","family":"Schaeffer","given":"Sean","non-dropping-particle":"","parse-names":false,"suffix":""},{"dropping-particle":"","family":"Tyler","given":"Donald","non-dropping-particle":"","parse-names":false,"suffix":""},{"dropping-particle":"","family":"Odoi","given":"Evah","non-dropping-particle":"","parse-names":false,"suffix":""},{"dropping-particle":"","family":"Mpheshea","given":"Molefi","non-dropping-particle":"","parse-names":false,"suffix":""},{"dropping-particle":"","family":"Walker","given":"Forbes","non-dropping-particle":"","parse-names":false,"suffix":""},{"dropping-particle":"","family":"Eash","given":"Neal","non-dropping-particle":"","parse-names":false,"suffix":""}],"container-title":"Soil Biology and Biochemistry","id":"ITEM-1","issued":{"date-parts":[["2015"]]},"page":"24-34","title":"Long term tillage, cover crop, and fertilization effects on microbial community structure, activity: Implications for soil quality","type":"article-journal","volume":"89"},"uris":["http://www.mendeley.com/documents/?uuid=b29c9246-5fdc-4078-b0c7-03f57ac7b274"]}],"mendeley":{"formattedCitation":"(Mbuthia et al., 2015)","plainTextFormattedCitation":"(Mbuthia et al., 2015)","previouslyFormattedCitation":"(Mbuthia et al., 2015)"},"properties":{"noteIndex":0},"schema":"https://github.com/citation-style-language/schema/raw/master/csl-citation.json"}</w:instrText>
      </w:r>
      <w:r w:rsidRPr="00203EB0">
        <w:rPr>
          <w:b/>
          <w:caps/>
        </w:rPr>
        <w:fldChar w:fldCharType="separate"/>
      </w:r>
      <w:r w:rsidRPr="00203EB0">
        <w:rPr>
          <w:noProof/>
        </w:rPr>
        <w:t>(Mbuthia et al., 2015)</w:t>
      </w:r>
      <w:r w:rsidRPr="00203EB0">
        <w:rPr>
          <w:b/>
          <w:caps/>
        </w:rPr>
        <w:fldChar w:fldCharType="end"/>
      </w:r>
      <w:r w:rsidRPr="00203EB0">
        <w:t>. This is consistent with prior findings of a negative relationship between soil pH and N</w:t>
      </w:r>
      <w:r w:rsidRPr="00203EB0">
        <w:rPr>
          <w:vertAlign w:val="subscript"/>
        </w:rPr>
        <w:t>2</w:t>
      </w:r>
      <w:r w:rsidRPr="00203EB0">
        <w:t xml:space="preserve">O emissions </w:t>
      </w:r>
      <w:r w:rsidRPr="00203EB0">
        <w:rPr>
          <w:b/>
          <w:caps/>
        </w:rPr>
        <w:lastRenderedPageBreak/>
        <w:fldChar w:fldCharType="begin" w:fldLock="1"/>
      </w:r>
      <w:r w:rsidR="004179E3" w:rsidRPr="00203EB0">
        <w:instrText>ADDIN CSL_CITATION {"citationItems":[{"id":"ITEM-1","itemData":{"DOI":"10.1016/j.soilbio.2016.04.019","ISSN":"00380717","abstract":"Experiments with soils have provided ample evidence that soil pH controls the N2O/(N2O + N2) ratio of denitrification, which increases with decreasing pH, most probably because low pH interferes with the expression of N2O reductase in denitrifying bacteria. In contrast, the N2O/NO3- product ratio of nitrification appears to be unaffected by soil pH within the range relevant for agricultural soils (pH 5.5-7.0). We hypothesized that local pH variations in cultivated soil may control in situ N2O emissions during periods of active denitrification. To test this hypothesis, we identified three plots with slightly different soil pH (5.4-5.9) within an agricultural field under spring ploughed cereal cropping, and placed four frames within each plot for measuring N2O emissions throughout autumn and spring. Soil samples were taken from each frame after the experiment to characterize the kinetics of NO, N2O and N2 production by anoxic incubation. The data were used to calculate an N2O index, IN2O, which is an inverse measure of the capacity of the denitrifying community to effectively express N2O reductase under anoxia and hence a proxy for the soil's propensity to emit N2O under denitrifying conditions. N2O emissions were greatest during spring thaw, intermediate in autumn and low in late spring. Emissions during autumn and spring thaw were inversely related to soil pH, supporting the hypothesis that soil pH influences N2O emissions when denitrification is the main source of N2O. During these periods, emissions were positively correlated with IN2O, further substantiating the idea that soil pH affects denitrification product ratios in situ. Total organic carbon and nitrate content were negatively correlated with soil pH, thus co-varying with N2O emissions. However, the relationship of N2O emission to TOC and nitrate appeared weaker than to pH. Off-season emissions dominate N2O budgets in many regions. If the pH relationship holds at greater scales, careful soil pH management by precision liming could be a viable tool to reduce N2O emissions.","author":[{"dropping-particle":"","family":"Russenes","given":"Aina Lundon","non-dropping-particle":"","parse-names":false,"suffix":""},{"dropping-particle":"","family":"Korsaeth","given":"Audun","non-dropping-particle":"","parse-names":false,"suffix":""},{"dropping-particle":"","family":"Bakken","given":"Lars R.","non-dropping-particle":"","parse-names":false,"suffix":""},{"dropping-particle":"","family":"Dörsch","given":"Peter","non-dropping-particle":"","parse-names":false,"suffix":""}],"container-title":"Soil Biology and Biochemistry","id":"ITEM-1","issued":{"date-parts":[["2016"]]},"page":"36-46","publisher":"Elsevier Ltd","title":"Spatial variation in soil pH controls off-season N2O emission in an agricultural soil","type":"article-journal","volume":"99"},"uris":["http://www.mendeley.com/documents/?uuid=8dbf50ea-6d6b-4e61-ad5b-3d04b876fd9d"]},{"id":"ITEM-2","itemData":{"DOI":"10.1038/srep35990","ISSN":"20452322","PMID":"27782174","abstract":"Denitrification is mediated by microbial, and physicochemical, processes leading to nitrogen loss via N2O and N2 emissions. Soil pH regulates the reduction of N2O to N2, however, it can also affect microbial community composition and functional potential. Here we simultaneously test the link between pH, community composition, and the N2O emission ratio (N2O/(NO + N2O + N2)) in 13 temperate pasture soils. Physicochemical analysis, gas kinetics, 16S rRNA amplicon sequencing, metagenomic and quantitative PCR (of denitrifier genes: nirS, nirK, nosZI and nosZII) analysis were carried out to characterize each soil. We found strong evidence linking pH to both N2O emission ratio and community changes. Soil pH was negatively associated with N2O emission ratio, while being positively associated with both community diversity and total denitrification gene (nir &amp; nos) abundance. Abundance of nosZII was positively linked to pH, and negatively linked to N2O emissions. Our results confirm that pH imposes a general selective pressure on the entire community and that this results in changes in emission potential. Our data also support the general model that with increased microbial diversity efficiency increases, demonstrated in this study with lowered N2O emission ratio through more efficient conversion of N2O to N2.","author":[{"dropping-particle":"","family":"Samad","given":"M. D.Sainur","non-dropping-particle":"","parse-names":false,"suffix":""},{"dropping-particle":"","family":"Biswas","given":"Ambarish","non-dropping-particle":"","parse-names":false,"suffix":""},{"dropping-particle":"","family":"Bakken","given":"Lars R.","non-dropping-particle":"","parse-names":false,"suffix":""},{"dropping-particle":"","family":"Clough","given":"Timothy J.","non-dropping-particle":"","parse-names":false,"suffix":""},{"dropping-particle":"","family":"Klein","given":"Cecile A.M.","non-dropping-particle":"De","parse-names":false,"suffix":""},{"dropping-particle":"","family":"Richards","given":"Karl G.","non-dropping-particle":"","parse-names":false,"suffix":""},{"dropping-particle":"","family":"Lanigan","given":"Gary J.","non-dropping-particle":"","parse-names":false,"suffix":""},{"dropping-particle":"","family":"Morales","given":"Sergio E.","non-dropping-particle":"","parse-names":false,"suffix":""}],"container-title":"Scientific Reports","id":"ITEM-2","issued":{"date-parts":[["2016"]]},"page":"1-10","publisher":"Nature Publishing Group","title":"Phylogenetic and functional potential links pH and N2O emissions in pasture soils","type":"article-journal","volume":"6"},"uris":["http://www.mendeley.com/documents/?uuid=4ef713b1-003c-43d1-80bc-c99c4a19740d"]}],"mendeley":{"formattedCitation":"(Russenes et al., 2016; Samad et al., 2016)","plainTextFormattedCitation":"(Russenes et al., 2016; Samad et al., 2016)","previouslyFormattedCitation":"(Russenes et al., 2016; Samad et al., 2016)"},"properties":{"noteIndex":0},"schema":"https://github.com/citation-style-language/schema/raw/master/csl-citation.json"}</w:instrText>
      </w:r>
      <w:r w:rsidRPr="00203EB0">
        <w:rPr>
          <w:b/>
          <w:caps/>
        </w:rPr>
        <w:fldChar w:fldCharType="separate"/>
      </w:r>
      <w:r w:rsidRPr="00203EB0">
        <w:rPr>
          <w:noProof/>
        </w:rPr>
        <w:t>(Russenes et al., 2016; Samad et al., 2016)</w:t>
      </w:r>
      <w:r w:rsidRPr="00203EB0">
        <w:rPr>
          <w:b/>
          <w:caps/>
        </w:rPr>
        <w:fldChar w:fldCharType="end"/>
      </w:r>
      <w:r w:rsidRPr="00203EB0">
        <w:t>. A similar trend was observed in the subsoil (10-20 cm), where microbial communities were more dispersed and less structured by fertilization, yet the negative association between pH and microbial community composition was evident (</w:t>
      </w:r>
      <w:r w:rsidRPr="00203EB0">
        <w:rPr>
          <w:b/>
        </w:rPr>
        <w:t>Figure 5.2B</w:t>
      </w:r>
      <w:r w:rsidRPr="00203EB0">
        <w:t xml:space="preserve">). </w:t>
      </w:r>
    </w:p>
    <w:p w14:paraId="71585A22" w14:textId="77777777" w:rsidR="00DB0D92" w:rsidRDefault="008D0B4C" w:rsidP="00DB0D92">
      <w:pPr>
        <w:spacing w:line="480" w:lineRule="auto"/>
      </w:pPr>
      <w:r w:rsidRPr="00203EB0">
        <w:t>Building on the community level patterns, our results also showed that individual microbial taxa positively associated with N</w:t>
      </w:r>
      <w:r w:rsidRPr="00203EB0">
        <w:rPr>
          <w:vertAlign w:val="subscript"/>
        </w:rPr>
        <w:t>2</w:t>
      </w:r>
      <w:r w:rsidRPr="00203EB0">
        <w:t>O emissions were negatively influenced by soil pH, whereas they were positively associated with soil temperature and CO</w:t>
      </w:r>
      <w:r w:rsidRPr="00203EB0">
        <w:rPr>
          <w:vertAlign w:val="subscript"/>
        </w:rPr>
        <w:t>2</w:t>
      </w:r>
      <w:r w:rsidRPr="00203EB0">
        <w:t xml:space="preserve"> fluxes across both depths (</w:t>
      </w:r>
      <w:r w:rsidRPr="00203EB0">
        <w:rPr>
          <w:b/>
        </w:rPr>
        <w:t>Figure 5.4</w:t>
      </w:r>
      <w:r w:rsidRPr="00203EB0">
        <w:t>). These results indicate that both overall microbial community composition and N</w:t>
      </w:r>
      <w:r w:rsidRPr="00203EB0">
        <w:rPr>
          <w:vertAlign w:val="subscript"/>
        </w:rPr>
        <w:t>2</w:t>
      </w:r>
      <w:r w:rsidRPr="00203EB0">
        <w:t>O associated taxa were structured by pH, with acidic conditions favoring the specific taxa contributing to N</w:t>
      </w:r>
      <w:r w:rsidRPr="00203EB0">
        <w:rPr>
          <w:vertAlign w:val="subscript"/>
        </w:rPr>
        <w:t>2</w:t>
      </w:r>
      <w:r w:rsidRPr="00203EB0">
        <w:t>O emissions. Long-term N fertilization likely promotes N</w:t>
      </w:r>
      <w:r w:rsidRPr="00203EB0">
        <w:rPr>
          <w:vertAlign w:val="subscript"/>
        </w:rPr>
        <w:t>2</w:t>
      </w:r>
      <w:r w:rsidRPr="00203EB0">
        <w:t>O emissions by lowering soil pH, favoring acid-tolerant, N</w:t>
      </w:r>
      <w:r w:rsidRPr="00203EB0">
        <w:rPr>
          <w:vertAlign w:val="subscript"/>
        </w:rPr>
        <w:t>2</w:t>
      </w:r>
      <w:r w:rsidRPr="00203EB0">
        <w:t>O-producing bacterial and archaeal taxa. This pH effect likely operates through multiple, complementary mechanisms. First, lowering pH increases the N</w:t>
      </w:r>
      <w:r w:rsidRPr="00203EB0">
        <w:rPr>
          <w:vertAlign w:val="subscript"/>
        </w:rPr>
        <w:t>2</w:t>
      </w:r>
      <w:r w:rsidRPr="00203EB0">
        <w:t>O yield of denitrification (i.e., N</w:t>
      </w:r>
      <w:r w:rsidRPr="00203EB0">
        <w:rPr>
          <w:vertAlign w:val="subscript"/>
        </w:rPr>
        <w:t>2</w:t>
      </w:r>
      <w:r w:rsidRPr="00203EB0">
        <w:t>O/(N</w:t>
      </w:r>
      <w:r w:rsidRPr="00203EB0">
        <w:rPr>
          <w:vertAlign w:val="subscript"/>
        </w:rPr>
        <w:t>2</w:t>
      </w:r>
      <w:r w:rsidRPr="00203EB0">
        <w:t xml:space="preserve"> + N</w:t>
      </w:r>
      <w:r w:rsidRPr="00203EB0">
        <w:rPr>
          <w:vertAlign w:val="subscript"/>
        </w:rPr>
        <w:t>2</w:t>
      </w:r>
      <w:r w:rsidRPr="00203EB0">
        <w:t>O) leading to greater N</w:t>
      </w:r>
      <w:r w:rsidRPr="00203EB0">
        <w:rPr>
          <w:vertAlign w:val="subscript"/>
        </w:rPr>
        <w:t>2</w:t>
      </w:r>
      <w:r w:rsidRPr="00203EB0">
        <w:t xml:space="preserve">O accumulation </w:t>
      </w:r>
      <w:r w:rsidRPr="00203EB0">
        <w:rPr>
          <w:b/>
          <w:caps/>
        </w:rPr>
        <w:fldChar w:fldCharType="begin" w:fldLock="1"/>
      </w:r>
      <w:r w:rsidRPr="00203EB0">
        <w:instrText>ADDIN CSL_CITATION {"citationItems":[{"id":"ITEM-1","itemData":{"DOI":"10.1093/femsre/fuv021","ISSN":"15746976","PMID":"25934121","abstract":"The continuous increase of the greenhouse gas nitrous oxide (N2O) in the atmosphere due to increasing anthropogenic nitrogen input in agriculture has become a global concern. In recent years, identification of the microbial assemblages responsible for soil N2O production has substantially advanced with the development of molecular technologies and the discoveries of novel functional guilds and new types of metabolism. However, few practical tools are available to effectively reduce in situ soil N2O flux. Combating the negative impacts of increasing N2O fluxes poses considerable challenges and will be ineffective without successfully incorporating microbially regulated N2O processes into ecosystem modeling and mitigation strategies. Here, we synthesize the latest knowledge of (i) the key microbial pathways regulating N2O production and consumption processes in terrestrial ecosystems and the critical environmental factors influencing their occurrence, and (ii) the relative contributions of major biological pathways to soil N2O emissions by analyzing available natural isotopic signatures of N2O and by using stable isotope enrichment and inhibition techniques. We argue that it is urgently necessary to incorporate microbial traits into biogeochemical ecosystem modeling in order to increase the estimation reliability of N2O emissions. We further propose a molecular methodology oriented framework from gene to ecosystem scales for more robust prediction and mitigation of future N2O emissions.","author":[{"dropping-particle":"","family":"Hu","given":"Hang Wei","non-dropping-particle":"","parse-names":false,"suffix":""},{"dropping-particle":"","family":"Chen","given":"Deli","non-dropping-particle":"","parse-names":false,"suffix":""},{"dropping-particle":"","family":"He","given":"Ji Zheng","non-dropping-particle":"","parse-names":false,"suffix":""}],"container-title":"FEMS Microbiology Reviews","id":"ITEM-1","issue":"5","issued":{"date-parts":[["2015"]]},"page":"729-749","title":"Microbial regulation of terrestrial nitrous oxide formation: Understanding the biological pathways for prediction of emission rates","type":"article-journal","volume":"39"},"uris":["http://www.mendeley.com/documents/?uuid=61c74906-7a04-4a4c-9bb7-feefd890a955"]}],"mendeley":{"formattedCitation":"(Hu et al., 2015)","plainTextFormattedCitation":"(Hu et al., 2015)","previouslyFormattedCitation":"(Hu et al., 2015)"},"properties":{"noteIndex":0},"schema":"https://github.com/citation-style-language/schema/raw/master/csl-citation.json"}</w:instrText>
      </w:r>
      <w:r w:rsidRPr="00203EB0">
        <w:rPr>
          <w:b/>
          <w:caps/>
        </w:rPr>
        <w:fldChar w:fldCharType="separate"/>
      </w:r>
      <w:r w:rsidRPr="00203EB0">
        <w:rPr>
          <w:noProof/>
        </w:rPr>
        <w:t>(Hu et al., 2015)</w:t>
      </w:r>
      <w:r w:rsidRPr="00203EB0">
        <w:rPr>
          <w:b/>
          <w:caps/>
        </w:rPr>
        <w:fldChar w:fldCharType="end"/>
      </w:r>
      <w:r w:rsidRPr="00203EB0">
        <w:t>. Second, acidic conditions inhibit the activity and synthesis of nitrous oxide reductase (</w:t>
      </w:r>
      <w:r w:rsidRPr="00203EB0">
        <w:rPr>
          <w:i/>
        </w:rPr>
        <w:t>NosZ</w:t>
      </w:r>
      <w:r w:rsidRPr="00203EB0">
        <w:t>) – the enzyme responsible for reducing N</w:t>
      </w:r>
      <w:r w:rsidRPr="00203EB0">
        <w:rPr>
          <w:vertAlign w:val="subscript"/>
        </w:rPr>
        <w:t>2</w:t>
      </w:r>
      <w:r w:rsidRPr="00203EB0">
        <w:t>O to inert N</w:t>
      </w:r>
      <w:r w:rsidRPr="00203EB0">
        <w:rPr>
          <w:vertAlign w:val="subscript"/>
        </w:rPr>
        <w:t>2</w:t>
      </w:r>
      <w:r w:rsidRPr="00203EB0">
        <w:t xml:space="preserve"> – thereby limiting the final step of denitrification </w:t>
      </w:r>
      <w:r w:rsidRPr="00203EB0">
        <w:rPr>
          <w:b/>
          <w:caps/>
        </w:rPr>
        <w:fldChar w:fldCharType="begin" w:fldLock="1"/>
      </w:r>
      <w:r w:rsidRPr="00203EB0">
        <w:instrText>ADDIN CSL_CITATION {"citationItems":[{"id":"ITEM-1","itemData":{"DOI":"10.1098/rstb.2011.0321","ISSN":"14712970","abstract":"Denitrifying prokaryotes use NOx as terminal electron acceptors in response to oxygen depletion. The process emits a mixture of NO, N2O and N2, depending on the relative activity of the enzymes catalysing the stepwise reduction of NO3- to N2O and finally to N2. Cultured denitrifying prokaryotes show characteristic transient accumulation of NO2-, NO and N2O during transition from oxic to anoxic respiration, when tested under standardized conditions, but this character appears unrelated to phylogeny. Thus, although the denitrifying community of soils may differ in their propensity to emit N2O, it may be difficult to predict such characteristics by analysis of the community composition. A common feature of strains tested in our laboratory is that the relative amounts of N2O produced (N2O/(N2+N2O) product ratio) is correlated with acidity, apparently owing to interference with the assembly of the enzyme N2O reductase. The same phenomenon was demonstrated for soils and microbial communities extracted from soils. Liming could be a way to reduce N2O emissions, but needs verification by field experiments. More sophisticated ways to reduce emissions may emerge in the future as we learn more about the regulation of denitrification at the cellular level. © 2012 The Royal Society.","author":[{"dropping-particle":"","family":"Bakken","given":"Lars R.","non-dropping-particle":"","parse-names":false,"suffix":""},{"dropping-particle":"","family":"Bergaust","given":"Linda","non-dropping-particle":"","parse-names":false,"suffix":""},{"dropping-particle":"","family":"Liu","given":"Binbin","non-dropping-particle":"","parse-names":false,"suffix":""},{"dropping-particle":"","family":"Frostegård","given":"Åsa","non-dropping-particle":"","parse-names":false,"suffix":""}],"container-title":"Philosophical Transactions of the Royal Society B: Biological Sciences","id":"ITEM-1","issue":"1593","issued":{"date-parts":[["2012"]]},"page":"1226-1234","title":"Regulation of denitrification at the cellular level: A clue to the understanding of N2O emissions from soils","type":"article-journal","volume":"367"},"uris":["http://www.mendeley.com/documents/?uuid=6ce166ea-a524-4b98-8379-f8c34e78f01c"]}],"mendeley":{"formattedCitation":"(Bakken et al., 2012)","plainTextFormattedCitation":"(Bakken et al., 2012)","previouslyFormattedCitation":"(Bakken et al., 2012)"},"properties":{"noteIndex":0},"schema":"https://github.com/citation-style-language/schema/raw/master/csl-citation.json"}</w:instrText>
      </w:r>
      <w:r w:rsidRPr="00203EB0">
        <w:rPr>
          <w:b/>
          <w:caps/>
        </w:rPr>
        <w:fldChar w:fldCharType="separate"/>
      </w:r>
      <w:r w:rsidRPr="00203EB0">
        <w:rPr>
          <w:noProof/>
        </w:rPr>
        <w:t>(Bakken et al., 2012)</w:t>
      </w:r>
      <w:r w:rsidRPr="00203EB0">
        <w:rPr>
          <w:b/>
          <w:caps/>
        </w:rPr>
        <w:fldChar w:fldCharType="end"/>
      </w:r>
      <w:r w:rsidRPr="00203EB0">
        <w:t xml:space="preserve">. Finally, while </w:t>
      </w:r>
      <w:r w:rsidRPr="00203EB0">
        <w:rPr>
          <w:i/>
        </w:rPr>
        <w:t>NosZ</w:t>
      </w:r>
      <w:r w:rsidRPr="00203EB0">
        <w:t xml:space="preserve"> is inhibited, the upstream denitrification steps often remain active or are even enhanced by lower pH and greater N availability under fertilized soils, leading to increased N</w:t>
      </w:r>
      <w:r w:rsidRPr="00203EB0">
        <w:rPr>
          <w:vertAlign w:val="subscript"/>
        </w:rPr>
        <w:t>2</w:t>
      </w:r>
      <w:r w:rsidRPr="00203EB0">
        <w:t xml:space="preserve">O production </w:t>
      </w:r>
      <w:r w:rsidRPr="00203EB0">
        <w:rPr>
          <w:b/>
          <w:caps/>
        </w:rPr>
        <w:fldChar w:fldCharType="begin" w:fldLock="1"/>
      </w:r>
      <w:r w:rsidRPr="00203EB0">
        <w:instrText>ADDIN CSL_CITATION {"citationItems":[{"id":"ITEM-1","itemData":{"DOI":"10.1093/femsre/fuv021","ISSN":"15746976","PMID":"25934121","abstract":"The continuous increase of the greenhouse gas nitrous oxide (N2O) in the atmosphere due to increasing anthropogenic nitrogen input in agriculture has become a global concern. In recent years, identification of the microbial assemblages responsible for soil N2O production has substantially advanced with the development of molecular technologies and the discoveries of novel functional guilds and new types of metabolism. However, few practical tools are available to effectively reduce in situ soil N2O flux. Combating the negative impacts of increasing N2O fluxes poses considerable challenges and will be ineffective without successfully incorporating microbially regulated N2O processes into ecosystem modeling and mitigation strategies. Here, we synthesize the latest knowledge of (i) the key microbial pathways regulating N2O production and consumption processes in terrestrial ecosystems and the critical environmental factors influencing their occurrence, and (ii) the relative contributions of major biological pathways to soil N2O emissions by analyzing available natural isotopic signatures of N2O and by using stable isotope enrichment and inhibition techniques. We argue that it is urgently necessary to incorporate microbial traits into biogeochemical ecosystem modeling in order to increase the estimation reliability of N2O emissions. We further propose a molecular methodology oriented framework from gene to ecosystem scales for more robust prediction and mitigation of future N2O emissions.","author":[{"dropping-particle":"","family":"Hu","given":"Hang Wei","non-dropping-particle":"","parse-names":false,"suffix":""},{"dropping-particle":"","family":"Chen","given":"Deli","non-dropping-particle":"","parse-names":false,"suffix":""},{"dropping-particle":"","family":"He","given":"Ji Zheng","non-dropping-particle":"","parse-names":false,"suffix":""}],"container-title":"FEMS Microbiology Reviews","id":"ITEM-1","issue":"5","issued":{"date-parts":[["2015"]]},"page":"729-749","title":"Microbial regulation of terrestrial nitrous oxide formation: Understanding the biological pathways for prediction of emission rates","type":"article-journal","volume":"39"},"uris":["http://www.mendeley.com/documents/?uuid=61c74906-7a04-4a4c-9bb7-feefd890a955"]}],"mendeley":{"formattedCitation":"(Hu et al., 2015)","plainTextFormattedCitation":"(Hu et al., 2015)","previouslyFormattedCitation":"(Hu et al., 2015)"},"properties":{"noteIndex":0},"schema":"https://github.com/citation-style-language/schema/raw/master/csl-citation.json"}</w:instrText>
      </w:r>
      <w:r w:rsidRPr="00203EB0">
        <w:rPr>
          <w:b/>
          <w:caps/>
        </w:rPr>
        <w:fldChar w:fldCharType="separate"/>
      </w:r>
      <w:r w:rsidRPr="00203EB0">
        <w:rPr>
          <w:noProof/>
        </w:rPr>
        <w:t>(Hu et al., 2015)</w:t>
      </w:r>
      <w:r w:rsidRPr="00203EB0">
        <w:rPr>
          <w:b/>
          <w:caps/>
        </w:rPr>
        <w:fldChar w:fldCharType="end"/>
      </w:r>
      <w:r w:rsidRPr="00203EB0">
        <w:t>. Together, these mechanisms highlight how acidification alters microbial community composition and amplifies N</w:t>
      </w:r>
      <w:r w:rsidRPr="00203EB0">
        <w:rPr>
          <w:vertAlign w:val="subscript"/>
        </w:rPr>
        <w:t>2</w:t>
      </w:r>
      <w:r w:rsidRPr="00203EB0">
        <w:t xml:space="preserve">O emissions.  </w:t>
      </w:r>
    </w:p>
    <w:p w14:paraId="101A0424" w14:textId="66909876" w:rsidR="00DB0D92" w:rsidRDefault="00DB0D92" w:rsidP="00DB0D92">
      <w:pPr>
        <w:spacing w:line="480" w:lineRule="auto"/>
      </w:pPr>
      <w:r w:rsidRPr="00AE7B1C">
        <w:lastRenderedPageBreak/>
        <w:t>Beyond its role in N₂O regulation, pH acts as a fundamental ecological filter, shaping bacterial and archaeal diversity across the soil profile.</w:t>
      </w:r>
      <w:r>
        <w:t xml:space="preserve"> </w:t>
      </w:r>
      <w:r w:rsidRPr="00B309B8">
        <w:t xml:space="preserve">Studies at continental and field scales consistently identify pH as one of the strongest predictors of microbial community structure in agricultural soils </w:t>
      </w:r>
      <w:r>
        <w:rPr>
          <w:b/>
          <w:caps/>
        </w:rPr>
        <w:fldChar w:fldCharType="begin" w:fldLock="1"/>
      </w:r>
      <w:r w:rsidR="008E51F8">
        <w:instrText>ADDIN CSL_CITATION {"citationItems":[{"id":"ITEM-1","itemData":{"DOI":"10.1007/s13213-019-01529-9","ISBN":"1321301901","ISSN":"20854722","abstract":"Potassium (K) is one of the macronutrients needed by plants for seeds' growth, development, and quality. Andisols covered by volcanic ash from Mount Sinabung contain potassium ranging from 0.39-0.58 me/100g. The use of microbes is one of the alternatives methods to increase the availability of potassium in the soil that can be absorbed by plants. This study aimed to find environment-specific superior potassium-solvent microbes. Soil sampling was carried out in Kutarayat Village, Nama Teran Sub-district, Karo District, North Sumatra, Indonesia. The method used is random composite sampling by taking samples from 4 different locations. Sampling points were taken on Andisol soil that had been processed, covered with thin, medium, and thick ash. Sampling was carried out at a depth of 0-20 cm from the ground surface around the rhizosphere area. Isolation of bacteria and fungi was carried out by using multilevel dilutions. The microbes obtained after using the pour plate method were identified at molecular level by using PCR. Microbial potential test was carried out by using andisol soil which was incubated for 30 days. Parameters observed were soil pH, exchangeable potassium, soil organic carbon, and microbial population. 7 bacterial isolates and 3 potassium solubilizing fungi were isolated and identified during the present study. All bacterial and fungal isolates obtained were able to increase the availability of potassium soil exchange. The research results show that Talaromyces pinophilus can increase potassium soil exchange up to 102.94%.","author":[{"dropping-particle":"","family":"Wang","given":"Cheng-yu","non-dropping-particle":"","parse-names":false,"suffix":""},{"dropping-particle":"","family":"Zhou","given":"Xue","non-dropping-particle":"","parse-names":false,"suffix":""},{"dropping-particle":"","family":"Guo","given":"Dan","non-dropping-particle":"","parse-names":false,"suffix":""},{"dropping-particle":"","family":"Zhao","given":"Jiang-hua","non-dropping-particle":"","parse-names":false,"suffix":""},{"dropping-particle":"","family":"Yan","given":"Li","non-dropping-particle":"","parse-names":false,"suffix":""},{"dropping-particle":"","family":"Feng","given":"Guo-zhong","non-dropping-particle":"","parse-names":false,"suffix":""},{"dropping-particle":"","family":"Gao","given":"Qiang","non-dropping-particle":"","parse-names":false,"suffix":""},{"dropping-particle":"","family":"Yu","given":"Han","non-dropping-particle":"","parse-names":false,"suffix":""},{"dropping-particle":"","family":"Zhao","given":"Lan-po","non-dropping-particle":"","parse-names":false,"suffix":""}],"container-title":"Annals of Microbiology","id":"ITEM-1","issue":"69","issued":{"date-parts":[["2019"]]},"page":"1461-1473","publisher":"Annals of Microbiology","title":"Soil pH is the primary factor driving the distribution and function of microorganisms in farmland soils in northeastern China","type":"article-journal"},"uris":["http://www.mendeley.com/documents/?uuid=126e27d7-941a-4e50-84de-b153ec1a18ae"]},{"id":"ITEM-2","itemData":{"DOI":"10.1038/s41598-020-62919-7","ISSN":"20452322","PMID":"32265458","abstract":"Unraveling the key drivers of bacterial community assembly in agricultural soils is pivotal for soil nutrient management and crop productivity. Presently, the drivers of microbial community structure remain unexplored in maize cropping systems under complex and variable environmental scenarios across large spatial scales. In this study, we conducted high-throughput 16S rRNA gene sequencing and network analysis to identify the major environmental factors driving bacterial community diversity and co-occurrence patterns in 21 maize field soils across China. The results show that mean annual precipitation and soil pH are the major environmental factors that shape soil bacterial communities in maize soils. The similarities of bacterial communities significantly decreased with increasing geographic distance between different sites. The differences in spatial turnover rates across bacterial phyla indicate the distinct dispersal capabilities of bacterial groups, and some abundant phyla exhibited high dispersal capabilities. Aeromicrobium, Friedmanniella, Saccharothrix, Lamia, Rhodococcus, Skermanella, and Pedobacter were identified as keystone taxa. Based on the node-level and network-level topological features, members of the core microbiome were more frequently found in the center of the ecosystem network compared with other taxa. This study highlights the major environmental factors driving bacterial community assembly in agro-ecosystems and the central ecological role of the core microbiome in maintaining the web of complex bacterial interactions.","author":[{"dropping-particle":"","family":"Tan","given":"Wenjun","non-dropping-particle":"","parse-names":false,"suffix":""},{"dropping-particle":"","family":"Wang","given":"Junman","non-dropping-particle":"","parse-names":false,"suffix":""},{"dropping-particle":"","family":"Bai","given":"Wenqing","non-dropping-particle":"","parse-names":false,"suffix":""},{"dropping-particle":"","family":"Qi","given":"Jiejun","non-dropping-particle":"","parse-names":false,"suffix":""},{"dropping-particle":"","family":"Chen","given":"Weimin","non-dropping-particle":"","parse-names":false,"suffix":""}],"container-title":"Scientific Reports","id":"ITEM-2","issue":"1","issued":{"date-parts":[["2020"]]},"page":"1-12","title":"Soil bacterial diversity correlates with precipitation and soil pH in long-term maize cropping systems","type":"article-journal","volume":"10"},"uris":["http://www.mendeley.com/documents/?uuid=d604bcab-8e9f-41f6-b801-fbad764e012f"]},{"id":"ITEM-3","itemData":{"author":[{"dropping-particle":"","family":"Xiong","given":"Ruonan","non-dropping-particle":"","parse-names":false,"suffix":""},{"dropping-particle":"","family":"He","given":"Xinhua","non-dropping-particle":"","parse-names":false,"suffix":""},{"dropping-particle":"","family":"Gao","given":"Nan","non-dropping-particle":"","parse-names":false,"suffix":""},{"dropping-particle":"","family":"Li","given":"Qing","non-dropping-particle":"","parse-names":false,"suffix":""},{"dropping-particle":"","family":"Qiu","given":"Zijian","non-dropping-particle":"","parse-names":false,"suffix":""},{"dropping-particle":"","family":"Hou","given":"Yixin","non-dropping-particle":"","parse-names":false,"suffix":""},{"dropping-particle":"","family":"Shen","given":"Weishou","non-dropping-particle":"","parse-names":false,"suffix":""}],"container-title":"American Society for Microbiology","id":"ITEM-3","issue":"8","issued":{"date-parts":[["2024"]]},"page":"1-19","publisher":"American Society for Microbiology","title":"Soil pH amendment alters the abundance, diversity, and composition of microbial communities in two contrasting agricultural soils","type":"article-journal","volume":"12"},"uris":["http://www.mendeley.com/documents/?uuid=4d399a09-3469-4374-a756-9168fb500e11"]}],"mendeley":{"formattedCitation":"(Wang et al., 2019; Tan et al., 2020; Xiong et al., 2024)","plainTextFormattedCitation":"(Wang et al., 2019; Tan et al., 2020; Xiong et al., 2024)","previouslyFormattedCitation":"(Wang et al., 2019; Tan et al., 2020; Xiong et al., 2024)"},"properties":{"noteIndex":0},"schema":"https://github.com/citation-style-language/schema/raw/master/csl-citation.json"}</w:instrText>
      </w:r>
      <w:r>
        <w:rPr>
          <w:b/>
          <w:caps/>
        </w:rPr>
        <w:fldChar w:fldCharType="separate"/>
      </w:r>
      <w:r w:rsidR="00DA3A53" w:rsidRPr="00DA3A53">
        <w:rPr>
          <w:noProof/>
        </w:rPr>
        <w:t>(Wang et al., 2019; Tan et al., 2020; Xiong et al., 2024)</w:t>
      </w:r>
      <w:r>
        <w:rPr>
          <w:b/>
          <w:caps/>
        </w:rPr>
        <w:fldChar w:fldCharType="end"/>
      </w:r>
      <w:r w:rsidRPr="00B309B8">
        <w:t xml:space="preserve">. Acidification tends to favor acidophilic groups such as </w:t>
      </w:r>
      <w:proofErr w:type="spellStart"/>
      <w:r w:rsidRPr="00B309B8">
        <w:t>Acidobacteria</w:t>
      </w:r>
      <w:proofErr w:type="spellEnd"/>
      <w:r w:rsidRPr="00B309B8">
        <w:t xml:space="preserve"> and certain Proteobacteria, while constraining lineages like Actinobacteria and </w:t>
      </w:r>
      <w:proofErr w:type="spellStart"/>
      <w:r w:rsidRPr="00B309B8">
        <w:t>Bacteroidota</w:t>
      </w:r>
      <w:proofErr w:type="spellEnd"/>
      <w:r w:rsidRPr="00B309B8">
        <w:t xml:space="preserve">, ultimately reshaping soil microbial community structure. These shifts in taxonomic composition often translate into altered alpha and beta diversity, with evidence that microbial richness and diversity peak near a soil’s native pH and decline under strong acidification or alkalization </w:t>
      </w:r>
      <w:r>
        <w:rPr>
          <w:b/>
          <w:caps/>
        </w:rPr>
        <w:fldChar w:fldCharType="begin" w:fldLock="1"/>
      </w:r>
      <w:r>
        <w:instrText>ADDIN CSL_CITATION {"citationItems":[{"id":"ITEM-1","itemData":{"DOI":"10.1038/s41598-020-62919-7","ISSN":"20452322","PMID":"32265458","abstract":"Unraveling the key drivers of bacterial community assembly in agricultural soils is pivotal for soil nutrient management and crop productivity. Presently, the drivers of microbial community structure remain unexplored in maize cropping systems under complex and variable environmental scenarios across large spatial scales. In this study, we conducted high-throughput 16S rRNA gene sequencing and network analysis to identify the major environmental factors driving bacterial community diversity and co-occurrence patterns in 21 maize field soils across China. The results show that mean annual precipitation and soil pH are the major environmental factors that shape soil bacterial communities in maize soils. The similarities of bacterial communities significantly decreased with increasing geographic distance between different sites. The differences in spatial turnover rates across bacterial phyla indicate the distinct dispersal capabilities of bacterial groups, and some abundant phyla exhibited high dispersal capabilities. Aeromicrobium, Friedmanniella, Saccharothrix, Lamia, Rhodococcus, Skermanella, and Pedobacter were identified as keystone taxa. Based on the node-level and network-level topological features, members of the core microbiome were more frequently found in the center of the ecosystem network compared with other taxa. This study highlights the major environmental factors driving bacterial community assembly in agro-ecosystems and the central ecological role of the core microbiome in maintaining the web of complex bacterial interactions.","author":[{"dropping-particle":"","family":"Tan","given":"Wenjun","non-dropping-particle":"","parse-names":false,"suffix":""},{"dropping-particle":"","family":"Wang","given":"Junman","non-dropping-particle":"","parse-names":false,"suffix":""},{"dropping-particle":"","family":"Bai","given":"Wenqing","non-dropping-particle":"","parse-names":false,"suffix":""},{"dropping-particle":"","family":"Qi","given":"Jiejun","non-dropping-particle":"","parse-names":false,"suffix":""},{"dropping-particle":"","family":"Chen","given":"Weimin","non-dropping-particle":"","parse-names":false,"suffix":""}],"container-title":"Scientific Reports","id":"ITEM-1","issue":"1","issued":{"date-parts":[["2020"]]},"page":"1-12","title":"Soil bacterial diversity correlates with precipitation and soil pH in long-term maize cropping systems","type":"article-journal","volume":"10"},"uris":["http://www.mendeley.com/documents/?uuid=d604bcab-8e9f-41f6-b801-fbad764e012f"]},{"id":"ITEM-2","itemData":{"author":[{"dropping-particle":"","family":"Xiong","given":"Ruonan","non-dropping-particle":"","parse-names":false,"suffix":""},{"dropping-particle":"","family":"He","given":"Xinhua","non-dropping-particle":"","parse-names":false,"suffix":""},{"dropping-particle":"","family":"Gao","given":"Nan","non-dropping-particle":"","parse-names":false,"suffix":""},{"dropping-particle":"","family":"Li","given":"Qing","non-dropping-particle":"","parse-names":false,"suffix":""},{"dropping-particle":"","family":"Qiu","given":"Zijian","non-dropping-particle":"","parse-names":false,"suffix":""},{"dropping-particle":"","family":"Hou","given":"Yixin","non-dropping-particle":"","parse-names":false,"suffix":""},{"dropping-particle":"","family":"Shen","given":"Weishou","non-dropping-particle":"","parse-names":false,"suffix":""}],"container-title":"American Society for Microbiology","id":"ITEM-2","issue":"8","issued":{"date-parts":[["2024"]]},"page":"1-19","publisher":"American Society for Microbiology","title":"Soil pH amendment alters the abundance, diversity, and composition of microbial communities in two contrasting agricultural soils","type":"article-journal","volume":"12"},"uris":["http://www.mendeley.com/documents/?uuid=4d399a09-3469-4374-a756-9168fb500e11"]}],"mendeley":{"formattedCitation":"(Tan et al., 2020; Xiong et al., 2024)","plainTextFormattedCitation":"(Tan et al., 2020; Xiong et al., 2024)","previouslyFormattedCitation":"(Tan et al., 2020; Xiong et al., 2024)"},"properties":{"noteIndex":0},"schema":"https://github.com/citation-style-language/schema/raw/master/csl-citation.json"}</w:instrText>
      </w:r>
      <w:r>
        <w:rPr>
          <w:b/>
          <w:caps/>
        </w:rPr>
        <w:fldChar w:fldCharType="separate"/>
      </w:r>
      <w:r w:rsidRPr="00E36E2B">
        <w:rPr>
          <w:noProof/>
        </w:rPr>
        <w:t>(Tan et al., 2020; Xiong et al., 2024)</w:t>
      </w:r>
      <w:r>
        <w:rPr>
          <w:b/>
          <w:caps/>
        </w:rPr>
        <w:fldChar w:fldCharType="end"/>
      </w:r>
      <w:r w:rsidRPr="00B309B8">
        <w:t>.</w:t>
      </w:r>
    </w:p>
    <w:p w14:paraId="75DE09FF" w14:textId="7D0A52DE" w:rsidR="00DB0D92" w:rsidRPr="00DB0D92" w:rsidRDefault="00DB0D92" w:rsidP="00DB0D92">
      <w:pPr>
        <w:spacing w:line="480" w:lineRule="auto"/>
      </w:pPr>
      <w:r w:rsidRPr="00B309B8">
        <w:t xml:space="preserve">Such pH-driven restructuring has important implications for microbial-mediated nutrient cycling. By selectively filtering microbial groups, acidification influences functional processes including nitrification, denitrification, and organic matter decomposition </w:t>
      </w:r>
      <w:r>
        <w:rPr>
          <w:b/>
          <w:caps/>
        </w:rPr>
        <w:fldChar w:fldCharType="begin" w:fldLock="1"/>
      </w:r>
      <w:r>
        <w:instrText>ADDIN CSL_CITATION {"citationItems":[{"id":"ITEM-1","itemData":{"DOI":"10.1038/s41598-020-62919-7","ISSN":"20452322","PMID":"32265458","abstract":"Unraveling the key drivers of bacterial community assembly in agricultural soils is pivotal for soil nutrient management and crop productivity. Presently, the drivers of microbial community structure remain unexplored in maize cropping systems under complex and variable environmental scenarios across large spatial scales. In this study, we conducted high-throughput 16S rRNA gene sequencing and network analysis to identify the major environmental factors driving bacterial community diversity and co-occurrence patterns in 21 maize field soils across China. The results show that mean annual precipitation and soil pH are the major environmental factors that shape soil bacterial communities in maize soils. The similarities of bacterial communities significantly decreased with increasing geographic distance between different sites. The differences in spatial turnover rates across bacterial phyla indicate the distinct dispersal capabilities of bacterial groups, and some abundant phyla exhibited high dispersal capabilities. Aeromicrobium, Friedmanniella, Saccharothrix, Lamia, Rhodococcus, Skermanella, and Pedobacter were identified as keystone taxa. Based on the node-level and network-level topological features, members of the core microbiome were more frequently found in the center of the ecosystem network compared with other taxa. This study highlights the major environmental factors driving bacterial community assembly in agro-ecosystems and the central ecological role of the core microbiome in maintaining the web of complex bacterial interactions.","author":[{"dropping-particle":"","family":"Tan","given":"Wenjun","non-dropping-particle":"","parse-names":false,"suffix":""},{"dropping-particle":"","family":"Wang","given":"Junman","non-dropping-particle":"","parse-names":false,"suffix":""},{"dropping-particle":"","family":"Bai","given":"Wenqing","non-dropping-particle":"","parse-names":false,"suffix":""},{"dropping-particle":"","family":"Qi","given":"Jiejun","non-dropping-particle":"","parse-names":false,"suffix":""},{"dropping-particle":"","family":"Chen","given":"Weimin","non-dropping-particle":"","parse-names":false,"suffix":""}],"container-title":"Scientific Reports","id":"ITEM-1","issue":"1","issued":{"date-parts":[["2020"]]},"page":"1-12","title":"Soil bacterial diversity correlates with precipitation and soil pH in long-term maize cropping systems","type":"article-journal","volume":"10"},"uris":["http://www.mendeley.com/documents/?uuid=d604bcab-8e9f-41f6-b801-fbad764e012f"]},{"id":"ITEM-2","itemData":{"author":[{"dropping-particle":"","family":"Xiong","given":"Ruonan","non-dropping-particle":"","parse-names":false,"suffix":""},{"dropping-particle":"","family":"He","given":"Xinhua","non-dropping-particle":"","parse-names":false,"suffix":""},{"dropping-particle":"","family":"Gao","given":"Nan","non-dropping-particle":"","parse-names":false,"suffix":""},{"dropping-particle":"","family":"Li","given":"Qing","non-dropping-particle":"","parse-names":false,"suffix":""},{"dropping-particle":"","family":"Qiu","given":"Zijian","non-dropping-particle":"","parse-names":false,"suffix":""},{"dropping-particle":"","family":"Hou","given":"Yixin","non-dropping-particle":"","parse-names":false,"suffix":""},{"dropping-particle":"","family":"Shen","given":"Weishou","non-dropping-particle":"","parse-names":false,"suffix":""}],"container-title":"American Society for Microbiology","id":"ITEM-2","issue":"8","issued":{"date-parts":[["2024"]]},"page":"1-19","publisher":"American Society for Microbiology","title":"Soil pH amendment alters the abundance, diversity, and composition of microbial communities in two contrasting agricultural soils","type":"article-journal","volume":"12"},"uris":["http://www.mendeley.com/documents/?uuid=4d399a09-3469-4374-a756-9168fb500e11"]}],"mendeley":{"formattedCitation":"(Tan et al., 2020; Xiong et al., 2024)","plainTextFormattedCitation":"(Tan et al., 2020; Xiong et al., 2024)","previouslyFormattedCitation":"(Tan et al., 2020; Xiong et al., 2024)"},"properties":{"noteIndex":0},"schema":"https://github.com/citation-style-language/schema/raw/master/csl-citation.json"}</w:instrText>
      </w:r>
      <w:r>
        <w:rPr>
          <w:b/>
          <w:caps/>
        </w:rPr>
        <w:fldChar w:fldCharType="separate"/>
      </w:r>
      <w:r w:rsidRPr="00D22499">
        <w:rPr>
          <w:noProof/>
        </w:rPr>
        <w:t>(Tan et al., 2020; Xiong et al., 2024)</w:t>
      </w:r>
      <w:r>
        <w:rPr>
          <w:b/>
          <w:caps/>
        </w:rPr>
        <w:fldChar w:fldCharType="end"/>
      </w:r>
      <w:r w:rsidRPr="00D22499">
        <w:t xml:space="preserve">. </w:t>
      </w:r>
      <w:r w:rsidRPr="00B309B8">
        <w:t xml:space="preserve">For example, suppression of Actinobacteria and </w:t>
      </w:r>
      <w:proofErr w:type="spellStart"/>
      <w:r w:rsidRPr="00B309B8">
        <w:t>Bacteroidota</w:t>
      </w:r>
      <w:proofErr w:type="spellEnd"/>
      <w:r w:rsidRPr="00B309B8">
        <w:t xml:space="preserve"> under low pH may constrain the degradation of complex carbon substrates, while enrichment of </w:t>
      </w:r>
      <w:proofErr w:type="spellStart"/>
      <w:r w:rsidRPr="00B309B8">
        <w:t>Acidobacteria</w:t>
      </w:r>
      <w:proofErr w:type="spellEnd"/>
      <w:r w:rsidRPr="00B309B8">
        <w:t xml:space="preserve"> and certain Proteobacteria promotes metabolic pathways adapted to acidic conditions. These community-level adjustments highlight how long-term N fertilization and associated acidification extend beyond altering N₂O fluxes to fundamentally reorganize microbial assemblages and their functional potential in agricultural soils.</w:t>
      </w:r>
    </w:p>
    <w:p w14:paraId="29309114" w14:textId="7B293852" w:rsidR="008D0B4C" w:rsidRPr="00203EB0" w:rsidRDefault="008D0B4C" w:rsidP="008D0B4C">
      <w:pPr>
        <w:pStyle w:val="Heading3"/>
        <w:spacing w:line="480" w:lineRule="auto"/>
      </w:pPr>
      <w:bookmarkStart w:id="109" w:name="_Toc206669155"/>
      <w:r w:rsidRPr="00203EB0">
        <w:lastRenderedPageBreak/>
        <w:t>Management and soil depth shape key N</w:t>
      </w:r>
      <w:r w:rsidRPr="00203EB0">
        <w:rPr>
          <w:vertAlign w:val="subscript"/>
        </w:rPr>
        <w:t>2</w:t>
      </w:r>
      <w:r w:rsidRPr="00203EB0">
        <w:t>O-associated microbial taxa</w:t>
      </w:r>
      <w:bookmarkEnd w:id="109"/>
    </w:p>
    <w:p w14:paraId="7F8D14AF" w14:textId="3E075440" w:rsidR="008D0B4C" w:rsidRPr="00203EB0" w:rsidRDefault="008D0B4C" w:rsidP="00D56363">
      <w:pPr>
        <w:spacing w:line="480" w:lineRule="auto"/>
        <w:rPr>
          <w:b/>
          <w:caps/>
        </w:rPr>
      </w:pPr>
      <w:r w:rsidRPr="00203EB0">
        <w:t xml:space="preserve">In the surface layer, several bacterial and archaeal taxa, including those within the genera </w:t>
      </w:r>
      <w:proofErr w:type="spellStart"/>
      <w:r w:rsidRPr="00203EB0">
        <w:rPr>
          <w:i/>
        </w:rPr>
        <w:t>Sphingomonas</w:t>
      </w:r>
      <w:proofErr w:type="spellEnd"/>
      <w:r w:rsidRPr="00203EB0">
        <w:rPr>
          <w:i/>
        </w:rPr>
        <w:t xml:space="preserve">, Candidatus </w:t>
      </w:r>
      <w:proofErr w:type="spellStart"/>
      <w:r w:rsidRPr="00203EB0">
        <w:t>Nitrosotalea</w:t>
      </w:r>
      <w:proofErr w:type="spellEnd"/>
      <w:r w:rsidRPr="00203EB0">
        <w:rPr>
          <w:i/>
        </w:rPr>
        <w:t xml:space="preserve">, </w:t>
      </w:r>
      <w:proofErr w:type="spellStart"/>
      <w:r w:rsidRPr="00203EB0">
        <w:rPr>
          <w:i/>
        </w:rPr>
        <w:t>Falvisolibacter</w:t>
      </w:r>
      <w:proofErr w:type="spellEnd"/>
      <w:r w:rsidRPr="00203EB0">
        <w:rPr>
          <w:i/>
        </w:rPr>
        <w:t xml:space="preserve"> </w:t>
      </w:r>
      <w:proofErr w:type="spellStart"/>
      <w:r w:rsidRPr="00203EB0">
        <w:rPr>
          <w:i/>
        </w:rPr>
        <w:t>ginsengisoli</w:t>
      </w:r>
      <w:proofErr w:type="spellEnd"/>
      <w:r w:rsidRPr="00203EB0">
        <w:rPr>
          <w:i/>
        </w:rPr>
        <w:t xml:space="preserve">, </w:t>
      </w:r>
      <w:proofErr w:type="spellStart"/>
      <w:r w:rsidRPr="00203EB0">
        <w:rPr>
          <w:i/>
        </w:rPr>
        <w:t>Gemmatimonas</w:t>
      </w:r>
      <w:proofErr w:type="spellEnd"/>
      <w:r w:rsidRPr="00203EB0">
        <w:rPr>
          <w:i/>
        </w:rPr>
        <w:t xml:space="preserve">, </w:t>
      </w:r>
      <w:proofErr w:type="spellStart"/>
      <w:r w:rsidRPr="00203EB0">
        <w:rPr>
          <w:i/>
        </w:rPr>
        <w:t>Mizugakiibacter</w:t>
      </w:r>
      <w:proofErr w:type="spellEnd"/>
      <w:r w:rsidRPr="00203EB0">
        <w:rPr>
          <w:i/>
        </w:rPr>
        <w:t xml:space="preserve">, </w:t>
      </w:r>
      <w:r w:rsidRPr="00203EB0">
        <w:t xml:space="preserve">and members of SC-I-84, </w:t>
      </w:r>
      <w:proofErr w:type="spellStart"/>
      <w:r w:rsidRPr="00203EB0">
        <w:t>Ktedonobacteraceae</w:t>
      </w:r>
      <w:proofErr w:type="spellEnd"/>
      <w:r w:rsidRPr="00203EB0">
        <w:t xml:space="preserve">, </w:t>
      </w:r>
      <w:proofErr w:type="spellStart"/>
      <w:r w:rsidRPr="00203EB0">
        <w:t>Micromonosporaceae</w:t>
      </w:r>
      <w:proofErr w:type="spellEnd"/>
      <w:r w:rsidRPr="00203EB0">
        <w:t xml:space="preserve">, and </w:t>
      </w:r>
      <w:proofErr w:type="spellStart"/>
      <w:r w:rsidRPr="00203EB0">
        <w:t>Acetobacteracea</w:t>
      </w:r>
      <w:proofErr w:type="spellEnd"/>
      <w:r w:rsidRPr="00203EB0">
        <w:t xml:space="preserve"> were positively correlated with N</w:t>
      </w:r>
      <w:r w:rsidRPr="00203EB0">
        <w:rPr>
          <w:vertAlign w:val="subscript"/>
        </w:rPr>
        <w:t>2</w:t>
      </w:r>
      <w:r w:rsidRPr="00203EB0">
        <w:t xml:space="preserve">O emissions. Many of these </w:t>
      </w:r>
      <w:proofErr w:type="gramStart"/>
      <w:r w:rsidR="00D44CC6">
        <w:t>taxa</w:t>
      </w:r>
      <w:proofErr w:type="gramEnd"/>
      <w:r w:rsidR="00D44CC6">
        <w:t xml:space="preserve"> have been previously reported to harbor</w:t>
      </w:r>
      <w:r w:rsidRPr="00203EB0">
        <w:t xml:space="preserve"> genes involved in nitrification or denitrification. For example, members of the class Gammaproteobacteria</w:t>
      </w:r>
      <w:r w:rsidRPr="00203EB0">
        <w:rPr>
          <w:i/>
        </w:rPr>
        <w:t xml:space="preserve">, </w:t>
      </w:r>
      <w:r w:rsidRPr="00203EB0">
        <w:t xml:space="preserve">such as SC-I-84 and </w:t>
      </w:r>
      <w:proofErr w:type="spellStart"/>
      <w:r w:rsidRPr="00203EB0">
        <w:rPr>
          <w:i/>
        </w:rPr>
        <w:t>Mizugakiibacter</w:t>
      </w:r>
      <w:proofErr w:type="spellEnd"/>
      <w:r w:rsidRPr="00203EB0">
        <w:t xml:space="preserve">, </w:t>
      </w:r>
      <w:r w:rsidR="00A23FC4">
        <w:t xml:space="preserve">have been reported to </w:t>
      </w:r>
      <w:r w:rsidRPr="00203EB0">
        <w:t xml:space="preserve">carry the </w:t>
      </w:r>
      <w:proofErr w:type="spellStart"/>
      <w:r w:rsidRPr="00203EB0">
        <w:rPr>
          <w:i/>
        </w:rPr>
        <w:t>nir</w:t>
      </w:r>
      <w:r w:rsidRPr="00203EB0">
        <w:t>S</w:t>
      </w:r>
      <w:proofErr w:type="spellEnd"/>
      <w:r w:rsidRPr="00203EB0">
        <w:t xml:space="preserve"> denitrification gene </w:t>
      </w:r>
      <w:r w:rsidRPr="00203EB0">
        <w:rPr>
          <w:b/>
          <w:caps/>
        </w:rPr>
        <w:fldChar w:fldCharType="begin" w:fldLock="1"/>
      </w:r>
      <w:r w:rsidRPr="00203EB0">
        <w:instrText>ADDIN CSL_CITATION {"citationItems":[{"id":"ITEM-1","itemData":{"DOI":"10.1007/s11104-022-05754-1","ISBN":"0123456789","ISSN":"15735036","abstract":"Purpose: Reduce the climate cost of plastic mulch is an important issue for the sustainable development of dryland. Previous studies suggest plastic mulch has risk to increase nitrous oxide emission, but how this produced by the complex interaction between soil properties and microbial is still an unsolved problem and need to research to develop targeted practice. Methods: To address this question, molecular ecology tools, including real-time quantitative and high-throughput sequencing were employed to explore how plastic mulch induced change on soil environment and then stimulates denitrification. Three mulching treatments were compared, including no mulching, spring and autumn mulching. Results: Plastic mulch induced significant increase in the richness and diversity of nir-containing denitrifiers. The nirS and nirK-gene abundance was the greatest under the autumn mulching, and a more conspicuous change in the community structure and abundance was observed for nirK gene than for nirS denitrifiers. The most differentially abundant taxa in the autumn mulching were Anaeromyxobacter, Terriglobus, Edwardsiella, Catenulispora and Acidobacterium for nirK genes and Cupriavidus for nirS genes. Mulching increased the potential denitrification enzyme activity by 58% and 29% for autumn and spring mulching, respectively, and this effect was mirrored by the abundance of nirK, but not by nirS denitrifiers. The nirK gene was significantly correlated to variations in soil moisture, temperature, and nitrate nitrogen. Conclusion: Plastic mulch stimulates denitrification by inducing higher moisture, temperature and nitrate nitrogen content and structural change in the community of nirK denitrifying bacteria in dryland agroecosystems.","author":[{"dropping-particle":"","family":"Dong","given":"Wenyi","non-dropping-particle":"","parse-names":false,"suffix":""},{"dropping-particle":"","family":"Zhang","given":"Zhe","non-dropping-particle":"","parse-names":false,"suffix":""},{"dropping-particle":"","family":"Chen","given":"Baoqing","non-dropping-particle":"","parse-names":false,"suffix":""},{"dropping-particle":"","family":"Sun","given":"Dongbao","non-dropping-particle":"","parse-names":false,"suffix":""},{"dropping-particle":"","family":"Liu","given":"Enke","non-dropping-particle":"","parse-names":false,"suffix":""}],"container-title":"Plant and Soil","id":"ITEM-1","issue":"1-2","issued":{"date-parts":[["2024"]]},"page":"155-171","publisher":"Springer International Publishing","title":"Plastic mulch stimulates denitrification by interaction between soil environment and denitrifying bacteria","type":"article-journal","volume":"499"},"uris":["http://www.mendeley.com/documents/?uuid=4ca238ca-060d-43d2-9acb-fee1ef0f4e08"]}],"mendeley":{"formattedCitation":"(Dong et al., 2024)","plainTextFormattedCitation":"(Dong et al., 2024)","previouslyFormattedCitation":"(Dong et al., 2024)"},"properties":{"noteIndex":0},"schema":"https://github.com/citation-style-language/schema/raw/master/csl-citation.json"}</w:instrText>
      </w:r>
      <w:r w:rsidRPr="00203EB0">
        <w:rPr>
          <w:b/>
          <w:caps/>
        </w:rPr>
        <w:fldChar w:fldCharType="separate"/>
      </w:r>
      <w:r w:rsidRPr="00203EB0">
        <w:rPr>
          <w:noProof/>
        </w:rPr>
        <w:t>(Dong et al., 2024)</w:t>
      </w:r>
      <w:r w:rsidRPr="00203EB0">
        <w:rPr>
          <w:b/>
          <w:caps/>
        </w:rPr>
        <w:fldChar w:fldCharType="end"/>
      </w:r>
      <w:r w:rsidRPr="00203EB0">
        <w:t xml:space="preserve">, with SC-I-84 also showing strong positive correlations with multiple N cycling genes, including </w:t>
      </w:r>
      <w:proofErr w:type="spellStart"/>
      <w:r w:rsidRPr="00203EB0">
        <w:rPr>
          <w:i/>
        </w:rPr>
        <w:t>nif</w:t>
      </w:r>
      <w:r w:rsidRPr="00203EB0">
        <w:t>H</w:t>
      </w:r>
      <w:proofErr w:type="spellEnd"/>
      <w:r w:rsidRPr="00203EB0">
        <w:t xml:space="preserve">, </w:t>
      </w:r>
      <w:proofErr w:type="spellStart"/>
      <w:r w:rsidRPr="00203EB0">
        <w:rPr>
          <w:i/>
        </w:rPr>
        <w:t>amo</w:t>
      </w:r>
      <w:r w:rsidRPr="00203EB0">
        <w:t>B</w:t>
      </w:r>
      <w:proofErr w:type="spellEnd"/>
      <w:r w:rsidRPr="00203EB0">
        <w:t xml:space="preserve">, </w:t>
      </w:r>
      <w:proofErr w:type="spellStart"/>
      <w:r w:rsidRPr="00203EB0">
        <w:rPr>
          <w:i/>
        </w:rPr>
        <w:t>nir</w:t>
      </w:r>
      <w:r w:rsidRPr="00203EB0">
        <w:t>K</w:t>
      </w:r>
      <w:proofErr w:type="spellEnd"/>
      <w:r w:rsidRPr="00203EB0">
        <w:t xml:space="preserve">, and </w:t>
      </w:r>
      <w:proofErr w:type="spellStart"/>
      <w:r w:rsidRPr="00203EB0">
        <w:rPr>
          <w:i/>
        </w:rPr>
        <w:t>nos</w:t>
      </w:r>
      <w:r w:rsidRPr="00203EB0">
        <w:t>Z</w:t>
      </w:r>
      <w:proofErr w:type="spellEnd"/>
      <w:r w:rsidRPr="00203EB0">
        <w:t xml:space="preserve"> </w:t>
      </w:r>
      <w:r w:rsidRPr="00203EB0">
        <w:rPr>
          <w:b/>
          <w:caps/>
        </w:rPr>
        <w:fldChar w:fldCharType="begin" w:fldLock="1"/>
      </w:r>
      <w:r w:rsidRPr="00203EB0">
        <w:instrText>ADDIN CSL_CITATION {"citationItems":[{"id":"ITEM-1","itemData":{"DOI":"http://dx.doi.org/10.2139/ssrn.4295735","abstract":"We examine empirically the reaction of global financial markets across 38 economies to the COVID-19 outbreak, with a special focus on the dynamics of capital flow across 14 emerging market economies. Using daily data over the period 4 January 2010 to 30 April 2020 and controlling for a host of domestic and global macroeconomic and financial factors, we use a fixed effects panel approach and a structural VAR framework to show that emerging markets have been more heavily affected than advanced economies. In particular, emerging economies in Asia and Europe have experienced the sharpest impact on stocks, bonds, and exchange rates due to COVID-19, as well as abrupt and substantial capital outflows. Our results indicate that fiscal stimulus packages introduced in response to COVID-19, as well as quantitative easing by central banks, have helped to restore overall investor confidence through reducing bond yields and boosting stock prices. Our findings also highlight the role that global factors and developments in the world’s leading financial centers have on financial conditions in EMEs. Importantly, the impact of COVID-19 related quantitative easing measures by central banks in advanced countries, which helped to lower sovereign bond yields and prop up stock markets at home, extended to EMEs, notably in relation to stabilizing capital flow dynamics. While the ultimate resolution of COVID-19 may be expected to lead to a market correction as uncertainty declines, our impulse response analysis suggests that there may be some permanent effects on financial markets and capital flows as a result of COVID-19, particularly in EMEs.","author":[{"dropping-particle":"","family":"Jin","given":"Xiufeng","non-dropping-particle":"","parse-names":false,"suffix":""},{"dropping-particle":"","family":"Yang","given":"Xia","non-dropping-particle":"","parse-names":false,"suffix":""},{"dropping-particle":"","family":"Peng","given":"Shuang","non-dropping-particle":"","parse-names":false,"suffix":""},{"dropping-particle":"","family":"Ma","given":"Erd","non-dropping-particle":"","parse-names":false,"suffix":""},{"dropping-particle":"","family":"Zhang","given":"Hong","non-dropping-particle":"","parse-names":false,"suffix":""},{"dropping-particle":"","family":"Lin","given":"Xia","non-dropping-particle":"","parse-names":false,"suffix":""},{"dropping-particle":"","family":"Wang","given":"Yiming","non-dropping-particle":"","parse-names":false,"suffix":""},{"dropping-particle":"","family":"Li","given":"Junyin","non-dropping-particle":"","parse-names":false,"suffix":""}],"container-title":"SSRN","id":"ITEM-1","issued":{"date-parts":[["2022"]]},"page":"1-31","title":"Cropping system has stronger effect on Tobacco soil bacterial community than fertilization","type":"article-journal"},"uris":["http://www.mendeley.com/documents/?uuid=3ca8ec7b-7a1b-4ef4-988f-92bfddcc5c18"]}],"mendeley":{"formattedCitation":"(Jin et al., 2022)","plainTextFormattedCitation":"(Jin et al., 2022)","previouslyFormattedCitation":"(Jin et al., 2022)"},"properties":{"noteIndex":0},"schema":"https://github.com/citation-style-language/schema/raw/master/csl-citation.json"}</w:instrText>
      </w:r>
      <w:r w:rsidRPr="00203EB0">
        <w:rPr>
          <w:b/>
          <w:caps/>
        </w:rPr>
        <w:fldChar w:fldCharType="separate"/>
      </w:r>
      <w:r w:rsidRPr="00203EB0">
        <w:rPr>
          <w:noProof/>
        </w:rPr>
        <w:t>(Jin et al., 2022)</w:t>
      </w:r>
      <w:r w:rsidRPr="00203EB0">
        <w:rPr>
          <w:b/>
          <w:caps/>
        </w:rPr>
        <w:fldChar w:fldCharType="end"/>
      </w:r>
      <w:r w:rsidRPr="00203EB0">
        <w:t xml:space="preserve">. Similarly, </w:t>
      </w:r>
      <w:proofErr w:type="spellStart"/>
      <w:r w:rsidRPr="00203EB0">
        <w:rPr>
          <w:i/>
        </w:rPr>
        <w:t>Flavisolibacter</w:t>
      </w:r>
      <w:proofErr w:type="spellEnd"/>
      <w:r w:rsidRPr="00203EB0">
        <w:t xml:space="preserve"> </w:t>
      </w:r>
      <w:r w:rsidR="00A23FC4">
        <w:t>has been reported</w:t>
      </w:r>
      <w:r w:rsidRPr="00203EB0">
        <w:t xml:space="preserve"> to carry </w:t>
      </w:r>
      <w:proofErr w:type="spellStart"/>
      <w:r w:rsidRPr="00203EB0">
        <w:t>nir</w:t>
      </w:r>
      <w:r w:rsidRPr="00203EB0">
        <w:rPr>
          <w:i/>
        </w:rPr>
        <w:t>K</w:t>
      </w:r>
      <w:proofErr w:type="spellEnd"/>
      <w:r w:rsidRPr="00203EB0">
        <w:rPr>
          <w:i/>
        </w:rPr>
        <w:t>,</w:t>
      </w:r>
      <w:r w:rsidRPr="00203EB0">
        <w:t xml:space="preserve"> while </w:t>
      </w:r>
      <w:proofErr w:type="spellStart"/>
      <w:r w:rsidRPr="00203EB0">
        <w:rPr>
          <w:i/>
        </w:rPr>
        <w:t>Sphingomonas</w:t>
      </w:r>
      <w:proofErr w:type="spellEnd"/>
      <w:r w:rsidRPr="00203EB0">
        <w:rPr>
          <w:i/>
        </w:rPr>
        <w:t xml:space="preserve"> </w:t>
      </w:r>
      <w:r w:rsidR="00A23FC4">
        <w:t>has been associated with</w:t>
      </w:r>
      <w:r w:rsidRPr="00203EB0">
        <w:t xml:space="preserve"> </w:t>
      </w:r>
      <w:proofErr w:type="spellStart"/>
      <w:r w:rsidRPr="00203EB0">
        <w:rPr>
          <w:i/>
        </w:rPr>
        <w:t>nor</w:t>
      </w:r>
      <w:r w:rsidRPr="00203EB0">
        <w:t>G</w:t>
      </w:r>
      <w:proofErr w:type="spellEnd"/>
      <w:r w:rsidRPr="00203EB0">
        <w:t xml:space="preserve"> and </w:t>
      </w:r>
      <w:proofErr w:type="spellStart"/>
      <w:r w:rsidRPr="00203EB0">
        <w:rPr>
          <w:i/>
        </w:rPr>
        <w:t>nor</w:t>
      </w:r>
      <w:r w:rsidRPr="00203EB0">
        <w:t>B</w:t>
      </w:r>
      <w:proofErr w:type="spellEnd"/>
      <w:r w:rsidRPr="00203EB0">
        <w:t xml:space="preserve">, and may also participate in nitrification </w:t>
      </w:r>
      <w:r w:rsidRPr="00203EB0">
        <w:rPr>
          <w:b/>
          <w:caps/>
        </w:rPr>
        <w:fldChar w:fldCharType="begin" w:fldLock="1"/>
      </w:r>
      <w:r w:rsidRPr="00203EB0">
        <w:instrText>ADDIN CSL_CITATION {"citationItems":[{"id":"ITEM-1","itemData":{"DOI":"10.1134/S1064229322030073","ISSN":"1556195X","abstract":"Abstract: Diverse microbes in arable black soil participate in the biogeochemical cycling of nitrogen, which profoundly impact on the fertility and greenhouse gas (GHG) emission. However, the effects of environmental factors on the structure and functions of microbial communities have not been thoroughly elucidated. We performed the indoor microcosm study to collect the soil samples under six moisture (constant and wetting)/gas (air, 10% acetylene, oxygen and argon) regimes and investigated the alterations of bacterial community composition, nitrification/denitrification gene abundance and nitrogen metabolic functions under different conditions by high-throughput sequencing, quantitative PCR, physicochemical analyses and bioinformatics. It was found that the N2O/CO2 emission under six moisture/gas regimes were significantly different (p &lt; 0.001), the processing time also dramatically influenced the GHG emission, and there were considerable interactions between moisture/gas regime and processing time. The impact of moisture/gas regimes, processing time and interaction item on NH4+-N and NO3--N was also conspicuous. The moisture/gas regime significantly affected the community diversity rather than community richness. The key responsive bacterial classes under different gas conditions were Gammaproteobacteria, Bacteroidia and Alphaproteobacteria, in contrast to Actinobacteria, Alphaproteobacteria and Thermoleophilia under different moisture regimes. The abundance of Piscinibacter, Chujaibacter, Symbiobacteraceae and Acidobacteriales species was positively correlated with moisture and N2O emission, and denitrification, nitrate reduction to ammonium, nitrification, nitrogen mineralization/fixation were the dominant processes of nitrogen cycle in black soil, which were supported by co-occurring network analyses and Spearman correlation heatmap. The hub nodes and connection mode of microbial nitrogen-cycling network differ under six moisture/gas regimes, and the same species could be active in multiple major nitrogen turnover processes simultaneously. These findings shed light on the prevention and control of soil fertility decline and global warming.","author":[{"dropping-particle":"","family":"Hao","given":"Da Cheng","non-dropping-particle":"","parse-names":false,"suffix":""},{"dropping-particle":"","family":"Wang","given":"Lei","non-dropping-particle":"","parse-names":false,"suffix":""},{"dropping-particle":"","family":"Gao","given":"Wei","non-dropping-particle":"","parse-names":false,"suffix":""},{"dropping-particle":"","family":"Xie","given":"Hongtu","non-dropping-particle":"","parse-names":false,"suffix":""},{"dropping-particle":"","family":"Bao","given":"Xuelian","non-dropping-particle":"","parse-names":false,"suffix":""},{"dropping-particle":"","family":"Jia","given":"Zhongjun","non-dropping-particle":"","parse-names":false,"suffix":""},{"dropping-particle":"","family":"Wang","given":"Lianfeng","non-dropping-particle":"","parse-names":false,"suffix":""}],"container-title":"Eurasian Soil Science","id":"ITEM-1","issued":{"date-parts":[["2021"]]},"page":"S42-S61","title":"Disentangling effects of moisture/gas regimes on microbial community, network configuration and nitrogen turnover of black soil","type":"article-journal","volume":"54"},"uris":["http://www.mendeley.com/documents/?uuid=3b1a474a-6972-49a3-a0ae-9bc6a1dfc42b"]},{"id":"ITEM-2","itemData":{"DOI":"10.1186/s40793-024-00643-9","ISSN":"25246372","abstract":"In agroecosystems, nitrous oxide (N₂O) emissions are influenced by both microbiome composition and soil properties, yet the relative importance of these factors in determining differential N₂O emissions remains unclear. This study investigates the impacts of these factors on N₂O emissions using two primary agricultural soils from northern China: fluvo-aquic soil (FS) from the North China Plain and black soil (BS) from Northeast China, which exhibit significant differences in physicochemical properties. In non-sterilized controls (NSC), we observed distinct denitrifying bacterial phenotypes between FS and BS, with BS exhibiting significantly higher N₂O emissions. Cross-inoculation experiments were conducted by introducing extracted microbiomes into sterile recipient soils of both types to disentangle the relative contributions of soil properties and microbiomes on N₂O emission potential. The results showed recipient-soil-dependent gas kinetics, with significantly higher N₂O/(N₂O + N₂) ratios in BS compared to FS, regardless of the inoculum type. Metagenomic analysis further revealed significant shifts in denitrification genes and microbial diversity of the inoculated bacteriomes influenced by the recipient soil. The higher ratios of nirS/nosZ in FS and nirK/nosZ in BS indicated that the recipient soil dictates the formation of different denitrifying guilds. Specifically, the BS environment fosters nirK-based denitrifiers like Rhodanobacter, contributing to higher N₂O accumulation, while FS supports a diverse array of denitrifiers, including Pseudomonas and Stutzerimonas, associated with complete denitrification and lower N₂O emissions. This study underscores the critical role of soil properties in shaping microbial community dynamics and greenhouse gas emissions. These findings highlight the importance of considering soil physicochemical properties in managing agricultural practices to mitigate N₂O emissions.","author":[{"dropping-particle":"","family":"Bano","given":"Saira","non-dropping-particle":"","parse-names":false,"suffix":""},{"dropping-particle":"","family":"Wu","given":"Qiaoyu","non-dropping-particle":"","parse-names":false,"suffix":""},{"dropping-particle":"","family":"Yu","given":"Siyu","non-dropping-particle":"","parse-names":false,"suffix":""},{"dropping-particle":"","family":"Wang","given":"Xinhui","non-dropping-particle":"","parse-names":false,"suffix":""},{"dropping-particle":"","family":"Zhang","given":"Xiaojun","non-dropping-particle":"","parse-names":false,"suffix":""}],"container-title":"Environmental Microbiome","id":"ITEM-2","issue":"1","issued":{"date-parts":[["2024"]]},"title":"Soil properties drive nitrous oxide accumulation patterns by shaping denitrifying bacteriomes","type":"article-journal","volume":"19"},"uris":["http://www.mendeley.com/documents/?uuid=0c8d92ee-76fd-40ee-8925-84dc00dd251a"]}],"mendeley":{"formattedCitation":"(Hao et al., 2021; Bano et al., 2024)","plainTextFormattedCitation":"(Hao et al., 2021; Bano et al., 2024)","previouslyFormattedCitation":"(Hao et al., 2021; Bano et al., 2024)"},"properties":{"noteIndex":0},"schema":"https://github.com/citation-style-language/schema/raw/master/csl-citation.json"}</w:instrText>
      </w:r>
      <w:r w:rsidRPr="00203EB0">
        <w:rPr>
          <w:b/>
          <w:caps/>
        </w:rPr>
        <w:fldChar w:fldCharType="separate"/>
      </w:r>
      <w:r w:rsidRPr="00203EB0">
        <w:rPr>
          <w:noProof/>
        </w:rPr>
        <w:t>(Hao et al., 2021; Bano et al., 2024)</w:t>
      </w:r>
      <w:r w:rsidRPr="00203EB0">
        <w:rPr>
          <w:b/>
          <w:caps/>
        </w:rPr>
        <w:fldChar w:fldCharType="end"/>
      </w:r>
      <w:r w:rsidRPr="00203EB0">
        <w:t xml:space="preserve">. Archaea from the genus </w:t>
      </w:r>
      <w:r w:rsidRPr="00203EB0">
        <w:rPr>
          <w:i/>
        </w:rPr>
        <w:t xml:space="preserve">Candidatus </w:t>
      </w:r>
      <w:proofErr w:type="spellStart"/>
      <w:r w:rsidRPr="00203EB0">
        <w:t>Nitrosotalea</w:t>
      </w:r>
      <w:proofErr w:type="spellEnd"/>
      <w:r w:rsidRPr="00203EB0">
        <w:t xml:space="preserve"> are </w:t>
      </w:r>
      <w:r w:rsidR="00A23FC4">
        <w:t>well-known</w:t>
      </w:r>
      <w:r w:rsidRPr="00203EB0">
        <w:t xml:space="preserve"> ammonia-oxidizing archaea (AOA) in acidic soils and are </w:t>
      </w:r>
      <w:r w:rsidR="00A23FC4">
        <w:t>recognized</w:t>
      </w:r>
      <w:r w:rsidRPr="00203EB0">
        <w:t xml:space="preserve"> contributors to N</w:t>
      </w:r>
      <w:r w:rsidRPr="00203EB0">
        <w:rPr>
          <w:vertAlign w:val="subscript"/>
        </w:rPr>
        <w:t>2</w:t>
      </w:r>
      <w:r w:rsidRPr="00203EB0">
        <w:t xml:space="preserve">O emissions </w:t>
      </w:r>
      <w:r w:rsidRPr="00203EB0">
        <w:rPr>
          <w:b/>
          <w:caps/>
        </w:rPr>
        <w:fldChar w:fldCharType="begin" w:fldLock="1"/>
      </w:r>
      <w:r w:rsidRPr="00203EB0">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approach.","author":[{"dropping-particle":"","family":"Pu","given":"Jiaoyang","non-dropping-particle":"","parse-names":false,"suffix":""}],"container-title":"The University of Queensland, Australia","id":"ITEM-1","issue":"1","issued":{"date-parts":[["2019"]]},"number-of-pages":"1-140","publisher":"The University of Queensland","title":"Enrichment and characterisation of novel microorganisms involved in the nitrogen cycle Jiaoyang","type":"thesis"},"uris":["http://www.mendeley.com/documents/?uuid=fc070e6d-9048-4794-8fa4-31b1fb298509"]}],"mendeley":{"formattedCitation":"(Pu, 2019)","plainTextFormattedCitation":"(Pu, 2019)","previouslyFormattedCitation":"(Pu, 2019)"},"properties":{"noteIndex":0},"schema":"https://github.com/citation-style-language/schema/raw/master/csl-citation.json"}</w:instrText>
      </w:r>
      <w:r w:rsidRPr="00203EB0">
        <w:rPr>
          <w:b/>
          <w:caps/>
        </w:rPr>
        <w:fldChar w:fldCharType="separate"/>
      </w:r>
      <w:r w:rsidRPr="00203EB0">
        <w:rPr>
          <w:noProof/>
        </w:rPr>
        <w:t>(Pu, 2019)</w:t>
      </w:r>
      <w:r w:rsidRPr="00203EB0">
        <w:rPr>
          <w:b/>
          <w:caps/>
        </w:rPr>
        <w:fldChar w:fldCharType="end"/>
      </w:r>
      <w:r w:rsidRPr="00203EB0">
        <w:t xml:space="preserve">. Other positively associated taxa, such as </w:t>
      </w:r>
      <w:proofErr w:type="spellStart"/>
      <w:r w:rsidRPr="00203EB0">
        <w:rPr>
          <w:i/>
        </w:rPr>
        <w:t>Gemmatimonas</w:t>
      </w:r>
      <w:proofErr w:type="spellEnd"/>
      <w:r w:rsidRPr="00203EB0">
        <w:t xml:space="preserve"> and </w:t>
      </w:r>
      <w:proofErr w:type="spellStart"/>
      <w:r w:rsidRPr="00203EB0">
        <w:rPr>
          <w:iCs/>
        </w:rPr>
        <w:t>Acetobacteraceae</w:t>
      </w:r>
      <w:proofErr w:type="spellEnd"/>
      <w:r w:rsidRPr="00203EB0">
        <w:t xml:space="preserve"> sp., have been identified as </w:t>
      </w:r>
      <w:proofErr w:type="spellStart"/>
      <w:r w:rsidRPr="00203EB0">
        <w:t>denitrifiers</w:t>
      </w:r>
      <w:proofErr w:type="spellEnd"/>
      <w:r w:rsidRPr="00203EB0">
        <w:t xml:space="preserve"> </w:t>
      </w:r>
      <w:r w:rsidRPr="00203EB0">
        <w:rPr>
          <w:b/>
          <w:caps/>
        </w:rPr>
        <w:fldChar w:fldCharType="begin" w:fldLock="1"/>
      </w:r>
      <w:r w:rsidRPr="00203EB0">
        <w:instrText>ADDIN CSL_CITATION {"citationItems":[{"id":"ITEM-1","itemData":{"DOI":"10.1186/s40793-022-00424-2","ISSN":"25246372","abstract":"Background: In contrast to earlier assumptions, there is now mounting evidence for the role of tundra soils as important sources of the greenhouse gas nitrous oxide (N2O). However, the microorganisms involved in the cycling of N2O in this system remain largely uncharacterized. Since tundra soils are variable sources and sinks of N2O, we aimed at investigating differences in community structure across different soil ecosystems in the tundra. Results: We analysed 1.4 Tb of metagenomic data from soils in northern Finland covering a range of ecosystems from dry upland soils to water-logged fens and obtained 796 manually binned and curated metagenome-assembled genomes (MAGs). We then searched for MAGs harbouring genes involved in denitrification, an important process driving N2O emissions. Communities of potential denitrifiers were dominated by microorganisms with truncated denitrification pathways (i.e., lacking one or more denitrification genes) and differed across soil ecosystems. Upland soils showed a strong N2O sink potential and were dominated by members of the Alphaproteobacteria such as Bradyrhizobium and Reyranella. Fens, which had in general net-zero N2O fluxes, had a high abundance of poorly characterized taxa affiliated with the Chloroflexota lineage Ellin6529 and the Acidobacteriota subdivision Gp23. Conclusions: By coupling an in-depth characterization of microbial communities with in situ measurements of N2O fluxes, our results suggest that the observed spatial patterns of N2O fluxes in the tundra are related to differences in the composition of denitrifier communities.","author":[{"dropping-particle":"","family":"Pessi","given":"Igor S.","non-dropping-particle":"","parse-names":false,"suffix":""},{"dropping-particle":"","family":"Viitamäki","given":"Sirja","non-dropping-particle":"","parse-names":false,"suffix":""},{"dropping-particle":"","family":"Virkkala","given":"Anna Maria","non-dropping-particle":"","parse-names":false,"suffix":""},{"dropping-particle":"","family":"Eronen-Rasimus","given":"Eeva","non-dropping-particle":"","parse-names":false,"suffix":""},{"dropping-particle":"","family":"Delmont","given":"Tom O.","non-dropping-particle":"","parse-names":false,"suffix":""},{"dropping-particle":"","family":"Marushchak","given":"Maija E.","non-dropping-particle":"","parse-names":false,"suffix":""},{"dropping-particle":"","family":"Luoto","given":"Miska","non-dropping-particle":"","parse-names":false,"suffix":""},{"dropping-particle":"","family":"Hultman","given":"Jenni","non-dropping-particle":"","parse-names":false,"suffix":""}],"container-title":"Environmental Microbiomes","id":"ITEM-1","issue":"1","issued":{"date-parts":[["2022"]]},"page":"1-17","publisher":"BioMed Central","title":"In-depth characterization of denitrifier communities across different soil ecosystems in the tundra","type":"article-journal","volume":"17"},"uris":["http://www.mendeley.com/documents/?uuid=10f8a47d-9219-4101-a385-f4b356a50667"]},{"id":"ITEM-2","itemData":{"DOI":"10.1016/j.envint.2024.109028","ISSN":"18736750","abstract":"The use of biochar to reduce the gas emissions from paddy soils is a promising approach. However, the manner in which biochar and soil microbial communities interact to affect CO2, CH4, and N2O emissions is not clearly understood, particularly when compared with other amendments. In this study, high-throughput sequencing, soil metabolomics, and quantitative real-time PCR were utilized to compare the effects of biochar (BC) and organic manure (OM) on soil microbial community structure, metabolomic profiles and functional genes, and ultimately CO2, CH4, and N2O emissions. Results indicated that BC and OM had opposite effects on soil CO2 and N2O emissions, with BC resulting in lower emissions and OM resulting in higher emissions, whereas BC, OM, and their combined amendments increased cumulative CH4 emissions by 19.5 %, 31.6 %, and 49.1 %, respectively. BC amendment increased the abundance of methanogens (Methanobacterium and Methanocella) and denitrifying bacteria (Anaerolinea and Gemmatimonas), resulting in an increase in the abundance of mcrA, amoA, amoB, and nosZ genes and the secretion of a flavonoid (chrysosplenetin), which caused the generation of CH4 and the reduction of N2O to N2, thereby accelerating CH4 emissions while reducing N2O emissions. Simultaneously, OM amendment increased the abundance of the methanogen Caldicoprobacter and denitrifying Acinetobacter, resulting in increased abundance of mcrA, amoA, amoB, nirK, and nirS genes and the catabolism of carbohydrates [maltotriose, D-(+)-melezitose, D-(+)-cellobiose, and maltotetraose], thereby enhancing CH4 and N2O emissions. Moreover, puerarin produced by Bacillus metabolism may contribute to the reduction in CO2 emissions by BC amendment, but increase in CO2 emissions by OM amendment. These findings reveal how BC and OM affect greenhouse gas emissions by modulating soil microbial communities, functional genes, and metabolomic profiles.","author":[{"dropping-particle":"","family":"Xiao","given":"Wendan","non-dropping-particle":"","parse-names":false,"suffix":""},{"dropping-particle":"","family":"Zhang","given":"Qi","non-dropping-particle":"","parse-names":false,"suffix":""},{"dropping-particle":"","family":"Zhao","given":"Shouping","non-dropping-particle":"","parse-names":false,"suffix":""},{"dropping-particle":"","family":"Chen","given":"De","non-dropping-particle":"","parse-names":false,"suffix":""},{"dropping-particle":"","family":"Zhao","given":"Zhen","non-dropping-particle":"","parse-names":false,"suffix":""},{"dropping-particle":"","family":"Gao","given":"Na","non-dropping-particle":"","parse-names":false,"suffix":""},{"dropping-particle":"","family":"Huang","given":"Miaojie","non-dropping-particle":"","parse-names":false,"suffix":""},{"dropping-particle":"","family":"Ye","given":"Xuezhu","non-dropping-particle":"","parse-names":false,"suffix":""}],"container-title":"Environment International","id":"ITEM-2","issue":"July","issued":{"date-parts":[["2024"]]},"page":"109028","publisher":"Elsevier Ltd","title":"Combined metabolomic and microbial community analyses reveal that biochar and organic manure alter soil C-N metabolism and greenhouse gas emissions","type":"article-journal","volume":"192"},"uris":["http://www.mendeley.com/documents/?uuid=99782b2e-a0e7-4b30-972a-030b8e239189"]}],"mendeley":{"formattedCitation":"(Pessi et al., 2022; Xiao et al., 2024)","plainTextFormattedCitation":"(Pessi et al., 2022; Xiao et al., 2024)","previouslyFormattedCitation":"(Pessi et al., 2022; Xiao et al., 2024)"},"properties":{"noteIndex":0},"schema":"https://github.com/citation-style-language/schema/raw/master/csl-citation.json"}</w:instrText>
      </w:r>
      <w:r w:rsidRPr="00203EB0">
        <w:rPr>
          <w:b/>
          <w:caps/>
        </w:rPr>
        <w:fldChar w:fldCharType="separate"/>
      </w:r>
      <w:r w:rsidRPr="00203EB0">
        <w:rPr>
          <w:noProof/>
        </w:rPr>
        <w:t>(Pessi et al., 2022; Xiao et al., 2024)</w:t>
      </w:r>
      <w:r w:rsidRPr="00203EB0">
        <w:rPr>
          <w:b/>
          <w:caps/>
        </w:rPr>
        <w:fldChar w:fldCharType="end"/>
      </w:r>
      <w:r w:rsidRPr="00203EB0">
        <w:t xml:space="preserve">, while </w:t>
      </w:r>
      <w:proofErr w:type="spellStart"/>
      <w:r w:rsidRPr="00203EB0">
        <w:rPr>
          <w:iCs/>
        </w:rPr>
        <w:t>Ktedonobacteraceae</w:t>
      </w:r>
      <w:proofErr w:type="spellEnd"/>
      <w:r w:rsidRPr="00203EB0">
        <w:t xml:space="preserve"> and </w:t>
      </w:r>
      <w:proofErr w:type="spellStart"/>
      <w:r w:rsidRPr="00203EB0">
        <w:rPr>
          <w:iCs/>
        </w:rPr>
        <w:t>Micromonosporaceae</w:t>
      </w:r>
      <w:proofErr w:type="spellEnd"/>
      <w:r w:rsidRPr="00203EB0">
        <w:t xml:space="preserve"> have been linked to N</w:t>
      </w:r>
      <w:r w:rsidRPr="00203EB0">
        <w:rPr>
          <w:vertAlign w:val="subscript"/>
        </w:rPr>
        <w:t>2</w:t>
      </w:r>
      <w:r w:rsidRPr="00203EB0">
        <w:t xml:space="preserve">O emissions in fertilized soils </w:t>
      </w:r>
      <w:r w:rsidRPr="00203EB0">
        <w:rPr>
          <w:b/>
          <w:caps/>
        </w:rPr>
        <w:fldChar w:fldCharType="begin" w:fldLock="1"/>
      </w:r>
      <w:r w:rsidRPr="00203EB0">
        <w:instrText>ADDIN CSL_CITATION {"citationItems":[{"id":"ITEM-1","itemData":{"DOI":"10.1016/j.envpol.2019.113347","ISSN":"18736424","PMID":"31672352","abstract":"Microplastics (MPs) are characterized by small particle sizes (&lt;5 mm) and are widely distributed in the soil environment. To date, little research has been conducted on investigating the effects of MPs on the soil microbial community, which plays a vital role in biogeochemical cycling. In the present study, we investigate the influence of two particle sizes of MPs on dissolved organic carbon (DOC) and its relative functional groups, fluxes of greenhouse gases (GHGs), and the bacterial and fungal communities in fertilized soil. The results showed that a 5% concentration of MPs had no significant effect on soil DOC, whereas the formation of aromatic functional groups was accelerated. In fertilized soil, the existence of MPs decreased the global warming potential (GWP) as a result of a reduction in N2O emissions during the first three days. A potential mechanism for this reduction in N2O emissions might be that MPs inhibited the phylum Chloroflexi, Rhodoplanes genera, and increased the abundance of Thermoleophilia on day 3. An increase in N2O emissions was observed on day 30, mainly due to the acceleration of the NO3− reduction and a decrease in the abundance of Gemmatimonadacea. The CH4 uptake was significantly correlated with Hyphomicrobiaceae on day 3 and Rhodomicrobium on day 30. In soil with MPs, Actinobacteria replaced Proteobacteria as the dominant phylum. Larger MPs increased the richness (Chao1) and abundance-based coverage estimators (ACE) and diversity (Shannon) of the bacterial community on day 3, whereas these decreased on day 30. The richness and diversity of the fungal community were also reduced on days 3 and 30. Smaller MPs increased the community richness and diversity of both bacterial and fungal communities in fertilized soil. Our findings suggest that MPs have selective effects on microbes and can potentially have a serious impact on terrestrial biogeochemical cycles.","author":[{"dropping-particle":"","family":"Ren","given":"Xinwei","non-dropping-particle":"","parse-names":false,"suffix":""},{"dropping-particle":"","family":"Tang","given":"Jingchun","non-dropping-particle":"","parse-names":false,"suffix":""},{"dropping-particle":"","family":"Liu","given":"Xiaomei","non-dropping-particle":"","parse-names":false,"suffix":""},{"dropping-particle":"","family":"Liu","given":"Qinglong","non-dropping-particle":"","parse-names":false,"suffix":""}],"container-title":"Environmental Pollution","id":"ITEM-1","issued":{"date-parts":[["2020"]]},"page":"113347","publisher":"Elsevier Ltd","title":"Effects of microplastics on greenhouse gas emissions and the microbial community in fertilized soil","type":"article-journal","volume":"256"},"uris":["http://www.mendeley.com/documents/?uuid=7cc3f562-3f86-4761-88c7-9a864017a0b5"]},{"id":"ITEM-2","itemData":{"DOI":"10.1016/j.soilbio.2024.109453","ISSN":"00380717","abstract":"Intensively fertilized acidic soils are global hotspots of nitrous oxide (N2O) emissions, contributing to net agronomic greenhouse gas outcomes. Identifying the key drivers of soil N2O emissions is hampered by the synergistic or antagonistic effects of multiple factors. Within a framework based on the predominant role of microbial communities producing N2O, the N2O emissions are affected either by proximal regulators: temporary soil property fluctuations affect N2O production transcriptionally, or by distal regulators: persistent genetic rearrangements in local microbial communities. The proximal regulators, individually or together, may spontaneously impact distal regulators. Here, we use acidic soils from tea (Camellia sinensis L.) plantations on a broader geographic scale as a model system. Based on amplicon sequencing and properties of 195 acidic (average pH = 5.0) soils, we determined the importance of proximal and distal regulation to N2O emissions. Microbial phylogenetic diversity as a distal regulator overwhelms mineral N content as a proximal regulator in explaining high N2O emissions. Low-abundance, diverse prokaryotic communities (e.g., Acidothermu) and specialized denitrifying fungal communities (e.g., Fusarium) were associated with high N2O emissions. Revisiting the impact of proximal regulators on distal regulators revealed that soil pH is the sole proximal regulator influencing the prokaryotic rare taxa that correlated with high N2O emissions. When considering proximal regulators together (here soil properties compiled as soil fertility index), the microbial diversity were independent of soil fertility. The microbial assembly was dominated by stochastic processes. Consequently, proximal regulators have a limited impact on distal regulators of N2O emissions from acidic soils. In conclusion, the framework underscored the importance of in situ microbial communities as distal regulators in explaining high N2O emissions from acidic soils.","author":[{"dropping-particle":"","family":"Xu","given":"Shengwen","non-dropping-particle":"","parse-names":false,"suffix":""},{"dropping-particle":"","family":"Yu","given":"Yongxiang","non-dropping-particle":"","parse-names":false,"suffix":""},{"dropping-particle":"","family":"Fan","given":"Haoxin","non-dropping-particle":"","parse-names":false,"suffix":""},{"dropping-particle":"","family":"Bilyera","given":"Nataliya","non-dropping-particle":"","parse-names":false,"suffix":""},{"dropping-particle":"","family":"Meng","given":"Xiangtian","non-dropping-particle":"","parse-names":false,"suffix":""},{"dropping-particle":"","family":"Xue","given":"Jiantao","non-dropping-particle":"","parse-names":false,"suffix":""},{"dropping-particle":"","family":"Lu","given":"Zhong","non-dropping-particle":"","parse-names":false,"suffix":""},{"dropping-particle":"","family":"Yang","given":"Zhihan","non-dropping-particle":"","parse-names":false,"suffix":""},{"dropping-particle":"","family":"Chapman","given":"Stephen J.","non-dropping-particle":"","parse-names":false,"suffix":""},{"dropping-particle":"","family":"Gao","given":"Fuyun","non-dropping-particle":"","parse-names":false,"suffix":""},{"dropping-particle":"","family":"Han","given":"Wenyan","non-dropping-particle":"","parse-names":false,"suffix":""},{"dropping-particle":"","family":"Li","given":"Yaying","non-dropping-particle":"","parse-names":false,"suffix":""},{"dropping-particle":"","family":"Zheng","given":"Ningguo","non-dropping-particle":"","parse-names":false,"suffix":""},{"dropping-particle":"","family":"Yao","given":"Huaiying","non-dropping-particle":"","parse-names":false,"suffix":""},{"dropping-particle":"","family":"Kuzyakov","given":"Yakov","non-dropping-particle":"","parse-names":false,"suffix":""}],"container-title":"Soil Biology and Biochemistry","id":"ITEM-2","issue":"April","issued":{"date-parts":[["2024"]]},"page":"109453","publisher":"Elsevier Ltd","title":"Microbial communities overwhelm environmental controls in explaining nitrous oxide emission in acidic soils","type":"article-journal","volume":"194"},"uris":["http://www.mendeley.com/documents/?uuid=e6656caa-026b-44fd-a61d-266956cdf0be"]}],"mendeley":{"formattedCitation":"(Ren et al., 2020; Xu et al., 2024)","plainTextFormattedCitation":"(Ren et al., 2020; Xu et al., 2024)","previouslyFormattedCitation":"(Ren et al., 2020; Xu et al., 2024)"},"properties":{"noteIndex":0},"schema":"https://github.com/citation-style-language/schema/raw/master/csl-citation.json"}</w:instrText>
      </w:r>
      <w:r w:rsidRPr="00203EB0">
        <w:rPr>
          <w:b/>
          <w:caps/>
        </w:rPr>
        <w:fldChar w:fldCharType="separate"/>
      </w:r>
      <w:r w:rsidRPr="00203EB0">
        <w:rPr>
          <w:noProof/>
        </w:rPr>
        <w:t>(Ren et al., 2020; Xu et al., 2024)</w:t>
      </w:r>
      <w:r w:rsidRPr="00203EB0">
        <w:rPr>
          <w:b/>
          <w:caps/>
        </w:rPr>
        <w:fldChar w:fldCharType="end"/>
      </w:r>
      <w:r w:rsidRPr="00203EB0">
        <w:t xml:space="preserve">. In contrast, </w:t>
      </w:r>
      <w:proofErr w:type="spellStart"/>
      <w:r w:rsidRPr="00203EB0">
        <w:rPr>
          <w:i/>
        </w:rPr>
        <w:t>Pseudarthrobacter</w:t>
      </w:r>
      <w:proofErr w:type="spellEnd"/>
      <w:r w:rsidRPr="00203EB0">
        <w:t xml:space="preserve"> was negatively correlated with N</w:t>
      </w:r>
      <w:r w:rsidRPr="00203EB0">
        <w:rPr>
          <w:vertAlign w:val="subscript"/>
        </w:rPr>
        <w:t>2</w:t>
      </w:r>
      <w:r w:rsidRPr="00203EB0">
        <w:t xml:space="preserve">O fluxes. Previous studies have shown that biochar amendments can increase the abundance of </w:t>
      </w:r>
      <w:proofErr w:type="spellStart"/>
      <w:r w:rsidRPr="00203EB0">
        <w:rPr>
          <w:i/>
        </w:rPr>
        <w:t>Pseudarthrobacter</w:t>
      </w:r>
      <w:proofErr w:type="spellEnd"/>
      <w:r w:rsidRPr="00203EB0">
        <w:rPr>
          <w:i/>
        </w:rPr>
        <w:t xml:space="preserve"> </w:t>
      </w:r>
      <w:r w:rsidRPr="00203EB0">
        <w:t>while reducing N</w:t>
      </w:r>
      <w:r w:rsidRPr="00203EB0">
        <w:rPr>
          <w:vertAlign w:val="subscript"/>
        </w:rPr>
        <w:t>2</w:t>
      </w:r>
      <w:r w:rsidRPr="00203EB0">
        <w:t xml:space="preserve">O emissions, likely by promoting denitrifying reductases (NAR, NIR, NOR, and NOS) and enhancing complete denitrification </w:t>
      </w:r>
      <w:r w:rsidRPr="00203EB0">
        <w:rPr>
          <w:b/>
          <w:caps/>
        </w:rPr>
        <w:fldChar w:fldCharType="begin" w:fldLock="1"/>
      </w:r>
      <w:r w:rsidRPr="00203EB0">
        <w:instrText>ADDIN CSL_CITATION {"citationItems":[{"id":"ITEM-1","itemData":{"author":[{"dropping-particle":"","family":"Su","given":"XiaoXuan","non-dropping-particle":"","parse-names":false,"suffix":""},{"dropping-particle":"","family":"Wang","given":"YiYu","non-dropping-particle":"","parse-names":false,"suffix":""},{"dropping-particle":"","family":"He","given":"Qiang","non-dropping-particle":"","parse-names":false,"suffix":""},{"dropping-particle":"","family":"Hu","given":"XueBin","non-dropping-particle":"","parse-names":false,"suffix":""},{"dropping-particle":"","family":"Chen","given":"Yi","non-dropping-particle":"","parse-names":false,"suffix":""}],"container-title":"Chemical Engineering Journal","id":"ITEM-1","issue":"42","issued":{"date-parts":[["2019"]]},"page":"587-594","title":"Biochar remediates denitrification process and N2O emission in pesticide chlorothalonil-polluted soil: role of electron transport chain.","type":"article-journal","volume":"370"},"uris":["http://www.mendeley.com/documents/?uuid=5fa85c44-5027-4c89-8829-e620389d1905"]}],"mendeley":{"formattedCitation":"(Su et al., 2019)","plainTextFormattedCitation":"(Su et al., 2019)","previouslyFormattedCitation":"(Su et al., 2019)"},"properties":{"noteIndex":0},"schema":"https://github.com/citation-style-language/schema/raw/master/csl-citation.json"}</w:instrText>
      </w:r>
      <w:r w:rsidRPr="00203EB0">
        <w:rPr>
          <w:b/>
          <w:caps/>
        </w:rPr>
        <w:fldChar w:fldCharType="separate"/>
      </w:r>
      <w:r w:rsidRPr="00203EB0">
        <w:rPr>
          <w:noProof/>
        </w:rPr>
        <w:t xml:space="preserve">(Su et al., </w:t>
      </w:r>
      <w:r w:rsidRPr="00203EB0">
        <w:rPr>
          <w:noProof/>
        </w:rPr>
        <w:lastRenderedPageBreak/>
        <w:t>2019)</w:t>
      </w:r>
      <w:r w:rsidRPr="00203EB0">
        <w:rPr>
          <w:b/>
          <w:caps/>
        </w:rPr>
        <w:fldChar w:fldCharType="end"/>
      </w:r>
      <w:r w:rsidRPr="00203EB0">
        <w:t xml:space="preserve">. </w:t>
      </w:r>
      <w:r w:rsidR="00540B2B">
        <w:t>These associations should be interpreted as correlations with N</w:t>
      </w:r>
      <w:r w:rsidR="00540B2B" w:rsidRPr="00360E4A">
        <w:rPr>
          <w:vertAlign w:val="subscript"/>
        </w:rPr>
        <w:t>2</w:t>
      </w:r>
      <w:r w:rsidR="00540B2B">
        <w:t>O fluxes, not direct evidence of gene presence or activity in this study.</w:t>
      </w:r>
    </w:p>
    <w:p w14:paraId="625F87D1" w14:textId="3A0FAF41" w:rsidR="008D0B4C" w:rsidRPr="00203EB0" w:rsidRDefault="008D0B4C" w:rsidP="00D56363">
      <w:pPr>
        <w:spacing w:line="480" w:lineRule="auto"/>
        <w:rPr>
          <w:b/>
          <w:caps/>
        </w:rPr>
      </w:pPr>
      <w:r w:rsidRPr="00203EB0">
        <w:t>In the subsoil, most of the top ten taxa associated with N</w:t>
      </w:r>
      <w:r w:rsidRPr="00203EB0">
        <w:rPr>
          <w:vertAlign w:val="subscript"/>
        </w:rPr>
        <w:t>2</w:t>
      </w:r>
      <w:r w:rsidRPr="00203EB0">
        <w:t xml:space="preserve">O emissions differed from those in the surface layer. These included taxa from the groups </w:t>
      </w:r>
      <w:proofErr w:type="spellStart"/>
      <w:r w:rsidRPr="00203EB0">
        <w:rPr>
          <w:i/>
        </w:rPr>
        <w:t>Anaeromyxobacter</w:t>
      </w:r>
      <w:proofErr w:type="spellEnd"/>
      <w:r w:rsidRPr="00203EB0">
        <w:rPr>
          <w:i/>
        </w:rPr>
        <w:t xml:space="preserve">, </w:t>
      </w:r>
      <w:proofErr w:type="spellStart"/>
      <w:r w:rsidRPr="00203EB0">
        <w:rPr>
          <w:i/>
        </w:rPr>
        <w:t>Pseudogulbenkiana</w:t>
      </w:r>
      <w:proofErr w:type="spellEnd"/>
      <w:r w:rsidRPr="00203EB0">
        <w:rPr>
          <w:i/>
        </w:rPr>
        <w:t xml:space="preserve">, </w:t>
      </w:r>
      <w:proofErr w:type="spellStart"/>
      <w:r w:rsidRPr="00203EB0">
        <w:rPr>
          <w:i/>
        </w:rPr>
        <w:t>Conexibater</w:t>
      </w:r>
      <w:proofErr w:type="spellEnd"/>
      <w:r w:rsidRPr="00203EB0">
        <w:rPr>
          <w:i/>
        </w:rPr>
        <w:t xml:space="preserve">, </w:t>
      </w:r>
      <w:r w:rsidRPr="00203EB0">
        <w:rPr>
          <w:i/>
          <w:iCs/>
        </w:rPr>
        <w:t>Candidatus</w:t>
      </w:r>
      <w:r w:rsidRPr="00203EB0">
        <w:rPr>
          <w:i/>
        </w:rPr>
        <w:t xml:space="preserve"> </w:t>
      </w:r>
      <w:proofErr w:type="spellStart"/>
      <w:r w:rsidRPr="00203EB0">
        <w:t>Nitrosotalea</w:t>
      </w:r>
      <w:proofErr w:type="spellEnd"/>
      <w:r w:rsidRPr="00203EB0">
        <w:rPr>
          <w:i/>
        </w:rPr>
        <w:t>,</w:t>
      </w:r>
      <w:r w:rsidRPr="00203EB0">
        <w:t xml:space="preserve"> and members of </w:t>
      </w:r>
      <w:r w:rsidRPr="00203EB0">
        <w:rPr>
          <w:iCs/>
        </w:rPr>
        <w:t>A21b</w:t>
      </w:r>
      <w:r w:rsidRPr="00203EB0">
        <w:rPr>
          <w:i/>
        </w:rPr>
        <w:t xml:space="preserve">, </w:t>
      </w:r>
      <w:r w:rsidRPr="00203EB0">
        <w:rPr>
          <w:iCs/>
        </w:rPr>
        <w:t>Amb-16S-1323</w:t>
      </w:r>
      <w:r w:rsidRPr="00203EB0">
        <w:t xml:space="preserve">, </w:t>
      </w:r>
      <w:r w:rsidRPr="00203EB0">
        <w:rPr>
          <w:iCs/>
        </w:rPr>
        <w:t>SC-I-84</w:t>
      </w:r>
      <w:r w:rsidRPr="00203EB0">
        <w:rPr>
          <w:i/>
        </w:rPr>
        <w:t xml:space="preserve">, </w:t>
      </w:r>
      <w:proofErr w:type="spellStart"/>
      <w:r w:rsidRPr="00203EB0">
        <w:rPr>
          <w:iCs/>
        </w:rPr>
        <w:t>Micropepsaceae</w:t>
      </w:r>
      <w:proofErr w:type="spellEnd"/>
      <w:r w:rsidRPr="00203EB0">
        <w:t xml:space="preserve">, and </w:t>
      </w:r>
      <w:proofErr w:type="spellStart"/>
      <w:r w:rsidRPr="00203EB0">
        <w:rPr>
          <w:iCs/>
        </w:rPr>
        <w:t>Methanomassiliicoccales</w:t>
      </w:r>
      <w:proofErr w:type="spellEnd"/>
      <w:r w:rsidRPr="00203EB0">
        <w:t xml:space="preserve">. Members of </w:t>
      </w:r>
      <w:proofErr w:type="spellStart"/>
      <w:r w:rsidRPr="00203EB0">
        <w:rPr>
          <w:iCs/>
        </w:rPr>
        <w:t>Thermoplasmata</w:t>
      </w:r>
      <w:proofErr w:type="spellEnd"/>
      <w:r w:rsidRPr="00203EB0">
        <w:rPr>
          <w:i/>
        </w:rPr>
        <w:t xml:space="preserve"> </w:t>
      </w:r>
      <w:r w:rsidRPr="00203EB0">
        <w:t xml:space="preserve">(e.g. </w:t>
      </w:r>
      <w:proofErr w:type="spellStart"/>
      <w:r w:rsidRPr="00203EB0">
        <w:rPr>
          <w:iCs/>
        </w:rPr>
        <w:t>Methanomassiliicoccales</w:t>
      </w:r>
      <w:proofErr w:type="spellEnd"/>
      <w:r w:rsidRPr="00203EB0">
        <w:t>) have been identified as anaerobic methanotrophic archaea capable of producing N</w:t>
      </w:r>
      <w:r w:rsidRPr="00203EB0">
        <w:rPr>
          <w:vertAlign w:val="subscript"/>
        </w:rPr>
        <w:t>2</w:t>
      </w:r>
      <w:r w:rsidRPr="00203EB0">
        <w:t xml:space="preserve">O as an intermediate product during denitrification </w:t>
      </w:r>
      <w:r w:rsidRPr="00203EB0">
        <w:rPr>
          <w:b/>
          <w:caps/>
        </w:rPr>
        <w:fldChar w:fldCharType="begin" w:fldLock="1"/>
      </w:r>
      <w:r w:rsidRPr="00203EB0">
        <w:instrText>ADDIN CSL_CITATION {"citationItems":[{"id":"ITEM-1","itemData":{"DOI":"10.4067/s0718-95162016005000049","ISSN":"07189516","abstract":"Nitrous oxide (N2O) is a potent greenhouse gas produced during denitrification, a process that includes several genes coding enzymes responsible for nitrogen (N) forms transformations. In volcanic ash soils of southern Chile, fertilization had increased over the last 10 years with implications for N2O emissions. Despite this, little is still known about potential denitrification and the presence of denitrifying genes. In this study we report the abundance of denitrifying genes and a basal characterization of microbial communities in five volcanic ash soils with different levels of organic matter. The denitrifying genes determination showed that nosZI predominated over nirK and nirS in all soils suggesting a complete denitrification pathway, which would explain low N2O losses in such soils. Estimation of total microorganisms studies using 16S and 18S rRNA showed that in these soils bacteria (109) was most abundant over archaea and fungi (107; p&lt;0.05). Sequences of DNA obtained by denaturant gradient gel electrophoresis (DGGE) indicated that Firmicutes, Acidobacteria and Proteobacteria are the main bacterial classes represented in Andisoils (33, 28 and 23%, respectively) but with a lower diversity. More detailed studies about denitrifiers, gene-activity relationship and N2O emissions are required.","author":[{"dropping-particle":"","family":"Carvajal","given":"A. M.","non-dropping-particle":"","parse-names":false,"suffix":""},{"dropping-particle":"","family":"Vargas","given":"R. A.","non-dropping-particle":"","parse-names":false,"suffix":""},{"dropping-particle":"","family":"Alfaro","given":"M.","non-dropping-particle":"","parse-names":false,"suffix":""}],"container-title":"Journal of Soil Science and Plant Nutrition","id":"ITEM-1","issue":"3","issued":{"date-parts":[["2016"]]},"page":"677-688","title":"Abundance of denitrifying genes and microbial community structure in volcanic soils","type":"article-journal","volume":"16"},"uris":["http://www.mendeley.com/documents/?uuid=9387462e-15df-4a01-b66b-111fba1bb21b"]},{"id":"ITEM-2","itemData":{"DOI":"10.1186/s40793-023-00503-y","ISBN":"4079302300503","ISSN":"25246372","abstract":"Background: Peatlands contain about 500 Pg of carbon worldwide and play a dual role as both a carbon sink and an important methane (CH4) source, thereby potentially influencing climate change. However, systematic studies on peat properties, microorganisms, methanogenesis, and their interrelations in peatlands remain limited, especially in China. Therefore, the present study aims to investigate the physicochemical properties, archaeal community, and predominant methanogenesis pathways in three typical peatlands in China, namely Hani (H), Taishanmiao (T), and Ruokeba (R) peatlands, and quantitively determine their CH4 production potentials. Results: These peatlands exhibited high water content (WC) and total carbon content (TC), as well as low pH values. In addition, R exhibited a lower dissolved organic carbon concentration (DOC), as well as higher total iron content (TFe) and pH values compared to those observed in T. There were also clear differences in the archaeal community between the three peatlands, especially in the deep peat layers. The average relative abundance of the total methanogens ranged from 10 to 12%, of which Methanosarcinales and Methanomicrobiales were the most abundant in peat samples (8%). In contrast, Methanobacteriales were mainly distributed in the upper peat layer (0–40 cm). Besides methanogens, Marine Benthic Group D/Deep-Sea Hydrothermal Vent Euryarchaeotic Group 1 (MBG–D/DHVEG–1), Nitrosotaleales, and several other orders of Bathyarchaeota also exhibited high relative abundances, especially in T. This finding might be due to the unique geological conditions, suggesting high archaeal diversity in peatlands. In addition, the highest and lowest CH4 production potentials were 2.38 and 0.22 μg g−1 d−1 in H and R, respectively. The distributions of the dominant methanogens were consistent with the respective methanogenesis pathways in the three peatlands. The pH, DOC, and WC were strongly correlated with CH4 production potentials. However, no relationship was found between CH4 production potential and methanogens, suggesting that CH4 production in peatlands may not be controlled by the relative abundance of methanogens. Conclusions: The results of the present study provide further insights into CH4 production in peatlands in China, highlighting the importance of the archaeal community and peat physicochemical properties for studies on methanogenesis in distinct types of peatlands.","author":[{"dropping-particle":"","family":"Chen","given":"Xuhui","non-dropping-particle":"","parse-names":false,"suffix":""},{"dropping-particle":"","family":"Xue","given":"Dan","non-dropping-particle":"","parse-names":false,"suffix":""},{"dropping-particle":"","family":"Wang","given":"Yue","non-dropping-particle":"","parse-names":false,"suffix":""},{"dropping-particle":"","family":"Qiu","given":"Qing","non-dropping-particle":"","parse-names":false,"suffix":""},{"dropping-particle":"","family":"Wu","given":"Lin","non-dropping-particle":"","parse-names":false,"suffix":""},{"dropping-particle":"","family":"Wang","given":"Meng","non-dropping-particle":"","parse-names":false,"suffix":""},{"dropping-particle":"","family":"Liu","given":"Jiawen","non-dropping-particle":"","parse-names":false,"suffix":""},{"dropping-particle":"","family":"Chen","given":"Huai","non-dropping-particle":"","parse-names":false,"suffix":""}],"container-title":"Environmental Microbiome","id":"ITEM-2","issue":"1","issued":{"date-parts":[["2023"]]},"page":"1-18","publisher":"BioMed Central","title":"Variations in the archaeal community and associated methanogenesis in peat profiles of three typical peatland types in China","type":"article-journal","volume":"18"},"uris":["http://www.mendeley.com/documents/?uuid=1f27314a-3e8c-4487-9b44-fe7abbdf52b1"]},{"id":"ITEM-3","itemData":{"DOI":"10.1016/j.rcar.2024.04.002","ISSN":"29497302","abstract":"Soil microbial communities are pivotal in permafrost biogeochemical cycles, yet the variations of abundant and rare microbial taxa and their impacts on greenhouse gas emissions in different seasons, remain elusive, especially in the case of soil archaea. Here, we conducted a study on soil abundant and rare archaeal taxa during the growing and non-growing seasons in the active layer of alpine permafrost in the Qinghai-Tibetan Plateau. The results suggested that, for the archaeal communities in the sub-layer, abundant taxa exhibited higher diversity, while rare taxa maintained a more stable composition from the growing to non-growing season. Water soluble organic carbon and soil porosity were the most significant environmental variables affecting the compositions of abundant and rare taxa, respectively. Stochastic and deterministic processes dominated the assemblies of rare and abundant taxa, respectively. The archaeal ecological network influenced N2O flux through different modules. Rare taxa performed an essential role in stabilizing the network and exerting important effects on N2O flux. Our study provides a pioneering and comprehensive investigation aimed at unravelling the mechanisms by which archaea or other microorganisms influence greenhouse gas emissions in the alpine permafrost.","author":[{"dropping-particle":"","family":"Gu","given":"Yu Zheng","non-dropping-particle":"","parse-names":false,"suffix":""},{"dropping-particle":"","family":"Dong","given":"Chen Jie","non-dropping-particle":"","parse-names":false,"suffix":""},{"dropping-particle":"","family":"Chen","given":"Sheng Yun","non-dropping-particle":"","parse-names":false,"suffix":""},{"dropping-particle":"","family":"Jin","given":"Jing Wei","non-dropping-particle":"","parse-names":false,"suffix":""},{"dropping-particle":"","family":"Yang","given":"Pei Zhi","non-dropping-particle":"","parse-names":false,"suffix":""},{"dropping-particle":"","family":"Chen","given":"Jian Wei","non-dropping-particle":"","parse-names":false,"suffix":""},{"dropping-particle":"","family":"Wei","given":"Pei Jie","non-dropping-particle":"","parse-names":false,"suffix":""},{"dropping-particle":"","family":"Bahadur","given":"Ali","non-dropping-particle":"","parse-names":false,"suffix":""}],"container-title":"Research in Cold and Arid Regions","id":"ITEM-3","issue":"2","issued":{"date-parts":[["2024"]]},"page":"45-62","publisher":"Northwest Institute of Eco-Environment and Resources, CAS","title":"Effect of soil archaea on N2O emission in alpine permafrost","type":"article-journal","volume":"16"},"uris":["http://www.mendeley.com/documents/?uuid=4e2e266f-f9da-4bc7-9443-6df412db09a8"]}],"mendeley":{"formattedCitation":"(Carvajal et al., 2016; Chen et al., 2023; Gu et al., 2024)","plainTextFormattedCitation":"(Carvajal et al., 2016; Chen et al., 2023; Gu et al., 2024)","previouslyFormattedCitation":"(Carvajal et al., 2016; Chen et al., 2023; Gu et al., 2024)"},"properties":{"noteIndex":0},"schema":"https://github.com/citation-style-language/schema/raw/master/csl-citation.json"}</w:instrText>
      </w:r>
      <w:r w:rsidRPr="00203EB0">
        <w:rPr>
          <w:b/>
          <w:caps/>
        </w:rPr>
        <w:fldChar w:fldCharType="separate"/>
      </w:r>
      <w:r w:rsidRPr="00203EB0">
        <w:rPr>
          <w:noProof/>
        </w:rPr>
        <w:t>(Carvajal et al., 2016; Chen et al., 2023; Gu et al., 2024)</w:t>
      </w:r>
      <w:r w:rsidRPr="00203EB0">
        <w:rPr>
          <w:b/>
          <w:caps/>
        </w:rPr>
        <w:fldChar w:fldCharType="end"/>
      </w:r>
      <w:r w:rsidRPr="00203EB0">
        <w:t xml:space="preserve">. </w:t>
      </w:r>
      <w:proofErr w:type="spellStart"/>
      <w:r w:rsidRPr="00203EB0">
        <w:rPr>
          <w:i/>
        </w:rPr>
        <w:t>Conexibacter</w:t>
      </w:r>
      <w:proofErr w:type="spellEnd"/>
      <w:r w:rsidRPr="00203EB0">
        <w:t xml:space="preserve"> and </w:t>
      </w:r>
      <w:r w:rsidRPr="00203EB0">
        <w:rPr>
          <w:iCs/>
        </w:rPr>
        <w:t>A21b</w:t>
      </w:r>
      <w:r w:rsidRPr="00203EB0">
        <w:t xml:space="preserve"> </w:t>
      </w:r>
      <w:r w:rsidR="007C3B04">
        <w:t xml:space="preserve">have been reported to </w:t>
      </w:r>
      <w:r w:rsidRPr="00203EB0">
        <w:t xml:space="preserve">harbor the </w:t>
      </w:r>
      <w:proofErr w:type="spellStart"/>
      <w:r w:rsidRPr="00203EB0">
        <w:rPr>
          <w:i/>
        </w:rPr>
        <w:t>nirS</w:t>
      </w:r>
      <w:proofErr w:type="spellEnd"/>
      <w:r w:rsidRPr="00203EB0">
        <w:t xml:space="preserve"> gene </w:t>
      </w:r>
      <w:r w:rsidRPr="00203EB0">
        <w:rPr>
          <w:b/>
          <w:caps/>
        </w:rPr>
        <w:fldChar w:fldCharType="begin" w:fldLock="1"/>
      </w:r>
      <w:r w:rsidRPr="00203EB0">
        <w:instrText>ADDIN CSL_CITATION {"citationItems":[{"id":"ITEM-1","itemData":{"DOI":"10.1007/s11104-022-05754-1","ISBN":"0123456789","ISSN":"15735036","abstract":"Purpose: Reduce the climate cost of plastic mulch is an important issue for the sustainable development of dryland. Previous studies suggest plastic mulch has risk to increase nitrous oxide emission, but how this produced by the complex interaction between soil properties and microbial is still an unsolved problem and need to research to develop targeted practice. Methods: To address this question, molecular ecology tools, including real-time quantitative and high-throughput sequencing were employed to explore how plastic mulch induced change on soil environment and then stimulates denitrification. Three mulching treatments were compared, including no mulching, spring and autumn mulching. Results: Plastic mulch induced significant increase in the richness and diversity of nir-containing denitrifiers. The nirS and nirK-gene abundance was the greatest under the autumn mulching, and a more conspicuous change in the community structure and abundance was observed for nirK gene than for nirS denitrifiers. The most differentially abundant taxa in the autumn mulching were Anaeromyxobacter, Terriglobus, Edwardsiella, Catenulispora and Acidobacterium for nirK genes and Cupriavidus for nirS genes. Mulching increased the potential denitrification enzyme activity by 58% and 29% for autumn and spring mulching, respectively, and this effect was mirrored by the abundance of nirK, but not by nirS denitrifiers. The nirK gene was significantly correlated to variations in soil moisture, temperature, and nitrate nitrogen. Conclusion: Plastic mulch stimulates denitrification by inducing higher moisture, temperature and nitrate nitrogen content and structural change in the community of nirK denitrifying bacteria in dryland agroecosystems.","author":[{"dropping-particle":"","family":"Dong","given":"Wenyi","non-dropping-particle":"","parse-names":false,"suffix":""},{"dropping-particle":"","family":"Zhang","given":"Zhe","non-dropping-particle":"","parse-names":false,"suffix":""},{"dropping-particle":"","family":"Chen","given":"Baoqing","non-dropping-particle":"","parse-names":false,"suffix":""},{"dropping-particle":"","family":"Sun","given":"Dongbao","non-dropping-particle":"","parse-names":false,"suffix":""},{"dropping-particle":"","family":"Liu","given":"Enke","non-dropping-particle":"","parse-names":false,"suffix":""}],"container-title":"Plant and Soil","id":"ITEM-1","issue":"1-2","issued":{"date-parts":[["2024"]]},"page":"155-171","publisher":"Springer International Publishing","title":"Plastic mulch stimulates denitrification by interaction between soil environment and denitrifying bacteria","type":"article-journal","volume":"499"},"uris":["http://www.mendeley.com/documents/?uuid=4ca238ca-060d-43d2-9acb-fee1ef0f4e08"]}],"mendeley":{"formattedCitation":"(Dong et al., 2024)","plainTextFormattedCitation":"(Dong et al., 2024)","previouslyFormattedCitation":"(Dong et al., 2024)"},"properties":{"noteIndex":0},"schema":"https://github.com/citation-style-language/schema/raw/master/csl-citation.json"}</w:instrText>
      </w:r>
      <w:r w:rsidRPr="00203EB0">
        <w:rPr>
          <w:b/>
          <w:caps/>
        </w:rPr>
        <w:fldChar w:fldCharType="separate"/>
      </w:r>
      <w:r w:rsidRPr="00203EB0">
        <w:rPr>
          <w:noProof/>
        </w:rPr>
        <w:t>(Dong et al., 2024)</w:t>
      </w:r>
      <w:r w:rsidRPr="00203EB0">
        <w:rPr>
          <w:b/>
          <w:caps/>
        </w:rPr>
        <w:fldChar w:fldCharType="end"/>
      </w:r>
      <w:r w:rsidRPr="00203EB0">
        <w:t xml:space="preserve">, with </w:t>
      </w:r>
      <w:r w:rsidRPr="00203EB0">
        <w:rPr>
          <w:iCs/>
        </w:rPr>
        <w:t>A21b</w:t>
      </w:r>
      <w:r w:rsidRPr="00203EB0">
        <w:t xml:space="preserve"> also carrying the </w:t>
      </w:r>
      <w:proofErr w:type="spellStart"/>
      <w:r w:rsidRPr="00203EB0">
        <w:rPr>
          <w:i/>
        </w:rPr>
        <w:t>nosZ</w:t>
      </w:r>
      <w:proofErr w:type="spellEnd"/>
      <w:r w:rsidRPr="00203EB0">
        <w:rPr>
          <w:i/>
        </w:rPr>
        <w:t xml:space="preserve"> </w:t>
      </w:r>
      <w:r w:rsidRPr="00203EB0">
        <w:t>gene</w:t>
      </w:r>
      <w:r w:rsidRPr="00203EB0">
        <w:rPr>
          <w:i/>
        </w:rPr>
        <w:t xml:space="preserve"> </w:t>
      </w:r>
      <w:r w:rsidRPr="00203EB0">
        <w:rPr>
          <w:b/>
          <w:i/>
          <w:caps/>
        </w:rPr>
        <w:fldChar w:fldCharType="begin" w:fldLock="1"/>
      </w:r>
      <w:r w:rsidRPr="00203EB0">
        <w:rPr>
          <w:i/>
        </w:rPr>
        <w:instrText>ADDIN CSL_CITATION {"citationItems":[{"id":"ITEM-1","itemData":{"DOI":"10.3389/fmicb.2020.591358","ISSN":"1664302X","abstract":"Peatlands are unique wetland ecosystems that cover approximately 3% of the world’s land area and are mostly located in boreal and temperate regions. Around 15 Mha of these peatlands have been drained for forestry during the last century. This study investigated soil archaeal and bacterial community structure and abundance, as well as the abundance of marker genes of nitrogen transformation processes (nitrogen fixation, nitrification, denitrification, and dissimilatory nitrate reduction to ammonia) across distance gradients from drainage ditches in nine full-drained, middle-aged peatland forests dominated by Scots pine, Norway spruce, or Downy birch. The dominating tree species had a strong effect on the chemical properties (pH, N and C/N status) of initially similar Histosols and affected the bacterial and archaeal community structure and abundance of microbial groups involved in the soil nitrogen cycle. The pine forests were distinguished by having the lowest fine root biomass of trees, pH, and N content and the highest potential for N fixation. The distance from drainage ditches affected the spatial distribution of bacterial and archaeal communities (especially N-fixers, nitrifiers, and denitrifiers possessing nosZ clade II), but this effect was often dependent on the conditions created by the dominance of certain tree species. The composition of the nitrifying microbial community was dependent on the soil pH, and comammox bacteria contributed significantly to nitrate formation in the birch and spruce soils where the pH was higher than 4.6. The highest N2O emission was recorded from soils with higher bacterial and archaeal phylogenetic diversity such as birch forest soils. This study demonstrates that the long-term growth of forests dominated by birch, pine, and spruce on initially similar organic soil has resulted in tree-species-specific changes in the soil properties and the development of forest-type-specific soil prokaryotic communities with characteristic functional properties and relationships within microbial communities.","author":[{"dropping-particle":"","family":"Truu","given":"Marika","non-dropping-particle":"","parse-names":false,"suffix":""},{"dropping-particle":"","family":"Nõlvak","given":"Hiie","non-dropping-particle":"","parse-names":false,"suffix":""},{"dropping-particle":"","family":"Ostonen","given":"Ivika","non-dropping-particle":"","parse-names":false,"suffix":""},{"dropping-particle":"","family":"Oopkaup","given":"Kristjan","non-dropping-particle":"","parse-names":false,"suffix":""},{"dropping-particle":"","family":"Maddison","given":"Martin","non-dropping-particle":"","parse-names":false,"suffix":""},{"dropping-particle":"","family":"Ligi","given":"Teele","non-dropping-particle":"","parse-names":false,"suffix":""},{"dropping-particle":"","family":"Espenberg","given":"Mikk","non-dropping-particle":"","parse-names":false,"suffix":""},{"dropping-particle":"","family":"Uri","given":"Veiko","non-dropping-particle":"","parse-names":false,"suffix":""},{"dropping-particle":"","family":"Mander","given":"Ülo","non-dropping-particle":"","parse-names":false,"suffix":""},{"dropping-particle":"","family":"Truu","given":"Jaak","non-dropping-particle":"","parse-names":false,"suffix":""}],"container-title":"Frontiers in Microbiology","id":"ITEM-1","issue":"December","issued":{"date-parts":[["2020"]]},"page":"1-22","title":"Soil bacterial and archaeal communities and their potential to perform N-cycling processes in soils of Boreal Forests growing on well-drained peat","type":"article-journal","volume":"11"},"uris":["http://www.mendeley.com/documents/?uuid=2963378c-cf56-4e8f-97a0-a36c6faffe11"]}],"mendeley":{"formattedCitation":"(Truu et al., 2020)","plainTextFormattedCitation":"(Truu et al., 2020)","previouslyFormattedCitation":"(Truu et al., 2020)"},"properties":{"noteIndex":0},"schema":"https://github.com/citation-style-language/schema/raw/master/csl-citation.json"}</w:instrText>
      </w:r>
      <w:r w:rsidRPr="00203EB0">
        <w:rPr>
          <w:b/>
          <w:i/>
          <w:caps/>
        </w:rPr>
        <w:fldChar w:fldCharType="separate"/>
      </w:r>
      <w:r w:rsidRPr="00203EB0">
        <w:rPr>
          <w:noProof/>
        </w:rPr>
        <w:t>(Truu et al., 2020)</w:t>
      </w:r>
      <w:r w:rsidRPr="00203EB0">
        <w:rPr>
          <w:b/>
          <w:i/>
          <w:caps/>
        </w:rPr>
        <w:fldChar w:fldCharType="end"/>
      </w:r>
      <w:r w:rsidRPr="00203EB0">
        <w:t>, while</w:t>
      </w:r>
      <w:r w:rsidRPr="00203EB0">
        <w:rPr>
          <w:i/>
        </w:rPr>
        <w:t xml:space="preserve"> </w:t>
      </w:r>
      <w:proofErr w:type="spellStart"/>
      <w:r w:rsidRPr="00203EB0">
        <w:rPr>
          <w:i/>
        </w:rPr>
        <w:t>Anaeromyxobacter</w:t>
      </w:r>
      <w:proofErr w:type="spellEnd"/>
      <w:r w:rsidRPr="00203EB0">
        <w:rPr>
          <w:i/>
        </w:rPr>
        <w:t xml:space="preserve"> </w:t>
      </w:r>
      <w:r w:rsidRPr="00203EB0">
        <w:t>and</w:t>
      </w:r>
      <w:r w:rsidRPr="00203EB0">
        <w:rPr>
          <w:i/>
        </w:rPr>
        <w:t xml:space="preserve"> </w:t>
      </w:r>
      <w:proofErr w:type="spellStart"/>
      <w:r w:rsidRPr="00203EB0">
        <w:rPr>
          <w:i/>
        </w:rPr>
        <w:t>Pseudogulbenkiania</w:t>
      </w:r>
      <w:proofErr w:type="spellEnd"/>
      <w:r w:rsidRPr="00203EB0">
        <w:t xml:space="preserve"> </w:t>
      </w:r>
      <w:r w:rsidR="007C3B04">
        <w:t>were</w:t>
      </w:r>
      <w:r w:rsidRPr="00203EB0">
        <w:t xml:space="preserve"> associated with </w:t>
      </w:r>
      <w:proofErr w:type="spellStart"/>
      <w:r w:rsidRPr="00203EB0">
        <w:rPr>
          <w:i/>
        </w:rPr>
        <w:t>nirK</w:t>
      </w:r>
      <w:proofErr w:type="spellEnd"/>
      <w:r w:rsidRPr="00203EB0">
        <w:rPr>
          <w:i/>
        </w:rPr>
        <w:t xml:space="preserve"> </w:t>
      </w:r>
      <w:r w:rsidRPr="00203EB0">
        <w:rPr>
          <w:b/>
          <w:i/>
          <w:caps/>
        </w:rPr>
        <w:fldChar w:fldCharType="begin" w:fldLock="1"/>
      </w:r>
      <w:r w:rsidRPr="00203EB0">
        <w:rPr>
          <w:i/>
        </w:rPr>
        <w:instrText>ADDIN CSL_CITATION {"citationItems":[{"id":"ITEM-1","itemData":{"DOI":"10.1007/s11104-022-05754-1","ISBN":"0123456789","ISSN":"15735036","abstract":"Purpose: Reduce the climate cost of plastic mulch is an important issue for the sustainable development of dryland. Previous studies suggest plastic mulch has risk to increase nitrous oxide emission, but how this produced by the complex interaction between soil properties and microbial is still an unsolved problem and need to research to develop targeted practice. Methods: To address this question, molecular ecology tools, including real-time quantitative and high-throughput sequencing were employed to explore how plastic mulch induced change on soil environment and then stimulates denitrification. Three mulching treatments were compared, including no mulching, spring and autumn mulching. Results: Plastic mulch induced significant increase in the richness and diversity of nir-containing denitrifiers. The nirS and nirK-gene abundance was the greatest under the autumn mulching, and a more conspicuous change in the community structure and abundance was observed for nirK gene than for nirS denitrifiers. The most differentially abundant taxa in the autumn mulching were Anaeromyxobacter, Terriglobus, Edwardsiella, Catenulispora and Acidobacterium for nirK genes and Cupriavidus for nirS genes. Mulching increased the potential denitrification enzyme activity by 58% and 29% for autumn and spring mulching, respectively, and this effect was mirrored by the abundance of nirK, but not by nirS denitrifiers. The nirK gene was significantly correlated to variations in soil moisture, temperature, and nitrate nitrogen. Conclusion: Plastic mulch stimulates denitrification by inducing higher moisture, temperature and nitrate nitrogen content and structural change in the community of nirK denitrifying bacteria in dryland agroecosystems.","author":[{"dropping-particle":"","family":"Dong","given":"Wenyi","non-dropping-particle":"","parse-names":false,"suffix":""},{"dropping-particle":"","family":"Zhang","given":"Zhe","non-dropping-particle":"","parse-names":false,"suffix":""},{"dropping-particle":"","family":"Chen","given":"Baoqing","non-dropping-particle":"","parse-names":false,"suffix":""},{"dropping-particle":"","family":"Sun","given":"Dongbao","non-dropping-particle":"","parse-names":false,"suffix":""},{"dropping-particle":"","family":"Liu","given":"Enke","non-dropping-particle":"","parse-names":false,"suffix":""}],"container-title":"Plant and Soil","id":"ITEM-1","issue":"1-2","issued":{"date-parts":[["2024"]]},"page":"155-171","publisher":"Springer International Publishing","title":"Plastic mulch stimulates denitrification by interaction between soil environment and denitrifying bacteria","type":"article-journal","volume":"499"},"uris":["http://www.mendeley.com/documents/?uuid=4ca238ca-060d-43d2-9acb-fee1ef0f4e08"]}],"mendeley":{"formattedCitation":"(Dong et al., 2024)","plainTextFormattedCitation":"(Dong et al., 2024)","previouslyFormattedCitation":"(Dong et al., 2024)"},"properties":{"noteIndex":0},"schema":"https://github.com/citation-style-language/schema/raw/master/csl-citation.json"}</w:instrText>
      </w:r>
      <w:r w:rsidRPr="00203EB0">
        <w:rPr>
          <w:b/>
          <w:i/>
          <w:caps/>
        </w:rPr>
        <w:fldChar w:fldCharType="separate"/>
      </w:r>
      <w:r w:rsidRPr="00203EB0">
        <w:rPr>
          <w:noProof/>
        </w:rPr>
        <w:t>(Dong et al., 2024)</w:t>
      </w:r>
      <w:r w:rsidRPr="00203EB0">
        <w:rPr>
          <w:b/>
          <w:i/>
          <w:caps/>
        </w:rPr>
        <w:fldChar w:fldCharType="end"/>
      </w:r>
      <w:r w:rsidRPr="00203EB0">
        <w:rPr>
          <w:i/>
        </w:rPr>
        <w:t xml:space="preserve">. </w:t>
      </w:r>
      <w:r w:rsidRPr="00203EB0">
        <w:t xml:space="preserve">Members of </w:t>
      </w:r>
      <w:proofErr w:type="spellStart"/>
      <w:r w:rsidRPr="00203EB0">
        <w:rPr>
          <w:iCs/>
        </w:rPr>
        <w:t>Micropepsaceae</w:t>
      </w:r>
      <w:proofErr w:type="spellEnd"/>
      <w:r w:rsidRPr="00203EB0">
        <w:rPr>
          <w:i/>
        </w:rPr>
        <w:t xml:space="preserve"> </w:t>
      </w:r>
      <w:r w:rsidRPr="00203EB0">
        <w:t>have been linked to nitrification and NO</w:t>
      </w:r>
      <w:r w:rsidRPr="00203EB0">
        <w:rPr>
          <w:vertAlign w:val="subscript"/>
        </w:rPr>
        <w:t>3</w:t>
      </w:r>
      <w:r w:rsidRPr="00203EB0">
        <w:rPr>
          <w:vertAlign w:val="superscript"/>
        </w:rPr>
        <w:t xml:space="preserve">- </w:t>
      </w:r>
      <w:r w:rsidRPr="00203EB0">
        <w:t xml:space="preserve">availability in soil </w:t>
      </w:r>
      <w:r w:rsidRPr="00203EB0">
        <w:rPr>
          <w:b/>
          <w:caps/>
        </w:rPr>
        <w:fldChar w:fldCharType="begin" w:fldLock="1"/>
      </w:r>
      <w:r w:rsidRPr="00203EB0">
        <w:instrText>ADDIN CSL_CITATION {"citationItems":[{"id":"ITEM-1","itemData":{"DOI":"10.1134/S1064229322030073","ISSN":"1556195X","abstract":"Abstract: Diverse microbes in arable black soil participate in the biogeochemical cycling of nitrogen, which profoundly impact on the fertility and greenhouse gas (GHG) emission. However, the effects of environmental factors on the structure and functions of microbial communities have not been thoroughly elucidated. We performed the indoor microcosm study to collect the soil samples under six moisture (constant and wetting)/gas (air, 10% acetylene, oxygen and argon) regimes and investigated the alterations of bacterial community composition, nitrification/denitrification gene abundance and nitrogen metabolic functions under different conditions by high-throughput sequencing, quantitative PCR, physicochemical analyses and bioinformatics. It was found that the N2O/CO2 emission under six moisture/gas regimes were significantly different (p &lt; 0.001), the processing time also dramatically influenced the GHG emission, and there were considerable interactions between moisture/gas regime and processing time. The impact of moisture/gas regimes, processing time and interaction item on NH4+-N and NO3--N was also conspicuous. The moisture/gas regime significantly affected the community diversity rather than community richness. The key responsive bacterial classes under different gas conditions were Gammaproteobacteria, Bacteroidia and Alphaproteobacteria, in contrast to Actinobacteria, Alphaproteobacteria and Thermoleophilia under different moisture regimes. The abundance of Piscinibacter, Chujaibacter, Symbiobacteraceae and Acidobacteriales species was positively correlated with moisture and N2O emission, and denitrification, nitrate reduction to ammonium, nitrification, nitrogen mineralization/fixation were the dominant processes of nitrogen cycle in black soil, which were supported by co-occurring network analyses and Spearman correlation heatmap. The hub nodes and connection mode of microbial nitrogen-cycling network differ under six moisture/gas regimes, and the same species could be active in multiple major nitrogen turnover processes simultaneously. These findings shed light on the prevention and control of soil fertility decline and global warming.","author":[{"dropping-particle":"","family":"Hao","given":"Da Cheng","non-dropping-particle":"","parse-names":false,"suffix":""},{"dropping-particle":"","family":"Wang","given":"Lei","non-dropping-particle":"","parse-names":false,"suffix":""},{"dropping-particle":"","family":"Gao","given":"Wei","non-dropping-particle":"","parse-names":false,"suffix":""},{"dropping-particle":"","family":"Xie","given":"Hongtu","non-dropping-particle":"","parse-names":false,"suffix":""},{"dropping-particle":"","family":"Bao","given":"Xuelian","non-dropping-particle":"","parse-names":false,"suffix":""},{"dropping-particle":"","family":"Jia","given":"Zhongjun","non-dropping-particle":"","parse-names":false,"suffix":""},{"dropping-particle":"","family":"Wang","given":"Lianfeng","non-dropping-particle":"","parse-names":false,"suffix":""}],"container-title":"Eurasian Soil Science","id":"ITEM-1","issued":{"date-parts":[["2021"]]},"page":"S42-S61","title":"Disentangling effects of moisture/gas regimes on microbial community, network configuration and nitrogen turnover of black soil","type":"article-journal","volume":"54"},"uris":["http://www.mendeley.com/documents/?uuid=3b1a474a-6972-49a3-a0ae-9bc6a1dfc42b"]}],"mendeley":{"formattedCitation":"(Hao et al., 2021)","plainTextFormattedCitation":"(Hao et al., 2021)","previouslyFormattedCitation":"(Hao et al., 2021)"},"properties":{"noteIndex":0},"schema":"https://github.com/citation-style-language/schema/raw/master/csl-citation.json"}</w:instrText>
      </w:r>
      <w:r w:rsidRPr="00203EB0">
        <w:rPr>
          <w:b/>
          <w:caps/>
        </w:rPr>
        <w:fldChar w:fldCharType="separate"/>
      </w:r>
      <w:r w:rsidRPr="00203EB0">
        <w:rPr>
          <w:noProof/>
        </w:rPr>
        <w:t>(Hao et al., 2021)</w:t>
      </w:r>
      <w:r w:rsidRPr="00203EB0">
        <w:rPr>
          <w:b/>
          <w:caps/>
        </w:rPr>
        <w:fldChar w:fldCharType="end"/>
      </w:r>
      <w:r w:rsidRPr="00203EB0">
        <w:t>, and have also been associated with N</w:t>
      </w:r>
      <w:r w:rsidRPr="00203EB0">
        <w:rPr>
          <w:vertAlign w:val="subscript"/>
        </w:rPr>
        <w:t>2</w:t>
      </w:r>
      <w:r w:rsidRPr="00203EB0">
        <w:t xml:space="preserve">O emissions </w:t>
      </w:r>
      <w:r w:rsidRPr="00203EB0">
        <w:rPr>
          <w:b/>
          <w:caps/>
        </w:rPr>
        <w:fldChar w:fldCharType="begin" w:fldLock="1"/>
      </w:r>
      <w:r w:rsidRPr="00203EB0">
        <w:instrText>ADDIN CSL_CITATION {"citationItems":[{"id":"ITEM-1","itemData":{"DOI":"10.1016/j.fcr.2024.109641","ISSN":"03784290","abstract":"Context: Agricultural management practices are changing from the high-yield production to high-efficient production and now sustainable production in order to satisfy the increasing demand for food. We attempted to establish a high-yielding and high-efficient maize production practice, Integrated Soil-Crop System Management (ISCM). The ISCM increased yield and nitrogen use efficiency (NUE), which could be due to changes in the composition and function of the rhizosphere bacterial community, and consequently nutrient utilization. Objectives: To investigate the rhizosphere microbial community composition response to different production practices and explore the impact of changes in rhizosphere microbes on nitrogen metabolism and yield of maize. Methods: Based on long-term treatment, optimizing aboveground population canopy and belowground nutrient management to set ISCM. A 12-year treatment was conducted in Tai'an City, Shandong Province, China, with four treatments. Results: The grain yield and dry matter increment of ISCM were increased by 42.7 % and 36.6 %, compared to farmers practices (FP), respectively, while reducing N2O emissions by 27.8 % and increasing nitrogen use efficiency by 63.7 %, mainly due to improved rhizosphere environments. The soil nitrogen cycle-related microorganisms under FP was decreased compared to ISCM. However, FP enhanced the function of microorganisms associated with gaseous nitrogen loss, resulting in higher N2O emissions and low NUE. The ISCM enriched a wider range of rhizosphere bacterial OTU species, including many nitrogen metabolism-related microorganisms, e.g., Nitrosomonadaceae and Nitrococcales. This leads to faster soil N avalibilty to plants, maintain higher productivity, and reduce N losses. However, a super high-yield system (SY) had the highest yield and lowest NUE. Additinally, SY reduced the expression abundance of most microorganisms associated with the nitrogen cycle, but increased microorganisms gaseous of nitrogen loss function to increased N2O emission. Conclusions: The improved rhizosphere N metabolism promoted N uptake and reduced N2O emissions. These findings emphasize the availability of ISCM for sustainable agricultural development.","author":[{"dropping-particle":"","family":"Yu","given":"Ningning","non-dropping-particle":"","parse-names":false,"suffix":""},{"dropping-particle":"","family":"Alam","given":"Sher","non-dropping-particle":"","parse-names":false,"suffix":""},{"dropping-particle":"","family":"Ren","given":"Baizhao","non-dropping-particle":"","parse-names":false,"suffix":""},{"dropping-particle":"","family":"Zhao","given":"Bin","non-dropping-particle":"","parse-names":false,"suffix":""},{"dropping-particle":"","family":"Liu","given":"Peng","non-dropping-particle":"","parse-names":false,"suffix":""},{"dropping-particle":"","family":"Zhang","given":"Jiwang","non-dropping-particle":"","parse-names":false,"suffix":""}],"container-title":"Field Crops Research","id":"ITEM-1","issue":"July","issued":{"date-parts":[["2024"]]},"page":"109641","publisher":"Elsevier B.V.","title":"Long-term integrated soil-crop system management promoted rhizosphere nitrogen cycling and reduced N2O emission of maize","type":"article-journal","volume":"319"},"uris":["http://www.mendeley.com/documents/?uuid=6afca684-1b29-4380-b7d0-3c173ddfda67"]}],"mendeley":{"formattedCitation":"(Yu et al., 2024)","plainTextFormattedCitation":"(Yu et al., 2024)","previouslyFormattedCitation":"(Yu et al., 2024)"},"properties":{"noteIndex":0},"schema":"https://github.com/citation-style-language/schema/raw/master/csl-citation.json"}</w:instrText>
      </w:r>
      <w:r w:rsidRPr="00203EB0">
        <w:rPr>
          <w:b/>
          <w:caps/>
        </w:rPr>
        <w:fldChar w:fldCharType="separate"/>
      </w:r>
      <w:r w:rsidRPr="00203EB0">
        <w:rPr>
          <w:noProof/>
        </w:rPr>
        <w:t>(Yu et al., 2024)</w:t>
      </w:r>
      <w:r w:rsidRPr="00203EB0">
        <w:rPr>
          <w:b/>
          <w:caps/>
        </w:rPr>
        <w:fldChar w:fldCharType="end"/>
      </w:r>
      <w:r w:rsidRPr="00203EB0">
        <w:t xml:space="preserve">. </w:t>
      </w:r>
      <w:r w:rsidRPr="00203EB0">
        <w:rPr>
          <w:iCs/>
        </w:rPr>
        <w:t>Amb-16S-1323 family</w:t>
      </w:r>
      <w:r w:rsidRPr="00203EB0">
        <w:rPr>
          <w:i/>
        </w:rPr>
        <w:t xml:space="preserve">, </w:t>
      </w:r>
      <w:r w:rsidRPr="00203EB0">
        <w:t xml:space="preserve">though less studied, are known to increase with compost applications </w:t>
      </w:r>
      <w:r w:rsidRPr="00203EB0">
        <w:rPr>
          <w:b/>
          <w:caps/>
        </w:rPr>
        <w:fldChar w:fldCharType="begin" w:fldLock="1"/>
      </w:r>
      <w:r w:rsidRPr="00203EB0">
        <w:instrText>ADDIN CSL_CITATION {"citationItems":[{"id":"ITEM-1","itemData":{"DOI":"10.1016/j.jenvman.2020.110920","ISSN":"10958630","PMID":"32579515","abstract":"The application of organic amendments to improve the chemical and biological properties of degraded soils from calcareous quarries is necessary to accelerate restoration processes. The aim of this study is to assess the success of different restoration treatments in the long-term using two organic amendments (sewage sludge from urban waste water (SS) and compost from domestic solid waste (CW)). The chemical properties and bacterial communities of restored soils were compared with unamended soils (NA) and surrounding natural soils (NS) from a limestone quarry in a semi-arid ecosystem. After 10 years of the addition of organic amendments, the abundance of soil bacteria, diversity, and taxonomic composition at the phylum and genus level in each soil type was analysed by rRNA 16 S amplification (PCR), sequencing using Illumina, and comparison with the SILVA database using QIIME2 software. The relationships between soil bacterial taxa and chemical soil properties (pH, electrical conductivity (EC), total organic carbon (TOC), and total nitrogen content (TN)) were also studied, as well as the interrelations between soil bacterial taxa at the genus level or the next upper taxonomic level identified. The organic amendments changed the chemical properties of the restored soils, influencing the microbial communities of the restored soils. CW treatment was the organic amendment that most resembled NS, favouring in the long-term a greater diversity and proliferation of bacteria. Several bacterial communities, more abundant in NA and CW soils, were strongly correlated with each other (Craurococcus, Phaselicystis, Crossiella, etc.), forming a bacterial co-occurrence pattern (Co-occurrence pattern 1). Those bacteria showed high significant positive correlations with TOC, TN, and EC and negative correlations with the soil pH. In contrast, NA soils presented other groups of bacterial communities (Co-occurrence pattern 2) represented by Sphingomonas, Rubellimicrobium, Noviherbaspirillum, Psychroglaciecola and Caenimonas, which showed high significant positive correlations with soil pH and negative correlations with TOC, TN, and EC. The distance-based redundancy analysis indicated that SS soils remained in an intermediate stage of chemical and biological quality between NS and NA soils. Our results demonstrate that soil chemical properties and soil bacterial communities significantly changed with organic amendments in calcareous Mediterranean soils degraded by mining.","author":[{"dropping-particle":"","family":"Rodríguez-Berbel","given":"N.","non-dropping-particle":"","parse-names":false,"suffix":""},{"dropping-particle":"","family":"Ortega","given":"R.","non-dropping-particle":"","parse-names":false,"suffix":""},{"dropping-particle":"","family":"Lucas-Borja","given":"M. E.","non-dropping-particle":"","parse-names":false,"suffix":""},{"dropping-particle":"","family":"Solé-Benet","given":"A.","non-dropping-particle":"","parse-names":false,"suffix":""},{"dropping-particle":"","family":"Miralles","given":"I.","non-dropping-particle":"","parse-names":false,"suffix":""}],"container-title":"Journal of Environmental Management","id":"ITEM-1","issue":"February","issued":{"date-parts":[["2020"]]},"title":"Long-term effects of two organic amendments on bacterial communities of calcareous mediterranean soils degraded by mining","type":"article-journal","volume":"271"},"uris":["http://www.mendeley.com/documents/?uuid=f74da78c-47d2-4c86-bce7-1a9c0829d4d7"]}],"mendeley":{"formattedCitation":"(Rodríguez-Berbel et al., 2020)","plainTextFormattedCitation":"(Rodríguez-Berbel et al., 2020)","previouslyFormattedCitation":"(Rodríguez-Berbel et al., 2020)"},"properties":{"noteIndex":0},"schema":"https://github.com/citation-style-language/schema/raw/master/csl-citation.json"}</w:instrText>
      </w:r>
      <w:r w:rsidRPr="00203EB0">
        <w:rPr>
          <w:b/>
          <w:caps/>
        </w:rPr>
        <w:fldChar w:fldCharType="separate"/>
      </w:r>
      <w:r w:rsidRPr="00203EB0">
        <w:rPr>
          <w:noProof/>
        </w:rPr>
        <w:t>(Rodríguez-Berbel et al., 2020)</w:t>
      </w:r>
      <w:r w:rsidRPr="00203EB0">
        <w:rPr>
          <w:b/>
          <w:caps/>
        </w:rPr>
        <w:fldChar w:fldCharType="end"/>
      </w:r>
      <w:r w:rsidRPr="00203EB0">
        <w:t>.</w:t>
      </w:r>
      <w:r w:rsidR="00820050" w:rsidRPr="00203EB0">
        <w:t xml:space="preserve"> </w:t>
      </w:r>
      <w:r w:rsidRPr="00203EB0">
        <w:t xml:space="preserve">Conversely, </w:t>
      </w:r>
      <w:r w:rsidRPr="00203EB0">
        <w:rPr>
          <w:i/>
        </w:rPr>
        <w:t xml:space="preserve">Flavobacterium </w:t>
      </w:r>
      <w:r w:rsidRPr="00203EB0">
        <w:t>was negatively associated with N</w:t>
      </w:r>
      <w:r w:rsidRPr="00203EB0">
        <w:rPr>
          <w:vertAlign w:val="subscript"/>
        </w:rPr>
        <w:t>2</w:t>
      </w:r>
      <w:r w:rsidRPr="00203EB0">
        <w:t xml:space="preserve">O emissions. </w:t>
      </w:r>
      <w:r w:rsidRPr="00203EB0">
        <w:rPr>
          <w:i/>
        </w:rPr>
        <w:t xml:space="preserve">Flavobacterium </w:t>
      </w:r>
      <w:r w:rsidRPr="00203EB0">
        <w:rPr>
          <w:iCs/>
        </w:rPr>
        <w:t>spp</w:t>
      </w:r>
      <w:r w:rsidRPr="00203EB0">
        <w:rPr>
          <w:i/>
        </w:rPr>
        <w:t xml:space="preserve">. </w:t>
      </w:r>
      <w:r w:rsidRPr="00203EB0">
        <w:t>are abundant Clade II</w:t>
      </w:r>
      <w:r w:rsidRPr="00203EB0">
        <w:rPr>
          <w:i/>
        </w:rPr>
        <w:t xml:space="preserve"> </w:t>
      </w:r>
      <w:proofErr w:type="spellStart"/>
      <w:r w:rsidRPr="00203EB0">
        <w:rPr>
          <w:i/>
        </w:rPr>
        <w:t>nosZ</w:t>
      </w:r>
      <w:proofErr w:type="spellEnd"/>
      <w:r w:rsidRPr="00203EB0">
        <w:t>-carrying organisms with the potential to act as N</w:t>
      </w:r>
      <w:r w:rsidRPr="00203EB0">
        <w:rPr>
          <w:vertAlign w:val="subscript"/>
        </w:rPr>
        <w:t>2</w:t>
      </w:r>
      <w:r w:rsidRPr="00203EB0">
        <w:t xml:space="preserve">O sinks in natural environments </w:t>
      </w:r>
      <w:r w:rsidRPr="00203EB0">
        <w:rPr>
          <w:b/>
          <w:caps/>
        </w:rPr>
        <w:fldChar w:fldCharType="begin" w:fldLock="1"/>
      </w:r>
      <w:r w:rsidRPr="00203EB0">
        <w:instrText>ADDIN CSL_CITATION {"citationItems":[{"id":"ITEM-1","itemData":{"DOI":"10.1021/acs.est.7b02750","ISSN":"15205851","PMID":"28849922","abstract":"N2O is a potent greenhouse gas and ozone-depletion agent. In this study, a biofiltration system was designed for removal of N2O emitted at low concentrations (&lt;200 ppmv) from wastewater treatment plants. The proposed biofiltration system utilizes untreated wastewater from the primary sedimentation basin as the source of electron donor and nutrients and energy requirement is minimized by utilizing gravitational force and pressure differential to direct liquid medium and gas through the biofilter. The experiments performed with laboratory-scale biofilter in two different configurations confirmed the feasibility of the biofiltration system. The biofilter operated with cycling of raw wastewater exhibited up to 94% and 53% removal efficiency with 100 ppmv N2O in N2 and air, respectively, as the feed gas, corroborating that untreated wastewater can serve as a robust source of electron donor and nutrients. The laboratory-scale biofilter operated with a continuous flow-through of synthetic wastewater attained &gt;99.9% removal of N2O from N2 background at the gas flow rate up to 2,000 mL·min-1 and &gt;50% N2O removal from air background at the gas flow rate of 200 mL·min-1. nosZ-containing bacterial genera including Flavobacterium (5.92%), Pseudomonas (4.26%) and Bosea (2.39%) were identified in the biofilm samples collected from the oxic biofilter, indicating these organisms were responsible for N2O removal.","author":[{"dropping-particle":"","family":"Yoon","given":"Hyun","non-dropping-particle":"","parse-names":false,"suffix":""},{"dropping-particle":"","family":"Song","given":"Min Joon","non-dropping-particle":"","parse-names":false,"suffix":""},{"dropping-particle":"","family":"Yoon","given":"Sukhwan","non-dropping-particle":"","parse-names":false,"suffix":""}],"container-title":"Environmental Science and Technology","id":"ITEM-1","issue":"18","issued":{"date-parts":[["2017"]]},"page":"10736-10745","title":"Design and feasibility analysis of a self-sustaining biofiltration system for removal of low concentration N2O emitted from wastewater treatment plants","type":"article-journal","volume":"51"},"uris":["http://www.mendeley.com/documents/?uuid=75d2df26-4ffe-436c-862b-92c76ca7052d"]},{"id":"ITEM-2","itemData":{"DOI":"10.1021/acs.est.8b05924","ISSN":"15205851","PMID":"30673206","abstract":"Wastewater treatment plants (WWTPs) are among the major anthropogenic sources of N 2 O, a major greenhouse gas and ozone-depleting agent. We recently devised a zero-energy zero-carbon biofiltration system easily applicable to activated sludge-type WWTPs and performed lab-scale proof-of-concept experiments. The major drawback of the system was the diminished performance observed when fully oxic gas streams were treated. Here, a serial biofiltration system was tested as a potential improvement. A laboratory system with three serially positioned biofilters, each receiving a separate feed of artificial wastewater, was fed N 2 O-containing gas streams of varied flow rates (200-2000 mL·min -1 ) and O 2 concentrations (0-21%). Use of the serial setup substantially improved the reactor performance. Fed fully oxic gas at a flow rate of 1000 mL·min -1 , the system removed N 2 O at an elimination capacity of 0.402 ± 0.009 g N 2 O·m -3 ·h -1 (52.5% removal), which was approximately 2.4-fold higher than that achieved with a single biofilter, 0.171 ± 0.024 g N 2 O·m -3 ·h -1 . These data were used to validate the mathematical model developed to estimate the performance of the N 2 O biofiltration system. The Nash-Sutcliffe efficiency indices ranged from 0.78 to 0.93, confirming high predictability, and the model provided mechanistic insights into aerobic N 2 O removal and the performance enhancement achieved with the serial configuration.","author":[{"dropping-particle":"","family":"Yoon","given":"Hyun","non-dropping-particle":"","parse-names":false,"suffix":""},{"dropping-particle":"","family":"Song","given":"Min Joon","non-dropping-particle":"","parse-names":false,"suffix":""},{"dropping-particle":"","family":"Kim","given":"Daehyun D.","non-dropping-particle":"","parse-names":false,"suffix":""},{"dropping-particle":"","family":"Sabba","given":"Fabrizio","non-dropping-particle":"","parse-names":false,"suffix":""},{"dropping-particle":"","family":"Yoon","given":"Sukhwan","non-dropping-particle":"","parse-names":false,"suffix":""}],"container-title":"Environmental Science and Technology","id":"ITEM-2","issue":"4","issued":{"date-parts":[["2019"]]},"page":"2063-2074","title":"A serial biofiltration system for effective removal of low-concentration nitrous oxide in oxic gas streams: Mathematical modeling of reactor performance and experimental validation","type":"article-journal","volume":"53"},"uris":["http://www.mendeley.com/documents/?uuid=8c525bbb-3021-4b05-835f-b35221e6bf72"]},{"id":"ITEM-3","itemData":{"DOI":"10.3390/microorganisms10112304","ISSN":"20762607","abstract":"Microorganisms acting as sinks for the greenhouse gas nitrous oxide (N2O) are gaining increasing attention in the development of strategies to control N2O emissions. Non-denitrifying N2O reducers are of particular interest because they can provide a real sink without contributing to N2O release. The bacterial strain under investigation (IGB 4-14T), isolated in a mesocosm experiment to study the litter decomposition of Phragmites australis (Cav.), is such an organism. It carries only a nos gene cluster with the sec-dependent Clade II nosZ and is able to consume significant amounts of N2O under anoxic conditions. However, consumption activity is considerably affected by the O2 level. The reduction of N2O was not associated with cell growth, suggesting that no energy is conserved by anaerobic respiration. Therefore, the N2O consumption of strain IGB 4-14T rather serves as an electron sink for metabolism to sustain viability during transient anoxia and/or to detoxify high N2O concentrations. Phylogenetic analysis of 16S rRNA gene similarity revealed that the strain belongs to the genus Flavobacterium. It shares a high similarity in the nos gene cluster composition and the amino acid similarity of the nosZ gene with various type strains of the genus. However, phylogenomic analysis and comparison of overall genome relatedness indices clearly demonstrated a novel species status of strain IGB 4-14T, with Flavobacterium lacus being the most closely related species. Various phenotypic differences supported a demarcation from this species. Based on these results, we proposed a novel species Flavobacterium azooxidireducens sp. nov. (type strain IGB 4-14T = LMG 29709T = DSM 103580T).","author":[{"dropping-particle":"","family":"Behrendt","given":"Undine","non-dropping-particle":"","parse-names":false,"suffix":""},{"dropping-particle":"","family":"Spanner","given":"Tobias","non-dropping-particle":"","parse-names":false,"suffix":""},{"dropping-particle":"","family":"Augustin","given":"Jürgen","non-dropping-particle":"","parse-names":false,"suffix":""},{"dropping-particle":"","family":"Zak","given":"Dominik H.","non-dropping-particle":"","parse-names":false,"suffix":""},{"dropping-particle":"","family":"Horn","given":"Marcus A.","non-dropping-particle":"","parse-names":false,"suffix":""},{"dropping-particle":"","family":"Kolb","given":"Steffen","non-dropping-particle":"","parse-names":false,"suffix":""},{"dropping-particle":"","family":"Ulrich","given":"Andreas","non-dropping-particle":"","parse-names":false,"suffix":""}],"container-title":"Microorganisms","id":"ITEM-3","issue":"11","issued":{"date-parts":[["2022"]]},"title":"Consumption of N2O by Flavobacterium azooxidireducens sp. nov. isolated from decomposing leaf litter of Phragmites australis (Cav.)","type":"article-journal","volume":"10"},"uris":["http://www.mendeley.com/documents/?uuid=0690de71-0e0b-4048-aee3-6d932cba4a85"]}],"mendeley":{"formattedCitation":"(Yoon et al., 2017, 2019; Behrendt et al., 2022)","plainTextFormattedCitation":"(Yoon et al., 2017, 2019; Behrendt et al., 2022)","previouslyFormattedCitation":"(Yoon et al., 2017, 2019; Behrendt et al., 2022)"},"properties":{"noteIndex":0},"schema":"https://github.com/citation-style-language/schema/raw/master/csl-citation.json"}</w:instrText>
      </w:r>
      <w:r w:rsidRPr="00203EB0">
        <w:rPr>
          <w:b/>
          <w:caps/>
        </w:rPr>
        <w:fldChar w:fldCharType="separate"/>
      </w:r>
      <w:r w:rsidRPr="00203EB0">
        <w:rPr>
          <w:noProof/>
        </w:rPr>
        <w:t>(Yoon et al., 2017, 2019; Behrendt et al., 2022)</w:t>
      </w:r>
      <w:r w:rsidRPr="00203EB0">
        <w:rPr>
          <w:b/>
          <w:caps/>
        </w:rPr>
        <w:fldChar w:fldCharType="end"/>
      </w:r>
      <w:r w:rsidRPr="00203EB0">
        <w:t>.</w:t>
      </w:r>
    </w:p>
    <w:p w14:paraId="05EA3BB7" w14:textId="796BD48E" w:rsidR="008D0B4C" w:rsidRPr="00203EB0" w:rsidRDefault="008D0B4C" w:rsidP="00D56363">
      <w:pPr>
        <w:spacing w:line="480" w:lineRule="auto"/>
        <w:rPr>
          <w:b/>
          <w:caps/>
        </w:rPr>
      </w:pPr>
      <w:r w:rsidRPr="00203EB0">
        <w:t>Long-term management practices significantly influenced the abundance of these top ten taxa (</w:t>
      </w:r>
      <w:r w:rsidRPr="00203EB0">
        <w:rPr>
          <w:b/>
        </w:rPr>
        <w:t xml:space="preserve">Table </w:t>
      </w:r>
      <w:r w:rsidR="00820050" w:rsidRPr="00203EB0">
        <w:rPr>
          <w:b/>
        </w:rPr>
        <w:t>5.3</w:t>
      </w:r>
      <w:r w:rsidRPr="00203EB0">
        <w:rPr>
          <w:b/>
        </w:rPr>
        <w:t xml:space="preserve">, Table </w:t>
      </w:r>
      <w:r w:rsidR="00820050" w:rsidRPr="00203EB0">
        <w:rPr>
          <w:b/>
        </w:rPr>
        <w:t>5.4</w:t>
      </w:r>
      <w:r w:rsidRPr="00203EB0">
        <w:t xml:space="preserve">, and </w:t>
      </w:r>
      <w:r w:rsidRPr="00203EB0">
        <w:rPr>
          <w:b/>
        </w:rPr>
        <w:t xml:space="preserve">Figure </w:t>
      </w:r>
      <w:r w:rsidR="00820050" w:rsidRPr="00203EB0">
        <w:rPr>
          <w:b/>
        </w:rPr>
        <w:t>5.</w:t>
      </w:r>
      <w:r w:rsidRPr="00203EB0">
        <w:rPr>
          <w:b/>
        </w:rPr>
        <w:t>7</w:t>
      </w:r>
      <w:r w:rsidRPr="00203EB0">
        <w:t xml:space="preserve">), with N fertilization exerting the strongest and most consistent effects in the surface soil layer. Taxa such as those within </w:t>
      </w:r>
      <w:r w:rsidRPr="00203EB0">
        <w:rPr>
          <w:iCs/>
        </w:rPr>
        <w:t>SC-I-84</w:t>
      </w:r>
      <w:r w:rsidRPr="00203EB0">
        <w:rPr>
          <w:i/>
        </w:rPr>
        <w:t>,</w:t>
      </w:r>
      <w:r w:rsidRPr="00203EB0">
        <w:t xml:space="preserve"> </w:t>
      </w:r>
      <w:proofErr w:type="spellStart"/>
      <w:r w:rsidRPr="00203EB0">
        <w:rPr>
          <w:i/>
        </w:rPr>
        <w:lastRenderedPageBreak/>
        <w:t>Mizugakiibacter</w:t>
      </w:r>
      <w:proofErr w:type="spellEnd"/>
      <w:r w:rsidRPr="00203EB0">
        <w:rPr>
          <w:i/>
        </w:rPr>
        <w:t xml:space="preserve">, </w:t>
      </w:r>
      <w:proofErr w:type="spellStart"/>
      <w:r w:rsidRPr="00203EB0">
        <w:rPr>
          <w:i/>
        </w:rPr>
        <w:t>Gemmatimonas</w:t>
      </w:r>
      <w:proofErr w:type="spellEnd"/>
      <w:r w:rsidRPr="00203EB0">
        <w:rPr>
          <w:i/>
        </w:rPr>
        <w:t xml:space="preserve">, </w:t>
      </w:r>
      <w:proofErr w:type="spellStart"/>
      <w:r w:rsidRPr="00203EB0">
        <w:t>Acetobacteraceae</w:t>
      </w:r>
      <w:proofErr w:type="spellEnd"/>
      <w:r w:rsidRPr="00203EB0">
        <w:rPr>
          <w:i/>
        </w:rPr>
        <w:t xml:space="preserve">, </w:t>
      </w:r>
      <w:proofErr w:type="spellStart"/>
      <w:r w:rsidRPr="00203EB0">
        <w:t>Ktedonobacteraceae</w:t>
      </w:r>
      <w:proofErr w:type="spellEnd"/>
      <w:r w:rsidRPr="00203EB0">
        <w:rPr>
          <w:i/>
        </w:rPr>
        <w:t xml:space="preserve">, </w:t>
      </w:r>
      <w:proofErr w:type="spellStart"/>
      <w:r w:rsidRPr="00203EB0">
        <w:t>Micropepsaceae</w:t>
      </w:r>
      <w:proofErr w:type="spellEnd"/>
      <w:r w:rsidRPr="00203EB0">
        <w:rPr>
          <w:i/>
        </w:rPr>
        <w:t xml:space="preserve">, </w:t>
      </w:r>
      <w:r w:rsidRPr="00203EB0">
        <w:t>and</w:t>
      </w:r>
      <w:r w:rsidRPr="00203EB0">
        <w:rPr>
          <w:i/>
        </w:rPr>
        <w:t xml:space="preserve"> Candidatus </w:t>
      </w:r>
      <w:proofErr w:type="spellStart"/>
      <w:r w:rsidRPr="00203EB0">
        <w:t>Nitrosotalea</w:t>
      </w:r>
      <w:proofErr w:type="spellEnd"/>
      <w:r w:rsidRPr="00203EB0">
        <w:t xml:space="preserve"> were more abundance under fertilized conditions, consistent with previous findings </w:t>
      </w:r>
      <w:r w:rsidRPr="00203EB0">
        <w:rPr>
          <w:b/>
          <w:caps/>
        </w:rPr>
        <w:fldChar w:fldCharType="begin" w:fldLock="1"/>
      </w:r>
      <w:r w:rsidR="00EB2F35" w:rsidRPr="00203EB0">
        <w:instrText>ADDIN CSL_CITATION {"citationItems":[{"id":"ITEM-1","itemData":{"DOI":"10.1016/j.soilbio.2021.108460","ISSN":"00380717","abstract":"Oxygen (O2) is a key factor driving the expression of N-cycle-related functional genes and regulating nitrogenous gas production in the soil. However, how and to what extent the associated gene transcription and corresponding gas kinetics interact with the transition of soil O2 status caused by N fertilisation, remains poorly understood. In this context, we conducted a robotized incubation experiment using a He/O2 atmosphere with different amounts of ammonium-based fertiliser (0 (control), 60 (AS60) and 200 mg N kg−1 (NH4)2SO4 (AS200)) applied to an agricultural soil with a strong nitrification potential under three different initial O2 levels (oxic 21%, sub-oxic 3%, and anoxic 0%) over 14 days. Through repeated measurements of N2O, NO, and N2 concentrations and kinetics of mineral N following the decline of O2 concentrations, we found that higher ammonium addition (200 vs. 60 mg N kg−1) caused faster O2 consumption in the headspace and induced up to 238 times higher net accumulation of N2O under initially oxic headspace condition. We speculate that this was due to: 1) the rapid transition of O2 status from oxic to anoxic due to vigorous ammonia oxidation; and 2) the increased N2O/(N2O + NO + N2) ratio of denitrification with higher N addition. The amoA and nosZ gene transcript numbers changed significantly in response to ammonium addition and decreasing O2 concentration, whereas high-throughput sequencing revealed a significant structural alteration of the soil microbiota along with the transition of O2 status. Our results highlight that the vigorousness of oxygen depletion in the soil matrix driven by rapid ammonia oxidation is the proximal factor that regulates gas kinetics in high nitrification-potential soil when O2 diffusion is limited. This implies that practices which reduce hotspots of ammonia oxidation have the potential to mitigate N2O emissions from nitrifier denitrification and denitrification in agricultural soil.","author":[{"dropping-particle":"","family":"Yang","given":"Liuqing","non-dropping-particle":"","parse-names":false,"suffix":""},{"dropping-particle":"","family":"Zhang","given":"Xiaojun","non-dropping-particle":"","parse-names":false,"suffix":""},{"dropping-particle":"","family":"Ju","given":"Xiaotang","non-dropping-particle":"","parse-names":false,"suffix":""},{"dropping-particle":"","family":"Wu","given":"Di","non-dropping-particle":"","parse-names":false,"suffix":""}],"container-title":"Soil Biology and Biochemistry","id":"ITEM-1","issue":"October","issued":{"date-parts":[["2021"]]},"title":"Oxygen-depletion by rapid ammonia oxidation regulates kinetics of N2O, NO and N2 production in an ammonium fertilised agricultural soil","type":"article-journal","volume":"163"},"uris":["http://www.mendeley.com/documents/?uuid=b70b3839-4e6c-485f-b97d-e6aa95dfe46d"]},{"id":"ITEM-2","itemData":{"DOI":"10.1016/j.apsoil.2021.104120","ISSN":"09291393","abstract":"Understanding the effect of different agricultural practices on soil microbiome is very important since it has a decisive role in the multifunctionality of soils. Our research aimed to reveal and compare the changes in the composition of soil bacterial and archaeal communities in response to cultivation and fertilization regimes. Soil samples were collected from a long-term (60-year-old) field experiment with maize (Zea mays L.) monoculture under inorganic fertilization, combined fertilization (inorganic and farmyard manure) and without fertilization, and a nearby fallow land five times over a crop cycle. The bacterial and archaeal community compositions were revealed by amplicon sequencing of the 16S rRNA genes on Illumina MiSeq platform. Significant differences were observed between cultivated soils and fallow land, as well as among cultivated soils under different fertilization regimes in both bacterial and archaeal community structures. Many taxa (e.g. Gaiella, Burkholderiaceae, Saprospiraceae, Rhodoplanes, MB-A2-108 and Cand. Nitrososphaera) were found to be more abundant in the fallow land than in the cultivated soils. The exclusive use of inorganic fertilizer resulted in a significantly different bacterial and archaeal community structure with higher relative abundance of sequences affiliated with mostly acidotolerant taxa (e.g. Bryobacter, Cand. Solibacter, Acidibacteriales, WPS-2 and Cand. Nitrosotalea). These taxa were not enriched in the combined fertilizer treatment, even though the manure was applied only once every four years. The results demonstrated a strong effect of inorganic fertilizers on the soil bacterial and archaeal communities, however, these effects can be decreased by the application of farmyard manure.","author":[{"dropping-particle":"","family":"Megyes","given":"Melinda","non-dropping-particle":"","parse-names":false,"suffix":""},{"dropping-particle":"","family":"Borsodi","given":"Andrea K.","non-dropping-particle":"","parse-names":false,"suffix":""},{"dropping-particle":"","family":"Árendás","given":"Tamás","non-dropping-particle":"","parse-names":false,"suffix":""},{"dropping-particle":"","family":"Márialigeti","given":"Károly","non-dropping-particle":"","parse-names":false,"suffix":""}],"container-title":"Applied Soil Ecology","id":"ITEM-2","issued":{"date-parts":[["2021"]]},"title":"Variations in the diversity of soil bacterial and archaeal communities in response to different long-term fertilization regimes in maize fields","type":"article-journal","volume":"168"},"uris":["http://www.mendeley.com/documents/?uuid=a0ba085a-0aba-4555-8f6f-4ebaf0abd41d"]},{"id":"ITEM-3","itemData":{"DOI":"10.3389/fmicb.2022.1110151","ISSN":"1664302X","abstract":"Biogenic nitrous oxide (N2O) from nitrification and denitrification in agricultural soils is a major source of N2O in the atmosphere, and its flux changes significantly with soil moisture condition. However, the quantitative relationship between N2O production from different pathways (i.e., nitrification vs. denitrification) and soil moisture content remains elusive, limiting our ability of predicting future agricultural N2O emissions under changing environment. This study quantified N2O production rates from nitrification and denitrification under various soil moisture conditions using laboratory incubation combined with literature synthesis. 15N labeling approach was used to differentiate the N2O production from nitrification and denitrification under eight different soil moisture contents ranging from 40 to 120% water-filled pore space (WFPS) in the laboratory study, while 80 groups of data from 17 studies across global agricultural soils were collected in the literature synthesis. Results showed that as soil moisture increased, N2O production rates of nitrification and denitrification first increased and then decreased, with the peak rates occurring between 80 and 95% WFPS. By contrast, the dominant N2O production pathway switched from nitrification to denitrification between 60 and 70% WFPS. Furthermore, the synthetic data elucidated that moisture content was the major driver controlling the relative contributions of nitrification and denitrification to N2O production, while NH4+ and NO3− concentrations mainly determined the N2O production rates from each pathway. The moisture treatments with broad contents and narrow gradient were required to capture the comprehensive response of soil N2O production rate to moisture change, and the response is essential for accurately predicting N2O emission from agricultural soils under climate change scenarios.","author":[{"dropping-particle":"","family":"Wang","given":"Hui","non-dropping-particle":"","parse-names":false,"suffix":""},{"dropping-particle":"","family":"Yan","given":"Zhifeng","non-dropping-particle":"","parse-names":false,"suffix":""},{"dropping-particle":"","family":"Ju","given":"Xiaotang","non-dropping-particle":"","parse-names":false,"suffix":""},{"dropping-particle":"","family":"Song","given":"Xiaotong","non-dropping-particle":"","parse-names":false,"suffix":""},{"dropping-particle":"","family":"Zhang","given":"Jinbo","non-dropping-particle":"","parse-names":false,"suffix":""},{"dropping-particle":"","family":"Li","given":"Siliang","non-dropping-particle":"","parse-names":false,"suffix":""},{"dropping-particle":"","family":"Zhu-Barker","given":"Xia","non-dropping-particle":"","parse-names":false,"suffix":""}],"container-title":"Frontiers in Microbiology","id":"ITEM-3","issue":"January","issued":{"date-parts":[["2023"]]},"page":"1-10","title":"Quantifying nitrous oxide production rates from nitrification and denitrification under various moisture conditions in agricultural soils: Laboratory study and literature synthesis","type":"article-journal","volume":"13"},"uris":["http://www.mendeley.com/documents/?uuid=4013fdcf-c0a0-4eab-8fb5-1e4f420317a2"]},{"id":"ITEM-4","itemData":{"DOI":"10.1186/s13568-023-01559-2","ISSN":"21910855","abstract":"The application of novel bioorganic fertilizer (BIO) has been established as a weed biocontrol strategy, and reduce herbicides pollution and negatively effects on agricultural ecosystems. However, its long-term influences on soil bacterial communities are unknown. Here, 16 S rRNA sequencing to identify the changes that occur in soil bacterial community and enzyme under BIO treatments after five years in a field experiment. BIO application effectively controlled weeds, however no obvious differences between treatments were observed under BIO-50, BIO-100, BIO-200 and BIO-400 treatment. Anaeromyxobacter and Clostridium_ sensu_ stricto_1 were the two dominant genera among BIO-treated soil samples. The BIO-800 treatment had a slight influence on the species diversity index, which was more remarkable after five years. The seven significantly-different genera between BIO-800 treatment and untreated soils included C._sensu_stricto_1, Syntrophorhabdus, Candidatus_Koribacter, Rhodanobacter, Bryobacter, Haliangium, Anaeromyxobacter. In addition, BIO application had different effects on soil enzymatic activities and chemical properties. The extractable P and pH saliency correlated with Haliangium and C._Koribacter, and C._sensu_stricto_1 observably correlated with exchangeable K, hydrolytic N and organic matter. Taken together, our data suggest that BIO application effectively controlled weeds and a slight influence on soil bacterial communities and enzymes. These fin</w:instrText>
      </w:r>
      <w:r w:rsidR="00EB2F35" w:rsidRPr="00622616">
        <w:rPr>
          <w:lang w:val="es-UY"/>
        </w:rPr>
        <w:instrText>dings expand our knowledge of the application of BIO as widely used as a sustainable weed control in rice paddy.","author":[{"dropping-particle":"","family":"Li","given":"Zu ren","non-dropping-particle":"","parse-names":false,"suffix":""},{"dropping-particle":"","family":"Luo","given":"Si quan","non-dropping-particle":"","parse-names":false,"suffix":""},{"dropping-particle":"","family":"Peng","given":"Ya jun","non-dropping-particle":"","parse-names":false,"suffix":""},{"dropping-particle":"","family":"Jin","given":"Chen zhong","non-dropping-particle":"","parse-names":false,"suffix":""},{"dropping-particle":"","family":"Liu","given":"Du cai","non-dropping-particle":"","parse-names":false,"suffix":""}],"container-title":"AMB Express","id":"ITEM-4","issue":"1","issued":{"date-parts":[["2023"]]},"title":"Effect of long-term application of bioorganic fertilizer on the soil property and bacteria in rice paddy","type":"article-journal","volume":"13"},"uris":["http://www.mendeley.com/documents/?uuid=477d499a-1074-4306-a30d-145d28341a4f"]}],"mendeley":{"formattedCitation":"(Megyes et al., 2021; Yang et al., 2021; Li et al., 2023b; Wang et al., 2023)","plainTextFormattedCitation":"(Megyes et al., 2021; Yang et al., 2021; Li et al., 2023b; Wang et al., 2023)","previouslyFormattedCitation":"(Megyes et al., 2021; Yang et al., 2021; Li et al., 2023b; Wang et al., 2023)"},"properties":{"noteIndex":0},"schema":"https://github.com/citation-style-language/schema/raw/master/csl-citation.json"}</w:instrText>
      </w:r>
      <w:r w:rsidRPr="00203EB0">
        <w:rPr>
          <w:b/>
          <w:caps/>
        </w:rPr>
        <w:fldChar w:fldCharType="separate"/>
      </w:r>
      <w:r w:rsidR="00EB2F35" w:rsidRPr="00622616">
        <w:rPr>
          <w:noProof/>
          <w:lang w:val="es-UY"/>
        </w:rPr>
        <w:t>(Megyes et al., 2021; Yang et al., 2021; Li et al., 2023b; Wang et al., 2023)</w:t>
      </w:r>
      <w:r w:rsidRPr="00203EB0">
        <w:rPr>
          <w:b/>
          <w:caps/>
        </w:rPr>
        <w:fldChar w:fldCharType="end"/>
      </w:r>
      <w:r w:rsidRPr="00622616">
        <w:rPr>
          <w:lang w:val="es-UY"/>
        </w:rPr>
        <w:t xml:space="preserve">. </w:t>
      </w:r>
      <w:r w:rsidRPr="00203EB0">
        <w:t xml:space="preserve">These </w:t>
      </w:r>
      <w:proofErr w:type="gramStart"/>
      <w:r w:rsidRPr="00203EB0">
        <w:t>taxa</w:t>
      </w:r>
      <w:proofErr w:type="gramEnd"/>
      <w:r w:rsidRPr="00203EB0">
        <w:t xml:space="preserve"> </w:t>
      </w:r>
      <w:r w:rsidR="007C3B04">
        <w:t>have been previously associated with</w:t>
      </w:r>
      <w:r w:rsidRPr="00203EB0">
        <w:t xml:space="preserve"> nitrate respiration and/or aerobic ammonia oxidation pathways (</w:t>
      </w:r>
      <w:r w:rsidRPr="00203EB0">
        <w:rPr>
          <w:b/>
        </w:rPr>
        <w:t xml:space="preserve">Table </w:t>
      </w:r>
      <w:r w:rsidR="00820050" w:rsidRPr="00203EB0">
        <w:rPr>
          <w:b/>
        </w:rPr>
        <w:t>5.5</w:t>
      </w:r>
      <w:r w:rsidRPr="00203EB0">
        <w:t>), su</w:t>
      </w:r>
      <w:r w:rsidR="007C3B04">
        <w:t>ggesting a potential</w:t>
      </w:r>
      <w:r w:rsidRPr="00203EB0">
        <w:t xml:space="preserve"> contribution to N</w:t>
      </w:r>
      <w:r w:rsidRPr="00203EB0">
        <w:rPr>
          <w:vertAlign w:val="subscript"/>
        </w:rPr>
        <w:t>2</w:t>
      </w:r>
      <w:r w:rsidRPr="00203EB0">
        <w:t xml:space="preserve">O production. The pronounced effect of fertilization likely stems from increased substrate availability and shifts in soils chemistry, particularly acidification </w:t>
      </w:r>
      <w:r w:rsidRPr="00203EB0">
        <w:rPr>
          <w:b/>
          <w:caps/>
        </w:rPr>
        <w:fldChar w:fldCharType="begin" w:fldLock="1"/>
      </w:r>
      <w:r w:rsidRPr="00203EB0">
        <w:instrText>ADDIN CSL_CITATION {"citationItems":[{"id":"ITEM-1","itemData":{"ISSN":"12301485","abstract":"The mineral fertilization of arable land positively affects an increase of the biological productivity of various ecosystems as well as the microbial activity in soil. From the three elements N, P, K used for fertilization - nitrogen is one of the most important factors affecting soil fertility and productivity as well as the growth and development of cultivated plants. The chemical studies show that high N rates of fertilization result in the formation of carcinogenic nitrosamines in soil environments. The use of mineral N resulted in significant changes in microbiocenoses under investigated ecological condition. The decline of some beneficial microorganisms, as well as the occurrence of carcinogenic nitrosamines in soil, were the symptoms of changes in the environment.","author":[{"dropping-particle":"","family":"Barabasz","given":"W.","non-dropping-particle":"","parse-names":false,"suffix":""},{"dropping-particle":"","family":"Albińska","given":"D.","non-dropping-particle":"","parse-names":false,"suffix":""},{"dropping-particle":"","family":"Jaśkowska","given":"M.","non-dropping-particle":"","parse-names":false,"suffix":""},{"dropping-particle":"","family":"Lipiec","given":"J.","non-dropping-particle":"","parse-names":false,"suffix":""}],"container-title":"Polish Journal of Environmental Studies","id":"ITEM-1","issue":"3","issued":{"date-parts":[["2002"]]},"page":"193-198","title":"Biological effects of mineral nitrogen fertilization on soil microorganisms","type":"article-journal","volume":"11"},"uris":["http://www.mendeley.com/documents/?uuid=fc132bd5-e5e7-462a-8d45-1a166f96e10c"]}],"mendeley":{"formattedCitation":"(Barabasz et al., 2002)","plainTextFormattedCitation":"(Barabasz et al., 2002)","previouslyFormattedCitation":"(Barabasz et al., 2002)"},"properties":{"noteIndex":0},"schema":"https://github.com/citation-style-language/schema/raw/master/csl-citation.json"}</w:instrText>
      </w:r>
      <w:r w:rsidRPr="00203EB0">
        <w:rPr>
          <w:b/>
          <w:caps/>
        </w:rPr>
        <w:fldChar w:fldCharType="separate"/>
      </w:r>
      <w:r w:rsidRPr="00203EB0">
        <w:rPr>
          <w:noProof/>
        </w:rPr>
        <w:t>(Barabasz et al., 2002)</w:t>
      </w:r>
      <w:r w:rsidRPr="00203EB0">
        <w:rPr>
          <w:b/>
          <w:caps/>
        </w:rPr>
        <w:fldChar w:fldCharType="end"/>
      </w:r>
      <w:r w:rsidRPr="00203EB0">
        <w:t xml:space="preserve">. </w:t>
      </w:r>
    </w:p>
    <w:p w14:paraId="40792B98" w14:textId="77777777" w:rsidR="00CB749A" w:rsidRDefault="008D0B4C" w:rsidP="00CB749A">
      <w:pPr>
        <w:spacing w:line="480" w:lineRule="auto"/>
        <w:contextualSpacing/>
      </w:pPr>
      <w:r w:rsidRPr="00203EB0">
        <w:t xml:space="preserve">In contrast to N fertilization, tillage had a more limited influence, affecting a smaller subset of taxa, including those within </w:t>
      </w:r>
      <w:proofErr w:type="spellStart"/>
      <w:r w:rsidRPr="00203EB0">
        <w:rPr>
          <w:i/>
        </w:rPr>
        <w:t>Pseudarthrobacter</w:t>
      </w:r>
      <w:proofErr w:type="spellEnd"/>
      <w:r w:rsidRPr="00203EB0">
        <w:rPr>
          <w:i/>
        </w:rPr>
        <w:t xml:space="preserve">, </w:t>
      </w:r>
      <w:proofErr w:type="spellStart"/>
      <w:r w:rsidRPr="00203EB0">
        <w:rPr>
          <w:i/>
        </w:rPr>
        <w:t>Sphingomonas</w:t>
      </w:r>
      <w:proofErr w:type="spellEnd"/>
      <w:r w:rsidRPr="00203EB0">
        <w:rPr>
          <w:i/>
        </w:rPr>
        <w:t xml:space="preserve">, </w:t>
      </w:r>
      <w:proofErr w:type="spellStart"/>
      <w:r w:rsidRPr="00203EB0">
        <w:t>Ktedonobacteraceae</w:t>
      </w:r>
      <w:proofErr w:type="spellEnd"/>
      <w:r w:rsidRPr="00203EB0">
        <w:rPr>
          <w:i/>
        </w:rPr>
        <w:t xml:space="preserve">, </w:t>
      </w:r>
      <w:proofErr w:type="spellStart"/>
      <w:r w:rsidRPr="00203EB0">
        <w:rPr>
          <w:i/>
        </w:rPr>
        <w:t>Falvisolibacter</w:t>
      </w:r>
      <w:proofErr w:type="spellEnd"/>
      <w:r w:rsidRPr="00203EB0">
        <w:rPr>
          <w:i/>
        </w:rPr>
        <w:t xml:space="preserve"> </w:t>
      </w:r>
      <w:proofErr w:type="spellStart"/>
      <w:r w:rsidRPr="00203EB0">
        <w:rPr>
          <w:i/>
        </w:rPr>
        <w:t>ginsengisoli</w:t>
      </w:r>
      <w:proofErr w:type="spellEnd"/>
      <w:r w:rsidRPr="00203EB0">
        <w:rPr>
          <w:i/>
        </w:rPr>
        <w:t>,</w:t>
      </w:r>
      <w:r w:rsidRPr="00203EB0">
        <w:t xml:space="preserve"> </w:t>
      </w:r>
      <w:proofErr w:type="spellStart"/>
      <w:r w:rsidRPr="00203EB0">
        <w:rPr>
          <w:i/>
        </w:rPr>
        <w:t>Mizugakiibacter</w:t>
      </w:r>
      <w:proofErr w:type="spellEnd"/>
      <w:r w:rsidRPr="00203EB0">
        <w:t>,</w:t>
      </w:r>
      <w:r w:rsidRPr="00203EB0">
        <w:rPr>
          <w:i/>
        </w:rPr>
        <w:t xml:space="preserve"> </w:t>
      </w:r>
      <w:r w:rsidRPr="00203EB0">
        <w:t>and</w:t>
      </w:r>
      <w:r w:rsidRPr="00203EB0">
        <w:rPr>
          <w:i/>
        </w:rPr>
        <w:t xml:space="preserve"> </w:t>
      </w:r>
      <w:proofErr w:type="spellStart"/>
      <w:r w:rsidRPr="00203EB0">
        <w:rPr>
          <w:i/>
        </w:rPr>
        <w:t>Pseudogulbenkiania</w:t>
      </w:r>
      <w:proofErr w:type="spellEnd"/>
      <w:r w:rsidRPr="00203EB0">
        <w:rPr>
          <w:i/>
        </w:rPr>
        <w:t xml:space="preserve">. </w:t>
      </w:r>
      <w:r w:rsidRPr="00203EB0">
        <w:t xml:space="preserve">These </w:t>
      </w:r>
      <w:proofErr w:type="gramStart"/>
      <w:r w:rsidRPr="00203EB0">
        <w:t>taxa</w:t>
      </w:r>
      <w:proofErr w:type="gramEnd"/>
      <w:r w:rsidRPr="00203EB0">
        <w:t xml:space="preserve"> </w:t>
      </w:r>
      <w:r w:rsidR="005533B9">
        <w:t>have been reported to be associated with</w:t>
      </w:r>
      <w:r w:rsidRPr="00203EB0">
        <w:t xml:space="preserve"> nitrate respiration and may rely on available C sources for heterotrophic metabolism (</w:t>
      </w:r>
      <w:r w:rsidRPr="00203EB0">
        <w:rPr>
          <w:b/>
        </w:rPr>
        <w:t>Table</w:t>
      </w:r>
      <w:r w:rsidR="00820050" w:rsidRPr="00203EB0">
        <w:rPr>
          <w:b/>
        </w:rPr>
        <w:t xml:space="preserve"> 5.5</w:t>
      </w:r>
      <w:r w:rsidRPr="00203EB0">
        <w:t xml:space="preserve">). For instance, </w:t>
      </w:r>
      <w:proofErr w:type="spellStart"/>
      <w:r w:rsidRPr="00203EB0">
        <w:rPr>
          <w:i/>
        </w:rPr>
        <w:t>Falvisolibacter</w:t>
      </w:r>
      <w:proofErr w:type="spellEnd"/>
      <w:r w:rsidRPr="00203EB0">
        <w:rPr>
          <w:i/>
        </w:rPr>
        <w:t xml:space="preserve"> </w:t>
      </w:r>
      <w:proofErr w:type="spellStart"/>
      <w:r w:rsidRPr="00203EB0">
        <w:rPr>
          <w:i/>
        </w:rPr>
        <w:t>ginsengisoli</w:t>
      </w:r>
      <w:proofErr w:type="spellEnd"/>
      <w:r w:rsidRPr="00203EB0">
        <w:rPr>
          <w:i/>
        </w:rPr>
        <w:t xml:space="preserve"> </w:t>
      </w:r>
      <w:r w:rsidR="005533B9">
        <w:t xml:space="preserve">has been </w:t>
      </w:r>
      <w:r w:rsidRPr="00203EB0">
        <w:t xml:space="preserve">functionally associated with nitrate respiration and </w:t>
      </w:r>
      <m:oMath>
        <m:r>
          <w:rPr>
            <w:rFonts w:ascii="Cambria Math" w:hAnsi="Cambria Math"/>
          </w:rPr>
          <m:t>β</m:t>
        </m:r>
      </m:oMath>
      <w:r w:rsidRPr="00203EB0">
        <w:rPr>
          <w:rFonts w:eastAsiaTheme="minorEastAsia"/>
        </w:rPr>
        <w:t xml:space="preserve">-glucosidase activity, enabling in the degradation of labile C compounds such as simple sugars and cellulose-derived oligosaccharides </w:t>
      </w:r>
      <w:r w:rsidRPr="00203EB0">
        <w:rPr>
          <w:rFonts w:eastAsiaTheme="minorEastAsia"/>
          <w:b/>
          <w:caps/>
        </w:rPr>
        <w:fldChar w:fldCharType="begin" w:fldLock="1"/>
      </w:r>
      <w:r w:rsidRPr="00203EB0">
        <w:rPr>
          <w:rFonts w:eastAsiaTheme="minorEastAsia"/>
        </w:rPr>
        <w:instrText>ADDIN CSL_CITATION {"citationItems":[{"id":"ITEM-1","itemData":{"DOI":"10.1099/ijsem.0.000660","ISSN":"14665026","PMID":"26442990","abstract":"A Gram-reaction-negative, aerobic, non-motile and rod-shaped bacterial strain designated Gsoil 636T was isolated from soil of a ginseng cultivation field in Pocheon Province, South Korea and its taxonomic position was investigated using a polyphasic approach. Gsoil 636T grew at 18–30 ºC and at pH 6.0–8.0 on R2A medium. Gsoil 636T possessed b-glucosidase activity, which was responsible for its ability to transform ginsenoside Rb1 (ones of the dominant active components of ginseng) to F2On the basis of 16S rRNA gene sequence similarity, Gsoil 636T was shown to belong to the family Chitinophagaceae and to be related to Flavisolibacter ginsengiterrae Gsoil 492T (96.7 % sequence similarity), Flavisolibacter ginsengisoli Gsoil 643T (96.6 %) and Flavisolibacter rigui 02SUJ3T (96.6 %). The G+C content of the genomic DNA was 48.9 %. The predominant respiratory quinone was MK-7 and the major fatty acids were iso-C15 : 0, summed feature 3 (comprising C16 : 1ω6c and/or C16 : 1ω67c) and iso-C17 : 0 3-OH. DNA and chemotaxonomic data supported the affiliation of Gsoil 636T to the genus Flavisolibacter. Gsoil 636T could be differentiated genotypically and phenotypically from the species of the genus Flavisolibacter with validly published names. The isolate therefore represents a novel species, for which the name Flavisolibacter ginsenosidimutans sp. nov. is proposed, with the type strain Gsoil 636T (KCTC 22818T=JCM 18197T=KACC 14277T).","author":[{"dropping-particle":"","family":"Zhao","given":"Yan","non-dropping-particle":"","parse-names":false,"suffix":""},{"dropping-particle":"","family":"Liu","given":"Qingmei","non-dropping-particle":"","parse-names":false,"suffix":""},{"dropping-particle":"","family":"Kang","given":"Myung Suk","non-dropping-particle":"","parse-names":false,"suffix":""},{"dropping-particle":"","family":"Jin","given":"Fengxie","non-dropping-particle":"","parse-names":false,"suffix":""},{"dropping-particle":"","family":"Yu","given":"Hongshan","non-dropping-particle":"","parse-names":false,"suffix":""},{"dropping-particle":"","family":"Im","given":"Wan Taek","non-dropping-particle":"","parse-names":false,"suffix":""}],"container-title":"International Journal of Systematic and Evolutionary Microbiology","id":"ITEM-1","issue":"12","issued":{"date-parts":[["2015"]]},"page":"4868-4872","title":"Flavisolibacter ginsenosidimutans sp. Nov., with ginsenoside-converting activity isolated from soil used for cultivating ginseng","type":"article-journal","volume":"65"},"uris":["http://www.mendeley.com/documents/?uuid=2c8eba7b-3b1e-4add-91a3-4aa3a1b8a077"]},{"id":"ITEM-2","itemData":{"DOI":"10.1186/s40793-024-00643-9","ISSN":"25246372","abstract":"In agroecosystems, nitrous oxide (N₂O) emissions are influenced by both microbiome composition and soil properties, yet the relative importance of these factors in determining differential N₂O emissions remains unclear. This study investigates the impacts of these factors on N₂O emissions using two primary agricultural soils from northern China: fluvo-aquic soil (FS) from the North China Plain and black soil (BS) from Northeast China, which exhibit significant differences in physicochemical properties. In non-sterilized controls (NSC), we observed distinct denitrifying bacterial phenotypes between FS and BS, with BS exhibiting significantly higher N₂O emissions. Cross-inoculation experiments were conducted by introducing extracted microbiomes into sterile recipient soils of both types to disentangle the relative contributions of soil properties and microbiomes on N₂O emission potential. The results showed recipient-soil-dependent gas kinetics, with significantly higher N₂O/(N₂O + N₂) ratios in BS compared to FS, regardless of the inoculum type. Metagenomic analysis further revealed significant shifts in denitrification genes and microbial diversity of the inoculated bacteriomes influenced by the recipient soil. The higher ratios of nirS/nosZ in FS and nirK/nosZ in BS indicated that the recipient soil dictates the formation of different denitrifying guilds. Specifically, the BS environment fosters nirK-based denitrifiers like Rhodanobacter, contributing to higher N₂O accumulation, while FS supports a diverse array of denitrifiers, including Pseudomonas and Stutzerimonas, associated with complete denitrification and lower N₂O emissions. This study underscores the critical role of soil properties in shaping microbial community dynamics and greenhouse gas emissions. These findings highlight the importance of considering soil physicochemical properties in managing agricultural practices to mitigate N₂O emissions.","author":[{"dropping-particle":"","family":"Bano","given":"Saira","non-dropping-particle":"","parse-names":false,"suffix":""},{"dropping-particle":"","family":"Wu","given":"Qiaoyu","non-dropping-particle":"","parse-names":false,"suffix":""},{"dropping-particle":"","family":"Yu","given":"Siyu","non-dropping-particle":"","parse-names":false,"suffix":""},{"dropping-particle":"","family":"Wang","given":"Xinhui","non-dropping-particle":"","parse-names":false,"suffix":""},{"dropping-particle":"","family":"Zhang","given":"Xiaojun","non-dropping-particle":"","parse-names":false,"suffix":""}],"container-title":"Environmental Microbiome","id":"ITEM-2","issue":"1","issued":{"date-parts":[["2024"]]},"title":"Soil properties drive nitrous oxide accumulation patterns by shaping denitrifying bacteriomes","type":"article-journal","volume":"19"},"uris":["http://www.mendeley.com/documents/?uuid=0c8d92ee-76fd-40ee-8925-84dc00dd251a"]}],"mendeley":{"formattedCitation":"(Zhao et al., 2015; Bano et al., 2024)","plainTextFormattedCitation":"(Zhao et al., 2015; Bano et al., 2024)","previouslyFormattedCitation":"(Zhao et al., 2015; Bano et al., 2024)"},"properties":{"noteIndex":0},"schema":"https://github.com/citation-style-language/schema/raw/master/csl-citation.json"}</w:instrText>
      </w:r>
      <w:r w:rsidRPr="00203EB0">
        <w:rPr>
          <w:rFonts w:eastAsiaTheme="minorEastAsia"/>
          <w:b/>
          <w:caps/>
        </w:rPr>
        <w:fldChar w:fldCharType="separate"/>
      </w:r>
      <w:r w:rsidRPr="00203EB0">
        <w:rPr>
          <w:rFonts w:eastAsiaTheme="minorEastAsia"/>
          <w:noProof/>
        </w:rPr>
        <w:t>(Zhao et al., 2015; Bano et al., 2024)</w:t>
      </w:r>
      <w:r w:rsidRPr="00203EB0">
        <w:rPr>
          <w:rFonts w:eastAsiaTheme="minorEastAsia"/>
          <w:b/>
          <w:caps/>
        </w:rPr>
        <w:fldChar w:fldCharType="end"/>
      </w:r>
      <w:r w:rsidRPr="00203EB0">
        <w:rPr>
          <w:rFonts w:eastAsiaTheme="minorEastAsia"/>
        </w:rPr>
        <w:t xml:space="preserve">. Similarly, </w:t>
      </w:r>
      <w:proofErr w:type="spellStart"/>
      <w:r w:rsidRPr="00203EB0">
        <w:rPr>
          <w:i/>
        </w:rPr>
        <w:t>Pseudarthrobacter</w:t>
      </w:r>
      <w:proofErr w:type="spellEnd"/>
      <w:r w:rsidRPr="00203EB0">
        <w:rPr>
          <w:i/>
        </w:rPr>
        <w:t xml:space="preserve">, </w:t>
      </w:r>
      <w:proofErr w:type="spellStart"/>
      <w:r w:rsidRPr="00203EB0">
        <w:t>Ktedonobacteraceae</w:t>
      </w:r>
      <w:proofErr w:type="spellEnd"/>
      <w:r w:rsidRPr="00203EB0">
        <w:rPr>
          <w:i/>
        </w:rPr>
        <w:t xml:space="preserve">, </w:t>
      </w:r>
      <w:proofErr w:type="spellStart"/>
      <w:r w:rsidRPr="00203EB0">
        <w:rPr>
          <w:i/>
        </w:rPr>
        <w:t>Mizugakiibacter</w:t>
      </w:r>
      <w:proofErr w:type="spellEnd"/>
      <w:r w:rsidRPr="00203EB0">
        <w:t>,</w:t>
      </w:r>
      <w:r w:rsidRPr="00203EB0">
        <w:rPr>
          <w:i/>
        </w:rPr>
        <w:t xml:space="preserve"> </w:t>
      </w:r>
      <w:r w:rsidRPr="00203EB0">
        <w:t>and</w:t>
      </w:r>
      <w:r w:rsidRPr="00203EB0">
        <w:rPr>
          <w:i/>
        </w:rPr>
        <w:t xml:space="preserve"> </w:t>
      </w:r>
      <w:proofErr w:type="spellStart"/>
      <w:r w:rsidRPr="00203EB0">
        <w:rPr>
          <w:i/>
        </w:rPr>
        <w:t>Pseudogulbenkiania</w:t>
      </w:r>
      <w:proofErr w:type="spellEnd"/>
      <w:r w:rsidRPr="00203EB0">
        <w:t xml:space="preserve"> </w:t>
      </w:r>
      <w:r w:rsidR="005533B9">
        <w:t xml:space="preserve">have been reported to be </w:t>
      </w:r>
      <w:r w:rsidRPr="00203EB0">
        <w:t xml:space="preserve">associated with nitrate reducing pathways and may respond to shifts in C availability driven by soil disturbance </w:t>
      </w:r>
      <w:r w:rsidRPr="00203EB0">
        <w:rPr>
          <w:b/>
          <w:caps/>
        </w:rPr>
        <w:fldChar w:fldCharType="begin" w:fldLock="1"/>
      </w:r>
      <w:r w:rsidRPr="00203EB0">
        <w:instrText>ADDIN CSL_CITATION {"citationItems":[{"id":"ITEM-1","itemData":{"DOI":"10.1016/j.soilbio.2024.109453","ISSN":"00380717","abstract":"Intensively fertilized acidic soils are global hotspots of nitrous oxide (N2O) emissions, contributing to net agronomic greenhouse gas outcomes. Identifying the key drivers of soil N2O emissions is hampered by the synergistic or antagonistic effects of multiple factors. Within a framework based on the predominant role of microbial communities producing N2O, the N2O emissions are affected either by proximal regulators: temporary soil property fluctuations affect N2O production transcriptionally, or by distal regulators: persistent genetic rearrangements in local microbial communities. The proximal regulators, individually or together, may spontaneously impact distal regulators. Here, we use acidic soils from tea (Camellia sinensis L.) plantations on a broader geographic scale as a model system. Based on amplicon sequencing and properties of 195 acidic (average pH = 5.0) soils, we determined the importance of proximal and distal regulation to N2O emissions. Microbial phylogenetic diversity as a distal regulator overwhelms mineral N content as a proximal regulator in explaining high N2O emissions. Low-abundance, diverse prokaryotic communities (e.g., Acidothermu) and specialized denitrifying fungal communities (e.g., Fusarium) were associated with high N2O emissions. Revisiting the impact of proximal regulators on distal regulators revealed that soil pH is the sole proximal regulator influencing the prokaryotic rare taxa that correlated with high N2O emissions. When considering proximal regulators together (here soil properties compiled as soil fertility index), the microbial diversity were independent of soil fertility. The microbial assembly was dominated by stochastic processes. Consequently, proximal regulators have a limited impact on distal regulators of N2O emissions from acidic soils. In conclusion, the framework underscored the importance of in situ microbial communities as distal regulators in explaining high N2O emissions from acidic soils.","author":[{"dropping-particle":"","family":"Xu","given":"Shengwen","non-dropping-particle":"","parse-names":false,"suffix":""},{"dropping-particle":"","family":"Yu","given":"Yongxiang","non-dropping-particle":"","parse-names":false,"suffix":""},{"dropping-particle":"","family":"Fan","given":"Haoxin","non-dropping-particle":"","parse-names":false,"suffix":""},{"dropping-particle":"","family":"Bilyera","given":"Nataliya","non-dropping-particle":"","parse-names":false,"suffix":""},{"dropping-particle":"","family":"Meng","given":"Xiangtian","non-dropping-particle":"","parse-names":false,"suffix":""},{"dropping-particle":"","family":"Xue","given":"Jiantao","non-dropping-particle":"","parse-names":false,"suffix":""},{"dropping-particle":"","family":"Lu","given":"Zhong","non-dropping-particle":"","parse-names":false,"suffix":""},{"dropping-particle":"","family":"Yang","given":"Zhihan","non-dropping-particle":"","parse-names":false,"suffix":""},{"dropping-particle":"","family":"Chapman","given":"Stephen J.","non-dropping-particle":"","parse-names":false,"suffix":""},{"dropping-particle":"","family":"Gao","given":"Fuyun","non-dropping-particle":"","parse-names":false,"suffix":""},{"dropping-particle":"","family":"Han","given":"Wenyan","non-dropping-particle":"","parse-names":false,"suffix":""},{"dropping-particle":"","family":"Li","given":"Yaying","non-dropping-particle":"","parse-names":false,"suffix":""},{"dropping-particle":"","family":"Zheng","given":"Ningguo","non-dropping-particle":"","parse-names":false,"suffix":""},{"dropping-particle":"","family":"Yao","given":"Huaiying","non-dropping-particle":"","parse-names":false,"suffix":""},{"dropping-particle":"","family":"Kuzyakov","given":"Yakov","non-dropping-particle":"","parse-names":false,"suffix":""}],"container-title":"Soil Biology and Biochemistry","id":"ITEM-1","issue":"April","issued":{"date-parts":[["2024"]]},"page":"109453","publisher":"Elsevier Ltd","title":"Microbial communities overwhelm environmental controls in explaining nitrous oxide emission in acidic soils","type":"article-journal","volume":"194"},"uris":["http://www.mendeley.com/documents/?uuid=e6656caa-026b-44fd-a61d-266956cdf0be"]},{"id":"ITEM-2","itemData":{"DOI":"10.1007/s11104-022-05754-1","ISBN":"0123456789","ISSN":"15735036","abstract":"Purpose: Reduce the climate cost of plastic mulch is an important issue for the sustainable development of dryland. Previous studies suggest plastic mulch has risk to increase nitrous oxide emission, but how this produced by the complex interaction between soil properties and microbial is still an unsolved problem and need to research to develop targeted practice. Methods: To address this question, molecular ecology tools, including real-time quantitative and high-throughput sequencing were employed to explore how plastic mulch induced change on soil environment and then stimulates denitrification. Three mulching treatments were compared, including no mulching, spring and autumn mulching. Results: Plastic mulch induced significant increase in the richness and diversity of nir-containing denitrifiers. The nirS and nirK-gene abundance was the greatest under the autumn mulching, and a more conspicuous change in the community structure and abundance was observed for nirK gene than for nirS denitrifiers. The most differentially abundant taxa in the autumn mulching were Anaeromyxobacter, Terriglobus, Edwardsiella, Catenulispora and Acidobacterium for nirK genes and Cupriavidus for nirS genes. Mulching increased the potential denitrification enzyme activity by 58% and 29% for autumn and spring mulching, respectively, and this effect was mirrored by the abundance of nirK, but not by nirS denitrifiers. The nirK gene was significantly correlated to variations in soil moisture, temperature, and nitrate nitrogen. Conclusion: Plastic mulch stimulates denitrification by inducing higher moisture, temperature and nitrate nitrogen content and structural change in the community of nirK denitrifying bacteria in dryland agroecosystems.","author":[{"dropping-particle":"","family":"Dong","given":"Wenyi","non-dropping-particle":"","parse-names":false,"suffix":""},{"dropping-particle":"","family":"Zhang","given":"Zhe","non-dropping-particle":"","parse-names":false,"suffix":""},{"dropping-particle":"","family":"Chen","given":"Baoqing","non-dropping-particle":"","parse-names":false,"suffix":""},{"dropping-particle":"","family":"Sun","given":"Dongbao","non-dropping-particle":"","parse-names":false,"suffix":""},{"dropping-particle":"","family":"Liu","given":"Enke","non-dropping-particle":"","parse-names":false,"suffix":""}],"container-title":"Plant and Soil","id":"ITEM-2","issue":"1-2","issued":{"date-parts":[["2024"]]},"page":"155-171","publisher":"Springer International Publishing","title":"Plastic mulch stimulates denitrification by interaction between soil environment and denitrifying bacteria","type":"article-journal","volume":"499"},"uris":["http://www.mendeley.com/documents/?uuid=4ca238ca-060d-43d2-9acb-fee1ef0f4e08"]}],"mendeley":{"formattedCitation":"(Dong et al., 2024; Xu et al., 2024)","plainTextFormattedCitation":"(Dong et al., 2024; Xu et al., 2024)","previouslyFormattedCitation":"(Dong et al., 2024; Xu et al., 2024)"},"properties":{"noteIndex":0},"schema":"https://github.com/citation-style-language/schema/raw/master/csl-citation.json"}</w:instrText>
      </w:r>
      <w:r w:rsidRPr="00203EB0">
        <w:rPr>
          <w:b/>
          <w:caps/>
        </w:rPr>
        <w:fldChar w:fldCharType="separate"/>
      </w:r>
      <w:r w:rsidRPr="00203EB0">
        <w:rPr>
          <w:noProof/>
        </w:rPr>
        <w:t>(Dong et al., 2024; Xu et al., 2024)</w:t>
      </w:r>
      <w:r w:rsidRPr="00203EB0">
        <w:rPr>
          <w:b/>
          <w:caps/>
        </w:rPr>
        <w:fldChar w:fldCharType="end"/>
      </w:r>
      <w:r w:rsidRPr="00203EB0">
        <w:t xml:space="preserve">. </w:t>
      </w:r>
      <w:proofErr w:type="spellStart"/>
      <w:r w:rsidRPr="00203EB0">
        <w:rPr>
          <w:i/>
        </w:rPr>
        <w:t>Sphingomonas</w:t>
      </w:r>
      <w:proofErr w:type="spellEnd"/>
      <w:r w:rsidRPr="00203EB0">
        <w:t xml:space="preserve">, in contrast, </w:t>
      </w:r>
      <w:proofErr w:type="gramStart"/>
      <w:r w:rsidR="005533B9">
        <w:t>has</w:t>
      </w:r>
      <w:proofErr w:type="gramEnd"/>
      <w:r w:rsidR="005533B9">
        <w:t xml:space="preserve"> been characterized</w:t>
      </w:r>
      <w:r w:rsidRPr="00203EB0">
        <w:t xml:space="preserve"> </w:t>
      </w:r>
      <w:proofErr w:type="gramStart"/>
      <w:r w:rsidRPr="00203EB0">
        <w:t>for</w:t>
      </w:r>
      <w:proofErr w:type="gramEnd"/>
      <w:r w:rsidRPr="00203EB0">
        <w:t xml:space="preserve"> its role in degrading recalcitrant C compounds such as lignin and aromatics (</w:t>
      </w:r>
      <w:r w:rsidRPr="00203EB0">
        <w:rPr>
          <w:b/>
        </w:rPr>
        <w:t xml:space="preserve">Table </w:t>
      </w:r>
      <w:r w:rsidR="00B63E18" w:rsidRPr="00203EB0">
        <w:rPr>
          <w:b/>
        </w:rPr>
        <w:t>5.5</w:t>
      </w:r>
      <w:r w:rsidRPr="00203EB0">
        <w:t xml:space="preserve">), which are abundant in cotton residues. Reported responses </w:t>
      </w:r>
      <w:proofErr w:type="gramStart"/>
      <w:r w:rsidRPr="00203EB0">
        <w:t>of</w:t>
      </w:r>
      <w:proofErr w:type="gramEnd"/>
      <w:r w:rsidRPr="00203EB0">
        <w:t xml:space="preserve"> these </w:t>
      </w:r>
      <w:proofErr w:type="gramStart"/>
      <w:r w:rsidRPr="00203EB0">
        <w:t>taxa</w:t>
      </w:r>
      <w:proofErr w:type="gramEnd"/>
      <w:r w:rsidRPr="00203EB0">
        <w:t xml:space="preserve"> to tillage vary widely across studies. For instance, </w:t>
      </w:r>
      <w:proofErr w:type="spellStart"/>
      <w:r w:rsidRPr="00203EB0">
        <w:rPr>
          <w:i/>
        </w:rPr>
        <w:t>Sphingomonas</w:t>
      </w:r>
      <w:proofErr w:type="spellEnd"/>
      <w:r w:rsidRPr="00203EB0">
        <w:rPr>
          <w:i/>
        </w:rPr>
        <w:t xml:space="preserve"> </w:t>
      </w:r>
      <w:r w:rsidRPr="00203EB0">
        <w:t xml:space="preserve">and </w:t>
      </w:r>
      <w:proofErr w:type="spellStart"/>
      <w:r w:rsidRPr="00203EB0">
        <w:rPr>
          <w:iCs/>
        </w:rPr>
        <w:lastRenderedPageBreak/>
        <w:t>Ktedonobacteraceae</w:t>
      </w:r>
      <w:proofErr w:type="spellEnd"/>
      <w:r w:rsidRPr="00203EB0">
        <w:t xml:space="preserve"> have been observed to increase under NT systems in some studies </w:t>
      </w:r>
      <w:r w:rsidRPr="00203EB0">
        <w:rPr>
          <w:b/>
          <w:caps/>
        </w:rPr>
        <w:fldChar w:fldCharType="begin" w:fldLock="1"/>
      </w:r>
      <w:r w:rsidRPr="00203EB0">
        <w:instrText>ADDIN CSL_CITATION {"citationItems":[{"id":"ITEM-1","itemData":{"DOI":"10.1016/j.ejsobi.2017.03.001","ISSN":"11645563","abstract":"A comprehensive evaluation of the impacts of different tillage managements on bacterial community structure is fundamental to better understand their roles in maintaining soil health. The objective of this study was to assess the impact of no tillage (NT) vs. conventional tillage (CT) management on soil properties, bacterial community structure in a 22-year experiment established on the Loess Plateau of China, under a winter wheat cropping succession. Our results showed that the long-term application of NT caused a significant increase in bacterial alpha-diversity as indicated by the significantly greater number of unique operational taxonomic units (OTUs), richness (Chao), evenness (ACE), and Shannon index and a lower Simpson index compared to CT. Moreover, the NT treatment changed certain soil physicochemical properties, e.g., soil organic carbon (SOC), total nitrogen (TN), dissolved organic carbon (DOC), microbial biomass C (MBC), microbial biomass N (MBN) and nitrate nitrogen (NO3-N) were greater under CT. The bacterial communities differed significantly between the different tillage treatments, and NT harboured relatively higher abundances of the dominant genera Sphingomonas and Pseudomonas and a lower abundance of Acidobacteria than CT. A redundancy analysis (RDA) revealed that the bacterial community structure was strongly correlated with variations of SOC, DOC and TN. Thus, based on these findings, it is concluded that NT management is a more sustainable faming practice to improve soil properties and bacterial diversity.","author":[{"dropping-particle":"","family":"Dong","given":"Wenyi","non-dropping-particle":"","parse-names":false,"suffix":""},{"dropping-particle":"","family":"Liu","given":"Enke","non-dropping-particle":"","parse-names":false,"suffix":""},{"dropping-particle":"","family":"Yan","given":"Changrong","non-dropping-particle":"","parse-names":false,"suffix":""},{"dropping-particle":"","family":"Tian","given":"Jing","non-dropping-particle":"","parse-names":false,"suffix":""},{"dropping-particle":"","family":"Zhang","given":"Hengheng","non-dropping-particle":"","parse-names":false,"suffix":""},{"dropping-particle":"","family":"Zhang","given":"Yanqing","non-dropping-particle":"","parse-names":false,"suffix":""}],"container-title":"European Journal of Soil Biology","id":"ITEM-1","issued":{"date-parts":[["2017"]]},"page":"35-42","publisher":"Elsevier Masson SAS","title":"Impact of no tillage vs. conventional tillage on the soil bacterial community structure in a winter wheat cropping succession in northern China","type":"article-journal","volume":"80"},"uris":["http://www.mendeley.com/documents/?uuid=d39a92b4-92ac-4266-8c72-002bf2ee5baf"]},{"id":"ITEM-2","itemData":{"DOI":"10.3390/microorganisms8111773","ISSN":"20762607","abstract":"Metagenomics in agricultural research allows for searching for bioindicators of soil health to characterize changes caused by management practices. Cover cropping (CC) improves soil health by mitigating nutrient losses, yet the benefits depend on the tillage system used. Field studies searching for indicator taxa within these systems are scarce and narrow in their scope. Our goal was to identify bioindicators of soil health from microbes that were responsive to CC (three levels) and tillage (chisel tillage, no-till) treatments after five years under field conditions. We used rRNA gene-based analysis via Illumina HiSeq2500 technology with QIIME 2.0 processing to characterize the microbial communities. Our results indicated that CC and tillage differentially changed the relative abundances (RAs) of the copiotrophic and oligotrophic guilds. Corn–soybean rotations with legume–grass CC increased the RA of copiotrophic decomposers more than rotations with grass CC, whereas rotations with only bare fallows favored stress-tolerant oligotrophs, including nitrifiers and denitrifiers. Unlike bacteria, fewer indicator fungi and archaea were detected; fungi were poorly identified, and their responses were inconsistent, while the archaea RA increased under bare fallow treatments. This is primary information that allows for understanding the potential for managing the soil community compositions using cover crops to reduce nutrient losses to the environment.","author":[{"dropping-particle":"","family":"Kim","given":"Nakian","non-dropping-particle":"","parse-names":false,"suffix":""},{"dropping-particle":"","family":"Zabaloy","given":"María C.","non-dropping-particle":"","parse-names":false,"suffix":""},{"dropping-particle":"","family":"Villamil","given":"María B.","non-dropping-particle":"","parse-names":false,"suffix":""},{"dropping-particle":"","family":"Riggins","given":"Chance W.","non-dropping-particle":"","parse-names":false,"suffix":""},{"dropping-particle":"","family":"Rodríguez-Zas","given":"Sandra","non-dropping-particle":"","parse-names":false,"suffix":""}],"container-title":"Microorganisms","id":"ITEM-2","issue":"11","issued":{"date-parts":[["2020"]]},"page":"1-21","title":"Microbial shifts following five years of cover cropping and tillage practices in fertile agroecosystems","type":"article-journal","volume":"8"},"uris":["http://www.mendeley.com/documents/?uuid=8f985088-418a-4850-bf14-eefb6599007c"]}],"mendeley":{"formattedCitation":"(Dong et al., 2017; Kim et al., 2020)","plainTextFormattedCitation":"(Dong et al., 2017; Kim et al., 2020)","previouslyFormattedCitation":"(Dong et al., 2017; Kim et al., 2020)"},"properties":{"noteIndex":0},"schema":"https://github.com/citation-style-language/schema/raw/master/csl-citation.json"}</w:instrText>
      </w:r>
      <w:r w:rsidRPr="00203EB0">
        <w:rPr>
          <w:b/>
          <w:caps/>
        </w:rPr>
        <w:fldChar w:fldCharType="separate"/>
      </w:r>
      <w:r w:rsidRPr="00203EB0">
        <w:rPr>
          <w:noProof/>
        </w:rPr>
        <w:t>(Dong et al., 2017; Kim et al., 2020)</w:t>
      </w:r>
      <w:r w:rsidRPr="00203EB0">
        <w:rPr>
          <w:b/>
          <w:caps/>
        </w:rPr>
        <w:fldChar w:fldCharType="end"/>
      </w:r>
      <w:r w:rsidRPr="00203EB0">
        <w:t xml:space="preserve">, while others reported greater abundance under CT </w:t>
      </w:r>
      <w:r w:rsidRPr="00203EB0">
        <w:rPr>
          <w:b/>
          <w:caps/>
        </w:rPr>
        <w:fldChar w:fldCharType="begin" w:fldLock="1"/>
      </w:r>
      <w:r w:rsidRPr="00203EB0">
        <w:instrText>ADDIN CSL_CITATION {"citationItems":[{"id":"ITEM-1","itemData":{"DOI":"10.1093/femsec/fiv069","ISSN":"15746941","PMID":"26109134","abstract":"Incorporation of plant litter is a frequent agricultural practice to increase nutrient availability in soil, and relies heavily on the activity of cellulose-degrading microorganisms. Here we address the question of how different tillage treatments affect soil microbial communities and their cellulose-degrading potential in a long-term agricultural experiment. To identify potential differences in microbial taxonomy and functionality, we generated six soil metagenomes of conventional (CT) and reduced (RT) tillage-treated topsoil samples, which differed in their potential extracellular cellulolytic activity as well as their microbial biomass. Taxonomic analysis of metagenomic data revealed few differences between RT and CT, and a dominance of Proteobacteria and Actinobacteria, whereas eukaryotic phyla were not prevalent. Prediction of cellulolytic enzymes revealed glycoside hydrolase families 1, 3 and 94, auxiliary activity family 8 and carbohydrate-binding module 2 as the most abundant in soil. These were annotated mainly to the phyla of Proteobacteria, Actinobacteria and Bacteroidetes. These results suggest that the observed higher cellulolytic activity in RT soils can be explained by a higher microbial biomass or changed expression levels but not by shifts in the soil microbiome. Overall, this study reveals the stability of soil microbial communities and cellulolytic gene composition under the investigated tillage treatments.","author":[{"dropping-particle":"","family":"Vries","given":"Maria","non-dropping-particle":"de","parse-names":false,"suffix":""},{"dropping-particle":"","family":"Schöler","given":"Anne","non-dropping-particle":"","parse-names":false,"suffix":""},{"dropping-particle":"","family":"Ertl","given":"Julia","non-dropping-particle":"","parse-names":false,"suffix":""},{"dropping-particle":"","family":"Xu","given":"Zhuofei","non-dropping-particle":"","parse-names":false,"suffix":""},{"dropping-particle":"","family":"Schloter","given":"Michael","non-dropping-particle":"","parse-names":false,"suffix":""}],"container-title":"FEMS Microbiology Ecology","id":"ITEM-1","issue":"7","issued":{"date-parts":[["2015"]]},"page":"1-10","title":"Metagenomic analyses reveal no differences in genes involved in cellulose degradation under different tillage treatments","type":"article-journal","volume":"91"},"uris":["http://www.mendeley.com/documents/?uuid=3fa170fb-eddc-4034-a9b1-3cbfd94f73d4"]},{"id":"ITEM-2","itemData":{"DOI":"10.12190/j.issn.2096-1197.2021.0309","author":[{"dropping-particle":"","family":"Feng","given":"Biao","non-dropping-particle":"","parse-names":false,"suffix":""},{"dropping-particle":"","family":"Qinggeer","given":"","non-dropping-particle":"","parse-names":false,"suffix":""},{"dropping-particle":"","family":"Gao","given":"Ju-lin","non-dropping-particle":"","parse-names":false,"suffix":""},{"dropping-particle":"","family":"Yu","given":"Xiao-fang","non-dropping-particle":"","parse-names":false,"suffix":""},{"dropping-particle":"","family":"Hu","given":"Shu-ping","non-dropping-particle":"","parse-names":false,"suffix":""},{"dropping-particle":"","family":"Zhang","given":"Xin","non-dropping-particle":"","parse-names":false,"suffix":""},{"dropping-particle":"","family":"Xue","given":"Hong-fei","non-dropping-particle":"","parse-names":false,"suffix":""},{"dropping-particle":"","family":"Liu","given":"Rui-zhi","non-dropping-particle":"","parse-names":false,"suffix":""},{"dropping-particle":"","family":"Liu","given":"Ai-ye","non-dropping-particle":"","parse-names":false,"suffix":""}],"container-title":"Journal of Northern Agriculture","id":"ITEM-2","issue":"3","issued":{"date-parts":[["2021"]]},"page":"64-73","title":"Effects of different tillage methods on soil enzyme activity, microbial biomass and community composition","type":"article-journal","volume":"49"},"uris":["http://www.mendeley.com/documents/?uuid=0c154101-1a9b-42ee-974e-570bdb58a1d2"]},{"id":"ITEM-3","itemData":{"DOI":"10.1016/j.agee.2023.108827","ISSN":"01678809","abstract":"The effects of conservation tillage on soil biodiversity are crucial for maintaining the balance and stability of agroecosystems, but research on soil animal-associated microbiota, an important compartment of soil biodiversity in addition to soil microbiota and soil animals, is still lacking. Here, we used 16 S rRNA amplicon sequencing to investigate the diversity and composition of bacteria associated with two Collembola species (Entomobrya sibirica and Ceratophysella sp.) of different life forms under four different tillage practices: (1) conventional moldboard plow tillage with no straw mulch (CT), (2) moldboard plow tillage with straw mulch (MT), (3) no-tillage with straw cover (NT) and (4) no-tillage with straw cover and crop rotation (NTR). We found that conservation tillage increased Collembola abundance and Collembola-associated bacterial diversity, with no significant effect on soil bacteria. Ceratophysella sp. seemed to be more adapted to NTR, whereas E. sibirica was more adapted to MT. Interestingly, Collembola abundance was positively correlated with its associated bacterial diversity, with the relative abundance of Sphingomonas and Pelomonas being positively correlated, but Pseudomonas and Rhodococcus being negatively correlated with Collembola abundance. We identified Methylobacterium-Methtylorubrum and Streptomyces as indicator bacteria for the MT treatment, but no common indicator between the two Collembola species in the NTR treatment. Conservation tillage significantly affected the composition and network structure of Collembola-associated bacteria, particularly in the MT and NTR treatments. Our study suggests that conservation tillage practices affect at least two of the three compartments of soil biodiversity – soil microbiota, soil animals and soil-animal associated microbiota. If only one tillage practice is preferred, we recommend the no-tillage with straw mulch and rotation (NTR) as the most optimal strategy for conserving soil biodiversity.","author":[{"dropping-particle":"","family":"Liu","given":"Shuchen","non-dropping-particle":"","parse-names":false,"suffix":""},{"dropping-particle":"","family":"Hao","given":"Cao","non-dropping-particle":"","parse-names":false,"suffix":""},{"dropping-particle":"","fam</w:instrText>
      </w:r>
      <w:r w:rsidRPr="00622616">
        <w:rPr>
          <w:lang w:val="es-UY"/>
        </w:rPr>
        <w:instrText>ily":"Xie","given":"Zhijing","non-dropping-particle":"","parse-names":false,"suffix":""},{"dropping-particle":"","family":"Wu","given":"Yunga","non-dropping-particle":"","parse-names":false,"suffix":""},{"dropping-particle":"","family":"Liang","given":"Aizhen","non-dropping-particle":"","parse-names":false,"suffix":""},{"dropping-particle":"","family":"Chang","given":"Liang","non-dropping-particle":"","parse-names":false,"suffix":""},{"dropping-particle":"","family":"Wu","given":"Donghui","non-dropping-particle":"","parse-names":false,"suffix":""},{"dropping-particle":"","family":"Chen","given":"Ting Wen","non-dropping-particle":"","parse-names":false,"suffix":""}],"container-title":"Agriculture, Ecosystems and Environment","id":"ITEM-3","issue":"July 2023","issued":{"date-parts":[["2024"]]},"page":"108827","publisher":"Elsevier B.V.","title":"Conservation tillage impacts on soil biodiversity: Additional insights from the Collembola-associated bacteria","type":"article-journal","volume":"362"},"uris":["http://www.mendeley.com/documents/?uuid=48909444-efad-4308-be6a-2329dfb426f3"]}],"mendeley":{"formattedCitation":"(de Vries et al., 2015; Feng et al., 2021; Liu et al., 2024)","plainTextFormattedCitation":"(de Vries et al., 2015; Feng et al., 2021; Liu et al., 2024)","previouslyFormattedCitation":"(de Vries et al., 2015; Feng et al., 2021; Liu et al., 2024)"},"properties":{"noteIndex":0},"schema":"https://github.com/citation-style-language/schema/raw/master/csl-citation.json"}</w:instrText>
      </w:r>
      <w:r w:rsidRPr="00203EB0">
        <w:rPr>
          <w:b/>
          <w:caps/>
        </w:rPr>
        <w:fldChar w:fldCharType="separate"/>
      </w:r>
      <w:r w:rsidRPr="00622616">
        <w:rPr>
          <w:noProof/>
          <w:lang w:val="es-UY"/>
        </w:rPr>
        <w:t>(de Vries et al., 2015; Feng et al., 2021; Liu et al., 2024)</w:t>
      </w:r>
      <w:r w:rsidRPr="00203EB0">
        <w:rPr>
          <w:b/>
          <w:caps/>
        </w:rPr>
        <w:fldChar w:fldCharType="end"/>
      </w:r>
      <w:r w:rsidRPr="00622616">
        <w:rPr>
          <w:lang w:val="es-UY"/>
        </w:rPr>
        <w:t xml:space="preserve">. </w:t>
      </w:r>
      <w:r w:rsidRPr="00203EB0">
        <w:t xml:space="preserve">Similarly, </w:t>
      </w:r>
      <w:proofErr w:type="spellStart"/>
      <w:r w:rsidRPr="00203EB0">
        <w:rPr>
          <w:i/>
        </w:rPr>
        <w:t>Pseudogulbenkiania</w:t>
      </w:r>
      <w:proofErr w:type="spellEnd"/>
      <w:r w:rsidRPr="00203EB0">
        <w:rPr>
          <w:i/>
        </w:rPr>
        <w:t xml:space="preserve"> </w:t>
      </w:r>
      <w:r w:rsidRPr="00203EB0">
        <w:t xml:space="preserve">has shown to respond to tillage practices </w:t>
      </w:r>
      <w:r w:rsidRPr="00203EB0">
        <w:rPr>
          <w:b/>
          <w:caps/>
        </w:rPr>
        <w:fldChar w:fldCharType="begin" w:fldLock="1"/>
      </w:r>
      <w:r w:rsidRPr="00203EB0">
        <w:instrText>ADDIN CSL_CITATION {"citationItems":[{"id":"ITEM-1","itemData":{"DOI":"doi.org/10.1007/978-3-319-63336-7_5","author":[{"dropping-particle":"","family":"Bevivino","given":"Annamaria","non-dropping-particle":"","parse-names":false,"suffix":""},{"dropping-particle":"","family":"Dalmastri","given":"Claudia","non-dropping-particle":"","parse-names":false,"suffix":""}],"container-title":"Sustainability in Plant and Crop Protection","id":"ITEM-1","issued":{"date-parts":[["2017"]]},"page":"77-95","title":"Impact of agricultural land management on soil bacterial community: A case study in the Mediterranean area","type":"article-journal"},"uris":["http://www.mendeley.com/documents/?uuid=7595dfce-224d-4697-bfa5-e36b48606432"]}],"mendeley":{"formattedCitation":"(Bevivino and Dalmastri, 2017)","plainTextFormattedCitation":"(Bevivino and Dalmastri, 2017)","previouslyFormattedCitation":"(Bevivino and Dalmastri, 2017)"},"properties":{"noteIndex":0},"schema":"https://github.com/citation-style-language/schema/raw/master/csl-citation.json"}</w:instrText>
      </w:r>
      <w:r w:rsidRPr="00203EB0">
        <w:rPr>
          <w:b/>
          <w:caps/>
        </w:rPr>
        <w:fldChar w:fldCharType="separate"/>
      </w:r>
      <w:r w:rsidRPr="00203EB0">
        <w:rPr>
          <w:noProof/>
        </w:rPr>
        <w:t>(Bevivino and Dalmastri, 2017)</w:t>
      </w:r>
      <w:r w:rsidRPr="00203EB0">
        <w:rPr>
          <w:b/>
          <w:caps/>
        </w:rPr>
        <w:fldChar w:fldCharType="end"/>
      </w:r>
      <w:r w:rsidRPr="00203EB0">
        <w:t xml:space="preserve">, and increases in </w:t>
      </w:r>
      <w:proofErr w:type="spellStart"/>
      <w:r w:rsidRPr="00203EB0">
        <w:rPr>
          <w:i/>
        </w:rPr>
        <w:t>Flavisolibacter</w:t>
      </w:r>
      <w:proofErr w:type="spellEnd"/>
      <w:r w:rsidRPr="00203EB0">
        <w:rPr>
          <w:i/>
        </w:rPr>
        <w:t xml:space="preserve"> </w:t>
      </w:r>
      <w:r w:rsidRPr="00203EB0">
        <w:t xml:space="preserve">abundance have been link to the incorporation of maize residues </w:t>
      </w:r>
      <w:r w:rsidRPr="00203EB0">
        <w:rPr>
          <w:b/>
          <w:caps/>
        </w:rPr>
        <w:fldChar w:fldCharType="begin" w:fldLock="1"/>
      </w:r>
      <w:r w:rsidRPr="00203EB0">
        <w:instrText>ADDIN CSL_CITATION {"citationItems":[{"id":"ITEM-1","itemData":{"DOI":"10.1007/s00248-016-0807-8","ISSN":"00953628","PMID":"27538875","abstract":"Water infiltration, soil carbon content, aggregate stability and yields increased in conservation agriculture practices compared to conventionally ploughed control treatments at the Henderson research station near Mazowe (Zimbabwe). How these changes in soil characteristics affect the bacterial community structure and the bacteria involved in the degradation of applied organic material remains unanswered. Soil was sampled from three agricultural systems at Henderson, i.e. (1) conventional mouldboard ploughing with continuous maize (conventional tillage), (2) direct seeding with a Fitarelli jab planter and continuous maize (direct seeding with continuous maize) and (3) direct seeding with a Fitarelli jab planter with rotation of maize sunn hemp (direct seeding with crop rotation). Soil was amended with young maize plants or their neutral detergent fibre (NDF) and incubated aerobically for 56 days, while C and N mineralization and the bacterial community structure were monitored. Bacillus (Bacillales), Micrococcaceae (Actinomycetales) and phylotypes belonging to the Pseudomonadales were first degraders of the applied maize plants. At day 3, Streptomyces (Actinomycetales), Chitinophagaceae ([Saprospirales]) and Dyella (Xanthomonadales) participated in the degradation of the applied maize and at day 7 Oxalobacteraceae (Burkholderiales). Phylotypes belonging to Halomonas (Oceanospirillales) were the first degraders of NDF and were replaced by Phenylobacterium (Caulobacterales) and phylotypes belonging to Pseudomonadales at day 3. Afterwards, similar bacterial groups were favoured by application of NDF as they were by the application of maize plants, but there were also clear differences. Phylotypes belonging to the Micrococcaceae and Bacillus did not participate in the degradation of NDF or its metabolic products, while phylotypes belonging to the Acidobacteriaceae participated in the degradation of NDF but not in that of maize plants. It was found that agricultural practices had a limited effect on the bacterial community structure, but application of organic material altered it substantially.","author":[{"dropping-particle":"","family":"la Cruz-Barrón","given":"Magali","non-dropping-particle":"De","parse-names":false,"suffix":""},{"dropping-particle":"","family":"Cruz-Mendoza","given":"Alejandra","non-dropping-particle":"","parse-names":false,"suffix":""},{"dropping-particle":"","family":"Navarro–Noya","given":"Yendi E.","non-dropping-particle":"","parse-names":false,"suffix":""},{"dropping-particle":"","family":"Ruiz-Valdiviezo","given":"Victor M.","non-dropping-particle":"","parse-names":false,"suffix":""},{"dropping-particle":"","family":"Ortíz-Gutiérrez","given":"Daniel","non-dropping-particle":"","parse-names":false,"suffix":""},{"dropping-particle":"","family":"Ramírez-Villanueva","given":"Daniel A.","non-dropping-particle":"","parse-names":false,"suffix":""},{"dropping-particle":"","family":"Luna-Guido","given":"Marco","non-dropping-particle":"","parse-names":false,"suffix":""},{"dropping-particle":"","family":"Thierfelder","given":"Cristian","non-dropping-particle":"","parse-names":false,"suffix":""},{"dropping-particle":"","family":"Wall","given":"Patrick C.","non-dropping-particle":"","parse-names":false,"suffix":""},{"dropping-particle":"","family":"Verhulst","given":"Nele","non-dropping-particle":"","parse-names":false,"suffix":""},{"dropping-particle":"","family":"Govaerts","given":"Bram","non-dropping-particle":"","parse-names":false,"suffix":""},{"dropping-particle":"","family":"Dendooven","given":"Luc","non-dropping-particle":"","parse-names":false,"suffix":""}],"container-title":"Microbial Ecology","id":"ITEM-1","issue":"1","issued":{"date-parts":[["2017"]]},"page":"135-152","publisher":"Microbial Ecology","title":"The bacterial community structure and dynamics of carbon and nitrogen when Maize (Zea mays L.) and its neutral detergent fibre were added to soil from Zimbabwe with contrasting management practices","type":"article-journal","volume":"73"},"uris":["http://www.mendeley.com/documents/?uuid=15d64917-6cac-41f0-a245-5fb63501e1ac"]}],"mendeley":{"formattedCitation":"(De la Cruz-Barrón et al., 2017)","plainTextFormattedCitation":"(De la Cruz-Barrón et al., 2017)","previouslyFormattedCitation":"(De la Cruz-Barrón et al., 2017)"},"properties":{"noteIndex":0},"schema":"https://github.com/citation-style-language/schema/raw/master/csl-citation.json"}</w:instrText>
      </w:r>
      <w:r w:rsidRPr="00203EB0">
        <w:rPr>
          <w:b/>
          <w:caps/>
        </w:rPr>
        <w:fldChar w:fldCharType="separate"/>
      </w:r>
      <w:r w:rsidRPr="00203EB0">
        <w:rPr>
          <w:noProof/>
        </w:rPr>
        <w:t>(De la Cruz-Barrón et al., 2017)</w:t>
      </w:r>
      <w:r w:rsidRPr="00203EB0">
        <w:rPr>
          <w:b/>
          <w:caps/>
        </w:rPr>
        <w:fldChar w:fldCharType="end"/>
      </w:r>
      <w:r w:rsidRPr="00203EB0">
        <w:t xml:space="preserve">. These variable outcomes underscore the complex and context-dependent nature of tillage effects on microbial communities, likely driven by site-specific conditions, residue characteristics, and interactions with other management practices. </w:t>
      </w:r>
    </w:p>
    <w:p w14:paraId="4BFC06C5" w14:textId="33F105D2" w:rsidR="005533B9" w:rsidRPr="00CB749A" w:rsidRDefault="005533B9" w:rsidP="00CB749A">
      <w:pPr>
        <w:spacing w:line="480" w:lineRule="auto"/>
        <w:contextualSpacing/>
      </w:pPr>
      <w:r>
        <w:rPr>
          <w:bCs/>
        </w:rPr>
        <w:t>C</w:t>
      </w:r>
      <w:r w:rsidRPr="005533B9">
        <w:rPr>
          <w:bCs/>
        </w:rPr>
        <w:t xml:space="preserve">over cropping had minimal influence on the dominant taxa in the surface soil, consistent with previous findings at the same site that microbial responses to cover crops are strongest shortly after termination </w:t>
      </w:r>
      <w:r w:rsidR="008D0B4C" w:rsidRPr="005533B9">
        <w:rPr>
          <w:b/>
          <w:bCs/>
        </w:rPr>
        <w:fldChar w:fldCharType="begin" w:fldLock="1"/>
      </w:r>
      <w:r w:rsidR="00256601">
        <w:rPr>
          <w:bCs/>
        </w:rPr>
        <w:instrText xml:space="preserve">ADDIN CSL_CITATION {"citationItems":[{"id":"ITEM-1","itemData":{"DOI":"10.3389/fmicb.2022.847005","ISSN":"1664302X","abstract":"Agricultural practices alter the structure and functions of soil microbial community. However, few studies have documented the alterations of bacterial communities in soils under long-term conservation management practices for continuous crop production. In this study, we evaluated soil bacterial diversity using 16S rRNA gene sequencing and soil physical and chemical properties within 12 combinations of inorganic N fertilization, cover cropping, and tillage throughout a cotton production cycle. Soil was collected from field plots of the West Tennessee Agriculture Research and Education Center in Jackson, TN, United States. The site has been under continuous cotton production for 38 years. A total of 38,038 OTUs were detected across 171 soil samples. The dominant bacterial phyla were Proteobacteria, Acidobacteria, Actinobacteria, Verrucomicrobia, and Chloroflexi, accounting for </w:instrText>
      </w:r>
      <w:r w:rsidR="00256601">
        <w:rPr>
          <w:rFonts w:ascii="Cambria Math" w:hAnsi="Cambria Math" w:cs="Cambria Math"/>
          <w:bCs/>
        </w:rPr>
        <w:instrText>∼</w:instrText>
      </w:r>
      <w:r w:rsidR="00256601">
        <w:rPr>
          <w:bCs/>
        </w:rPr>
        <w:instrText>70% of the total bacterial community membership. Conventional tillage increased alpha diversity in soil samples collected in different stages of cotton production. The effects of inorganic N fertilization and conventional tillage on the structure of bacterial communities were significant at all four sampling dates (p &lt; 0.01). However, cover cropping (p &lt; 0.05) and soil moisture content (p &lt; 0.05) only showed significant influence on the bacterial community structure after burn-down of the cover crops and before planting of cotton (May). Nitrate-N appeared to have a significant effect on the structure of bacterial communities after inorganic fertilization and at the peak of cotton growth (p &lt; 0.01). Structural equation modeling revealed that the relative abundances of denitrifying and nitrifying bacteria were higher when conventional tillage and vetch cover crop practices were applied, respectively. Our results indicate that long-term tillage and fertilization are key factors increasing the diversity and restructuring the composition of bacterial communities, whereas cover cropping may have shorter-term effects on soil bacteria community structure. In this study, management practices might positively influence relative abundances of bacterial functional groups associated with N cycling. The bacteria functional groups may build a network for providing N and meet microbial N needs in the long term.","author":[{"dropping-particle":"","family":"Duan","given":"Ning","non-dropping-particle":"","parse-names":false,"suffix":""},{"dropping-particle":"","family":"Li","given":"Lidong","non-dropping-particle":"","parse-names":false,"suffix":""},{"dropping-particle":"","family":"Liang","given":"Xiaolong","non-dropping-particle":"","parse-names":false,"suffix":""},{"dropping-particle":"","family":"Fine","given":"Aubrey","non-dropping-particle":"","parse-names":false,"suffix":""},{"dropping-particle":"","family":"Zhuang","given":"Jie","non-dropping-particle":"","parse-names":false,"suffix":""},{"dropping-particle":"","family":"Radosevich","given":"Mark","non-dropping-particle":"","parse-names":false,"suffix":""},{"dropping-particle":"","family":"Schaeffer","given":"Sean M.","non-dropping-particle":"","parse-names":false,"suffix":""}],"container-title":"Frontiers in Microbiology","id":"ITEM-1","issue":"April","issued":{"date-parts":[["2022"]]},"page":"1-14","title":"Variation in bacterial community structure under long-term fertilization, tillage, and cover cropping in continuous cotton production","type":"article-journal","volume":"13"},"uris":["http://www.mendeley.com/documents/?uuid=006864a5-e734-4513-9e34-9e9e655059f0"]}],"mendeley":{"formattedCitation":"(Duan et al., 2022)","plainTextFormattedCitation":"(Duan et al., 2022)","previouslyFormattedCitation":"(Duan et al., 2022)"},"properties":{"noteIndex":0},"schema":"https://github.com/citation-style-language/schema/raw/master/csl-citation.json"}</w:instrText>
      </w:r>
      <w:r w:rsidR="008D0B4C" w:rsidRPr="005533B9">
        <w:rPr>
          <w:b/>
          <w:bCs/>
        </w:rPr>
        <w:fldChar w:fldCharType="separate"/>
      </w:r>
      <w:r w:rsidRPr="00256601">
        <w:rPr>
          <w:bCs/>
          <w:noProof/>
        </w:rPr>
        <w:t>(Duan et al., 2022)</w:t>
      </w:r>
      <w:r w:rsidR="008D0B4C" w:rsidRPr="005533B9">
        <w:rPr>
          <w:b/>
          <w:bCs/>
        </w:rPr>
        <w:fldChar w:fldCharType="end"/>
      </w:r>
      <w:r w:rsidRPr="005533B9">
        <w:rPr>
          <w:bCs/>
        </w:rPr>
        <w:t xml:space="preserve">. </w:t>
      </w:r>
      <w:r>
        <w:rPr>
          <w:bCs/>
        </w:rPr>
        <w:t>H</w:t>
      </w:r>
      <w:r w:rsidRPr="005533B9">
        <w:rPr>
          <w:bCs/>
        </w:rPr>
        <w:t xml:space="preserve">owever, in the subsoil, two taxa, </w:t>
      </w:r>
      <w:proofErr w:type="spellStart"/>
      <w:r>
        <w:rPr>
          <w:bCs/>
        </w:rPr>
        <w:t>M</w:t>
      </w:r>
      <w:r w:rsidRPr="005533B9">
        <w:rPr>
          <w:bCs/>
        </w:rPr>
        <w:t>icropepsaceae</w:t>
      </w:r>
      <w:proofErr w:type="spellEnd"/>
      <w:r w:rsidRPr="005533B9">
        <w:rPr>
          <w:bCs/>
        </w:rPr>
        <w:t xml:space="preserve"> sp. and </w:t>
      </w:r>
      <w:r>
        <w:rPr>
          <w:bCs/>
        </w:rPr>
        <w:t>A</w:t>
      </w:r>
      <w:r w:rsidRPr="005533B9">
        <w:rPr>
          <w:bCs/>
        </w:rPr>
        <w:t>mb-16</w:t>
      </w:r>
      <w:r>
        <w:rPr>
          <w:bCs/>
        </w:rPr>
        <w:t>S</w:t>
      </w:r>
      <w:r w:rsidRPr="005533B9">
        <w:rPr>
          <w:bCs/>
        </w:rPr>
        <w:t xml:space="preserve">-1323, were significantly influenced by cover cropping, both showing increased abundance under hairy vetch. </w:t>
      </w:r>
      <w:r>
        <w:rPr>
          <w:bCs/>
        </w:rPr>
        <w:t>T</w:t>
      </w:r>
      <w:r w:rsidRPr="005533B9">
        <w:rPr>
          <w:bCs/>
        </w:rPr>
        <w:t xml:space="preserve">hese taxa are involved in </w:t>
      </w:r>
      <w:r>
        <w:rPr>
          <w:bCs/>
        </w:rPr>
        <w:t>C</w:t>
      </w:r>
      <w:r w:rsidRPr="005533B9">
        <w:rPr>
          <w:bCs/>
        </w:rPr>
        <w:t xml:space="preserve"> cycling and have been previously linked to cover crop use </w:t>
      </w:r>
      <w:r w:rsidR="008D0B4C" w:rsidRPr="005533B9">
        <w:rPr>
          <w:b/>
          <w:bCs/>
        </w:rPr>
        <w:fldChar w:fldCharType="begin" w:fldLock="1"/>
      </w:r>
      <w:r w:rsidR="00256601">
        <w:rPr>
          <w:bCs/>
        </w:rPr>
        <w:instrText>ADDIN CSL_CITATION {"citationItems":[{"id":"ITEM-1","itemData":{"DOI":"10.3390/microorganisms9061244","ISSN":"20762607","abstract":"Recent advancements in agricultural metagenomics allow for characterizing microbial indicators of soil health brought on by changes in management decisions, which ultimately affect the soil environment. Field-scale studies investigating the microbial taxa from agricultural experiments are sparse, with none investigating the long-term effect of crop rotation and tillage on microbial indicator species. Therefore, our goal was to determine the effect of rotations (continuous corn, CCC; continuous soybean, SSS; and each phase of a corn-soybean rotation, Cs and Sc) and tillage (no-till, NT; and chisel tillage, T) on the soil microbial community composition following 20 years of management. We found that crop rotation and tillage influence the soil environment by altering key soil properties, such as pH and soil organic matter (SOM). Monoculture corn lowered pH compared to SSS (5.9 vs. 6.9, respectively) but increased SOM (5.4% vs. 4.6%, respectively). Bacterial indicator microbes were categorized into two groups: SOM dependent and acidophile vs. N adverse and neutrophile. Fungi preferred the CCC rotation, characterized by low pH. Archaeal indicators were mainly ammonia oxidizers with species occupying niches at contrasting pHs. Numerous indicator microbes are involved with N cycling due to the fertilizer-rich environment, prone to aquatic or gaseous losses.","author":[{"dropping-particle":"","family":"Behnke","given":"Gevan D.","non-dropping-particle":"","parse-names":false,"suffix":""},{"dropping-particle":"","family":"Kim","given":"Nakian","non-dropping-particle":"","parse-names":false,"suffix":""},{"dropping-particle":"","family":"Zabaloy","given":"Maria C.","non-dropping-particle":"","parse-names":false,"suffix":""},{"dropping-particle":"","family":"Riggins","given":"Chance W.","non-dropping-particle":"","parse-names":false,"suffix":""},{"dropping-particle":"","family":"Rodriguez-Zas","given":"Sandra","non-dropping-particle":"","parse-names":false,"suffix":""},{"dropping-particle":"","family":"Villamil","given":"Maria B.","non-dropping-particle":"","parse-names":false,"suffix":""}],"container-title":"Microorganisms","id":"ITEM-1","issue":"6","issued":{"date-parts":[["2021"]]},"title":"Soil microbial indicators within rotations and tillage systems","type":"article-journal","volume":"9"},"uris":["http://www.mendeley.com/documents/?uuid=8dde1be0-b54e-4381-8096-b647a452b71d"]},{"id":"ITEM-2","itemData":{"DOI":"10.1371/journal.pone.0290608","ISBN":"1111111111","ISSN":"19326203","PMID":"37643167","abstract":"Cover crops are known to positively impact soil health, both at a physical level (through erosion control and organic matter enhancement) and at a biological level (by fostering more diverse microbial communities). However, most research in this area has been conducted in the context of annual cover crops that are terminated when the main crop is planted. We have previously demonstrated that a continuous “living mulch” cover crop system can enhance the physical and chemical aspects of soil health; In this study, we reveal its effect on the soil bacterial community and compare it to two different annual cover crops and a conventional control without cover crops. We examined the effect of a living-mulch (LM) system using perennial white clover (Trifolium pratense L), annual cereal rye (Secale cereale L.) (CR), annual crimson clover (Trifolium incarnatum L.) (CC), and a no-cover (NC) control at three time points during the 2018 growing season. 16S rRNA amplicon analysis of the soil bacterial community revealed that the community composition in cover crop systems was significantly different from the NC control, and that LM and CR accommodated more heterogeneous and even bacterial communities compared to the NC control. The difference in bacterial composition between cover crop systems appears to be partly influenced by soil nitrogen concentration and lime buffer capacity. Overall community diversity was associated with nitrogen and metal ion concentrations, and these associations were both stronger and more numerous later in the season. These results elucidate how a perennial cover crop system affects the soil bacterial community and advance our understanding of the interactions between crops, management practices, and soil microbiomes in sustainable agriculture.","author":[{"dropping-particle":"","family":"Li","given":"Hanxia","non-dropping-particle":"","parse-names":false,"suffix":""},{"dropping-particle":"","family":"Hill","given":"Nicholas","non-dropping-particle":"","parse-names":false,"suffix":""},{"dropping-particle":"","family":"Wallace","given":"Jason","non-dropping-particle":"","parse-names":false,"suffix":""}],"container-title":"PLoS ONE","id":"ITEM-2","issue":"8 August","issued":{"date-parts":[["2023"]]},"page":"1-20","title":"A perennial living mulch system fosters a more diverse and balanced soil bacterial community","type":"article-journal","volume":"18"},"uris":["http://www.mendeley.com/documents/?uuid=2d157ff9-c41d-42c9-93d3-b021a333cbd7"]}],"mendeley":{"formattedCitation":"(Behnke et al., 2021; Li et al., 2023a)","manualFormatting":"(Behnke et al., 2021)","plainTextFormattedCitation":"(Behnke et al., 2021; Li et al., 2023a)","previouslyFormattedCitation":"(Behnke et al., 2021; Li et al., 2023a)"},"properties":{"noteIndex":0},"schema":"https://github.com/citation-style-language/schema/raw/master/csl-citation.json"}</w:instrText>
      </w:r>
      <w:r w:rsidR="008D0B4C" w:rsidRPr="005533B9">
        <w:rPr>
          <w:b/>
          <w:bCs/>
        </w:rPr>
        <w:fldChar w:fldCharType="separate"/>
      </w:r>
      <w:r w:rsidRPr="00256601">
        <w:rPr>
          <w:bCs/>
          <w:noProof/>
        </w:rPr>
        <w:t>(Behnke et al., 2021)</w:t>
      </w:r>
      <w:r w:rsidR="008D0B4C" w:rsidRPr="005533B9">
        <w:rPr>
          <w:b/>
          <w:bCs/>
        </w:rPr>
        <w:fldChar w:fldCharType="end"/>
      </w:r>
      <w:r w:rsidRPr="005533B9">
        <w:rPr>
          <w:bCs/>
        </w:rPr>
        <w:t>, suggesting that cover cropping may exert delayed or localized effects on microbial functional potential below the surface layer.</w:t>
      </w:r>
      <w:r w:rsidRPr="005533B9">
        <w:t xml:space="preserve"> </w:t>
      </w:r>
      <w:r w:rsidRPr="0048475E">
        <w:t xml:space="preserve">In contrast, </w:t>
      </w:r>
      <w:r>
        <w:rPr>
          <w:b/>
          <w:caps/>
        </w:rPr>
        <w:fldChar w:fldCharType="begin" w:fldLock="1"/>
      </w:r>
      <w:r>
        <w:instrText>ADDIN CSL_CITATION {"citationItems":[{"id":"ITEM-1","itemData":{"DOI":"10.1016/j.scitotenv.2024.177871","ISSN":"18791026","PMID":"39674165","abstract":"Agricultural soils are a significant contributor to global nitrous oxide (N2O) emissions, which is primarily driven by microbial nitrification and denitrification processes. Diversifying crop rotations can enhance soil nitrogen (N) utilization and influence N-cycling microbes, particularly the denitrifiers. Here, we evaluated the abundance, diversity, and community structure of soil denitrifiers by analyzing the denitrification genes (nirS, nirK, and nosZI) with a 14-year experiment of continuous and rotated crop systems. Compared to continuous cotton (C), crop rotations altered abundance of the nirS, nirK, and nosZI genes, but the responses varied among different rotation patterns (p &lt; 0.05). Diversified crop rotations decreased Shannon index of the nirS and nirK gene communities, while increased that of the nosZI gene communities. Diversified crop rotations greatly changed community structure of the nirS, nirK and nosZI gene communities (p &lt; 0.05). Among the responsive operational taxonomic units (OTUs), 2.62 %, 2.52 %, and 4.31 % of the nirS, nirK, and nosZI genes were involved in the responses, respectively. Notably, a significant increase in OTUs belonged to N-fixing groups (i.e., Herbaspirillum and Rhodanobacter), while a decrease in OTUs affiliated to Achromobacter and Bosea was observed in diversified crop rotations. Furthermore, soil pH and C/N ratio correlated significantly with the nirS gene community structure (p &lt; 0.05), SOC and C/N ratio correlated with the nirK gene community (p &lt; 0.05), and soil pH, TN, NO3−-N, and C/N ratio correlated with the nosZI gene community (p &lt; 0.05), respectively. In conclusion, our study demonstrates that long-term diversified crop rotations significantly altered the microbial communities related to denitrification, especially the nosZI gene community. These findings highlight the importance of diversified crop rotations in fostering soil denitrifiers communities that contribute to N₂O reduction, potentially supporting sustainable agricultural practices by reducing greenhouse gas emissions. However, future studies should be focus on both the nosZI and nosZII clades communities to offer a more complete picture of microbial contributions to soil N-cycling and N2O emission reduction.","author":[{"dropping-particle":"","family":"Cheng","given":"Lang","non-dropping-particle":"","parse-names":false,"suffix":""},{"dropping-particle":"","family":"Yu","given":"Taobing","non-dropping-particle":"","parse-names":false,"suffix":""},{"dropping-particle":"","family":"Yang","given":"Ruoqi","non-dropping-particle":"","parse-names":false,"suffix":""},{"dropping-particle":"","family":"Liu","given":"Yan","non-dropping-particle":"","parse-names":false,"suffix":""},{"dropping-particle":"","family":"Zang","given":"Huadong","non-dropping-particle":"","parse-names":false,"suffix":""},{"dropping-particle":"","family":"Zeng","given":"Zhaohai","non-dropping-particle":"","parse-names":false,"suffix":""},{"dropping-particle":"","family":"Yang","given":"Yadong","non-dropping-particle":"","parse-names":false,"suffix":""}],"container-title":"Science of the Total Environment","id":"ITEM-1","issue":"2","issued":{"date-parts":[["2025"]]},"publisher":"Elsevier B.V.","title":"Diversified crop rotations exert a profound influence on the nosZI denitrifier community","type":"article-journal","volume":"958"},"uris":["http://www.mendeley.com/documents/?uuid=4a45b9a1-00bd-4e72-913f-580e10a1b4d5"]}],"mendeley":{"formattedCitation":"(Cheng et al., 2025)","manualFormatting":"Cheng et al. (2025)","plainTextFormattedCitation":"(Cheng et al., 2025)","previouslyFormattedCitation":"(Cheng et al., 2025)"},"properties":{"noteIndex":0},"schema":"https://github.com/citation-style-language/schema/raw/master/csl-citation.json"}</w:instrText>
      </w:r>
      <w:r>
        <w:rPr>
          <w:b/>
          <w:caps/>
        </w:rPr>
        <w:fldChar w:fldCharType="separate"/>
      </w:r>
      <w:r w:rsidRPr="0048475E">
        <w:rPr>
          <w:noProof/>
        </w:rPr>
        <w:t>Cheng et al.</w:t>
      </w:r>
      <w:r>
        <w:rPr>
          <w:noProof/>
        </w:rPr>
        <w:t xml:space="preserve"> (</w:t>
      </w:r>
      <w:r w:rsidRPr="0048475E">
        <w:rPr>
          <w:noProof/>
        </w:rPr>
        <w:t>2025)</w:t>
      </w:r>
      <w:r>
        <w:rPr>
          <w:b/>
          <w:caps/>
        </w:rPr>
        <w:fldChar w:fldCharType="end"/>
      </w:r>
      <w:r w:rsidRPr="0048475E">
        <w:t xml:space="preserve"> demonstrated that diversifying crop rotations, rather than maintaining continuous cotton, restructured </w:t>
      </w:r>
      <w:proofErr w:type="spellStart"/>
      <w:r w:rsidRPr="0048475E">
        <w:t>denitrifier</w:t>
      </w:r>
      <w:proofErr w:type="spellEnd"/>
      <w:r w:rsidRPr="0048475E">
        <w:t xml:space="preserve"> communities by altering the abundance of </w:t>
      </w:r>
      <w:proofErr w:type="spellStart"/>
      <w:r w:rsidRPr="0048475E">
        <w:rPr>
          <w:i/>
          <w:iCs/>
        </w:rPr>
        <w:t>nirS</w:t>
      </w:r>
      <w:proofErr w:type="spellEnd"/>
      <w:r w:rsidRPr="0048475E">
        <w:t xml:space="preserve">, </w:t>
      </w:r>
      <w:proofErr w:type="spellStart"/>
      <w:r w:rsidRPr="0048475E">
        <w:rPr>
          <w:i/>
          <w:iCs/>
        </w:rPr>
        <w:t>nirK</w:t>
      </w:r>
      <w:proofErr w:type="spellEnd"/>
      <w:r w:rsidRPr="0048475E">
        <w:t xml:space="preserve">, and particularly </w:t>
      </w:r>
      <w:proofErr w:type="spellStart"/>
      <w:r w:rsidRPr="0048475E">
        <w:rPr>
          <w:i/>
          <w:iCs/>
        </w:rPr>
        <w:t>nosZI</w:t>
      </w:r>
      <w:proofErr w:type="spellEnd"/>
      <w:r w:rsidRPr="0048475E">
        <w:t xml:space="preserve"> gene groups, thereby enhancing the microbial potential for N₂O reduction. Together, these findings highlight that while diversification through rotations can promote N₂O-consuming groups, cover cropping within continuous monoculture may elicit more localized microbial responses</w:t>
      </w:r>
      <w:r>
        <w:t xml:space="preserve"> in subsoils</w:t>
      </w:r>
      <w:r w:rsidRPr="0048475E">
        <w:t xml:space="preserve">, </w:t>
      </w:r>
      <w:r>
        <w:t>potentially influencing C-N interactions relevant</w:t>
      </w:r>
      <w:r w:rsidRPr="0048475E">
        <w:t xml:space="preserve"> to N₂O </w:t>
      </w:r>
      <w:r>
        <w:t>dynamics</w:t>
      </w:r>
      <w:r w:rsidRPr="0048475E">
        <w:t>.</w:t>
      </w:r>
    </w:p>
    <w:p w14:paraId="038B8D8D" w14:textId="038A4C0D" w:rsidR="008D0B4C" w:rsidRPr="00CB749A" w:rsidRDefault="005533B9" w:rsidP="00CB749A">
      <w:pPr>
        <w:pStyle w:val="H1"/>
        <w:spacing w:line="480" w:lineRule="auto"/>
        <w:jc w:val="both"/>
        <w:rPr>
          <w:b w:val="0"/>
          <w:caps w:val="0"/>
          <w:sz w:val="24"/>
          <w:szCs w:val="24"/>
        </w:rPr>
      </w:pPr>
      <w:r w:rsidRPr="00341B4B">
        <w:rPr>
          <w:b w:val="0"/>
          <w:caps w:val="0"/>
          <w:sz w:val="24"/>
          <w:szCs w:val="24"/>
        </w:rPr>
        <w:lastRenderedPageBreak/>
        <w:t xml:space="preserve">While many of the identified taxa have previously been linked to N and C cycling pathways, their ecological roles extend well beyond N₂O production. For instance, </w:t>
      </w:r>
      <w:proofErr w:type="spellStart"/>
      <w:r w:rsidRPr="009C6B3E">
        <w:rPr>
          <w:b w:val="0"/>
          <w:bCs/>
          <w:i/>
          <w:iCs/>
          <w:caps w:val="0"/>
          <w:sz w:val="24"/>
          <w:szCs w:val="24"/>
        </w:rPr>
        <w:t>Sphingomonas</w:t>
      </w:r>
      <w:proofErr w:type="spellEnd"/>
      <w:r w:rsidRPr="00341B4B">
        <w:rPr>
          <w:b w:val="0"/>
          <w:caps w:val="0"/>
          <w:sz w:val="24"/>
          <w:szCs w:val="24"/>
        </w:rPr>
        <w:t xml:space="preserve"> is widely recognized for its ability to degrade aromatic compounds and other recalcitrant pollutants, thereby contributing to residue decomposition and potentially influencing C availability in soils; some strains also promote plant growth through phytohormone production and nutrient cycling</w:t>
      </w:r>
      <w:r>
        <w:rPr>
          <w:b w:val="0"/>
          <w:caps w:val="0"/>
          <w:sz w:val="24"/>
          <w:szCs w:val="24"/>
        </w:rPr>
        <w:t xml:space="preserve"> </w:t>
      </w:r>
      <w:r>
        <w:rPr>
          <w:b w:val="0"/>
          <w:caps w:val="0"/>
          <w:sz w:val="24"/>
          <w:szCs w:val="24"/>
        </w:rPr>
        <w:fldChar w:fldCharType="begin" w:fldLock="1"/>
      </w:r>
      <w:r>
        <w:rPr>
          <w:b w:val="0"/>
          <w:caps w:val="0"/>
          <w:sz w:val="24"/>
          <w:szCs w:val="24"/>
        </w:rPr>
        <w:instrText>ADDIN CSL_CITATION {"citationItems":[{"id":"ITEM-1","itemData":{"DOI":"10.1080/07388551.2019.1709793","ISSN":"15497801","PMID":"31906737","abstract":"The species belonging to the Sphingomonas genus possess multifaceted functions ranging from remediation of environmental contaminations to producing highly beneficial phytohormones, such as sphingan and gellan gum. Recent studies have shown an intriguing role of Sphingomonas species in the degradation of organometallic compounds. However, the actual biotechnological potential of this genus requires further assessment. Some of the species from the genus have also been noted to improve plant-growth during stress conditions such as drought, salinity, and heavy metals in agricultural soil. This role has been attributed to their potential to produce plant growth hormones e.g. gibberellins and indole acetic acid. However, the current literature is scattered, and some of the important areas, such as taxonomy, phylogenetics, genome mapping, and cellular transport systems, are still being overlooked in terms of elucidation of the mechanisms behind stress-tolerance and bioremediation. In this review, we elucidated the prospective role and function of this genus for improved utilization during environmental biotechnology.","author":[{"dropping-particle":"","family":"Asaf","given":"Sajjad","non-dropping-particle":"","parse-names":false,"suffix":""},{"dropping-particle":"","family":"Numan","given":"Muhammad","non-dropping-particle":"","parse-names":false,"suffix":""},{"dropping-particle":"","family":"Khan","given":"Abdul Latif","non-dropping-particle":"","parse-names":false,"suffix":""},{"dropping-particle":"","family":"Al-Harrasi","given":"Ahmed","non-dropping-particle":"","parse-names":false,"suffix":""}],"container-title":"Critical Reviews in Biotechnology","id":"ITEM-1","issue":"2","issued":{"date-parts":[["2020"]]},"page":"138-152","publisher":"Taylor &amp; Francis","title":"Sphingomonas: from diversity and genomics to functional role in environmental remediation and plant growth","type":"article-journal","volume":"40"},"uris":["http://www.mendeley.com/documents/?uuid=ab771eb8-2b7a-459c-b9c1-f5619a5d5276"]},{"id":"ITEM-2","itemData":{"DOI":"10.1186/s40793-024-00643-9","ISSN":"25246372","abstract":"In agroecosystems, nitrous oxide (N₂O) emissions are influenced by both microbiome composition and soil properties, yet the relative importance of these factors in determining differential N₂O emissions remains unclear. This study investigates the impacts of these factors on N₂O emissions using two primary agricultural soils from northern China: fluvo-aquic soil (FS) from the North China Plain and black soil (BS) from Northeast China, which exhibit significant differences in physicochemical properties. In non-sterilized controls (NSC), we observed distinct denitrifying bacterial phenotypes between FS and BS, with BS exhibiting significantly higher N₂O emissions. Cross-inoculation experiments were conducted by introducing extracted microbiomes into sterile recipient soils of both types to disentangle the relative contributions of soil properties and microbiomes on N₂O emission potential. The results showed recipient-soil-dependent gas kinetics, with significantly higher N₂O/(N₂O + N₂) ratios in BS compared to FS, regardless of the inoculum type. Metagenomic analysis further revealed significant shifts in denitrification genes and microbial diversity of the inoculated bacteriomes influenced by the recipient soil. The higher ratios of nirS/nosZ in FS and nirK/nosZ in BS indicated that the recipient soil dictates the formation of different denitrifying guilds. Specifically, the BS environment fosters nirK-based denitrifiers like Rhodanobacter, contributing to higher N₂O accumulation, while FS supports a diverse array of denitrifiers, including Pseudomonas and Stutzerimonas, associated with complete denitrification and lower N₂O emissions. This study underscores the critical role of soil properties in shaping microbial community dynamics and greenhouse gas emissions. These findings highlight the importance of considering soil physicochemical properties in managing agricultural practices to mitigate N₂O emissions.","author":[{"dropping-particle":"","family":"Bano","given":"Saira","non-dropping-particle":"","parse-names":false,"suffix":""},{"dropping-particle":"","family":"Wu","given":"Qiaoyu","non-dropping-particle":"","parse-names":false,"suffix":""},{"dropping-particle":"","family":"Yu","given":"Siyu","non-dropping-particle":"","parse-names":false,"suffix":""},{"dropping-particle":"","family":"Wang","given":"Xinhui","non-dropping-particle":"","parse-names":false,"suffix":""},{"dropping-particle":"","family":"Zhang","given":"Xiaojun","non-dropping-particle":"","parse-names":false,"suffix":""}],"container-title":"Environmental Microbiome","id":"ITEM-2","issue":"1","issued":{"date-parts":[["2024"]]},"title":"Soil properties drive nitrous oxide accumulation patterns by shaping denitrifying bacteriomes","type":"article-journal","volume":"19"},"uris":["http://www.mendeley.com/documents/?uuid=0c8d92ee-76fd-40ee-8925-84dc00dd251a"]}],"mendeley":{"formattedCitation":"(Asaf et al., 2020; Bano et al., 2024)","plainTextFormattedCitation":"(Asaf et al., 2020; Bano et al., 2024)","previouslyFormattedCitation":"(Asaf et al., 2020; Bano et al., 2024)"},"properties":{"noteIndex":0},"schema":"https://github.com/citation-style-language/schema/raw/master/csl-citation.json"}</w:instrText>
      </w:r>
      <w:r>
        <w:rPr>
          <w:b w:val="0"/>
          <w:caps w:val="0"/>
          <w:sz w:val="24"/>
          <w:szCs w:val="24"/>
        </w:rPr>
        <w:fldChar w:fldCharType="separate"/>
      </w:r>
      <w:r w:rsidRPr="009A3D73">
        <w:rPr>
          <w:b w:val="0"/>
          <w:caps w:val="0"/>
          <w:noProof/>
          <w:sz w:val="24"/>
          <w:szCs w:val="24"/>
        </w:rPr>
        <w:t>(Asaf et al., 2020; Bano et al., 2024)</w:t>
      </w:r>
      <w:r>
        <w:rPr>
          <w:b w:val="0"/>
          <w:caps w:val="0"/>
          <w:sz w:val="24"/>
          <w:szCs w:val="24"/>
        </w:rPr>
        <w:fldChar w:fldCharType="end"/>
      </w:r>
      <w:r w:rsidRPr="009A3D73">
        <w:rPr>
          <w:b w:val="0"/>
          <w:caps w:val="0"/>
          <w:sz w:val="24"/>
          <w:szCs w:val="24"/>
        </w:rPr>
        <w:t xml:space="preserve">. </w:t>
      </w:r>
      <w:proofErr w:type="spellStart"/>
      <w:r w:rsidRPr="009C6B3E">
        <w:rPr>
          <w:b w:val="0"/>
          <w:bCs/>
          <w:i/>
          <w:iCs/>
          <w:caps w:val="0"/>
          <w:sz w:val="24"/>
          <w:szCs w:val="24"/>
        </w:rPr>
        <w:t>Gemmatimonas</w:t>
      </w:r>
      <w:proofErr w:type="spellEnd"/>
      <w:r w:rsidRPr="00341B4B">
        <w:rPr>
          <w:b w:val="0"/>
          <w:caps w:val="0"/>
          <w:sz w:val="24"/>
          <w:szCs w:val="24"/>
        </w:rPr>
        <w:t xml:space="preserve"> includes species capable of </w:t>
      </w:r>
      <w:proofErr w:type="spellStart"/>
      <w:r w:rsidRPr="00341B4B">
        <w:rPr>
          <w:b w:val="0"/>
          <w:caps w:val="0"/>
          <w:sz w:val="24"/>
          <w:szCs w:val="24"/>
        </w:rPr>
        <w:t>chemoheterotrophy</w:t>
      </w:r>
      <w:proofErr w:type="spellEnd"/>
      <w:r w:rsidRPr="00341B4B">
        <w:rPr>
          <w:b w:val="0"/>
          <w:caps w:val="0"/>
          <w:sz w:val="24"/>
          <w:szCs w:val="24"/>
        </w:rPr>
        <w:t xml:space="preserve"> and photoheterotrophy and has been reported to reduce N₂O under varying oxygen conditions, suggesting a potential role as an N₂O sink, while also contributing to C stabilization in resource-limited soils </w:t>
      </w:r>
      <w:r>
        <w:rPr>
          <w:b w:val="0"/>
          <w:caps w:val="0"/>
          <w:sz w:val="24"/>
          <w:szCs w:val="24"/>
        </w:rPr>
        <w:fldChar w:fldCharType="begin" w:fldLock="1"/>
      </w:r>
      <w:r>
        <w:rPr>
          <w:b w:val="0"/>
          <w:caps w:val="0"/>
          <w:sz w:val="24"/>
          <w:szCs w:val="24"/>
        </w:rPr>
        <w:instrText>ADDIN CSL_CITATION {"citationItems":[{"id":"ITEM-1","itemData":{"DOI":"10.3390/microorganisms10010151","ISSN":"20762607","abstract":"Bacteria are an important part of every ecosystem that they inhabit on Earth. Environmental microbiologists usually focus on a few dominant bacterial groups, neglecting less abundant ones, which collectively make up most of the microbial diversity. One of such less-studied phyla is Gemmatimonadota. Currently, the phylum contains only six cultured species. However, data from culture-independent studies indicate that members of Gemmatimonadota are common in diverse habitats. They are abundant in soils, where they seem to be frequently associated with plants and the rhizosphere. Moreover, Gemmatimonadota were found in aquatic environments, such as freshwaters, wastewater treatment plants, biofilms, and sediments. An important discovery was the identification of purple bacterial reaction centers and anoxygenic photosynthesis in this phylum, genes for which were likely acquired via horizontal gene transfer. So far, the capacity for anoxygenic photosynthesis has been described for two cultured species: Gemmatimonas phototrophica and Gemmatimonas groenlandica. Moreover, analyses of metagenome-assembled genomes indicate that it is also common in uncultured lineages of Gemmatimonadota. This review summarizes the current knowledge about this understudied bacterial phylum with an emphasis on its environmental distribution.","author":[{"dropping-particle":"","family":"Mujakić","given":"Izabela","non-dropping-particle":"","parse-names":false,"suffix":""},{"dropping-particle":"","family":"Piwosz","given":"Kasia","non-dropping-particle":"","parse-names":false,"suffix":""},{"dropping-particle":"","family":"Koblížek","given":"Michal","non-dropping-particle":"","parse-names":false,"suffix":""}],"container-title":"Microorganisms","id":"ITEM-1","issue":"1","issued":{"date-parts":[["2022"]]},"page":"1-17","title":"Phylum Gemmatimonadota and its role in the environment","type":"article-journal","volume":"10"},"uris":["http://www.mendeley.com/documents/?uuid=89d28d36-65a7-488e-8a3a-9f23e3ef6699"]},{"id":"ITEM-2","itemData":{"DOI":"10.1264/JSME2.ME21090","ISSN":"13474405","PMID":"35418546","abstract":"Agricultural soil is the primary N2O sink limiting the emission of N2O gas into the atmosphere. Although Gemmatimonadetes bacteria are abundant in agricultural soils, limited information is currently available on N2O reduction by Gemmatimonadetes bacteria. Therefore, the effects of pH and temperature on N2O reduction activities and affinity constants for N2O reduction were examined by performing batch experiments using an isolate of Gemmatimonadetes bacteria, Gemmatimonas aurantiaca (NBRC100505T). G. aurantiaca reduced N2O at pH 5–9 and 4–50°C, with the highest activity being observed at pH 7 and 30°C. The affinity constant of G. aurantiaca cells for N2O was 4.4 μM. The abundance and diversity of the Gemmatimonadetes 16S rRNA gene and nosZ encoding nitrous oxide reductase in agricultural soil samples were also investigated by quantitative PCR (qPCR) and amplicon sequencing analyses. Four N2O-reducing agricultural soil samples were assessed, and the copy numbers of the Gemmatimonadetes 16S rRNA gene (clades G1 and G3), nosZ DNA, and nosZ mRNA were 8.62–9.65×108, 5.35–7.15×108, and 2.23–4.31×109 copies (g dry soil)–1, respectively. The abundance of the nosZ mRNA of Gemmatimonadetes bacteria and OTU91, OUT332, and OTU122 correlated with the N2O reduction rates of the soil samples tested, suggesting N2O reduction by Gemmatimonadetes bacteria. Gemmatimonadetes 16S rRNA gene reads affiliated with OTU4572 and OTU3759 were predominant among the soil samples examined, and these Gemmatimonadetes OTUs have been identified in various types of soil samples.","author":[{"dropping-particle":"","family":"Oshiki","given":"Mamoru","non-dropping-particle":"","parse-names":false,"suffix":""},{"dropping-particle":"","family":"Toyama","given":"Yuka","non-dropping-particle":"","parse-names":false,"suffix":""},{"dropping-particle":"","family":"Suenaga","given":"Toshikazu","non-dropping-particle":"","parse-names":false,"suffix":""},{"dropping-particle":"","family":"Terada","given":"Akihiko","non-dropping-particle":"","parse-names":false,"suffix":""},{"dropping-particle":"","family":"Kasahara","given":"Yasuhiro","non-dropping-particle":"","parse-names":false,"suffix":""},{"dropping-particle":"","family":"Yamaguchi","given":"Takashi","non-dropping-particle":"","parse-names":false,"suffix":""},{"dropping-particle":"","family":"Araki","given":"Nobuo","non-dropping-particle":"","parse-names":false,"suffix":""}],"container-title":"Microbes and Environments","id":"ITEM-2","issue":"2","issued":{"date-parts":[["2022"]]},"page":"1-11","title":"N2O reduction by Gemmatimonas aurantiaca and potential involvement of Gemmatimonadetes bacteria in N2O reduction in agricultural soils","type":"article-journal","volume":"37"},"uris":["http://www.mendeley.com/documents/?uuid=436bf6b1-aa0c-4343-ba0a-22eea238e1ba"]}],"mendeley":{"formattedCitation":"(Mujakić et al., 2022; Oshiki et al., 2022)","plainTextFormattedCitation":"(Mujakić et al., 2022; Oshiki et al., 2022)","previouslyFormattedCitation":"(Mujakić et al., 2022; Oshiki et al., 2022)"},"properties":{"noteIndex":0},"schema":"https://github.com/citation-style-language/schema/raw/master/csl-citation.json"}</w:instrText>
      </w:r>
      <w:r>
        <w:rPr>
          <w:b w:val="0"/>
          <w:caps w:val="0"/>
          <w:sz w:val="24"/>
          <w:szCs w:val="24"/>
        </w:rPr>
        <w:fldChar w:fldCharType="separate"/>
      </w:r>
      <w:r w:rsidRPr="009A3D73">
        <w:rPr>
          <w:b w:val="0"/>
          <w:caps w:val="0"/>
          <w:noProof/>
          <w:sz w:val="24"/>
          <w:szCs w:val="24"/>
        </w:rPr>
        <w:t>(Mujakić et al., 2022; Oshiki et al., 2022)</w:t>
      </w:r>
      <w:r>
        <w:rPr>
          <w:b w:val="0"/>
          <w:caps w:val="0"/>
          <w:sz w:val="24"/>
          <w:szCs w:val="24"/>
        </w:rPr>
        <w:fldChar w:fldCharType="end"/>
      </w:r>
      <w:r w:rsidRPr="009A3D73">
        <w:rPr>
          <w:b w:val="0"/>
          <w:caps w:val="0"/>
          <w:sz w:val="24"/>
          <w:szCs w:val="24"/>
        </w:rPr>
        <w:t xml:space="preserve">. </w:t>
      </w:r>
      <w:r w:rsidRPr="00341B4B">
        <w:rPr>
          <w:b w:val="0"/>
          <w:caps w:val="0"/>
          <w:sz w:val="24"/>
          <w:szCs w:val="24"/>
        </w:rPr>
        <w:t xml:space="preserve">Similarly, </w:t>
      </w:r>
      <w:proofErr w:type="spellStart"/>
      <w:r w:rsidRPr="009C6B3E">
        <w:rPr>
          <w:b w:val="0"/>
          <w:bCs/>
          <w:caps w:val="0"/>
          <w:sz w:val="24"/>
          <w:szCs w:val="24"/>
        </w:rPr>
        <w:t>Micropepsaceae</w:t>
      </w:r>
      <w:proofErr w:type="spellEnd"/>
      <w:r w:rsidRPr="00341B4B">
        <w:rPr>
          <w:b w:val="0"/>
          <w:caps w:val="0"/>
          <w:sz w:val="24"/>
          <w:szCs w:val="24"/>
        </w:rPr>
        <w:t xml:space="preserve"> are versatile fermenters that degrade plant-derived sugars and polysaccharides and can use nitrate or ferric iron as electron acceptors, linking them to both C turnover and anaerobic respiration processes </w:t>
      </w:r>
      <w:r>
        <w:rPr>
          <w:b w:val="0"/>
          <w:caps w:val="0"/>
          <w:sz w:val="24"/>
          <w:szCs w:val="24"/>
        </w:rPr>
        <w:fldChar w:fldCharType="begin" w:fldLock="1"/>
      </w:r>
      <w:r>
        <w:rPr>
          <w:b w:val="0"/>
          <w:caps w:val="0"/>
          <w:sz w:val="24"/>
          <w:szCs w:val="24"/>
        </w:rPr>
        <w:instrText>ADDIN CSL_CITATION {"citationItems":[{"id":"ITEM-1","itemData":{"DOI":"10.1099/ijsem.0.001681","ISSN":"14665026","PMID":"27902348","abstract":"An obligately anaerobic, mildly acidophilic, fermentative alphaproteobacterium, designated strain CS4T, was isolated from an acidic, oligotrophic (nutrient poor) poor fen located near Pineola, NC, USA. Cultures contained Gram-negative, slightly curved, non-motile, non-spore-forming, non-prosthecate rods (0.1–0.4μm in diameter and 0.4–4μm long, depending, in part, on the growth substrate). Growth optima were 35 °C (range 15–35 °C), pH 5.6 (range of 5.0–6.8), and with 0–50mM added NaCl (range, 0–100mM added NaCl). The culture fermented cellobiose, D-glucose, D-mannose, fructose, galactose, glycerol, lactose, maltose, peptone, sucrose, trehalose and xylose. Respiratory growth was not detected. Major fatty acids were C18: 1 ɷ7c, C19: 0 cyclo ɷ8c, C14: 0 and C16: 0. The G+C content of the DNA was 61.9±0.3 mol%. The two most closely related species phylogenetically, Rhizomicrobium palustre A48T (AB081581) and Rhizomicrobium electricum Mfc52T (AB365487) shared 94 and 93% SSU rRNA gene sequence identity, respectively, to that of strain CS4T. Lower SSU rRNA gene sequence identities resulted from pairwise comparisons with members of the order ‘Rhizobiales’ (85–88 %) or Sphingomonadales (85–86 %). These findings all support the classification of strain CS4T as representative of a novel genus, family and order of Alphaproteobacteria. The type strain of the species pineolensis within the genus Micropepsis, family Micropepsaceae and order Micropepsales is CS4T (=JCM 30711T=ATCC BAA-2724T).","author":[{"dropping-particle":"","family":"Harbison","given":"Austin B.","non-dropping-particle":"","parse-names":false,"suffix":""},{"dropping-particle":"","family":"Price","given":"Laiken E.","non-dropping-particle":"","parse-names":false,"suffix":""},{"dropping-particle":"","family":"Flythe","given":"Michael D.","non-dropping-particle":"","parse-names":false,"suffix":""},{"dropping-particle":"","family":"Bräuer","given":"Suzanna L.","non-dropping-particle":"","parse-names":false,"suffix":""}],"container-title":"International Journal of Systematic and Evolutionary Microbiology","id":"ITEM-1","issue":"4","issued":{"date-parts":[["2017"]]},"page":"839-844","title":"Micropepsis pineolensis gen. nov., sp. nov., a mildly acidophilic alphaproteobacterium isolated from a poor fen, and proposal of micropepsaceae fam. nov. within micropepsales ord. nov","type":"article-journal","volume":"67"},"uris":["http://www.mendeley.com/documents/?uuid=f4273888-ad6e-4496-aad5-8d7deff3b9f2"]}],"mendeley":{"formattedCitation":"(Harbison et al., 2017)","plainTextFormattedCitation":"(Harbison et al., 2017)","previouslyFormattedCitation":"(Harbison et al., 2017)"},"properties":{"noteIndex":0},"schema":"https://github.com/citation-style-language/schema/raw/master/csl-citation.json"}</w:instrText>
      </w:r>
      <w:r>
        <w:rPr>
          <w:b w:val="0"/>
          <w:caps w:val="0"/>
          <w:sz w:val="24"/>
          <w:szCs w:val="24"/>
        </w:rPr>
        <w:fldChar w:fldCharType="separate"/>
      </w:r>
      <w:r w:rsidRPr="00245588">
        <w:rPr>
          <w:b w:val="0"/>
          <w:caps w:val="0"/>
          <w:noProof/>
          <w:sz w:val="24"/>
          <w:szCs w:val="24"/>
        </w:rPr>
        <w:t>(Harbison et al., 2017)</w:t>
      </w:r>
      <w:r>
        <w:rPr>
          <w:b w:val="0"/>
          <w:caps w:val="0"/>
          <w:sz w:val="24"/>
          <w:szCs w:val="24"/>
        </w:rPr>
        <w:fldChar w:fldCharType="end"/>
      </w:r>
      <w:r w:rsidRPr="00341B4B">
        <w:rPr>
          <w:b w:val="0"/>
          <w:caps w:val="0"/>
          <w:sz w:val="24"/>
          <w:szCs w:val="24"/>
        </w:rPr>
        <w:t xml:space="preserve">. Finally, the uncultured group </w:t>
      </w:r>
      <w:r w:rsidRPr="00341B4B">
        <w:rPr>
          <w:b w:val="0"/>
          <w:bCs/>
          <w:caps w:val="0"/>
          <w:sz w:val="24"/>
          <w:szCs w:val="24"/>
        </w:rPr>
        <w:t>Amb-16S-1323</w:t>
      </w:r>
      <w:r w:rsidRPr="00341B4B">
        <w:rPr>
          <w:b w:val="0"/>
          <w:caps w:val="0"/>
          <w:sz w:val="24"/>
          <w:szCs w:val="24"/>
        </w:rPr>
        <w:t xml:space="preserve"> has been correlated with rhizosphere acid phosphatase activity, suggesting a potential role in P cycling and plant–soil interactions </w:t>
      </w:r>
      <w:r>
        <w:rPr>
          <w:b w:val="0"/>
          <w:caps w:val="0"/>
          <w:sz w:val="24"/>
          <w:szCs w:val="24"/>
        </w:rPr>
        <w:fldChar w:fldCharType="begin" w:fldLock="1"/>
      </w:r>
      <w:r w:rsidR="008E51F8">
        <w:rPr>
          <w:b w:val="0"/>
          <w:caps w:val="0"/>
          <w:sz w:val="24"/>
          <w:szCs w:val="24"/>
        </w:rPr>
        <w:instrText>ADDIN CSL_CITATION {"citationItems":[{"id":"ITEM-1","itemData":{"DOI":"10.1007/s11104-021-05112-7","ISBN":"0123456789","ISSN":"15735036","abstract":"Aims: To study how ectomycorrhizas (ECMs) mediate plant performance and rhizosphere soil bacterial communities via altered physiological characteristics and root carbon exudation. Methods: Tuber melanosporum-colonized and uncolonized Quercus mongolica seedlings were grown on a substrate consisting of 41% peat, 41% pumice, 9% pine bark and 9% lime. Gas exchange fluorescence system, inductively coupled plasma atomic-emission spectrometer, high-performance liquid chromatography, gas chromatography and mass spectrometry, and 16S rRNA sequencing were used to analyze photosynthetic and nutritional characteristics, rhizosphere carbon exudates, and bacterial communities. Results: Tuber melanosporum mycorrhization increased leaf photosynthetic rate (69%), phosphorus concentration (94%), rhizosphere pH (0.4 units), rhizosphere acid phosphatase activity (33%) and total organic carbon (76%) in rhizosphere extracts but decreased leaf potassium concentration (26%) and rhizosphere organic anions (50%). Additionally, sugars including galactose were present in rhizosphere extract of colonized, but not uncolonized seedlings. Mycorrhization altered rhizosphere bacterial communities, with only ~ 10% operational taxonomic units (OTUs) shared between colonized and uncolonized seedlings; T. melanosporum colonized plants were enriched in actinobacteria. The differential abundances of other bacterial OTUs affected by T. melanosporum colonization were also correlated with variation in plant physiological and/or rhizosphere factors. Conclusion: Our results suggest that T. melanosporum ECM colonization may regulate carbon economy and rhizosphere bacterial communities of Q. mongolica seedlings grown in a previously sterilized peat-based substrate, to promote plant growth and nutrient cycling.","author":[{"dropping-particle":"","family":"Wang","given":"Yanliang","non-dropping-particle":"","parse-names":false,"suffix":""},{"dropping-particle":"","family":"Wang","given":"Ran","non-dropping-particle":"","parse-names":false,"suffix":""},{"dropping-particle":"","family":"Lu","given":"Bin","non-dropping-particle":"","parse-names":false,"suffix":""},{"dropping-particle":"","family":"Guerin-Laguette","given":"Alexis","non-dropping-particle":"","parse-names":false,"suffix":""},{"dropping-particle":"","family":"He","given":"Xinhua","non-dropping-particle":"","parse-names":false,"suffix":""},{"dropping-particle":"","family":"Yu","given":"Fuqiang","non-dropping-particle":"","parse-names":false,"suffix":""}],"container-title":"Plant and Soil","id":"ITEM-1","issue":"1-2","issued":{"date-parts":[["2021"]]},"page":"391-403","title":"Mycorrhization of Quercus mongolica seedlings by Tuber melanosporum alters root carbon exudation and rhizosphere bacterial communities","type":"article-journal","volume":"467"},"uris":["http://www.mendeley.com/documents/?uuid=80aa5c65-4ce1-420c-96a2-d03ee1d4d1f5"]}],"mendeley":{"formattedCitation":"(Wang et al., 2021c)","manualFormatting":"(Wang et al., 2021)","plainTextFormattedCitation":"(Wang et al., 2021c)","previouslyFormattedCitation":"(Wang et al., 2021c)"},"properties":{"noteIndex":0},"schema":"https://github.com/citation-style-language/schema/raw/master/csl-citation.json"}</w:instrText>
      </w:r>
      <w:r>
        <w:rPr>
          <w:b w:val="0"/>
          <w:caps w:val="0"/>
          <w:sz w:val="24"/>
          <w:szCs w:val="24"/>
        </w:rPr>
        <w:fldChar w:fldCharType="separate"/>
      </w:r>
      <w:r w:rsidRPr="00245588">
        <w:rPr>
          <w:b w:val="0"/>
          <w:caps w:val="0"/>
          <w:noProof/>
          <w:sz w:val="24"/>
          <w:szCs w:val="24"/>
        </w:rPr>
        <w:t>(Wang et al., 2021)</w:t>
      </w:r>
      <w:r>
        <w:rPr>
          <w:b w:val="0"/>
          <w:caps w:val="0"/>
          <w:sz w:val="24"/>
          <w:szCs w:val="24"/>
        </w:rPr>
        <w:fldChar w:fldCharType="end"/>
      </w:r>
      <w:r w:rsidRPr="00341B4B">
        <w:rPr>
          <w:b w:val="0"/>
          <w:caps w:val="0"/>
          <w:sz w:val="24"/>
          <w:szCs w:val="24"/>
        </w:rPr>
        <w:t>. Together, these examples emphasize that management-driven changes in microbial composition influence not only greenhouse gas dynamics but also broader soil ecological processes, including residue decomposition, carbon stabilization, nutrient transformations, and microbial adaptation to disturbance.</w:t>
      </w:r>
    </w:p>
    <w:p w14:paraId="1BC21AD0" w14:textId="10EBF7B8" w:rsidR="008D0B4C" w:rsidRPr="00203EB0" w:rsidRDefault="008D0B4C" w:rsidP="00D56363">
      <w:pPr>
        <w:spacing w:line="480" w:lineRule="auto"/>
        <w:rPr>
          <w:b/>
          <w:caps/>
        </w:rPr>
      </w:pPr>
      <w:r w:rsidRPr="00203EB0">
        <w:t>Together, these results show that the top ten taxa associated with N</w:t>
      </w:r>
      <w:r w:rsidRPr="00203EB0">
        <w:rPr>
          <w:vertAlign w:val="subscript"/>
        </w:rPr>
        <w:t>2</w:t>
      </w:r>
      <w:r w:rsidRPr="00203EB0">
        <w:t xml:space="preserve">O fluxes exhibit distinct patterns across soil depths and in response to long-term management practices. Considering both vertical gradients and treatments effects offers a deeper insight into how </w:t>
      </w:r>
      <w:r w:rsidRPr="00203EB0">
        <w:lastRenderedPageBreak/>
        <w:t>key microbial taxa</w:t>
      </w:r>
      <w:r w:rsidR="00D6786C">
        <w:t xml:space="preserve"> may</w:t>
      </w:r>
      <w:r w:rsidRPr="00203EB0">
        <w:t xml:space="preserve"> contribute to N</w:t>
      </w:r>
      <w:r w:rsidRPr="00203EB0">
        <w:rPr>
          <w:vertAlign w:val="subscript"/>
        </w:rPr>
        <w:t>2</w:t>
      </w:r>
      <w:r w:rsidRPr="00203EB0">
        <w:t xml:space="preserve">O emissions under field conditions. While depth imposes strong environmental constraints, fertilization, tillage, and cover cropping significantly influenced the abundance of these taxa, all of which </w:t>
      </w:r>
      <w:r w:rsidR="00D6786C">
        <w:t>have been previously reported to be involved in</w:t>
      </w:r>
      <w:r w:rsidRPr="00203EB0">
        <w:t xml:space="preserve"> N and C cycling pathways.</w:t>
      </w:r>
      <w:r w:rsidR="00D6786C">
        <w:t xml:space="preserve"> It is important to note, however, that the use of 16S rRNA sequencing provides only taxonomic associations and does not directly confirm the presence or activity of functional genes. The correlations observed here should therefore be interpreted as hypothesis-generating, and future studies integrating functional gene quantification will be necessary to validate these associations and establish mechanistic links to N</w:t>
      </w:r>
      <w:r w:rsidR="00D6786C" w:rsidRPr="00295255">
        <w:rPr>
          <w:vertAlign w:val="subscript"/>
        </w:rPr>
        <w:t>2</w:t>
      </w:r>
      <w:r w:rsidR="00D6786C">
        <w:t xml:space="preserve">O emissions. </w:t>
      </w:r>
      <w:r w:rsidRPr="00203EB0">
        <w:t xml:space="preserve">Understanding how these functionally relevant taxa respond to environmental and management gradients </w:t>
      </w:r>
      <w:r w:rsidR="00D6786C">
        <w:t>nonetheless provides a valuable foundation</w:t>
      </w:r>
      <w:r w:rsidRPr="00203EB0">
        <w:t xml:space="preserve"> for improving N</w:t>
      </w:r>
      <w:r w:rsidRPr="00203EB0">
        <w:rPr>
          <w:vertAlign w:val="subscript"/>
        </w:rPr>
        <w:t>2</w:t>
      </w:r>
      <w:r w:rsidRPr="00203EB0">
        <w:t>O mitigation strategies in agroecosystems.</w:t>
      </w:r>
    </w:p>
    <w:p w14:paraId="1F1571C7" w14:textId="30B9FC42" w:rsidR="008D0B4C" w:rsidRPr="00203EB0" w:rsidRDefault="00433BF8" w:rsidP="00433BF8">
      <w:pPr>
        <w:pStyle w:val="Heading3"/>
        <w:spacing w:line="480" w:lineRule="auto"/>
      </w:pPr>
      <w:bookmarkStart w:id="110" w:name="_Toc206669156"/>
      <w:r w:rsidRPr="00203EB0">
        <w:t>Linking temporal N</w:t>
      </w:r>
      <w:r w:rsidRPr="00203EB0">
        <w:rPr>
          <w:vertAlign w:val="subscript"/>
        </w:rPr>
        <w:t>2</w:t>
      </w:r>
      <w:r w:rsidRPr="00203EB0">
        <w:t>O flux variability to shifts in microbial communities</w:t>
      </w:r>
      <w:bookmarkEnd w:id="110"/>
    </w:p>
    <w:p w14:paraId="3A3DA7A2" w14:textId="7EDB21DA" w:rsidR="00433BF8" w:rsidRPr="00203EB0" w:rsidRDefault="00433BF8" w:rsidP="00D56363">
      <w:pPr>
        <w:spacing w:line="480" w:lineRule="auto"/>
        <w:rPr>
          <w:b/>
          <w:caps/>
        </w:rPr>
      </w:pPr>
      <w:r w:rsidRPr="00203EB0">
        <w:t>Distinct N</w:t>
      </w:r>
      <w:r w:rsidRPr="00203EB0">
        <w:rPr>
          <w:vertAlign w:val="subscript"/>
        </w:rPr>
        <w:t>2</w:t>
      </w:r>
      <w:r w:rsidRPr="00203EB0">
        <w:t>O flux peaks on August 2 and 30 coincided with marked shifts in microbial community composition across soil depths (</w:t>
      </w:r>
      <w:r w:rsidRPr="00203EB0">
        <w:rPr>
          <w:b/>
        </w:rPr>
        <w:t xml:space="preserve">Figure </w:t>
      </w:r>
      <w:r w:rsidR="00A61CF4" w:rsidRPr="00203EB0">
        <w:rPr>
          <w:b/>
        </w:rPr>
        <w:t>5.</w:t>
      </w:r>
      <w:r w:rsidRPr="00203EB0">
        <w:rPr>
          <w:b/>
        </w:rPr>
        <w:t>1</w:t>
      </w:r>
      <w:r w:rsidRPr="00203EB0">
        <w:t xml:space="preserve"> and </w:t>
      </w:r>
      <w:r w:rsidRPr="00203EB0">
        <w:rPr>
          <w:b/>
        </w:rPr>
        <w:t xml:space="preserve">Figure </w:t>
      </w:r>
      <w:r w:rsidR="00A61CF4" w:rsidRPr="00203EB0">
        <w:rPr>
          <w:b/>
        </w:rPr>
        <w:t>5.</w:t>
      </w:r>
      <w:r w:rsidRPr="00203EB0">
        <w:rPr>
          <w:b/>
        </w:rPr>
        <w:t>6</w:t>
      </w:r>
      <w:r w:rsidRPr="00203EB0">
        <w:t>). These shifts were characterized by increased relative abundance of taxa positively associated with N</w:t>
      </w:r>
      <w:r w:rsidRPr="00203EB0">
        <w:rPr>
          <w:vertAlign w:val="subscript"/>
        </w:rPr>
        <w:t>2</w:t>
      </w:r>
      <w:r w:rsidRPr="00203EB0">
        <w:t>O fluxes and concurrent decline in those negatively associated, emphasizing the central role of microbial communities in modulating high N</w:t>
      </w:r>
      <w:r w:rsidRPr="00203EB0">
        <w:rPr>
          <w:vertAlign w:val="subscript"/>
        </w:rPr>
        <w:t>2</w:t>
      </w:r>
      <w:r w:rsidRPr="00203EB0">
        <w:t xml:space="preserve">O emission events. </w:t>
      </w:r>
      <w:r w:rsidR="00D6786C" w:rsidRPr="00EB34B2">
        <w:rPr>
          <w:bCs/>
        </w:rPr>
        <w:t>Both peaks followed emergency irrigation and rainfall events and coincided with elevated soil temperatures, conditions known to amplify the regulatory effect of N fertilization on microbial activity. High soil moisture creates anaerobic microsites that stimulate denitrification, while warmer temperatures accelerate microbial metabolism, together reinforcing community-level shifts associated with N₂O production</w:t>
      </w:r>
      <w:r w:rsidR="00D6786C">
        <w:rPr>
          <w:bCs/>
        </w:rPr>
        <w:t xml:space="preserve"> </w:t>
      </w:r>
      <w:r w:rsidR="00D6786C">
        <w:rPr>
          <w:b/>
          <w:bCs/>
          <w:caps/>
        </w:rPr>
        <w:fldChar w:fldCharType="begin" w:fldLock="1"/>
      </w:r>
      <w:r w:rsidR="00D6786C">
        <w:rPr>
          <w:bCs/>
        </w:rPr>
        <w:instrText>ADDIN CSL_CITATION {"citationItems":[{"id":"ITEM-1","itemData":{"DOI":"10.1098/rstb.2013.0122","ISSN":"09628436","PMID":"23713120","abstract":"Although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 © 2013 The Authors.","author":[{"dropping-particle":"","family":"Butterbach-Bahl","given":"Klaus","non-dropping-particle":"","parse-names":false,"suffix":""},{"dropping-particle":"","family":"Baggs","given":"Elizabeth M.","non-dropping-particle":"","parse-names":false,"suffix":""},{"dropping-particle":"","family":"Dannenmann","given":"Michael","non-dropping-particle":"","parse-names":false,"suffix":""},{"dropping-particle":"","family":"Kiese","given":"Ralf","non-dropping-particle":"","parse-names":false,"suffix":""},{"dropping-particle":"","family":"Zechmeister-Boltenstern","given":"Sophie","non-dropping-particle":"","parse-names":false,"suffix":""}],"container-title":"Philosophical Transactions of the Royal Society B: Biological Sciences","id":"ITEM-1","issue":"1621","issued":{"date-parts":[["2013"]]},"title":"Nitrous oxide emissions from soils: How well do we understand the processes and their controls?","type":"article-journal","volume":"368"},"uris":["http://www.mendeley.com/documents/?uuid=0db8131c-aaca-494e-b70f-d876b35147f7"]},{"id":"ITEM-2","itemData":{"ISBN":"9781136541391","author":[{"dropping-particle":"","family":"Baggs","given":"Elizabeth","non-dropping-particle":"","parse-names":false,"suffix":""},{"dropping-particle":"","family":"Philippot","given":"Laurent","non-dropping-particle":"","parse-names":false,"suffix":""}],"container-title":"Nitrous Oxide and Climate Change","id":"ITEM-2","issued":{"date-parts":[["2010"]]},"page":"4-35","title":"Microbial terrestrial pathways to nitrous oxide","type":"article-journal"},"uris":["http://www.mendeley.com/documents/?uuid=83107588-fb76-473d-887c-42d820448ff0"]}],"mendeley":{"formattedCitation":"(Baggs and Philippot, 2010; Butterbach-Bahl et al., 2013)","plainTextFormattedCitation":"(Baggs and Philippot, 2010; Butterbach-Bahl et al., 2013)","previouslyFormattedCitation":"(Baggs and Philippot, 2010; Butterbach-Bahl et al., 2013)"},"properties":{"noteIndex":0},"schema":"https://github.com/citation-style-language/schema/raw/master/csl-citation.json"}</w:instrText>
      </w:r>
      <w:r w:rsidR="00D6786C">
        <w:rPr>
          <w:b/>
          <w:bCs/>
          <w:caps/>
        </w:rPr>
        <w:fldChar w:fldCharType="separate"/>
      </w:r>
      <w:r w:rsidR="00D6786C" w:rsidRPr="00EA0A5B">
        <w:rPr>
          <w:bCs/>
          <w:noProof/>
        </w:rPr>
        <w:t>(Baggs and Philippot, 2010; Butterbach-Bahl et al., 2013)</w:t>
      </w:r>
      <w:r w:rsidR="00D6786C">
        <w:rPr>
          <w:b/>
          <w:bCs/>
          <w:caps/>
        </w:rPr>
        <w:fldChar w:fldCharType="end"/>
      </w:r>
      <w:r w:rsidR="00D6786C">
        <w:rPr>
          <w:b/>
          <w:bCs/>
          <w:caps/>
        </w:rPr>
        <w:t xml:space="preserve">. </w:t>
      </w:r>
      <w:r w:rsidRPr="00203EB0">
        <w:lastRenderedPageBreak/>
        <w:t xml:space="preserve">Many of the enriched taxa during these peaks </w:t>
      </w:r>
      <w:r w:rsidR="00D6786C">
        <w:t>have been previously reported to be</w:t>
      </w:r>
      <w:r w:rsidRPr="00203EB0">
        <w:t xml:space="preserve"> functionally </w:t>
      </w:r>
      <w:r w:rsidR="00D6786C">
        <w:t>associated with</w:t>
      </w:r>
      <w:r w:rsidRPr="00203EB0">
        <w:t xml:space="preserve"> nitrification and denitrification. This aligns with findings from </w:t>
      </w:r>
      <w:r w:rsidRPr="00203EB0">
        <w:rPr>
          <w:b/>
          <w:caps/>
        </w:rPr>
        <w:fldChar w:fldCharType="begin" w:fldLock="1"/>
      </w:r>
      <w:r w:rsidR="00EB2F35" w:rsidRPr="00203EB0">
        <w:instrText>ADDIN CSL_CITATION {"citationItems":[{"id":"ITEM-1","itemData":{"ISBN":"1600-051X (Electronic)\\r0303-6979 (Linking)","ISSN":"1600051X","PMID":"25808877","abstract":"An efficient method for the synthesis of 2-amino-3-cyano-4-aryl-5,10-dioxo-5,10-dihydro-4H-benzo[g]chromenes and hydroxy-substituted naphthalene-1,4-dione derivatives, using silica-bonded propylpiperazine-N-sulfamic acid as a solid acid, green, heterogeneous catalyst, under ambient and solvent-free conditions, is described. A simple procedure, high yields, short reaction time, safety, and reusability of the catalyst are advantages of these protocols.","author":[{"dropping-particle":"","family":"Dhaliwal","given":"J.K;","non-dropping-particle":"","parse-names":false,"suffix":""},{"dropping-particle":"","family":"Lussich","given":"Facundo;","non-dropping-particle":"","parse-names":false,"suffix":""},{"dropping-particle":"","family":"Jagadamma","given":"Sindhu;","non-dropping-particle":"","parse-names":false,"suffix":""},{"dropping-particle":"","family":"Schaeffer","given":"Sean M.;","non-dropping-particle":"","parse-names":false,"suffix":""},{"dropping-particle":"","family":"Saha","given":"Debasish","non-dropping-particle":"","parse-names":false,"suffix":""}],"container-title":"Agronomy Journal","id":"ITEM-1","issued":{"date-parts":[["2024"]]},"page":"22","title":"Long-term tillage and cover cropping differentially influenced soil nitrous oxide emissions from cotton cropping system","type":"article-journal"},"uris":["http://www.mendeley.com/documents/?uuid=5d6fc41e-f445-4fb6-9365-0633845277d2"]}],"mendeley":{"formattedCitation":"(Dhaliwal et al., 2024b)","manualFormatting":"Dhaliwal et al. (2024)","plainTextFormattedCitation":"(Dhaliwal et al., 2024b)","previouslyFormattedCitation":"(Dhaliwal et al., 2024b)"},"properties":{"noteIndex":0},"schema":"https://github.com/citation-style-language/schema/raw/master/csl-citation.json"}</w:instrText>
      </w:r>
      <w:r w:rsidRPr="00203EB0">
        <w:rPr>
          <w:b/>
          <w:caps/>
        </w:rPr>
        <w:fldChar w:fldCharType="separate"/>
      </w:r>
      <w:r w:rsidRPr="00203EB0">
        <w:rPr>
          <w:noProof/>
        </w:rPr>
        <w:t>Dhaliwal et al. (2024)</w:t>
      </w:r>
      <w:r w:rsidRPr="00203EB0">
        <w:rPr>
          <w:b/>
          <w:caps/>
        </w:rPr>
        <w:fldChar w:fldCharType="end"/>
      </w:r>
      <w:r w:rsidRPr="00203EB0">
        <w:t xml:space="preserve">, who used </w:t>
      </w:r>
      <w:proofErr w:type="spellStart"/>
      <w:r w:rsidRPr="00203EB0">
        <w:t>isotopomer</w:t>
      </w:r>
      <w:proofErr w:type="spellEnd"/>
      <w:r w:rsidRPr="00203EB0">
        <w:t xml:space="preserve"> measurements to show that 46% to 58% of N</w:t>
      </w:r>
      <w:r w:rsidRPr="00203EB0">
        <w:rPr>
          <w:vertAlign w:val="subscript"/>
        </w:rPr>
        <w:t>2</w:t>
      </w:r>
      <w:r w:rsidRPr="00203EB0">
        <w:t xml:space="preserve">O emissions at this site during August 2022 originated from denitrification, with the remaining 42% to 54% likely derived from nitrification. The balanced contribution of both pathways </w:t>
      </w:r>
      <w:r w:rsidR="00D6786C">
        <w:t>is consistent with</w:t>
      </w:r>
      <w:r w:rsidRPr="00203EB0">
        <w:t xml:space="preserve"> the obse</w:t>
      </w:r>
      <w:r w:rsidR="00D6786C">
        <w:t>rved shifts in taxa suggested to represent these</w:t>
      </w:r>
      <w:r w:rsidRPr="00203EB0">
        <w:t xml:space="preserve"> functional groups during peak emissions events. </w:t>
      </w:r>
    </w:p>
    <w:p w14:paraId="6A54B702" w14:textId="2C7D958D" w:rsidR="00433BF8" w:rsidRPr="00203EB0" w:rsidRDefault="00433BF8" w:rsidP="00D56363">
      <w:pPr>
        <w:spacing w:line="480" w:lineRule="auto"/>
        <w:rPr>
          <w:b/>
          <w:caps/>
        </w:rPr>
      </w:pPr>
      <w:r w:rsidRPr="00203EB0">
        <w:t>Temporal abundance patterns of the top N</w:t>
      </w:r>
      <w:r w:rsidRPr="00203EB0">
        <w:rPr>
          <w:vertAlign w:val="subscript"/>
        </w:rPr>
        <w:t>2</w:t>
      </w:r>
      <w:r w:rsidRPr="00203EB0">
        <w:t xml:space="preserve">O-associated taxa were strongly influenced by long-term management practices. In fertilized plots, taxa such as </w:t>
      </w:r>
      <w:r w:rsidRPr="00203EB0">
        <w:rPr>
          <w:iCs/>
        </w:rPr>
        <w:t>SC-I-84</w:t>
      </w:r>
      <w:r w:rsidRPr="00203EB0">
        <w:rPr>
          <w:i/>
        </w:rPr>
        <w:t>,</w:t>
      </w:r>
      <w:r w:rsidRPr="00203EB0">
        <w:t xml:space="preserve"> </w:t>
      </w:r>
      <w:proofErr w:type="spellStart"/>
      <w:r w:rsidRPr="00203EB0">
        <w:rPr>
          <w:i/>
        </w:rPr>
        <w:t>Mizugakiibacter</w:t>
      </w:r>
      <w:proofErr w:type="spellEnd"/>
      <w:r w:rsidRPr="00203EB0">
        <w:rPr>
          <w:i/>
        </w:rPr>
        <w:t xml:space="preserve"> </w:t>
      </w:r>
      <w:r w:rsidRPr="00203EB0">
        <w:t>sp.</w:t>
      </w:r>
      <w:r w:rsidRPr="00203EB0">
        <w:rPr>
          <w:i/>
        </w:rPr>
        <w:t xml:space="preserve">, </w:t>
      </w:r>
      <w:proofErr w:type="spellStart"/>
      <w:r w:rsidRPr="00203EB0">
        <w:rPr>
          <w:i/>
        </w:rPr>
        <w:t>Gemmatimonas</w:t>
      </w:r>
      <w:proofErr w:type="spellEnd"/>
      <w:r w:rsidRPr="00203EB0">
        <w:rPr>
          <w:i/>
        </w:rPr>
        <w:t xml:space="preserve"> </w:t>
      </w:r>
      <w:r w:rsidRPr="00203EB0">
        <w:t>sp.</w:t>
      </w:r>
      <w:r w:rsidRPr="00203EB0">
        <w:rPr>
          <w:i/>
        </w:rPr>
        <w:t xml:space="preserve">, </w:t>
      </w:r>
      <w:proofErr w:type="spellStart"/>
      <w:r w:rsidRPr="00203EB0">
        <w:t>Acetobacteraceae</w:t>
      </w:r>
      <w:proofErr w:type="spellEnd"/>
      <w:r w:rsidRPr="00203EB0">
        <w:t xml:space="preserve"> sp.</w:t>
      </w:r>
      <w:r w:rsidRPr="00203EB0">
        <w:rPr>
          <w:i/>
        </w:rPr>
        <w:t xml:space="preserve">, </w:t>
      </w:r>
      <w:proofErr w:type="spellStart"/>
      <w:r w:rsidRPr="00203EB0">
        <w:t>Ktedonobacteraceae</w:t>
      </w:r>
      <w:proofErr w:type="spellEnd"/>
      <w:r w:rsidRPr="00203EB0">
        <w:t xml:space="preserve"> sp.</w:t>
      </w:r>
      <w:r w:rsidRPr="00203EB0">
        <w:rPr>
          <w:i/>
        </w:rPr>
        <w:t xml:space="preserve">, </w:t>
      </w:r>
      <w:proofErr w:type="spellStart"/>
      <w:r w:rsidRPr="00203EB0">
        <w:t>Micropepsaceae</w:t>
      </w:r>
      <w:proofErr w:type="spellEnd"/>
      <w:r w:rsidRPr="00203EB0">
        <w:t xml:space="preserve"> sp.</w:t>
      </w:r>
      <w:r w:rsidRPr="00203EB0">
        <w:rPr>
          <w:i/>
        </w:rPr>
        <w:t xml:space="preserve">, </w:t>
      </w:r>
      <w:r w:rsidRPr="00203EB0">
        <w:t>and</w:t>
      </w:r>
      <w:r w:rsidRPr="00203EB0">
        <w:rPr>
          <w:i/>
        </w:rPr>
        <w:t xml:space="preserve"> Candidatus </w:t>
      </w:r>
      <w:proofErr w:type="spellStart"/>
      <w:r w:rsidRPr="00203EB0">
        <w:t>Nitrosotalea</w:t>
      </w:r>
      <w:proofErr w:type="spellEnd"/>
      <w:r w:rsidRPr="00203EB0">
        <w:t xml:space="preserve"> sp.</w:t>
      </w:r>
      <w:r w:rsidRPr="00203EB0">
        <w:rPr>
          <w:i/>
        </w:rPr>
        <w:t xml:space="preserve"> </w:t>
      </w:r>
      <w:r w:rsidRPr="00203EB0">
        <w:t>were more abundant compared to unfertilized plots (</w:t>
      </w:r>
      <w:r w:rsidRPr="00203EB0">
        <w:rPr>
          <w:b/>
        </w:rPr>
        <w:t xml:space="preserve">Figure </w:t>
      </w:r>
      <w:r w:rsidR="00A61CF4" w:rsidRPr="00203EB0">
        <w:rPr>
          <w:b/>
        </w:rPr>
        <w:t>5.</w:t>
      </w:r>
      <w:r w:rsidRPr="00203EB0">
        <w:rPr>
          <w:b/>
        </w:rPr>
        <w:t>7A</w:t>
      </w:r>
      <w:r w:rsidRPr="00203EB0">
        <w:t>). These findings suggest that long-term nutrient enrichment fosters microbial communities conducive to N</w:t>
      </w:r>
      <w:r w:rsidRPr="00203EB0">
        <w:rPr>
          <w:vertAlign w:val="subscript"/>
        </w:rPr>
        <w:t>2</w:t>
      </w:r>
      <w:r w:rsidRPr="00203EB0">
        <w:t>O production under favorable conditions. Similarly, CT plots showed higher N</w:t>
      </w:r>
      <w:r w:rsidRPr="00203EB0">
        <w:rPr>
          <w:vertAlign w:val="subscript"/>
        </w:rPr>
        <w:t>2</w:t>
      </w:r>
      <w:r w:rsidRPr="00203EB0">
        <w:t xml:space="preserve">O fluxes and greater relative abundance of </w:t>
      </w:r>
      <w:r w:rsidR="00D6786C">
        <w:t xml:space="preserve">potential </w:t>
      </w:r>
      <w:proofErr w:type="spellStart"/>
      <w:r w:rsidRPr="00203EB0">
        <w:t>denitrifiers</w:t>
      </w:r>
      <w:proofErr w:type="spellEnd"/>
      <w:r w:rsidRPr="00203EB0">
        <w:t xml:space="preserve"> and C-degrader-associated taxa, including members of</w:t>
      </w:r>
      <w:r w:rsidRPr="00203EB0">
        <w:rPr>
          <w:i/>
        </w:rPr>
        <w:t xml:space="preserve"> </w:t>
      </w:r>
      <w:proofErr w:type="spellStart"/>
      <w:r w:rsidRPr="00203EB0">
        <w:rPr>
          <w:i/>
        </w:rPr>
        <w:t>Pseudarthrobacter</w:t>
      </w:r>
      <w:proofErr w:type="spellEnd"/>
      <w:r w:rsidRPr="00203EB0">
        <w:rPr>
          <w:i/>
        </w:rPr>
        <w:t xml:space="preserve">, </w:t>
      </w:r>
      <w:proofErr w:type="spellStart"/>
      <w:r w:rsidRPr="00203EB0">
        <w:rPr>
          <w:i/>
        </w:rPr>
        <w:t>Sphingomonas</w:t>
      </w:r>
      <w:proofErr w:type="spellEnd"/>
      <w:r w:rsidRPr="00203EB0">
        <w:rPr>
          <w:i/>
        </w:rPr>
        <w:t xml:space="preserve">, </w:t>
      </w:r>
      <w:proofErr w:type="spellStart"/>
      <w:r w:rsidRPr="00203EB0">
        <w:t>Ktedonobacteraceae</w:t>
      </w:r>
      <w:proofErr w:type="spellEnd"/>
      <w:r w:rsidRPr="00203EB0">
        <w:rPr>
          <w:i/>
        </w:rPr>
        <w:t xml:space="preserve">, </w:t>
      </w:r>
      <w:proofErr w:type="spellStart"/>
      <w:r w:rsidRPr="00203EB0">
        <w:rPr>
          <w:i/>
        </w:rPr>
        <w:t>Falvisolibacter</w:t>
      </w:r>
      <w:proofErr w:type="spellEnd"/>
      <w:r w:rsidRPr="00203EB0">
        <w:rPr>
          <w:i/>
        </w:rPr>
        <w:t xml:space="preserve"> </w:t>
      </w:r>
      <w:proofErr w:type="spellStart"/>
      <w:r w:rsidRPr="00203EB0">
        <w:rPr>
          <w:i/>
        </w:rPr>
        <w:t>ginsengisoli</w:t>
      </w:r>
      <w:proofErr w:type="spellEnd"/>
      <w:r w:rsidRPr="00203EB0">
        <w:rPr>
          <w:i/>
        </w:rPr>
        <w:t>,</w:t>
      </w:r>
      <w:r w:rsidRPr="00203EB0">
        <w:t xml:space="preserve"> </w:t>
      </w:r>
      <w:proofErr w:type="spellStart"/>
      <w:r w:rsidRPr="00203EB0">
        <w:rPr>
          <w:i/>
        </w:rPr>
        <w:t>Mizugakiibacter</w:t>
      </w:r>
      <w:proofErr w:type="spellEnd"/>
      <w:r w:rsidRPr="00203EB0">
        <w:t>,</w:t>
      </w:r>
      <w:r w:rsidRPr="00203EB0">
        <w:rPr>
          <w:i/>
        </w:rPr>
        <w:t xml:space="preserve"> </w:t>
      </w:r>
      <w:r w:rsidRPr="00203EB0">
        <w:t>and</w:t>
      </w:r>
      <w:r w:rsidRPr="00203EB0">
        <w:rPr>
          <w:i/>
        </w:rPr>
        <w:t xml:space="preserve"> </w:t>
      </w:r>
      <w:proofErr w:type="spellStart"/>
      <w:r w:rsidRPr="00203EB0">
        <w:rPr>
          <w:i/>
        </w:rPr>
        <w:t>Pseudogulbenkiania</w:t>
      </w:r>
      <w:proofErr w:type="spellEnd"/>
      <w:r w:rsidRPr="00203EB0">
        <w:t>, compared to NT plots (</w:t>
      </w:r>
      <w:r w:rsidRPr="00203EB0">
        <w:rPr>
          <w:b/>
        </w:rPr>
        <w:t xml:space="preserve">Figure </w:t>
      </w:r>
      <w:r w:rsidR="00A61CF4" w:rsidRPr="00203EB0">
        <w:rPr>
          <w:b/>
        </w:rPr>
        <w:t>5.</w:t>
      </w:r>
      <w:r w:rsidRPr="00203EB0">
        <w:rPr>
          <w:b/>
        </w:rPr>
        <w:t>7B</w:t>
      </w:r>
      <w:r w:rsidRPr="00203EB0">
        <w:t xml:space="preserve">). These shifts likely reflect enhanced substrate availability, especially in labile C and </w:t>
      </w:r>
      <m:oMath>
        <m:sSubSup>
          <m:sSubSupPr>
            <m:ctrlPr>
              <w:rPr>
                <w:rFonts w:ascii="Cambria Math" w:hAnsi="Cambria Math"/>
              </w:rPr>
            </m:ctrlPr>
          </m:sSubSupPr>
          <m:e>
            <m:r>
              <m:rPr>
                <m:sty m:val="p"/>
              </m:rPr>
              <w:rPr>
                <w:rFonts w:ascii="Cambria Math" w:hAnsi="Cambria Math"/>
              </w:rPr>
              <m:t>NO</m:t>
            </m:r>
          </m:e>
          <m:sub>
            <m:r>
              <m:rPr>
                <m:sty m:val="p"/>
              </m:rPr>
              <w:rPr>
                <w:rFonts w:ascii="Cambria Math" w:hAnsi="Cambria Math"/>
              </w:rPr>
              <m:t>3</m:t>
            </m:r>
          </m:sub>
          <m:sup>
            <m:r>
              <m:rPr>
                <m:sty m:val="p"/>
              </m:rPr>
              <w:rPr>
                <w:rFonts w:ascii="Cambria Math" w:hAnsi="Cambria Math"/>
              </w:rPr>
              <m:t>-</m:t>
            </m:r>
          </m:sup>
        </m:sSubSup>
      </m:oMath>
      <w:r w:rsidRPr="00203EB0">
        <w:t xml:space="preserve"> (</w:t>
      </w:r>
      <w:r w:rsidRPr="00203EB0">
        <w:rPr>
          <w:b/>
        </w:rPr>
        <w:t xml:space="preserve">Figure </w:t>
      </w:r>
      <w:r w:rsidR="00A61CF4" w:rsidRPr="00203EB0">
        <w:rPr>
          <w:b/>
        </w:rPr>
        <w:t>5.</w:t>
      </w:r>
      <w:r w:rsidRPr="00203EB0">
        <w:rPr>
          <w:b/>
        </w:rPr>
        <w:t>4</w:t>
      </w:r>
      <w:r w:rsidRPr="00203EB0">
        <w:t xml:space="preserve">), under long-term tillage promoting denitrifying activity </w:t>
      </w:r>
      <w:r w:rsidRPr="00203EB0">
        <w:rPr>
          <w:b/>
          <w:caps/>
        </w:rPr>
        <w:fldChar w:fldCharType="begin" w:fldLock="1"/>
      </w:r>
      <w:r w:rsidRPr="00203EB0">
        <w:instrText>ADDIN CSL_CITATION {"citationItems":[{"id":"ITEM-1","itemData":{"DOI":"10.1093/femsec/fiv069","ISSN":"15746941","PMID":"26109134","abstract":"Incorporation of plant litter is a frequent agricultural practice to increase nutrient availability in soil, and relies heavily on the activity of cellulose-degrading microorganisms. Here we address the question of how different tillage treatments affect soil microbial communities and their cellulose-degrading potential in a long-term agricultural experiment. To identify potential differences in microbial taxonomy and functionality, we generated six soil metagenomes of conventional (CT) and reduced (RT) tillage-treated topsoil samples, which differed in their potential extracellular cellulolytic activity as well as their microbial biomass. Taxonomic analysis of metagenomic data revealed few differences between RT and CT, and a dominance of Proteobacteria and Actinobacteria, whereas eukaryotic phyla were not prevalent. Prediction of cellulolytic enzymes revealed glycoside hydrolase families 1, 3 and 94, auxiliary activity family 8 and carbohydrate-binding module 2 as the most abundant in soil. These were annotated mainly to the phyla of Proteobacteria, Actinobacteria and Bacteroidetes. These results suggest that the observed higher cellulolytic activity in RT soils can be explained by a higher microbial biomass or changed expression levels but not by shifts in the soil microbiome. Overall, this study reveals the stability of soil microbial communities and cellulolytic gene composition under the investigated tillage treatments.","author":[{"dropping-particle":"","family":"Vries","given":"Maria","non-dropping-particle":"de","parse-names":false,"suffix":""},{"dropping-particle":"","family":"Schöler","given":"Anne","non-dropping-particle":"","parse-names":false,"suffix":""},{"dropping-particle":"","family":"Ertl","given":"Julia","non-dropping-particle":"","parse-names":false,"suffix":""},{"dropping-particle":"","family":"Xu","given":"Zhuofei","non-dropping-particle":"","parse-names":false,"suffix":""},{"dropping-particle":"","family":"Schloter","given":"Michael","non-dropping-particle":"","parse-names":false,"suffix":""}],"container-title":"FEMS Microbiology Ecology","id":"ITEM-1","issue":"7","issued":{"date-parts":[["2015"]]},"page":"1-10","title":"Metagenomic analyses reveal no differences in genes involved in cellulose degradation under different tillage treatments","type":"article-journal","volume":"91"},"uris":["http://www.mendeley.com/documents/?uuid=3fa170fb-eddc-4034-a9b1-3cbfd94f73d4"]},{"id":"ITEM-2","itemData":{"DOI":"10.1016/j.ejsobi.2017.03.001","ISSN":"11645563","abstract":"A comprehensive evaluation of the impacts of different tillage managements on bacterial community structure is fundamental to better understand their roles in maintaining soil health. The objective of this study was to assess the impact of no tillage (NT) vs. conventional tillage (CT) management on soil properties, bacterial community structure in a 22-year experiment established on the Loess Plateau of China, under a winter wheat cropping succession. Our results showed that the long-term application of NT caused a significant increase in bacterial alpha-diversity as indicated by the significantly greater number of unique operational taxonomic units (OTUs), richness (Chao), evenness (ACE), and Shannon index and a lower Simpson index compared to CT. Moreover, the NT treatment changed certain soil physicochemical properties, e.g., soil organic carbon (SOC), total nitrogen (TN), dissolved organic carbon (DOC), microbial biomass C (MBC), microbial biomass N (MBN) and nitrate nitrogen (NO3-N) were greater under CT. The bacterial communities differed significantly between the different tillage treatments, and NT harboured relatively higher abundances of the dominant genera Sphingomonas and Pseudomonas and a lower abundance of Acidobacteria than CT. A redundancy analysis (RDA) revealed that the bacterial community structure was strongly correlated with variations of SOC, DOC and TN. Thus, based on these findings, it is concluded that NT management is a more sustainable faming practice to improve soil properties and bacterial diversity.","author":[{"dropping-particle":"","family":"Dong","given":"Wenyi","non-dropping-particle":"","parse-names":false,"suffix":""},{"dropping-particle":"","family":"Liu","given":"Enke","non-dropping-particle":"","parse-names":false,"suffix":""},{"dropping-particle":"","family":"Yan","given":"Changrong","non-dropping-particle":"","parse-names":false,"suffix":""},{"dropping-particle":"","family":"Tian","given":"Jing","non-dropping-particle":"","parse-names":false,"suffix":""},{"dropping-particle":"","family":"Zhang","given":"Hengheng","non-dropping-particle":"","parse-names":false,"suffix":""},{"dropping-particle":"","family":"Zhang","given":"Yanqing","non-dropping-particle":"","parse-names":false,"suffix":""}],"container-title":"European Journal of Soil Biology","id":"ITEM-2","issued":{"date-parts":[["2017"]]},"page":"35-42","publisher":"Elsevier Masson SAS","title":"Impact of no tillage vs. conventional tillage on the soil bacterial community structure in a winter wheat cropping succession in northern China","type":"article-journal","volume":"80"},"uris":["http://www.mendeley.com/documents/?uuid=d39a92b4-92ac-4266-8c72-002bf2ee5baf"]},{"id":"ITEM-3","itemData":{"DOI":"10.3390/microorganisms8111773","ISSN":"20762607","abstract":"Metagenomics in agricultural research allows for searching for bioindicators of soil health to characterize changes caused by management practices. Cover cropping (CC) improves soil health by mitigating nutrient losses, yet the benefits depend on the tillage system used. Field studies searching for indicator taxa within these systems are scarce and narrow in their scope. Our goal was to identify bioindicators of soil health from microbes that were responsive to CC (three levels) and tillage (chisel tillage, no-till) treatments after five years under field conditions. We used rRNA gene-based analysis via Illumina HiSeq2500 technology with QIIME 2.0 processing to characterize the microbial communities. Our results indicated that CC and tillage differentially changed the relative abundances (RAs) of the copiotrophic and oligotrophic guilds. Corn–soybean rotations with legume–grass CC increased the RA of copiotrophic decomposers more than rotations with grass CC, whereas rotations with only bare fallows favored stress-tolerant oligotrophs, including nitrifiers and denitrifiers. Unlike bacteria, fewer indicator fungi and archaea were detected; fungi were poorly identified, and their responses were inconsistent, while the archaea RA increased under bare fallow treatments. This is primary information that allows for understanding the potential for managing the soil community compositions using cover crops to reduce nutrient losses to the environment.","author":[{"dropping-particle":"","family":"Kim","given":"Nakian","non-dropping-particle":"","parse-names":false,"suffix":""},{"dropping-particle":"","family":"Zabaloy","given":"María C.","non-dropping-particle":"","parse-names":false,"suffix":""},{"dropping-particle":"","family":"Villamil","given":"María B.","non-dropping-particle":"","parse-names":false,"suffix":""},{"dropping-particle":"","family":"Riggins","given":"Chance W.","non-dropping-particle":"","parse-names":false,"suffix":""},{"dropping-particle":"","family":"Rodríguez-Zas","given":"Sandra","non-dropping-particle":"","parse-names":false,"suffix":""}],"container-title":"Microorganisms","id":"ITEM-3","issue":"11","issued":{"date-parts":[["2020"]]},"page":"1-21","title":"Microbial shifts following five years of cover cropping and tillage practices in fertile agroecosystems","type":"article-journal","volume":"8"},"uris":["http://www.mendeley.com/documents/?uuid=8f985088-418a-4850-bf14-eefb6599007c"]},{"id":"ITEM-4","itemData":{"DOI":"10.3390/microorganisms9061244","ISSN":"20762607","abstract":"Recent advancements in agricultural metagenomics allow for characterizing microbial indicators of soil health brought on by changes in management decisions, which ultimately affect the soil environment. Field-scale studies investigating the microbial taxa from agricultural experiments are sparse, with none investigating the long-term effect of crop rotation and tillage on microbial indicator species. Therefore, our goal was to determine the effect of rotations (continuous corn, CCC; continuous soybean, SSS; and each phase of a corn-soybean rotation, Cs and Sc) and tillage (no-till, NT; and chisel tillage, T) on the soil microbial community composition following 20 years of management. We found that crop rotation and tillage influence the soil environment by altering key soil properties, such as pH and soil organic matter (SOM). Monoculture corn lowered pH compared to SSS (5.9 vs. 6.9, respectively) but increased SOM (5.4% vs. 4.6%, respectively). Bacterial indicator microbes were categorized into two groups: SOM dependent and acidophile vs. N adverse and neutrophile. Fungi preferred the CCC rotation, characterized by low pH. Archaeal indicators were mainly ammonia oxidizers with species occupying niches at contrasting pHs. Numerous indicator microbes are involved with N cycling due to the fertilizer-rich environment, prone to aquatic or gaseous losses.","author":[{"dropping-particle":"","family":"Behnke","given":"Gevan D.","non-dropping-particle":"","parse-names":false,"suffix":""},{"dropping-particle":"","family":"Kim","given":"Nakian","non-dropping-particle":"","parse-names":false,"suffix":""},{"dropping-particle":"","family":"Zabaloy","given":"Maria C.","non-dropping-particle":"","parse-names":false,"suffix":""},{"dropping-particle":"","family":"Riggins","given":"Chance W.","non-dropping-particle":"","parse-names":false,"suffix":""},{"dropping-particle":"","family":"Rodriguez-Zas","given":"Sandra","non-dropping-particle":"","parse-names":false,"suffix":""},{"dropping-particle":"","family":"Villamil","given":"Maria B.","non-dropping-particle":"","parse-names":false,"suffix":""}],"container-title":"Microorganisms","id":"ITEM-4","issue":"6","issued":{"date-parts":[["2021"]]},"title":"Soil microbial indicators within rotations and tillage systems","type":"article-journal","volume":"9"},"uris":["http://www.mendeley.com/documents/?uuid=8dde1be0-b54e-4381-8096-b647a452b71d"]},{"id":"ITEM-5","itemData":{"DOI":"10.1038/s41598-023-41216-z","ISBN":"0123456789","ISSN":"20452322","PMID":"37626146","abstract":"Soil microbes play a crucial role in soil organic matter decomposition and nutrient cycling and are influenced by management practices. Therefore, quantifying the impacts of various agricultural management practices on soil microbiomes and their activity is crucial for making informed management decisions. This study aimed to assess the impact of various management systems on soil bacterial abundance and diversity, soil enzyme activities and carbon mineralization potential in wheat-based systems. To accomplish this, soil samples from 0 to 15 cm depth were collected from ongoing long-term field trials in eastern Oregon region under wheat (Triticum aestivum L.)-fallow (WF), WF with different tillage (WT), wheat-pea (Pisum sativum L.) (WP), WF under different crop residue management (CR) and natural undisturbed/unmanaged grassland pasture (GP). These trials consisted of an array of treatments like tillage intensities, nitrogen rates, organic amendments, and seasonal residue burning. This study was a part of the Soil Health Institute’s North American Project to Evaluate Soil Health measurements (NAPESHM). Bacterial community structure was determined using amplicon sequencing of the V4 region of 16SrRNA genes and followed the protocols of the Earth Microbiome Project. In addition, extracellular enzyme activities, and carbon mineralization potential (1d-CO2) were measured. Among different trials, 1d-CO2 in WT, WP, and CR studies averaged 53%, 51% and 87% lower than GP systems, respectively. Enzyme activities were significantly greater in GP compared to the other managements and followed similar trend as respiration. We observed higher evenness in GP and higher richness in spring residue burning treatment of CR study. Our results indicated that species evenness is perhaps a better indicator of soil health in comparison to other indices in dryland wheat systems.","author":[{"dropping-particle":"","family":"Singh","given":"Shikha","non-dropping-particle":"","parse-names":false,"suffix":""},{"dropping-particle":"","family":"Singh","given":"Surendra","non-dropping-particle":"","parse-names":false,"suffix":""},{"dropping-particle":"","family":"Lukas","given":"Scott B.","non-dropping-particle":"","parse-names":false,"suffix":""},{"dropping-particle":"","family":"Ma</w:instrText>
      </w:r>
      <w:r w:rsidRPr="00622616">
        <w:rPr>
          <w:lang w:val="es-UY"/>
        </w:rPr>
        <w:instrText>chado","given":"Stephen","non-dropping-particle":"","parse-names":false,"suffix":""},{"dropping-particle":"","family":"Nouri","given":"Amin","non-dropping-particle":"","parse-names":false,"suffix":""},{"dropping-particle":"","family":"Calderon","given":"Francisco","non-dropping-particle":"","parse-names":false,"suffix":""},{"dropping-particle":"","family":"Rieke","given":"Elizabeth R.","non-dropping-particle":"","parse-names":false,"suffix":""},{"dropping-particle":"","family":"Cappellazzi","given":"Shannon B.","non-dropping-particle":"","parse-names":false,"suffix":""}],"container-title":"Scientific Reports","id":"ITEM-5","issue":"1","issued":{"date-parts":[["2023"]]},"page":"1-14","publisher":"Nature Publishing Group UK","title":"Long-term agro-management strategies shape soil bacterial community structure in dryland wheat systems","type":"article-journal","volume":"13"},"uris":["http://www.mendeley.com/documents/?uuid=a96ff56d-692e-4172-91ba-bd5952b62e14"]}],"mendeley":{"formattedCitation":"(de Vries et al., 2015; Dong et al., 2017; Kim et al., 2020; Behnke et al., 2021; Singh et al., 2023)","plainTextFormattedCitation":"(de Vries et al., 2015; Dong et al., 2017; Kim et al., 2020; Behnke et al., 2021; Singh et al., 2023)","previouslyFormattedCitation":"(de Vries et al., 2015; Dong et al., 2017; Kim et al., 2020; Behnke et al., 2021; Singh et al., 2023)"},"properties":{"noteIndex":0},"schema":"https://github.com/citation-style-language/schema/raw/master/csl-citation.json"}</w:instrText>
      </w:r>
      <w:r w:rsidRPr="00203EB0">
        <w:rPr>
          <w:b/>
          <w:caps/>
        </w:rPr>
        <w:fldChar w:fldCharType="separate"/>
      </w:r>
      <w:r w:rsidRPr="00622616">
        <w:rPr>
          <w:noProof/>
          <w:lang w:val="es-UY"/>
        </w:rPr>
        <w:t>(de Vries et al., 2015; Dong et al., 2017; Kim et al., 2020; Behnke et al., 2021; Singh et al., 2023)</w:t>
      </w:r>
      <w:r w:rsidRPr="00203EB0">
        <w:rPr>
          <w:b/>
          <w:caps/>
        </w:rPr>
        <w:fldChar w:fldCharType="end"/>
      </w:r>
      <w:r w:rsidRPr="00622616">
        <w:rPr>
          <w:lang w:val="es-UY"/>
        </w:rPr>
        <w:t xml:space="preserve">. </w:t>
      </w:r>
      <w:r w:rsidRPr="00203EB0">
        <w:t xml:space="preserve">In contrast, cover cropping exhibited more localized effects, significantly increasing the relative abundance of only two subsoil taxa – </w:t>
      </w:r>
      <w:proofErr w:type="spellStart"/>
      <w:r w:rsidRPr="00203EB0">
        <w:t>Micropepsaceae</w:t>
      </w:r>
      <w:proofErr w:type="spellEnd"/>
      <w:r w:rsidRPr="00203EB0">
        <w:t xml:space="preserve"> sp.</w:t>
      </w:r>
      <w:r w:rsidRPr="00203EB0">
        <w:rPr>
          <w:i/>
        </w:rPr>
        <w:t xml:space="preserve"> </w:t>
      </w:r>
      <w:r w:rsidRPr="00203EB0">
        <w:t>and</w:t>
      </w:r>
      <w:r w:rsidRPr="00203EB0">
        <w:rPr>
          <w:i/>
        </w:rPr>
        <w:t xml:space="preserve"> </w:t>
      </w:r>
      <w:r w:rsidRPr="00203EB0">
        <w:t xml:space="preserve">Amb-16S-1323 – under HV compared to bare fallow </w:t>
      </w:r>
      <w:r w:rsidRPr="00203EB0">
        <w:lastRenderedPageBreak/>
        <w:t>treatment (</w:t>
      </w:r>
      <w:r w:rsidRPr="00203EB0">
        <w:rPr>
          <w:b/>
        </w:rPr>
        <w:t xml:space="preserve">Figure </w:t>
      </w:r>
      <w:r w:rsidR="00A61CF4" w:rsidRPr="00203EB0">
        <w:rPr>
          <w:b/>
        </w:rPr>
        <w:t>5.</w:t>
      </w:r>
      <w:r w:rsidRPr="00203EB0">
        <w:rPr>
          <w:b/>
        </w:rPr>
        <w:t>7C</w:t>
      </w:r>
      <w:r w:rsidRPr="00203EB0">
        <w:t xml:space="preserve">). These taxa </w:t>
      </w:r>
      <w:r w:rsidR="00D6786C">
        <w:t>have been</w:t>
      </w:r>
      <w:r w:rsidRPr="00203EB0">
        <w:t xml:space="preserve"> linked to C cycling and have been previously associated with cover crop use </w:t>
      </w:r>
      <w:r w:rsidRPr="00203EB0">
        <w:rPr>
          <w:b/>
          <w:caps/>
        </w:rPr>
        <w:fldChar w:fldCharType="begin" w:fldLock="1"/>
      </w:r>
      <w:r w:rsidRPr="00203EB0">
        <w:instrText>ADDIN CSL_CITATION {"citationItems":[{"id":"ITEM-1","itemData":{"DOI":"10.3390/microorganisms9061244","ISSN":"20762607","abstract":"Recent advancements in agricultural metagenomics allow for characterizing microbial indicators of soil health brought on by changes in management decisions, which ultimately affect the soil environment. Field-scale studies investigating the microbial taxa from agricultural experiments are sparse, with none investigating the long-term effect of crop rotation and tillage on microbial indicator species. Therefore, our goal was to determine the effect of rotations (continuous corn, CCC; continuous soybean, SSS; and each phase of a corn-soybean rotation, Cs and Sc) and tillage (no-till, NT; and chisel tillage, T) on the soil microbial community composition following 20 years of management. We found that crop rotation and tillage influence the soil environment by altering key soil properties, such as pH and soil organic matter (SOM). Monoculture corn lowered pH compared to SSS (5.9 vs. 6.9, respectively) but increased SOM (5.4% vs. 4.6%, respectively). Bacterial indicator microbes were categorized into two groups: SOM dependent and acidophile vs. N adverse and neutrophile. Fungi preferred the CCC rotation, characterized by low pH. Archaeal indicators were mainly ammonia oxidizers with species occupying niches at contrasting pHs. Numerous indicator microbes are involved with N cycling due to the fertilizer-rich environment, prone to aquatic or gaseous losses.","author":[{"dropping-particle":"","family":"Behnke","given":"Gevan D.","non-dropping-particle":"","parse-names":false,"suffix":""},{"dropping-particle":"","family":"Kim","given":"Nakian","non-dropping-particle":"","parse-names":false,"suffix":""},{"dropping-particle":"","family":"Zabaloy","given":"Maria C.","non-dropping-particle":"","parse-names":false,"suffix":""},{"dropping-particle":"","family":"Riggins","given":"Chance W.","non-dropping-particle":"","parse-names":false,"suffix":""},{"dropping-particle":"","family":"Rodriguez-Zas","given":"Sandra","non-dropping-particle":"","parse-names":false,"suffix":""},{"dropping-particle":"","family":"Villamil","given":"Maria B.","non-dropping-particle":"","parse-names":false,"suffix":""}],"container-title":"Microorganisms","id":"ITEM-1","issue":"6","issued":{"date-parts":[["2021"]]},"title":"Soil microbial indicators within rotations and tillage systems","type":"article-journal","volume":"9"},"uris":["http://www.mendeley.com/documents/?uuid=8dde1be0-b54e-4381-8096-b647a452b71d"]},{"id":"ITEM-2","itemData":{"DOI":"10.1093/femsec/fiad007","ISSN":"15746941","PMID":"36669763","abstract":"Knowledge of how habitat restoration shapes soil microbial communities often is limited despite their critical roles in ecosystem function. Soil community diversity and composition change after restoration, but the trajectory of these successional changes may be influenced by disturbances imposed for habitat management. We studied soil bacterial communities in a restored tallgrass prairie chronosequence for &gt;6 years to document how diversity and composition changed with age, management through fire, and grazing by reintroduced bison, and in comparison to pre-restoration agricultural fields and remnant prairies. Soil C:N increased with restoration age and bison, and soil pH first increased and then declined with age, although bison weakened this pattern. Bacterial richness and diversity followed a similar hump-shaped pattern as soil pH, such that the oldest restorations approached the low diversity of remnant prairies. β-diversity patterns indicated that composition in older restorations with bison resembled bison-free sites, but over time they became more distinct. In contrast, younger restorations with bison maintained unique compositions throughout the study, suggesting bison disturbances may cause a different successional trajectory. We used a novel random forest approach to identify taxa that indicate these differences, finding that they were frequently associated with bacteria that respond to grazing in other grasslands.","author":[{"dropping-particle":"","family":"Barber","given":"Nicholas A.","non-dropping-particle":"","parse-names":false,"suffix":""},{"dropping-particle":"","family":"Klimek","given":"Desirae M.","non-dropping-particle":"","parse-names":false,"suffix":""},{"dropping-particle":"","family":"Bell","given":"Jennifer K.","non-dropping-particle":"","parse-names":false,"suffix":""},{"dropping-particle":"","family":"Swingley","given":"Wesley D.","non-dropping-particle":"","parse-names":false,"suffix":""}],"container-title":"FEMS Microbiology Ecology","id":"ITEM-2","issue":"3","issued":{"date-parts":[["2023"]]},"page":"1-12","title":"Restoration age and reintroduced bison may shape soil bacterial communities in restored tallgrass prairies","type":"article-journal","volume":"99"},"uris":["http://www.mendeley.com/documents/?uuid=212b27aa-18b8-4231-aecb-44a931640afe"]}],"mendeley":{"formattedCitation":"(Behnke et al., 2021; Barber et al., 2023)","plainTextFormattedCitation":"(Behnke et al., 2021; Barber et al., 2023)","previouslyFormattedCitation":"(Behnke et al., 2021; Barber et al., 2023)"},"properties":{"noteIndex":0},"schema":"https://github.com/citation-style-language/schema/raw/master/csl-citation.json"}</w:instrText>
      </w:r>
      <w:r w:rsidRPr="00203EB0">
        <w:rPr>
          <w:b/>
          <w:caps/>
        </w:rPr>
        <w:fldChar w:fldCharType="separate"/>
      </w:r>
      <w:r w:rsidRPr="00203EB0">
        <w:rPr>
          <w:noProof/>
        </w:rPr>
        <w:t>(Behnke et al., 2021; Barber et al., 2023)</w:t>
      </w:r>
      <w:r w:rsidRPr="00203EB0">
        <w:rPr>
          <w:b/>
          <w:caps/>
        </w:rPr>
        <w:fldChar w:fldCharType="end"/>
      </w:r>
      <w:r w:rsidRPr="00203EB0">
        <w:t xml:space="preserve">, indicating that cover cropping may modulate microbial function at depth, even in the absence of broad community shifts in surface soil.     </w:t>
      </w:r>
    </w:p>
    <w:p w14:paraId="0994A1E2" w14:textId="664F0199" w:rsidR="00A61CF4" w:rsidRDefault="00433BF8" w:rsidP="00D56363">
      <w:pPr>
        <w:spacing w:line="480" w:lineRule="auto"/>
      </w:pPr>
      <w:r w:rsidRPr="00203EB0">
        <w:t>Collectively, these results demonstrate that management practices shape not only the overall microbial community structure, but also their temporal dynamics during peak N</w:t>
      </w:r>
      <w:r w:rsidRPr="00203EB0">
        <w:rPr>
          <w:vertAlign w:val="subscript"/>
        </w:rPr>
        <w:t>2</w:t>
      </w:r>
      <w:r w:rsidRPr="00203EB0">
        <w:t xml:space="preserve">O emission periods. By promoting microbial taxa </w:t>
      </w:r>
      <w:r w:rsidR="00D6786C">
        <w:t xml:space="preserve">potentially </w:t>
      </w:r>
      <w:r w:rsidRPr="00203EB0">
        <w:t>functionally linked to N</w:t>
      </w:r>
      <w:r w:rsidRPr="00203EB0">
        <w:rPr>
          <w:vertAlign w:val="subscript"/>
        </w:rPr>
        <w:t>2</w:t>
      </w:r>
      <w:r w:rsidRPr="00203EB0">
        <w:t xml:space="preserve">O production, fertilization, tillage, and cover cropping can enhance GHG fluxes under certain environmental conditions. Understanding these relationships is essential for efficient GHG mitigation potential of soil health practices and their broader environmental impacts. </w:t>
      </w:r>
    </w:p>
    <w:p w14:paraId="6186F0FC" w14:textId="77777777" w:rsidR="00CB749A" w:rsidRDefault="00CB749A" w:rsidP="00D56363">
      <w:pPr>
        <w:spacing w:line="480" w:lineRule="auto"/>
      </w:pPr>
    </w:p>
    <w:p w14:paraId="16A6D32D" w14:textId="77777777" w:rsidR="00CB749A" w:rsidRDefault="00CB749A" w:rsidP="00D56363">
      <w:pPr>
        <w:spacing w:line="480" w:lineRule="auto"/>
      </w:pPr>
    </w:p>
    <w:p w14:paraId="60A8B3B8" w14:textId="77777777" w:rsidR="00CB749A" w:rsidRDefault="00CB749A" w:rsidP="00D56363">
      <w:pPr>
        <w:spacing w:line="480" w:lineRule="auto"/>
      </w:pPr>
    </w:p>
    <w:p w14:paraId="19559949" w14:textId="77777777" w:rsidR="00CB749A" w:rsidRDefault="00CB749A" w:rsidP="00D56363">
      <w:pPr>
        <w:spacing w:line="480" w:lineRule="auto"/>
      </w:pPr>
    </w:p>
    <w:p w14:paraId="721E5ADD" w14:textId="77777777" w:rsidR="00CB749A" w:rsidRDefault="00CB749A" w:rsidP="00D56363">
      <w:pPr>
        <w:spacing w:line="480" w:lineRule="auto"/>
      </w:pPr>
    </w:p>
    <w:p w14:paraId="7F02F7DA" w14:textId="77777777" w:rsidR="00CB749A" w:rsidRDefault="00CB749A" w:rsidP="00D56363">
      <w:pPr>
        <w:spacing w:line="480" w:lineRule="auto"/>
      </w:pPr>
    </w:p>
    <w:p w14:paraId="24BC59BF" w14:textId="77777777" w:rsidR="00CB749A" w:rsidRDefault="00CB749A" w:rsidP="00D56363">
      <w:pPr>
        <w:spacing w:line="480" w:lineRule="auto"/>
      </w:pPr>
    </w:p>
    <w:p w14:paraId="0DA8CEDC" w14:textId="77777777" w:rsidR="00CB749A" w:rsidRDefault="00CB749A" w:rsidP="00D56363">
      <w:pPr>
        <w:spacing w:line="480" w:lineRule="auto"/>
      </w:pPr>
    </w:p>
    <w:p w14:paraId="0BF34A2F" w14:textId="77777777" w:rsidR="00CB749A" w:rsidRDefault="00CB749A" w:rsidP="00D56363">
      <w:pPr>
        <w:spacing w:line="480" w:lineRule="auto"/>
      </w:pPr>
    </w:p>
    <w:p w14:paraId="238790E7" w14:textId="77777777" w:rsidR="00CB749A" w:rsidRPr="00203EB0" w:rsidRDefault="00CB749A" w:rsidP="00D56363">
      <w:pPr>
        <w:spacing w:line="480" w:lineRule="auto"/>
        <w:rPr>
          <w:b/>
          <w:caps/>
        </w:rPr>
      </w:pPr>
    </w:p>
    <w:p w14:paraId="4C266623" w14:textId="02B4710A" w:rsidR="00A61CF4" w:rsidRPr="00203EB0" w:rsidRDefault="00A61CF4" w:rsidP="00A61CF4">
      <w:pPr>
        <w:pStyle w:val="Heading2"/>
      </w:pPr>
      <w:bookmarkStart w:id="111" w:name="_Toc206669157"/>
      <w:r w:rsidRPr="00203EB0">
        <w:lastRenderedPageBreak/>
        <w:t>Conclusions</w:t>
      </w:r>
      <w:bookmarkEnd w:id="111"/>
    </w:p>
    <w:p w14:paraId="35CE2C90" w14:textId="77777777" w:rsidR="00E07D6A" w:rsidRDefault="00A61CF4" w:rsidP="00E07D6A">
      <w:pPr>
        <w:spacing w:line="480" w:lineRule="auto"/>
      </w:pPr>
      <w:r w:rsidRPr="00203EB0">
        <w:t>This study investigated seasonal variations in N</w:t>
      </w:r>
      <w:r w:rsidRPr="00203EB0">
        <w:rPr>
          <w:vertAlign w:val="subscript"/>
        </w:rPr>
        <w:t>2</w:t>
      </w:r>
      <w:r w:rsidRPr="00203EB0">
        <w:t>O emissions and associated microbial communities in a 41-year continuous cotton experiment under contrasting N fertilization rates, tillage regimes, and cover cropping practices. Among these management practices, N fertilization – a known driver of N</w:t>
      </w:r>
      <w:r w:rsidRPr="00203EB0">
        <w:rPr>
          <w:vertAlign w:val="subscript"/>
        </w:rPr>
        <w:t>2</w:t>
      </w:r>
      <w:r w:rsidRPr="00203EB0">
        <w:t>O emissions – had the strongest influence on community composition and increased the number of N</w:t>
      </w:r>
      <w:r w:rsidRPr="00203EB0">
        <w:rPr>
          <w:vertAlign w:val="subscript"/>
        </w:rPr>
        <w:t>2</w:t>
      </w:r>
      <w:r w:rsidRPr="00203EB0">
        <w:t>O-associated taxa, especially in the surface soil layer. This effect was largely driven by soil acidification under long-term N fertilization, favoring microbial taxa</w:t>
      </w:r>
      <w:r w:rsidR="00D6786C">
        <w:t xml:space="preserve"> previously reported</w:t>
      </w:r>
      <w:r w:rsidRPr="00203EB0">
        <w:t xml:space="preserve"> to promote N</w:t>
      </w:r>
      <w:r w:rsidRPr="00203EB0">
        <w:rPr>
          <w:vertAlign w:val="subscript"/>
        </w:rPr>
        <w:t>2</w:t>
      </w:r>
      <w:r w:rsidRPr="00203EB0">
        <w:t>O emissions. These findings</w:t>
      </w:r>
      <w:r w:rsidR="00D6786C">
        <w:t xml:space="preserve"> underscore the dual role of fertilization, providing substrate for N</w:t>
      </w:r>
      <w:r w:rsidR="00D6786C" w:rsidRPr="00B515F4">
        <w:rPr>
          <w:vertAlign w:val="subscript"/>
        </w:rPr>
        <w:t>2</w:t>
      </w:r>
      <w:r w:rsidR="00D6786C">
        <w:t xml:space="preserve">O production while also shaping microbial composition, and </w:t>
      </w:r>
      <w:proofErr w:type="gramStart"/>
      <w:r w:rsidR="00D6786C">
        <w:t>reinforce</w:t>
      </w:r>
      <w:proofErr w:type="gramEnd"/>
      <w:r w:rsidR="00D6786C">
        <w:t xml:space="preserve"> the importance of refining fertilization strategies. At the same time, our results suggest that conservation practices such as </w:t>
      </w:r>
      <w:proofErr w:type="gramStart"/>
      <w:r w:rsidR="00D6786C">
        <w:t>no</w:t>
      </w:r>
      <w:proofErr w:type="gramEnd"/>
      <w:r w:rsidR="00D6786C">
        <w:t xml:space="preserve">-tillage can support microbial groups like </w:t>
      </w:r>
      <w:proofErr w:type="spellStart"/>
      <w:r w:rsidR="00D6786C" w:rsidRPr="00B27160">
        <w:rPr>
          <w:i/>
          <w:iCs/>
        </w:rPr>
        <w:t>Pseudarthrobacter</w:t>
      </w:r>
      <w:proofErr w:type="spellEnd"/>
      <w:r w:rsidR="00D6786C">
        <w:t>, which are associated with N</w:t>
      </w:r>
      <w:r w:rsidR="00D6786C" w:rsidRPr="00B515F4">
        <w:rPr>
          <w:vertAlign w:val="subscript"/>
        </w:rPr>
        <w:t>2</w:t>
      </w:r>
      <w:r w:rsidR="00D6786C">
        <w:t xml:space="preserve">O consumption, and thereby offer complementary mitigation potential. Together, this highlights that while fertilization management is critical, its integration with practices such as </w:t>
      </w:r>
      <w:proofErr w:type="gramStart"/>
      <w:r w:rsidR="00D6786C">
        <w:t>no</w:t>
      </w:r>
      <w:proofErr w:type="gramEnd"/>
      <w:r w:rsidR="00D6786C">
        <w:t>-tillage may provide a more sustainable pathway to reduce emissions while maintaining crop productivity and soil resilience.</w:t>
      </w:r>
    </w:p>
    <w:p w14:paraId="73C791C4" w14:textId="7DC2D0B8" w:rsidR="00FB682B" w:rsidRDefault="00A61CF4" w:rsidP="00E07D6A">
      <w:pPr>
        <w:spacing w:line="480" w:lineRule="auto"/>
      </w:pPr>
      <w:r w:rsidRPr="00D6786C">
        <w:t>Microbial contributions to N</w:t>
      </w:r>
      <w:r w:rsidRPr="00D6786C">
        <w:rPr>
          <w:vertAlign w:val="subscript"/>
        </w:rPr>
        <w:t>2</w:t>
      </w:r>
      <w:r w:rsidRPr="00D6786C">
        <w:t>O production were shaped by both soil depth and the interplay between seasonal dynamics and management legacies. Distinct taxa in surface and subsoil layers responded differently to environmental and management drivers, with only a few taxa shared across depths. Seasonal abundance pattern of key taxa reflected higher N</w:t>
      </w:r>
      <w:r w:rsidRPr="00D6786C">
        <w:rPr>
          <w:vertAlign w:val="subscript"/>
        </w:rPr>
        <w:t>2</w:t>
      </w:r>
      <w:r w:rsidRPr="00D6786C">
        <w:t xml:space="preserve">O fluxes from CT than NT, HV than NC, and fertilized compared to unfertilized treatments. These findings underscore the depth-specific and temporally dynamic nature of microbially </w:t>
      </w:r>
      <w:r w:rsidRPr="00D6786C">
        <w:lastRenderedPageBreak/>
        <w:t>regulation of N</w:t>
      </w:r>
      <w:r w:rsidRPr="00D6786C">
        <w:rPr>
          <w:vertAlign w:val="subscript"/>
        </w:rPr>
        <w:t>2</w:t>
      </w:r>
      <w:r w:rsidRPr="00D6786C">
        <w:t>O emissions, highlighting the importance of considering both long-term management legacies and short-term microbial responses when developing strategies to mitigate emissions.</w:t>
      </w:r>
      <w:r w:rsidR="00D6786C" w:rsidRPr="00D6786C">
        <w:t xml:space="preserve"> </w:t>
      </w:r>
      <w:r w:rsidR="00D6786C">
        <w:t xml:space="preserve">It is important to note that associations between microbial </w:t>
      </w:r>
      <w:proofErr w:type="gramStart"/>
      <w:r w:rsidR="00D6786C">
        <w:t>taxa</w:t>
      </w:r>
      <w:proofErr w:type="gramEnd"/>
      <w:r w:rsidR="00D6786C">
        <w:t xml:space="preserve"> and N</w:t>
      </w:r>
      <w:r w:rsidR="00D6786C" w:rsidRPr="00603E64">
        <w:rPr>
          <w:vertAlign w:val="subscript"/>
        </w:rPr>
        <w:t>2</w:t>
      </w:r>
      <w:r w:rsidR="00D6786C">
        <w:t>O emissions reported here are correlative and based on taxonomic profiling. While informative, these results should be viewed as hypothesis-generating and complementary</w:t>
      </w:r>
      <w:r w:rsidR="00E07D6A">
        <w:rPr>
          <w:b/>
          <w:caps/>
        </w:rPr>
        <w:t xml:space="preserve"> </w:t>
      </w:r>
      <w:r w:rsidR="00D6786C">
        <w:t>to future studies that directly quantify functional genes to confirm microbial contributions to N</w:t>
      </w:r>
      <w:r w:rsidR="00D6786C" w:rsidRPr="00603E64">
        <w:rPr>
          <w:vertAlign w:val="subscript"/>
        </w:rPr>
        <w:t>2</w:t>
      </w:r>
      <w:r w:rsidR="00D6786C">
        <w:t xml:space="preserve">O dynamics. </w:t>
      </w:r>
    </w:p>
    <w:p w14:paraId="18F4B69C" w14:textId="77777777" w:rsidR="00CB749A" w:rsidRDefault="00CB749A" w:rsidP="00E07D6A">
      <w:pPr>
        <w:spacing w:line="480" w:lineRule="auto"/>
      </w:pPr>
    </w:p>
    <w:p w14:paraId="5C9DF323" w14:textId="77777777" w:rsidR="00CB749A" w:rsidRDefault="00CB749A" w:rsidP="00E07D6A">
      <w:pPr>
        <w:spacing w:line="480" w:lineRule="auto"/>
      </w:pPr>
    </w:p>
    <w:p w14:paraId="4489BB69" w14:textId="77777777" w:rsidR="00CB749A" w:rsidRDefault="00CB749A" w:rsidP="00E07D6A">
      <w:pPr>
        <w:spacing w:line="480" w:lineRule="auto"/>
      </w:pPr>
    </w:p>
    <w:p w14:paraId="35309CE1" w14:textId="77777777" w:rsidR="00CB749A" w:rsidRDefault="00CB749A" w:rsidP="00E07D6A">
      <w:pPr>
        <w:spacing w:line="480" w:lineRule="auto"/>
      </w:pPr>
    </w:p>
    <w:p w14:paraId="6B01D571" w14:textId="77777777" w:rsidR="00CB749A" w:rsidRDefault="00CB749A" w:rsidP="00E07D6A">
      <w:pPr>
        <w:spacing w:line="480" w:lineRule="auto"/>
      </w:pPr>
    </w:p>
    <w:p w14:paraId="2C840901" w14:textId="77777777" w:rsidR="00CB749A" w:rsidRDefault="00CB749A" w:rsidP="00E07D6A">
      <w:pPr>
        <w:spacing w:line="480" w:lineRule="auto"/>
      </w:pPr>
    </w:p>
    <w:p w14:paraId="00BC1D79" w14:textId="77777777" w:rsidR="00CB749A" w:rsidRDefault="00CB749A" w:rsidP="00E07D6A">
      <w:pPr>
        <w:spacing w:line="480" w:lineRule="auto"/>
      </w:pPr>
    </w:p>
    <w:p w14:paraId="2232ACAE" w14:textId="77777777" w:rsidR="00CB749A" w:rsidRDefault="00CB749A" w:rsidP="00E07D6A">
      <w:pPr>
        <w:spacing w:line="480" w:lineRule="auto"/>
      </w:pPr>
    </w:p>
    <w:p w14:paraId="51ADDCDE" w14:textId="77777777" w:rsidR="00CB749A" w:rsidRDefault="00CB749A" w:rsidP="00E07D6A">
      <w:pPr>
        <w:spacing w:line="480" w:lineRule="auto"/>
      </w:pPr>
    </w:p>
    <w:p w14:paraId="72C6C026" w14:textId="77777777" w:rsidR="00CB749A" w:rsidRDefault="00CB749A" w:rsidP="00E07D6A">
      <w:pPr>
        <w:spacing w:line="480" w:lineRule="auto"/>
      </w:pPr>
    </w:p>
    <w:p w14:paraId="5207BD5A" w14:textId="77777777" w:rsidR="00CB749A" w:rsidRDefault="00CB749A" w:rsidP="00E07D6A">
      <w:pPr>
        <w:spacing w:line="480" w:lineRule="auto"/>
      </w:pPr>
    </w:p>
    <w:p w14:paraId="7DAE60F7" w14:textId="77777777" w:rsidR="00CB749A" w:rsidRDefault="00CB749A" w:rsidP="00E07D6A">
      <w:pPr>
        <w:spacing w:line="480" w:lineRule="auto"/>
        <w:rPr>
          <w:b/>
          <w:caps/>
        </w:rPr>
      </w:pPr>
    </w:p>
    <w:p w14:paraId="124B10F7" w14:textId="4977BA3C" w:rsidR="00025EEA" w:rsidRPr="00203EB0" w:rsidRDefault="00025EEA"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1130685E" w14:textId="5D15665D" w:rsidR="00025EEA" w:rsidRPr="00203EB0" w:rsidRDefault="00CA48D8" w:rsidP="00BD46F8">
      <w:pPr>
        <w:pStyle w:val="Heading1"/>
      </w:pPr>
      <w:bookmarkStart w:id="112" w:name="_Toc206669158"/>
      <w:r w:rsidRPr="00203EB0">
        <w:lastRenderedPageBreak/>
        <w:t>Enhancing predictions of nitrous oxide emissions from agricultural soils using a classification-swap machine learning approach</w:t>
      </w:r>
      <w:bookmarkEnd w:id="112"/>
      <w:r w:rsidRPr="00203EB0">
        <w:t xml:space="preserve"> </w:t>
      </w:r>
    </w:p>
    <w:p w14:paraId="49DE3C0F" w14:textId="77777777" w:rsidR="00025EEA" w:rsidRPr="00203EB0" w:rsidRDefault="00025EEA"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6A40BD89" w14:textId="77777777" w:rsidR="00436F2D" w:rsidRPr="00203EB0" w:rsidRDefault="00436F2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BB37309" w14:textId="77777777" w:rsidR="00436F2D" w:rsidRPr="00203EB0" w:rsidRDefault="00436F2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219870C" w14:textId="77777777" w:rsidR="00436F2D" w:rsidRPr="00203EB0" w:rsidRDefault="00436F2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6F96532D" w14:textId="77777777" w:rsidR="00436F2D" w:rsidRPr="00203EB0" w:rsidRDefault="00436F2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63E74E85" w14:textId="77777777" w:rsidR="00436F2D" w:rsidRPr="00203EB0" w:rsidRDefault="00436F2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3B2E3295" w14:textId="77777777" w:rsidR="00436F2D" w:rsidRPr="00203EB0" w:rsidRDefault="00436F2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BF973FA" w14:textId="77777777" w:rsidR="00A61CF4" w:rsidRPr="00203EB0" w:rsidRDefault="00A61CF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A8996B7" w14:textId="77777777" w:rsidR="00A61CF4" w:rsidRPr="00203EB0" w:rsidRDefault="00A61CF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6A9D20B" w14:textId="77777777" w:rsidR="00A61CF4" w:rsidRPr="00203EB0" w:rsidRDefault="00A61CF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5633DD38" w14:textId="77777777" w:rsidR="00A61CF4" w:rsidRPr="00203EB0" w:rsidRDefault="00A61CF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8A0FC8C" w14:textId="77777777" w:rsidR="00A61CF4" w:rsidRPr="00203EB0" w:rsidRDefault="00A61CF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16BC3B52" w14:textId="77777777" w:rsidR="00A61CF4" w:rsidRPr="00203EB0" w:rsidRDefault="00A61CF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FF55428" w14:textId="77777777" w:rsidR="00A61CF4" w:rsidRPr="00203EB0" w:rsidRDefault="00A61CF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28938F3" w14:textId="77777777" w:rsidR="00A61CF4" w:rsidRPr="00203EB0" w:rsidRDefault="00A61CF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5C94DC90" w14:textId="77777777" w:rsidR="00A61CF4" w:rsidRPr="00203EB0" w:rsidRDefault="00A61CF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15F350E9" w14:textId="77777777" w:rsidR="004358D8" w:rsidRPr="00203EB0" w:rsidRDefault="004358D8"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96C006E" w14:textId="77777777" w:rsidR="0003436E" w:rsidRPr="00203EB0" w:rsidRDefault="0003436E"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1CC8873F" w14:textId="0E3BD728" w:rsidR="0016702C" w:rsidRPr="00203EB0" w:rsidRDefault="0003436E" w:rsidP="0003436E">
      <w:pPr>
        <w:spacing w:line="480" w:lineRule="auto"/>
        <w:rPr>
          <w:rFonts w:cs="Times New Roman"/>
        </w:rPr>
      </w:pPr>
      <w:r w:rsidRPr="00203EB0">
        <w:rPr>
          <w:rFonts w:cs="Times New Roman"/>
        </w:rPr>
        <w:lastRenderedPageBreak/>
        <w:t xml:space="preserve">A version of this chapter was submitted for publication in Journal of Environmental Quality. </w:t>
      </w:r>
      <w:r w:rsidRPr="00203EB0">
        <w:rPr>
          <w:rFonts w:eastAsia="Calibri" w:cs="Times New Roman"/>
        </w:rPr>
        <w:t xml:space="preserve">Facundo Lussich was responsible for conceptualization, formal analysis, investigation, methodology, and writing. Debasish Saha, </w:t>
      </w:r>
      <w:proofErr w:type="spellStart"/>
      <w:r w:rsidRPr="00203EB0">
        <w:rPr>
          <w:rFonts w:cs="Times New Roman"/>
        </w:rPr>
        <w:t>Jashanjeet</w:t>
      </w:r>
      <w:proofErr w:type="spellEnd"/>
      <w:r w:rsidRPr="00203EB0">
        <w:rPr>
          <w:rFonts w:cs="Times New Roman"/>
        </w:rPr>
        <w:t xml:space="preserve"> Kaur Dhaliwal, Ryan Ackett, and Hao Gan provided</w:t>
      </w:r>
      <w:r w:rsidRPr="00203EB0">
        <w:rPr>
          <w:rFonts w:eastAsia="Calibri" w:cs="Times New Roman"/>
        </w:rPr>
        <w:t xml:space="preserve"> </w:t>
      </w:r>
      <w:r w:rsidRPr="00203EB0">
        <w:rPr>
          <w:rFonts w:cs="Times New Roman"/>
        </w:rPr>
        <w:t xml:space="preserve">input on </w:t>
      </w:r>
      <w:r w:rsidRPr="00203EB0">
        <w:rPr>
          <w:rFonts w:eastAsia="Calibri" w:cs="Times New Roman"/>
        </w:rPr>
        <w:t>methodology, review &amp; editing.</w:t>
      </w:r>
    </w:p>
    <w:p w14:paraId="1B9A7D71" w14:textId="3149CF24" w:rsidR="0016702C" w:rsidRPr="00203EB0" w:rsidRDefault="0016702C" w:rsidP="00170208">
      <w:pPr>
        <w:pStyle w:val="Heading2"/>
      </w:pPr>
      <w:bookmarkStart w:id="113" w:name="_Toc206669159"/>
      <w:r w:rsidRPr="00203EB0">
        <w:t>Abstract</w:t>
      </w:r>
      <w:bookmarkEnd w:id="113"/>
    </w:p>
    <w:p w14:paraId="0C00E6CF" w14:textId="77777777" w:rsidR="00170208" w:rsidRPr="00203EB0" w:rsidRDefault="00170208" w:rsidP="00170208">
      <w:pPr>
        <w:pStyle w:val="Abbreviations"/>
        <w:spacing w:line="480" w:lineRule="auto"/>
        <w:rPr>
          <w:sz w:val="24"/>
          <w:szCs w:val="24"/>
        </w:rPr>
      </w:pPr>
      <w:r w:rsidRPr="00203EB0">
        <w:rPr>
          <w:sz w:val="24"/>
          <w:szCs w:val="24"/>
        </w:rPr>
        <w:t>Accurate prediction of N</w:t>
      </w:r>
      <w:r w:rsidRPr="00203EB0">
        <w:rPr>
          <w:sz w:val="24"/>
          <w:szCs w:val="24"/>
          <w:vertAlign w:val="subscript"/>
        </w:rPr>
        <w:t>2</w:t>
      </w:r>
      <w:r w:rsidRPr="00203EB0">
        <w:rPr>
          <w:sz w:val="24"/>
          <w:szCs w:val="24"/>
        </w:rPr>
        <w:t xml:space="preserve">O emissions in agricultural systems is essential for developing effective climate-smart practices. This study introduces a novel ensemble approach, termed the ‘Class-Swap’ machine learning model, which employs two independent Random Forest (RF) models trained separately on background and hot-moment emissions. A statistical anomaly detection algorithm first classifies each flux observation, and the model then swaps between the two RF </w:t>
      </w:r>
      <w:proofErr w:type="gramStart"/>
      <w:r w:rsidRPr="00203EB0">
        <w:rPr>
          <w:sz w:val="24"/>
          <w:szCs w:val="24"/>
        </w:rPr>
        <w:t>models</w:t>
      </w:r>
      <w:proofErr w:type="gramEnd"/>
      <w:r w:rsidRPr="00203EB0">
        <w:rPr>
          <w:sz w:val="24"/>
          <w:szCs w:val="24"/>
        </w:rPr>
        <w:t xml:space="preserve"> accordingly, enabling emission specific predictions based on distinct biogeochemical drivers. The objective was to evaluate the performance of this approach against traditional RF models in predicting N</w:t>
      </w:r>
      <w:r w:rsidRPr="00203EB0">
        <w:rPr>
          <w:sz w:val="24"/>
          <w:szCs w:val="24"/>
          <w:vertAlign w:val="subscript"/>
        </w:rPr>
        <w:t>2</w:t>
      </w:r>
      <w:r w:rsidRPr="00203EB0">
        <w:rPr>
          <w:sz w:val="24"/>
          <w:szCs w:val="24"/>
        </w:rPr>
        <w:t>O fluxes from a long-term continuous cotton crop rotation in west Tennessee, which includes different tillage, N fertilization, and cover cropping treatments. The Class-Swap approach consistently outperformed traditional RF models on an independent unseen holdout dataset, achieving higher R</w:t>
      </w:r>
      <w:r w:rsidRPr="00203EB0">
        <w:rPr>
          <w:sz w:val="24"/>
          <w:szCs w:val="24"/>
          <w:vertAlign w:val="superscript"/>
        </w:rPr>
        <w:t xml:space="preserve">2 </w:t>
      </w:r>
      <w:r w:rsidRPr="00203EB0">
        <w:rPr>
          <w:sz w:val="24"/>
          <w:szCs w:val="24"/>
        </w:rPr>
        <w:t>values (0.33 to 0.34 vs 0.08 to 0.25) and lower RMSE (9.8 to 9.9 vs 10.5 to 11.6 g N</w:t>
      </w:r>
      <w:r w:rsidRPr="00203EB0">
        <w:rPr>
          <w:sz w:val="24"/>
          <w:szCs w:val="24"/>
          <w:vertAlign w:val="subscript"/>
        </w:rPr>
        <w:t>2</w:t>
      </w:r>
      <w:r w:rsidRPr="00203EB0">
        <w:rPr>
          <w:sz w:val="24"/>
          <w:szCs w:val="24"/>
        </w:rPr>
        <w:t>O-N ha</w:t>
      </w:r>
      <w:r w:rsidRPr="00203EB0">
        <w:rPr>
          <w:sz w:val="24"/>
          <w:szCs w:val="24"/>
          <w:vertAlign w:val="superscript"/>
        </w:rPr>
        <w:t>-1</w:t>
      </w:r>
      <w:r w:rsidRPr="00203EB0">
        <w:rPr>
          <w:sz w:val="24"/>
          <w:szCs w:val="24"/>
        </w:rPr>
        <w:t xml:space="preserve"> day</w:t>
      </w:r>
      <w:r w:rsidRPr="00203EB0">
        <w:rPr>
          <w:sz w:val="24"/>
          <w:szCs w:val="24"/>
          <w:vertAlign w:val="superscript"/>
        </w:rPr>
        <w:t>-1</w:t>
      </w:r>
      <w:r w:rsidRPr="00203EB0">
        <w:rPr>
          <w:sz w:val="24"/>
          <w:szCs w:val="24"/>
        </w:rPr>
        <w:t xml:space="preserve">), while accurately capturing the magnitude and temporal dynamics of emissions - something traditional RF models failed to replicate. Key predictors varied by emission type: in the background model, moderate to high soil moisture (0.45 – 0.7 WFPS), soil </w:t>
      </w:r>
      <m:oMath>
        <m:sSubSup>
          <m:sSubSupPr>
            <m:ctrlPr>
              <w:rPr>
                <w:rFonts w:ascii="Cambria Math" w:hAnsi="Cambria Math"/>
                <w:i/>
                <w:sz w:val="24"/>
                <w:szCs w:val="24"/>
              </w:rPr>
            </m:ctrlPr>
          </m:sSubSupPr>
          <m:e>
            <m:r>
              <w:rPr>
                <w:rFonts w:ascii="Cambria Math" w:hAnsi="Cambria Math"/>
                <w:sz w:val="24"/>
                <w:szCs w:val="24"/>
              </w:rPr>
              <m:t>NH</m:t>
            </m:r>
          </m:e>
          <m:sub>
            <m:r>
              <w:rPr>
                <w:rFonts w:ascii="Cambria Math" w:hAnsi="Cambria Math"/>
                <w:sz w:val="24"/>
                <w:szCs w:val="24"/>
              </w:rPr>
              <m:t>4</m:t>
            </m:r>
          </m:sub>
          <m:sup>
            <m:r>
              <w:rPr>
                <w:rFonts w:ascii="Cambria Math" w:hAnsi="Cambria Math"/>
                <w:sz w:val="24"/>
                <w:szCs w:val="24"/>
              </w:rPr>
              <m:t>+</m:t>
            </m:r>
          </m:sup>
        </m:sSubSup>
      </m:oMath>
      <w:r w:rsidRPr="00203EB0">
        <w:rPr>
          <w:sz w:val="24"/>
          <w:szCs w:val="24"/>
        </w:rPr>
        <w:t xml:space="preserve"> , and increased soil CO</w:t>
      </w:r>
      <w:r w:rsidRPr="00203EB0">
        <w:rPr>
          <w:sz w:val="24"/>
          <w:szCs w:val="24"/>
          <w:vertAlign w:val="subscript"/>
        </w:rPr>
        <w:t>2</w:t>
      </w:r>
      <w:r w:rsidRPr="00203EB0">
        <w:rPr>
          <w:sz w:val="24"/>
          <w:szCs w:val="24"/>
        </w:rPr>
        <w:t xml:space="preserve"> positively contributed to N</w:t>
      </w:r>
      <w:r w:rsidRPr="00203EB0">
        <w:rPr>
          <w:sz w:val="24"/>
          <w:szCs w:val="24"/>
          <w:vertAlign w:val="subscript"/>
        </w:rPr>
        <w:t>2</w:t>
      </w:r>
      <w:r w:rsidRPr="00203EB0">
        <w:rPr>
          <w:sz w:val="24"/>
          <w:szCs w:val="24"/>
        </w:rPr>
        <w:t xml:space="preserve">O fluxes; in the hot-moment model, fluxes were primarily driven by large precipitation events and high soil moisture </w:t>
      </w:r>
      <w:r w:rsidRPr="00203EB0">
        <w:rPr>
          <w:sz w:val="24"/>
          <w:szCs w:val="24"/>
        </w:rPr>
        <w:lastRenderedPageBreak/>
        <w:t xml:space="preserve">(&gt;0.65 WFPS). This study underscores the effectiveness of differentiating between the distinct biogeochemical dynamics underlying background emissions and </w:t>
      </w:r>
      <w:proofErr w:type="gramStart"/>
      <w:r w:rsidRPr="00203EB0">
        <w:rPr>
          <w:sz w:val="24"/>
          <w:szCs w:val="24"/>
        </w:rPr>
        <w:t>hot-moments</w:t>
      </w:r>
      <w:proofErr w:type="gramEnd"/>
      <w:r w:rsidRPr="00203EB0">
        <w:rPr>
          <w:sz w:val="24"/>
          <w:szCs w:val="24"/>
        </w:rPr>
        <w:t xml:space="preserve"> in predictive modeling. Further assessment across diverse sites, years, and agroecosystems remains necessary to validate the potential of the Class-Swap approach as a robust alternative for predicting N</w:t>
      </w:r>
      <w:r w:rsidRPr="00203EB0">
        <w:rPr>
          <w:sz w:val="24"/>
          <w:szCs w:val="24"/>
          <w:vertAlign w:val="subscript"/>
        </w:rPr>
        <w:t>2</w:t>
      </w:r>
      <w:r w:rsidRPr="00203EB0">
        <w:rPr>
          <w:sz w:val="24"/>
          <w:szCs w:val="24"/>
        </w:rPr>
        <w:t>O fluxes.</w:t>
      </w:r>
    </w:p>
    <w:p w14:paraId="51B073BF" w14:textId="77777777" w:rsidR="00A61CF4" w:rsidRPr="00203EB0" w:rsidRDefault="00A61CF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5A819538" w14:textId="77777777" w:rsidR="00A61CF4" w:rsidRPr="00203EB0" w:rsidRDefault="00A61CF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31144CF2" w14:textId="77777777" w:rsidR="0016702C" w:rsidRPr="00203EB0" w:rsidRDefault="0016702C"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22C2E2D" w14:textId="77777777" w:rsidR="00DD51FA" w:rsidRPr="00203EB0" w:rsidRDefault="00DD51FA"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AB4E853" w14:textId="77777777" w:rsidR="0016702C" w:rsidRPr="00203EB0" w:rsidRDefault="0016702C"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D551D62" w14:textId="77777777" w:rsidR="005751D4" w:rsidRPr="00203EB0" w:rsidRDefault="005751D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5F74CAD" w14:textId="77777777" w:rsidR="005751D4" w:rsidRPr="00203EB0" w:rsidRDefault="005751D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8FE19D3" w14:textId="77777777" w:rsidR="0048523B" w:rsidRPr="00203EB0" w:rsidRDefault="0048523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3A92577" w14:textId="77777777" w:rsidR="0048523B" w:rsidRPr="00203EB0" w:rsidRDefault="0048523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9A25A02" w14:textId="77777777" w:rsidR="0048523B" w:rsidRPr="00203EB0" w:rsidRDefault="0048523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695A97AC" w14:textId="77777777" w:rsidR="0048523B" w:rsidRPr="00203EB0" w:rsidRDefault="0048523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C3F8E7A" w14:textId="77777777" w:rsidR="0048523B" w:rsidRPr="00203EB0" w:rsidRDefault="0048523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53B3465" w14:textId="77777777" w:rsidR="0048523B" w:rsidRPr="00203EB0" w:rsidRDefault="0048523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3246FBA2" w14:textId="77777777" w:rsidR="0048523B" w:rsidRPr="00203EB0" w:rsidRDefault="0048523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1C211C82" w14:textId="77777777" w:rsidR="0048523B" w:rsidRPr="00203EB0" w:rsidRDefault="0048523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45A1879" w14:textId="124CE4B2" w:rsidR="005751D4" w:rsidRPr="00203EB0" w:rsidRDefault="005751D4" w:rsidP="005751D4">
      <w:pPr>
        <w:pStyle w:val="Heading2"/>
      </w:pPr>
      <w:bookmarkStart w:id="114" w:name="_Toc206669160"/>
      <w:r w:rsidRPr="00203EB0">
        <w:lastRenderedPageBreak/>
        <w:t>Introduction</w:t>
      </w:r>
      <w:bookmarkEnd w:id="114"/>
    </w:p>
    <w:p w14:paraId="2E79D9D0" w14:textId="6148B9D1" w:rsidR="005751D4" w:rsidRPr="00203EB0" w:rsidRDefault="005751D4" w:rsidP="00FE7DF1">
      <w:pPr>
        <w:pStyle w:val="ParaText"/>
        <w:spacing w:line="480" w:lineRule="auto"/>
        <w:ind w:firstLine="0"/>
        <w:contextualSpacing/>
        <w:jc w:val="both"/>
        <w:rPr>
          <w:szCs w:val="24"/>
        </w:rPr>
      </w:pPr>
      <w:r w:rsidRPr="00203EB0">
        <w:rPr>
          <w:iCs/>
          <w:szCs w:val="24"/>
        </w:rPr>
        <w:t>Nitrous oxide (N</w:t>
      </w:r>
      <w:r w:rsidRPr="00203EB0">
        <w:rPr>
          <w:iCs/>
          <w:szCs w:val="24"/>
          <w:vertAlign w:val="subscript"/>
        </w:rPr>
        <w:t>2</w:t>
      </w:r>
      <w:r w:rsidRPr="00203EB0">
        <w:rPr>
          <w:iCs/>
          <w:szCs w:val="24"/>
        </w:rPr>
        <w:t>O) emissions from agricultural systems have received considerable attention in the recent years, as N</w:t>
      </w:r>
      <w:r w:rsidRPr="00203EB0">
        <w:rPr>
          <w:iCs/>
          <w:szCs w:val="24"/>
          <w:vertAlign w:val="subscript"/>
        </w:rPr>
        <w:t>2</w:t>
      </w:r>
      <w:r w:rsidRPr="00203EB0">
        <w:rPr>
          <w:iCs/>
          <w:szCs w:val="24"/>
        </w:rPr>
        <w:t>O is a major ozone-depleting gas with a global warming potential ~273 times greater than that of carbon dioxide (CO</w:t>
      </w:r>
      <w:r w:rsidRPr="00203EB0">
        <w:rPr>
          <w:iCs/>
          <w:szCs w:val="24"/>
          <w:vertAlign w:val="subscript"/>
        </w:rPr>
        <w:t>2</w:t>
      </w:r>
      <w:r w:rsidRPr="00203EB0">
        <w:rPr>
          <w:iCs/>
          <w:szCs w:val="24"/>
        </w:rPr>
        <w:t xml:space="preserve">) over a century </w:t>
      </w:r>
      <w:r w:rsidRPr="00203EB0">
        <w:rPr>
          <w:iCs/>
          <w:szCs w:val="24"/>
        </w:rPr>
        <w:fldChar w:fldCharType="begin" w:fldLock="1"/>
      </w:r>
      <w:r w:rsidR="004179E3" w:rsidRPr="00203EB0">
        <w:rPr>
          <w:iCs/>
          <w:szCs w:val="24"/>
        </w:rPr>
        <w:instrText>ADDIN CSL_CITATION {"citationItems":[{"id":"ITEM-1","itemData":{"author":[{"dropping-particle":"","family":"EPA","given":"","non-dropping-particle":"","parse-names":false,"suffix":""}],"container-title":"Environmental Protection Agency, EPA","id":"ITEM-1","issued":{"date-parts":[["2023"]]},"page":"205","title":"Inventory of U.S. greenhouse gas emissions and sinks: 1990-2021. U.S.","type":"article-journal"},"uris":["http://www.mendeley.com/documents/?uuid=d9a6675b-7cdf-494c-9bc9-48ce6b8f3ef4"]},{"id":"ITEM-2","itemData":{"DOI":"10.59327/IPCC/AR6-9789291691647","abstract":"This Synthesis Report (SYR) of the IPCC Sixth Assessment Report (AR6) summarises the state of knowledge of climate change, its widespread impacts and risks, and climate change mitigation and adaptation, based on the peer-reviewed scientific, technical and socio-economic literature since the publication of the IPCC’s Fifth Assessment Report (AR5) in 2014. The assessment is undertaken within the context of the evolving international landscape, in particular, developments in the UN Framework Convention on Climate Change (UNFCCC) process, including the outcomes of the Kyoto Protocol and the adoption of the Paris Agreement. It reflects the increasing diversity of those involved in climate action. This report integrates the main findings of the AR6 Working Group reports58 and the three AR6 Special Reports59. It recognizes the interdependence of climate, ecosystems and biodiversity, and human societies; the value of diverse forms of knowledge; and the close linkages between climate change adaptation, mitigation, ecosystem health, human well-being and sustainable development. Building on multiple analytical frameworks, including those from the physical and social sciences, this report identifies opportunities for transformative action which are effective, feasible, just and equitable using concepts of systems transitions and resilient development pathways60. Different regional classification schemes61 are used for physical, social and economic aspects, reflecting the underlying literature. After this introduction, Section 2, ‘Current Status and Trends’, opens with the assessment of observational evidence for our changing climate, historical and current drivers of human-induced climate change, and its impacts. It assesses the current implementation of adaptation and mitigation response options. Section 3, ‘Long-Term Climate and Development Futures’, provides a long-term assessment of climate change to 2100 and beyond in a broad range of socio-economic 58 The three Working Group contributions to AR6 are: Climate Change 2021: The Physical Science Basis; Climate Change 2022: Impacts, Adaptation and Vulnerability; and Climate Change 2022: Mitigation of Climate Change, respectively. Their assessments cover scientific literature accepted for publication respectively by 31 January 2021, 1 September 2021 and 11 October 2021. 59 The three Special Reports are : Global Warming of 1.5°C (2018): an IPCC Special Report on the impacts of global warming of 1.5°C above pre-indus…","author":[{"dropping-particle":"","family":"IPCC","given":"","non-dropping-particle":"","parse-names":false,"suffix":""}],"edition":"IPCC","editor":[{"dropping-particle":"","family":"Romero","given":"H. Lee and J.","non-dropping-particle":"","parse-names":false,"suffix":""}],"id":"ITEM-2","issued":{"date-parts":[["2023"]]},"page":"35-115","publisher-place":"Geneva, Switzerland","title":"Climate Change 2023: Synthesis report. Contribution of working groups I, II and III to the sixth assessment report of the Intergovernmental Panel on Climate Change","type":"chapter"},"uris":["http://www.mendeley.com/documents/?uuid=20c151d3-1240-4a43-a462-2bff7104fb71"]}],"mendeley":{"formattedCitation":"(EPA, 2023; IPCC, 2023)","plainTextFormattedCitation":"(EPA, 2023; IPCC, 2023)","previouslyFormattedCitation":"(EPA, 2023; IPCC, 2023)"},"properties":{"noteIndex":0},"schema":"https://github.com/citation-style-language/schema/raw/master/csl-citation.json"}</w:instrText>
      </w:r>
      <w:r w:rsidRPr="00203EB0">
        <w:rPr>
          <w:iCs/>
          <w:szCs w:val="24"/>
        </w:rPr>
        <w:fldChar w:fldCharType="separate"/>
      </w:r>
      <w:r w:rsidRPr="00203EB0">
        <w:rPr>
          <w:iCs/>
          <w:noProof/>
          <w:szCs w:val="24"/>
        </w:rPr>
        <w:t>(EPA, 2023; IPCC, 2023)</w:t>
      </w:r>
      <w:r w:rsidRPr="00203EB0">
        <w:rPr>
          <w:iCs/>
          <w:szCs w:val="24"/>
        </w:rPr>
        <w:fldChar w:fldCharType="end"/>
      </w:r>
      <w:r w:rsidRPr="00203EB0">
        <w:rPr>
          <w:iCs/>
          <w:szCs w:val="24"/>
        </w:rPr>
        <w:t xml:space="preserve">. </w:t>
      </w:r>
      <w:r w:rsidRPr="00203EB0">
        <w:rPr>
          <w:szCs w:val="24"/>
        </w:rPr>
        <w:t>Agricultural soils largely contribute to N</w:t>
      </w:r>
      <w:r w:rsidRPr="00203EB0">
        <w:rPr>
          <w:szCs w:val="24"/>
          <w:vertAlign w:val="subscript"/>
        </w:rPr>
        <w:t>2</w:t>
      </w:r>
      <w:r w:rsidRPr="00203EB0">
        <w:rPr>
          <w:szCs w:val="24"/>
        </w:rPr>
        <w:t>O production, with the agriculture sector accounting for nearly two-thirds of global anthropogenic N</w:t>
      </w:r>
      <w:r w:rsidRPr="00203EB0">
        <w:rPr>
          <w:szCs w:val="24"/>
          <w:vertAlign w:val="subscript"/>
        </w:rPr>
        <w:t>2</w:t>
      </w:r>
      <w:r w:rsidRPr="00203EB0">
        <w:rPr>
          <w:szCs w:val="24"/>
        </w:rPr>
        <w:t xml:space="preserve">O emissions </w:t>
      </w:r>
      <w:r w:rsidRPr="00203EB0">
        <w:rPr>
          <w:szCs w:val="24"/>
        </w:rPr>
        <w:fldChar w:fldCharType="begin" w:fldLock="1"/>
      </w:r>
      <w:r w:rsidRPr="00203EB0">
        <w:rPr>
          <w:szCs w:val="24"/>
        </w:rPr>
        <w:instrText>ADDIN CSL_CITATION {"citationItems":[{"id":"ITEM-1","itemData":{"author":[{"dropping-particle":"","family":"EPA","given":"","non-dropping-particle":"","parse-names":false,"suffix":""}],"container-title":"Environmental Protection Agency, EPA","id":"ITEM-1","issued":{"date-parts":[["2023"]]},"page":"205","title":"Inventory of U.S. greenhouse gas emissions and sinks: 1990-2021. U.S.","type":"article-journal"},"uris":["http://www.mendeley.com/documents/?uuid=d9a6675b-7cdf-494c-9bc9-48ce6b8f3ef4"]}],"mendeley":{"formattedCitation":"(EPA, 2023)","plainTextFormattedCitation":"(EPA, 2023)","previouslyFormattedCitation":"(EPA, 2023)"},"properties":{"noteIndex":0},"schema":"https://github.com/citation-style-language/schema/raw/master/csl-citation.json"}</w:instrText>
      </w:r>
      <w:r w:rsidRPr="00203EB0">
        <w:rPr>
          <w:szCs w:val="24"/>
        </w:rPr>
        <w:fldChar w:fldCharType="separate"/>
      </w:r>
      <w:r w:rsidRPr="00203EB0">
        <w:rPr>
          <w:noProof/>
          <w:szCs w:val="24"/>
        </w:rPr>
        <w:t>(EPA, 2023)</w:t>
      </w:r>
      <w:r w:rsidRPr="00203EB0">
        <w:rPr>
          <w:szCs w:val="24"/>
        </w:rPr>
        <w:fldChar w:fldCharType="end"/>
      </w:r>
      <w:r w:rsidRPr="00203EB0">
        <w:rPr>
          <w:szCs w:val="24"/>
        </w:rPr>
        <w:t xml:space="preserve">, particularly associated with nitrogen (N) fertilization </w:t>
      </w:r>
      <w:r w:rsidRPr="00203EB0">
        <w:rPr>
          <w:szCs w:val="24"/>
        </w:rPr>
        <w:fldChar w:fldCharType="begin" w:fldLock="1"/>
      </w:r>
      <w:r w:rsidRPr="00203EB0">
        <w:rPr>
          <w:szCs w:val="24"/>
        </w:rPr>
        <w:instrText>ADDIN CSL_CITATION {"citationItems":[{"id":"ITEM-1","itemData":{"DOI":"10.1038/s41558-019-0613-7","ISBN":"4155801906","ISSN":"17586798","abstract":"Nitrous oxide (N2O) is the third most important long-lived GHG and an important stratospheric ozone depleting substance. Agricultural practices and the use of N-fertilizers have greatly enhanced emissions of N2O. Here, we present estimates of N2O emissions determined from three global atmospheric inversion frameworks during the period 1998–2016. We find that global N2O emissions increased substantially from 2009 and at a faster rate than estimated by the IPCC emission factor approach. The regions of East Asia and South America made the largest contributions to the global increase. From the inversion-based emissions, we estimate a global emission factor of 2.3 ± 0.6%, which is significantly larger than the IPCC Tier-1 default for combined direct and indirect emissions of 1.375%. The larger emission factor and accelerating emission increase found from the inversions suggest that N2O emission may have a nonlinear response at global and regional scales with high levels of N-input.","author":[{"dropping-particle":"","family":"Thompson","given":"R. L.","non-dropping-particle":"","parse-names":false,"suffix":""},{"dropping-particle":"","family":"Lassaletta","given":"L.","non-dropping-particle":"","parse-names":false,"suffix":""},{"dropping-particle":"","family":"Patra","given":"P. K.","non-dropping-particle":"","parse-names":false,"suffix":""},{"dropping-particle":"","family":"Wilson","given":"C.","non-dropping-particle":"","parse-names":false,"suffix":""},{"dropping-particle":"","family":"Wells","given":"K. C.","non-dropping-particle":"","parse-names":false,"suffix":""},{"dropping-particle":"","family":"Gressent","given":"A.","non-dropping-particle":"","parse-names":false,"suffix":""},{"dropping-particle":"","family":"Koffi","given":"E. N.","non-dropping-particle":"","parse-names":false,"suffix":""},{"dropping-particle":"","family":"Chipperfield","given":"M. P.","non-dropping-particle":"","parse-names":false,"suffix":""},{"dropping-particle":"","family":"Winiwarter","given":"W.","non-dropping-particle":"","parse-names":false,"suffix":""},{"dropping-particle":"","family":"Davidson","given":"E. A.","non-dropping-particle":"","parse-names":false,"suffix":""},{"dropping-particle":"","family":"Tian","given":"H.","non-dropping-particle":"","parse-names":false,"suffix":""},{"dropping-particle":"","family":"Canadell","given":"J. G.","non-dropping-particle":"","parse-names":false,"suffix":""}],"container-title":"Nature Climate Change","id":"ITEM-1","issue":"12","issued":{"date-parts":[["2019"]]},"page":"993-998","publisher":"Springer US","title":"Acceleration of global N2O emissions seen from two decades of atmospheric inversion","type":"article-journal","volume":"9"},"uris":["http://www.mendeley.com/documents/?uuid=b4d659c8-c0fd-42c2-a4c6-ff5c6b05f7d8"]},{"id":"ITEM-2","itemData":{"DOI":"10.1038/s41586-020-2780-0","ISSN":"14764687","PMID":"33028999","abstract":"Nitrous oxide (N2O), like carbon dioxide, is a long-lived greenhouse gas that accumulates in the atmosphere. Over the past 150 years, increasing atmospheric N2O concentrations have contributed to stratospheric ozone depletion1 and climate change2, with the current rate of increase estimated at 2 per cent per decade. Existing national inventories do not provide a full picture of N2O emissions, owing to their omission of natural sources and limitations in methodology for attributing anthropogenic sources. Here we present a global N2O inventory that incorporates both natural and anthropogenic sources and accounts for the interaction between nitrogen additions and the biochemical processes that control N2O emissions. We use bottom-up (inventory, statistical extrapolation of flux measurements, process-based land and ocean modelling) and top-down (atmospheric inversion) approaches to provide a comprehensive quantification of global N2O sources and sinks resulting from 21 natural and human sectors between 1980 and 2016. Global N2O emissions were 17.0 (minimum–maximum estimates: 12.2–23.5) teragrams of nitrogen per year (bottom-up) and 16.9 (15.9–17.7) teragrams of nitrogen per year (top-down) between 2007 and 2016. Global human-induced emissions, which are dominated by nitrogen additions to croplands, increased by 30% over the past four decades to 7.3 (4.2–11.4) teragrams of nitrogen per year. This increase was mainly responsible for the growth in the atmospheric burden. Our findings point to growing N2O emissions in emerging economies—particularly Brazil, China and India. Analysis of process-based model estimates reveals an emerging N2O–climate feedback resulting from interactions between nitrogen additions and climate change. The recent growth in N2O emissions exceeds some of the highest projected emission scenarios3,4, underscoring the urgency to mitigate N2O emissions.","author":[{"dropping-particle":"","family":"Tian","given":"Hanqin","non-dropping-particle":"","parse-names":false,"suffix":""},{"dropping-particle":"","family":"Xu","given":"Rongting","non-dropping-particle":"","parse-names":false,"suffix":""},{"dropping-particle":"","family":"Canadell","given":"Josep G.","non-dropping-particle":"","parse-names":false,"suffix":""},{"dropping-particle":"","family":"Thompson","given":"Rona L.","non-dropping-particle":"","parse-names":false,"suffix":""},{"dropping-particle":"","family":"Winiwarter","given":"Wilfried","non-dropping-particle":"","parse-names":false,"suffix":""},{"dropping-particle":"","family":"Suntharalingam","given":"Parvadha","non-dropping-particle":"","parse-names":false,"suffix":""},{"dropping-particle":"","family":"Davidson","given":"Eric A.","non-dropping-particle":"","parse-names":false,"suffix":""},{"dropping-particle":"","family":"Ciais","given":"Philippe","non-dropping-particle":"","parse-names":false,"suffix":""},{"dropping-particle":"","family":"Jackson","given":"Robert B.","non-dropping-particle":"","parse-names":false,"suffix":""},{"dropping-particle":"","family":"Janssens-Maenhout","given":"Greet","non-dropping-particle":"","parse-names":false,"suffix":""},{"dropping-particle":"","family":"Prather","given":"Michael J.","non-dropping-particle":"","parse-names":false,"suffix":""},{"dropping-particle":"","family":"Regnier","given":"Pierre","non-dropping-particle":"","parse-names":false,"suffix":""},{"dropping-particle":"","family":"Pan","given":"Naiqing","non-dropping-particle":"","parse-names":false,"suffix":""},{"dropping-particle":"","family":"Pan","given":"Shufen","non-dropping-particle":"","parse-names":false,"suffix":""},{"dropping-particle":"","family":"Peters","given":"Glen P.","non-dropping-particle":"","parse-names":false,"suffix":""},{"dropping-particle":"","family":"Shi","given":"Hao","non-dropping-particle":"","parse-names":false,"suffix":""},{"dropping-particle":"","family":"Tubiello","given":"Francesco N.","non-dropping-particle":"","parse-names":false,"suffix":""},{"dropping-particle":"","family":"Zaehle","given":"Sönke","non-dropping-particle":"","parse-names":false,"suffix":""},{"dropping-particle":"","family":"Zhou","given":"Feng","non-dropping-particle":"","parse-names":false,"suffix":""},{"dropping-particle":"","family":"Arneth","given":"Almut","non-dropping-particle":"","parse-names":false,"suffix":""},{"dropping-particle":"","family":"Battaglia","given":"Gianna","non-dropping-particle":"","parse-names":false,"suffix":""},{"dropping-particle":"","family":"Berthet","given":"Sarah","non-dropping-particle":"","parse-names":false,"suffix":""},{"dropping-particle":"","family":"Bopp","given":"Laurent","non-dropping-particle":"","parse-names":false,"suffix":""},{"dropping-particle":"","family":"Bouwman","given":"Alexander F.","non-dropping-particle":"","parse-names":false,"suffix":""},{"dropping-particle":"","family":"Buitenhuis","given":"Erik T.","non-dropping-particle":"","parse-names":false,"suffix":""},{"dropping-particle":"","family":"Chang","given":"Jinfeng","non-dropping-particle":"","parse-names":false,"suffix":""},{"dropping-particle":"","family":"Chipperfield","given":"Martyn P.","non-dropping-particle":"","parse-names":false,"suffix":""},{"dropping-particle":"","family":"Dangal","given":"Shree R.S.","non-dropping-particle":"","parse-names":false,"suffix":""},{"dropping-particle":"","family":"Dlugokencky","given":"Edward","non-dropping-particle":"","parse-names":false,"suffix":""},{"dropping-particle":"","family":"Elkins","given":"James W.","non-dropping-particle":"","parse-names":false,"suffix":""},{"dropping-particle":"","family":"Eyre","given":"Bradley D.","non-dropping-particle":"","parse-names":false,"suffix":""},{"dropping-particle":"","family":"Fu","given":"Bojie","non-dropping-particle":"","parse-names":false,"suffix":""},{"dropping-particle":"","family":"Hall","given":"Bradley","non-dropping-particle":"","parse-names":false,"suffix":""},{"dropping-particle":"","family":"Ito","given":"Akihiko","non-dropping-particle":"","parse-names":false,"suffix":""},{"dropping-particle":"","family":"Joos","given":"Fortunat","non-dropping-particle":"","parse-names":false,"suffix":""},{"dropping-particle":"","family":"Krummel","given":"Paul B.","non-dropping-particle":"","parse-names":false,"suffix":""},{"dropping-particle":"","family":"Landolfi","given":"Angela","non-dropping-particle":"","parse-names":false,"suffix":""},{"dropping-particle":"","family":"Laruelle","given":"Goulven G.","non-dropping-particle":"","parse-names":false,"suffix":""},{"dropping-particle":"","family":"Lauerwald","given":"Ronny","non-dropping-particle":"","parse-names":false,"suffix":""},{"dropping-particle":"","family":"Li","given":"Wei","non-dropping-particle":"","parse-names":false,"suffix":""},{"dropping-particle":"","family":"Lienert","given":"Sebastian","non-dropping-particle":"","parse-names":false,"suffix":""},{"dropping-particle":"","family":"Maavara","given":"Taylor","non-dropping-particle":"","parse-names":false,"suffix":""},{"dropping-particle":"","family":"MacLeod","given":"Michael","non-dropping-particle":"","parse-names":false,"suffix":""},{"dropping-particle":"","family":"Millet","given":"Dylan B.","non-dropping-particle":"","parse-names":false,"suffix":""},{"dropping-particle":"","family":"Olin","given":"Stefan","non-dropping-particle":"","parse-names":false,"suffix":""},{"dropping-particle":"","family":"Patra","given":"Prabir K.","non-dropping-particle":"","parse-names":false,"suffix":""},{"dropping-particle":"","family":"Prinn","given":"Ronald G.","non-dropping-particle":"","parse-names":false,"suffix":""},{"dropping-particle":"","family":"Raymond","given":"Peter A.","non-dropping-particle":"","parse-names":false,"suffix":""},{"dropping-particle":"","family":"Ruiz","given":"Daniel J.","non-dropping-particle":"","parse-names":false,"suffix":""},{"dropping-particle":"","family":"Werf","given":"Guido R.","non-dropping-particle":"van der","parse-names":false,"suffix":""},{"dropping-particle":"","family":"Vuichard","given":"Nicolas","non-dropping-particle":"","parse-names":false,"suffix":""},{"dropping-particle":"","family":"Wang","given":"Junjie","non-dropping-particle":"","parse-names":false,"suffix":""},{"dropping-particle":"","family":"Weiss","given":"Ray F.","non-dropping-particle":"","parse-names":false,"suffix":""},{"dropping-particle":"","family":"Wells","given":"Kelley C.","non-dropping-particle":"","parse-names":false,"suffix":""},{"dropping-particle":"","family":"Wilson","given":"Chris","non-dropping-particle":"","parse-names":false,"suffix":""},{"dropping-particle":"","family":"Yang","given":"Jia","non-dropping-particle":"","parse-names":false,"suffix":""},{"dropping-particle":"","family":"Yao","given":"Yuanzhi","non-dropping-particle":"","parse-names":false,"suffix":""}],"container-title":"Nature","id":"ITEM-2","issue":"7828","issued":{"date-parts":[["2020"]]},"page":"248-256","publisher":"Springer US","title":"A comprehensive quantification of global nitrous oxide sources and sinks","type":"article-journal","volume":"586"},"uris":["http://www.mendeley.com/documents/?uuid=da726379-1a8e-4ce8-aa3c-6b8d7ecb3bca"]}],"mendeley":{"formattedCitation":"(Thompson et al., 2019; Tian et al., 2020)","plainTextFormattedCitation":"(Thompson et al., 2019; Tian et al., 2020)","previouslyFormattedCitation":"(Thompson et al., 2019; Tian et al., 2020)"},"properties":{"noteIndex":0},"schema":"https://github.com/citation-style-language/schema/raw/master/csl-citation.json"}</w:instrText>
      </w:r>
      <w:r w:rsidRPr="00203EB0">
        <w:rPr>
          <w:szCs w:val="24"/>
        </w:rPr>
        <w:fldChar w:fldCharType="separate"/>
      </w:r>
      <w:r w:rsidRPr="00203EB0">
        <w:rPr>
          <w:noProof/>
          <w:szCs w:val="24"/>
        </w:rPr>
        <w:t>(Thompson et al., 2019; Tian et al., 2020)</w:t>
      </w:r>
      <w:r w:rsidRPr="00203EB0">
        <w:rPr>
          <w:szCs w:val="24"/>
        </w:rPr>
        <w:fldChar w:fldCharType="end"/>
      </w:r>
      <w:r w:rsidRPr="00203EB0">
        <w:rPr>
          <w:szCs w:val="24"/>
        </w:rPr>
        <w:t>. Given its outsized environmental impact, accurately predicting N</w:t>
      </w:r>
      <w:r w:rsidRPr="00203EB0">
        <w:rPr>
          <w:szCs w:val="24"/>
          <w:vertAlign w:val="subscript"/>
        </w:rPr>
        <w:t>2</w:t>
      </w:r>
      <w:r w:rsidRPr="00203EB0">
        <w:rPr>
          <w:szCs w:val="24"/>
        </w:rPr>
        <w:t>O emissions is critical for informing climate mitigation strategies and sustainable fertilizer N management in agroecosystems.</w:t>
      </w:r>
    </w:p>
    <w:p w14:paraId="13A5C6EC" w14:textId="11224FFF" w:rsidR="005751D4" w:rsidRPr="00203EB0" w:rsidRDefault="005751D4" w:rsidP="00FE7DF1">
      <w:pPr>
        <w:pStyle w:val="ParaText"/>
        <w:spacing w:line="480" w:lineRule="auto"/>
        <w:ind w:firstLine="0"/>
        <w:contextualSpacing/>
        <w:jc w:val="both"/>
        <w:rPr>
          <w:szCs w:val="24"/>
        </w:rPr>
      </w:pPr>
      <w:r w:rsidRPr="00203EB0">
        <w:rPr>
          <w:szCs w:val="24"/>
        </w:rPr>
        <w:t xml:space="preserve">In response to this need, dynamic process-based models such as DNDC </w:t>
      </w:r>
      <w:r w:rsidRPr="00203EB0">
        <w:rPr>
          <w:szCs w:val="24"/>
        </w:rPr>
        <w:fldChar w:fldCharType="begin" w:fldLock="1"/>
      </w:r>
      <w:r w:rsidRPr="00203EB0">
        <w:rPr>
          <w:szCs w:val="24"/>
        </w:rPr>
        <w:instrText>ADDIN CSL_CITATION {"citationItems":[{"id":"ITEM-1","itemData":{"DOI":"10.1029/92jd00510","ISSN":"01480227","abstract":"Simulations of nitrous oxide (N2O) and carbon dioxide (CO2) emissions from soils were carried out with a rain-event model of nitrogen and carbon cycling processes in soils. Model simulations were compared with five field studies: a 1-month denitrification study of a fertilized grassland in England; a 2-month study of N2O emissions from a native and fertilized grassland in Colorado; a 1-year study of N2O emissions from agricultural fields on drained, organic soils in Florida; a 1-year study of CO2 emissions from a grassland in Germany; and a 1-year study of CO2 emissions from a cultivated agricultural site in Missouri. The trends and magnitude of simulated N2O (or N2O + N2) and CO2 emissions were consistent with the results obtained in field experiments. -from Authors","author":[{"dropping-particle":"","family":"Li","given":"C.","non-dropping-particle":"","parse-names":false,"suffix":""},{"dropping-particle":"","family":"Frolking","given":"S.","non-dropping-particle":"","parse-names":false,"suffix":""},{"dropping-particle":"","family":"Frolking","given":"T. A.","non-dropping-particle":"","parse-names":false,"suffix":""}],"container-title":"Journal of Geophysical Research","id":"ITEM-1","issue":"D9","issued":{"date-parts":[["1992"]]},"page":"9777-9783","title":"A model of nitrous oxide evolution from soil driven by rainfall events: 2. Model applications","type":"article-journal","volume":"97"},"uris":["http://www.mendeley.com/documents/?uuid=b2c41e21-3dab-45ef-999c-c6cba7945282"]}],"mendeley":{"formattedCitation":"(Li et al., 1992)","plainTextFormattedCitation":"(Li et al., 1992)","previouslyFormattedCitation":"(Li et al., 1992)"},"properties":{"noteIndex":0},"schema":"https://github.com/citation-style-language/schema/raw/master/csl-citation.json"}</w:instrText>
      </w:r>
      <w:r w:rsidRPr="00203EB0">
        <w:rPr>
          <w:szCs w:val="24"/>
        </w:rPr>
        <w:fldChar w:fldCharType="separate"/>
      </w:r>
      <w:r w:rsidRPr="00203EB0">
        <w:rPr>
          <w:noProof/>
          <w:szCs w:val="24"/>
        </w:rPr>
        <w:t>(Li et al., 1992)</w:t>
      </w:r>
      <w:r w:rsidRPr="00203EB0">
        <w:rPr>
          <w:szCs w:val="24"/>
        </w:rPr>
        <w:fldChar w:fldCharType="end"/>
      </w:r>
      <w:r w:rsidRPr="00203EB0">
        <w:rPr>
          <w:szCs w:val="24"/>
        </w:rPr>
        <w:t xml:space="preserve"> and </w:t>
      </w:r>
      <w:proofErr w:type="spellStart"/>
      <w:r w:rsidRPr="00203EB0">
        <w:rPr>
          <w:szCs w:val="24"/>
        </w:rPr>
        <w:t>DayCent</w:t>
      </w:r>
      <w:proofErr w:type="spellEnd"/>
      <w:r w:rsidRPr="00203EB0">
        <w:rPr>
          <w:szCs w:val="24"/>
        </w:rPr>
        <w:t xml:space="preserve"> </w:t>
      </w:r>
      <w:r w:rsidRPr="00203EB0">
        <w:rPr>
          <w:szCs w:val="24"/>
        </w:rPr>
        <w:fldChar w:fldCharType="begin" w:fldLock="1"/>
      </w:r>
      <w:r w:rsidRPr="00203EB0">
        <w:rPr>
          <w:szCs w:val="24"/>
        </w:rPr>
        <w:instrText>ADDIN CSL_CITATION {"citationItems":[{"id":"ITEM-1","itemData":{"ISSN":"0921-8181","author":[{"dropping-particle":"","family":"Parton","given":"William J","non-dropping-particle":"","parse-names":false,"suffix":""},{"dropping-particle":"","family":"Hartman","given":"Melannie","non-dropping-particle":"","parse-names":false,"suffix":""},{"dropping-particle":"","family":"Ojima","given":"Dennis","non-dropping-particle":"","parse-names":false,"suffix":""},{"dropping-particle":"","family":"Schimel","given":"David","non-dropping-particle":"","parse-names":false,"suffix":""}],"container-title":"Global and Planetary Change","id":"ITEM-1","issued":{"date-parts":[["1998"]]},"page":"35-48","title":"Daycent and its land surface submodel: description and testing","type":"article-journal"},"uris":["http://www.mendeley.com/documents/?uuid=189a6736-c01e-490f-880d-978a3821d723"]}],"mendeley":{"formattedCitation":"(Parton et al., 1998)","plainTextFormattedCitation":"(Parton et al., 1998)","previouslyFormattedCitation":"(Parton et al., 1998)"},"properties":{"noteIndex":0},"schema":"https://github.com/citation-style-language/schema/raw/master/csl-citation.json"}</w:instrText>
      </w:r>
      <w:r w:rsidRPr="00203EB0">
        <w:rPr>
          <w:szCs w:val="24"/>
        </w:rPr>
        <w:fldChar w:fldCharType="separate"/>
      </w:r>
      <w:r w:rsidRPr="00203EB0">
        <w:rPr>
          <w:noProof/>
          <w:szCs w:val="24"/>
        </w:rPr>
        <w:t>(Parton et al., 1998)</w:t>
      </w:r>
      <w:r w:rsidRPr="00203EB0">
        <w:rPr>
          <w:szCs w:val="24"/>
        </w:rPr>
        <w:fldChar w:fldCharType="end"/>
      </w:r>
      <w:r w:rsidRPr="00203EB0">
        <w:rPr>
          <w:szCs w:val="24"/>
        </w:rPr>
        <w:t xml:space="preserve"> have been widely adopted. These models simulate key soil biogeochemical processes and are used for regional or national greenhouse gas inventories, assessing climate change impacts, and developing N</w:t>
      </w:r>
      <w:r w:rsidRPr="00203EB0">
        <w:rPr>
          <w:szCs w:val="24"/>
          <w:vertAlign w:val="subscript"/>
        </w:rPr>
        <w:t>2</w:t>
      </w:r>
      <w:r w:rsidRPr="00203EB0">
        <w:rPr>
          <w:szCs w:val="24"/>
        </w:rPr>
        <w:t xml:space="preserve">O emission factors </w:t>
      </w:r>
      <w:r w:rsidRPr="00203EB0">
        <w:rPr>
          <w:szCs w:val="24"/>
        </w:rPr>
        <w:fldChar w:fldCharType="begin" w:fldLock="1"/>
      </w:r>
      <w:r w:rsidR="004179E3" w:rsidRPr="00203EB0">
        <w:rPr>
          <w:szCs w:val="24"/>
        </w:rPr>
        <w:instrText>ADDIN CSL_CITATION {"citationItems":[{"id":"ITEM-1","itemData":{"DOI":"10.1002/eap.1674","ISSN":"19395582","PMID":"29284189","abstract":"Process-based models are increasingly used to study agroecosystem interactions and N2O emissions from agricultural fields. The widespread use of these models to conduct research and inform policy benefits from periodic model comparisons that assess the state of agroecosystem modeling and indicate areas for model improvement. This work provides an evaluation of simulated N2O flux from three process-based models: DayCent, DNDC, and EPIC. The models were calibrated and validated using data collected from two research sites over five years that represent cropping systems and nitrogen fertilizer management strategies common to dairy cropping systems. We also evaluated the use of a multi-model ensemble strategy, which inconsistently outperformed individual model estimations. Regression analysis indicated a cross-model bias to underestimate high magnitude daily and cumulative N2O flux. Model estimations of observed soil temperature and water content did not sufficiently explain model underestimations, and we found significant variation in model estimates of heterotrophic respiration, denitrification, soil NH4+, and soil NO3−, which may indicate that additional types of observed data are required to evaluate model performance and possible biases. Our results suggest a bias in the model estimation of N2O flux from agroecosystems that limits the extension of models beyond calibration and as instruments of policy development. This highlights a growing need for the modeling and measurement communities to collaborate in the collection and analysis of the data necessary to improve models and coordinate future development.","author":[{"dropping-particle":"","family":"Gaillard","given":"Richard K.","non-dropping-particle":"","parse-names":false,"suffix":""},{"dropping-particle":"","family":"Jones","given":"Curtis D.","non-dropping-particle":"","parse-names":false,"suffix":""},{"dropping-particle":"","family":"Ingraham","given":"Pete","non-dropping-particle":"","parse-names":false,"suffix":""},{"dropping-particle":"","family":"Collier","given":"Sarah","non-dropping-particle":"","parse-names":false,"suffix":""},{"dropping-particle":"","family":"Izaurralde","given":"Roberto Cesar","non-dropping-particle":"","parse-names":false,"suffix":""},{"dropping-particle":"","family":"Jokela","given":"William","non-dropping-particle":"","parse-names":false,"suffix":""},{"dropping-particle":"","family":"Osterholz","given":"William","non-dropping-particle":"","parse-names":false,"suffix":""},{"dropping-particle":"","family":"Salas","given":"William","non-dropping-particle":"","parse-names":false,"suffix":""},{"dropping-particle":"","family":"Vadas","given":"Peter","non-dropping-particle":"","parse-names":false,"suffix":""},{"dropping-particle":"","family":"Ruark","given":"Matthew D.","non-dropping-particle":"","parse-names":false,"suffix":""}],"container-title":"Ecological Applications","id":"ITEM-1","issue":"3","issued":{"date-parts":[["2018"]]},"page":"694-708","title":"Underestimation of N2O emissions in a comparison of the DayCent, DNDC, and EPIC models","type":"article-journal","volume":"28"},"uris":["http://www.mendeley.com/documents/?uuid=caa816ca-147f-4291-ab84-9a5291ce58d3"]},{"id":"ITEM-2","itemData":{"DOI":"10.1029/2019JG005261","ISSN":"21698961","abstract":"Process-based models are useful for assessing the impact of changing management practices and climate on yields and greenhouse gas (GHG) emissions from agricultural systems such as grasslands. They can be used to construct national GHG inventories using a Tier 3 approach. However, accurate simulations of nitrous oxide (N2O) fluxes remain challenging. Models are limited by our understanding of soil-plant-microbe interactions and the impact of uncertainty in measured input parameters on simulated outputs. To improve model performance, thorough evaluations against in situ measurements are needed. Experimental data of N2O emissions under two management practices (control with typical fertilization versus increased clover and no fertilization) were acquired in a Swiss field experiment. We conducted a multimodel evaluation with three commonly used biogeochemical models (DayCent in two variants, PaSim, APSIM in two variants) comparing four years of data. DayCent was the most accurate model for simulating N2O fluxes on annual timescales, while APSIM was most accurate for daily N2O fluxes. The multimodel ensemble average reduced the error in estimated annual fluxes by 41% compared to an estimate using the Intergovernmental Panel on Climate Change (IPCC)-derived method for the Swiss agricultural GHG inventory (IPCC-Swiss), but individual models were not systematically more accurate than IPCC-Swiss. The model ensemble overestimated the N2O mitigation effect of the clover-based treatment (measured: 39–45%; ensemble: 52–57%) but was more accurate than IPCC-Swiss (IPCC-Swiss: 72–81%). These results suggest that multimodel ensembles are valuable for estimating the impact of climate and management on N2O emissions.","author":[{"dropping-particle":"","family":"Fuchs","given":"Kathrin","non-dropping-particle":"","parse-names":false,"suffix":""},{"dropping-particle":"","family":"Merbold","given":"Lutz","non-dropping-particle":"","parse-names":false,"suffix":""},{"dropping-particle":"","family":"Buchmann","given":"Nina","non-dropping-particle":"","parse-names":false,"suffix":""},{"dropping-particle":"","family":"Bretscher","given":"Daniel","non-dropping-particle":"","parse-names":false,"suffix":""},{"dropping-particle":"","family":"Brilli","given":"Lorenzo","non-dropping-particle":"","parse-names":false,"suffix":""},{"dropping-particle":"","family":"Fitton","given":"Nuala","non-dropping-particle":"","parse-names":false,"suffix":""},{"dropping-particle":"","family":"Topp","given":"Cairistiona F.E.","non-dropping-particle":"","parse-names":false,"suffix":""},{"dropping-particle":"","family":"Klumpp","given":"Katja","non-dropping-particle":"","parse-names":false,"suffix":""},{"dropping-particle":"","family":"Lieffering","given":"Mark","non-dropping-particle":"","parse-names":false,"suffix":""},{"dropping-particle":"","family":"Martin","given":"Raphaël","non-dropping-particle":"","parse-names":false,"suffix":""},{"dropping-particle":"","family":"Newton","given":"Paul C.D.","non-dropping-particle":"","parse-names":false,"suffix":""},{"dropping-particle":"","family":"Rees","given":"Robert M.","non-dropping-particle":"","parse-names":false,"suffix":""},{"dropping-particle":"","family":"Rolinski","given":"Susanne","non-dropping-particle":"","parse-names":false,"suffix":""},{"dropping-particle":"","family":"Smith","given":"Pete","non-dropping-particle":"","parse-names":false,"suffix":""},{"dropping-particle":"","family":"Snow","given":"Val","non-dropping-particle":"","parse-names":false,"suffix":""}],"container-title":"Journal of Geophysical Research: Biogeosciences","id":"ITEM-2","issue":"1","issued":{"date-parts":[["2020"]]},"page":"1-21","title":"Multimodel evaluation of nitrous oxide emissions from an intensively managed grassland","type":"article-journal","volume":"125"},"uris":["http://www.mendeley.com/documents/?uuid=fcf41f32-ae3f-4a86-ab18-56c77312ebb9"]}],"mendeley":{"formattedCitation":"(Gaillard et al., 2018; Fuchs et al., 2020)","plainTextFormattedCitation":"(Gaillard et al., 2018; Fuchs et al., 2020)","previouslyFormattedCitation":"(Gaillard et al., 2018; Fuchs et al., 2020)"},"properties":{"noteIndex":0},"schema":"https://github.com/citation-style-language/schema/raw/master/csl-citation.json"}</w:instrText>
      </w:r>
      <w:r w:rsidRPr="00203EB0">
        <w:rPr>
          <w:szCs w:val="24"/>
        </w:rPr>
        <w:fldChar w:fldCharType="separate"/>
      </w:r>
      <w:r w:rsidR="00EB2F35" w:rsidRPr="00203EB0">
        <w:rPr>
          <w:noProof/>
          <w:szCs w:val="24"/>
        </w:rPr>
        <w:t>(Gaillard et al., 2018; Fuchs et al., 2020)</w:t>
      </w:r>
      <w:r w:rsidRPr="00203EB0">
        <w:rPr>
          <w:szCs w:val="24"/>
        </w:rPr>
        <w:fldChar w:fldCharType="end"/>
      </w:r>
      <w:r w:rsidRPr="00203EB0">
        <w:rPr>
          <w:szCs w:val="24"/>
        </w:rPr>
        <w:t>. However, despite their utility, process-based models often struggle to accurately simulate N</w:t>
      </w:r>
      <w:r w:rsidRPr="00203EB0">
        <w:rPr>
          <w:szCs w:val="24"/>
          <w:vertAlign w:val="subscript"/>
        </w:rPr>
        <w:t>2</w:t>
      </w:r>
      <w:r w:rsidRPr="00203EB0">
        <w:rPr>
          <w:szCs w:val="24"/>
        </w:rPr>
        <w:t xml:space="preserve">O fluxes due to the complex, nonlinear interactions among environmental, biogeochemical, and management factors driving large spatial and temporal flux variability </w:t>
      </w:r>
      <w:r w:rsidRPr="00203EB0">
        <w:rPr>
          <w:szCs w:val="24"/>
        </w:rPr>
        <w:fldChar w:fldCharType="begin" w:fldLock="1"/>
      </w:r>
      <w:r w:rsidR="00EB2F35" w:rsidRPr="00203EB0">
        <w:rPr>
          <w:szCs w:val="24"/>
        </w:rPr>
        <w:instrText>ADDIN CSL_CITATION {"citationItems":[{"id":"ITEM-1","itemData":{"DOI":"10.3390/agronomy11040770","ISSN":"20734395","abstract":"Nitrous oxide (N2O) is a long-lived greenhouse gas that contributes to global warming. Emissions of N2O mainly stem from agricultural soils. This review highlights the principal factors from peer-reviewed literature affecting N2O emissions from agricultural soils, by grouping the factors into three categories: environmental, management and measurement. Within these categories, each impact factor is explained in detail and its influence on N2O emissions from the soil is summarized. It is also shown how each impact factor influences other impact factors. Process-based simulation models used for estimating N2O emissions are reviewed regarding their ability to consider the impact factors in simulating N2O. The model strengths and weaknesses in simulating N2O emissions from managed soils are summarized. Finally, three selected process-based simulation models (Daily Century (DAYCENT), DeNitrification-DeComposition (DNDC), and Soil and Water Assessment Tool (SWAT)) are discussed that are widely used to simulate N2O emissions from cropping systems. Their ability to simulate N2O emissions is evaluated by describing the model components that are relevant to N2O processes and their representation in the model.","author":[{"dropping-particle":"","family":"Wang","given":"Cong","non-dropping-particle":"","parse-names":false,"suffix":""},{"dropping-particle":"","family":"Amon","given":"Barbara","non-dropping-particle":"","parse-names":false,"suffix":""},{"dropping-particle":"","family":"Schulz","given":"Karsten","non-dropping-particle":"","parse-names":false,"suffix":""},{"dropping-particle":"","family":"Mehdi","given":"Bano","non-dropping-particle":"","parse-names":false,"suffix":""}],"container-title":"Agronomy","id":"ITEM-1","issue":"4","issued":{"date-parts":[["2021"]]},"title":"Factors that influence nitrous oxide emissions from agricultural soils as well as their representation in simulation models: A review","type":"article-journal","volume":"11"},"uris":["http://www.mendeley.com/documents/?uuid=c0538bbb-cf46-4d6c-be4a-fc4655ffd0b1"]},{"id":"ITEM-2","itemData":{"DOI":"10.1016/j.scitotenv.2017.03.208","ISSN":"18791026","PMID":"28454025","abstract":"Biogeochemical simulation models are important tools for describing and quantifying the contribution of agricultural systems to C sequestration and GHG source/sink status. The abundance of simulation tools developed over recent decades, however, creates a difficulty because predictions from different models show large variability. Discrepancies between the conclusions of different modelling studies are often ascribed to differences in the physical and biogeochemical processes incorporated in equations of C and N cycles and their interactions. Here we review the literature to determine the state-of-the-art in modelling agricultural (crop and grassland) systems. In order to carry out this study, we selected the range of biogeochemical models used by the CN-MIP consortium of FACCE-JPI (http://www.faccejpi.com): APSIM, CERES-EGC, DayCent, DNDC, DSSAT, EPIC, PaSim, RothC and STICS. In our analysis, these models were assessed for the quality and comprehensiveness of underlying processes related to pedo-climatic conditions and management practices, but also with respect to time and space of application, and for their accuracy in multiple contexts. Overall, it emerged that there is a possible impact of ill-defined pedo-climatic conditions in the unsatisfactory performance of the models (46.2%), followed by limitations in the algorithms simulating the effects of management practices (33.1%). The multiplicity of scales in both time and space is a fundamental feature, which explains the remaining weaknesses (i.e. 20.7%). Innovative aspects have been identified for future development of C and N models. They include the explicit representation of soil microbial biomass to drive soil organic matter turnover, the effect of N shortage on SOM decomposition, the improvements related to the production and consumption of gases and an adequate simulations of gas transport in soil. On these bases, the assessment of trends and gaps in the modelling approaches currently employed to represent biogeochemical cycles in crop and grassland systems appears an essential step for future research.","author":[{"dropping-particle":"","family":"Brilli","given":"Lorenzo","non-dropping-particle":"","parse-names":false,"suffix":""},{"dropping-particle":"","family":"Bechini","given":"Luca","non-dropping-particle":"","parse-names":false,"suffix":""},{"dropping-particle":"","family":"Bindi","given":"Marco","non-dropping-particle":"","parse-names":false,"suffix":""},{"dropping-particle":"","family":"Carozzi","given":"Marco","non-dropping-particle":"","parse-names":false,"suffix":""},{"dropping-particle":"","family":"Cavalli","given":"Daniele","non-dropping-particle":"","parse-names":false,"suffix":""},{"dropping-particle":"","family":"Conant","given":"Richard","non-dropping-particle":"","parse-names":false,"suffix":""},{"dropping-particle":"","family":"Dorich","given":"Cristopher D.","non-dropping-particle":"","parse-names":false,"suffix":""},{"dropping-particle":"","family":"Doro","given":"Luca","non-dropping-particle":"","parse-names":false,"suffix":""},{"dropping-particle":"","family":"Ehrhardt","given":"Fiona","non-dropping-particle":"","parse-names":false,"suffix":""},{"dropping-particle":"","family":"Farina","given":"Roberta","non-dropping-particle":"","parse-names":false,"suffix":""},{"dropping-particle":"","family":"Ferrise","given":"Roberto","non-dropping-particle":"","parse-names":false,"suffix":""},{"dropping-particle":"","family":"Fitton","given":"Nuala","non-dropping-particle":"","parse-names":false,"suffix":""},{"dropping-particle":"","family":"Francaviglia","given":"Rosa","non-dropping-particle":"","parse-names":false,"suffix":""},{"dropping-particle":"","family":"Grace","given":"Peter","non-dropping-particle":"","parse-names":false,"suffix":""},{"dropping-particle":"","family":"Iocola","given":"Ileana","non-dropping-particle":"","parse-names":false,"suffix":""},{"dropping-particle":"","family":"Klumpp","given":"Katja","non-dropping-particle":"","parse-names":false,"suffix":""},{"dropping-particle":"","family":"Léonard","given":"Joël","non-dropping-particle":"","parse-names":false,"suffix":""},{"dropping-particle":"","family":"Martin","given":"Raphaël","non-dropping-particle":"","parse-names":false,"suffix":""},{"dropping-particle":"","family":"Massad","given":"Raia Silvia","non-dropping-particle":"","parse-names":false,"suffix":""},{"dropping-particle":"","family":"Recous","given":"Sylvie","non-dropping-particle":"","parse-names":false,"suffix":""},{"dropping-particle":"","family":"Seddaiu","given":"Giovanna","non-dropping-particle":"","parse-names":false,"suffix":""},{"dropping-particle":"","family":"Sharp","given":"Joanna","non-dropping-particle":"","parse-names":false,"suffix":""},{"dropping-particle":"","family":"Smith","given":"Pete","non-dropping-particle":"","parse-names":false,"suffix":""},{"dropping-particle":"","family":"Smith","given":"Ward N.","non-dropping-particle":"","parse-names":false,"suffix":""},{"dropping-particle":"","family":"Soussana","given":"Jean Francois","non-dropping-particle":"","parse-names":false,"suffix":""},{"dropping-particle":"","family":"Bellocchi","given":"Gianni","non-dropping-particle":"","parse-names":false,"suffix":""}],"container-title":"Science of the Total Environment","id":"ITEM-2","issue":"April","issued":{"date-parts":[["2017"]]},"page":"445-470","title":"Review and analysis of strengths and weaknesses of agro-ecosystem models for simulating C and N fluxes","type":"article-journal","volume":"598"},"uris":["http://www.mendeley.com/documents/?uuid=04709ae9-09f9-459b-8a25-46f46cccccbf"]}],"mendeley":{"formattedCitation":"(Brilli et al., 2017; Wang et al., 2021a)","manualFormatting":"(Brilli et al., 2017; Wang et al., 2021)","plainTextFormattedCitation":"(Brilli et al., 2017; Wang et al., 2021a)","previouslyFormattedCitation":"(Brilli et al., 2017; Wang et al., 2021a)"},"properties":{"noteIndex":0},"schema":"https://github.com/citation-style-language/schema/raw/master/csl-citation.json"}</w:instrText>
      </w:r>
      <w:r w:rsidRPr="00203EB0">
        <w:rPr>
          <w:szCs w:val="24"/>
        </w:rPr>
        <w:fldChar w:fldCharType="separate"/>
      </w:r>
      <w:r w:rsidRPr="00203EB0">
        <w:rPr>
          <w:noProof/>
          <w:szCs w:val="24"/>
        </w:rPr>
        <w:t>(Brilli et al., 2017; Wang et al., 2021)</w:t>
      </w:r>
      <w:r w:rsidRPr="00203EB0">
        <w:rPr>
          <w:szCs w:val="24"/>
        </w:rPr>
        <w:fldChar w:fldCharType="end"/>
      </w:r>
      <w:r w:rsidRPr="00203EB0">
        <w:rPr>
          <w:szCs w:val="24"/>
        </w:rPr>
        <w:t xml:space="preserve">. Additionally, they require extensive parameterization and calibration across multiple soil, climate, and management gradients, often limiting their transferability across sites and climate conditions </w:t>
      </w:r>
      <w:r w:rsidRPr="00203EB0">
        <w:rPr>
          <w:szCs w:val="24"/>
        </w:rPr>
        <w:fldChar w:fldCharType="begin" w:fldLock="1"/>
      </w:r>
      <w:r w:rsidRPr="00203EB0">
        <w:rPr>
          <w:szCs w:val="24"/>
        </w:rPr>
        <w:instrText>ADDIN CSL_CITATION {"citationItems":[{"id":"ITEM-1","itemData":{"DOI":"10.1016/j.scitotenv.2017.03.208","ISSN":"18791026","PMID":"28454025","abstract":"Biogeochemical simulation models are important tools for describing and quantifying the contribution of agricultural systems to C sequestration and GHG source/sink status. The abundance of simulation tools developed over recent decades, however, creates a difficulty because predictions from different models show large variability. Discrepancies between the conclusions of different modelling studies are often ascribed to differences in the physical and biogeochemical processes incorporated in equations of C and N cycles and their interactions. Here we review the literature to determine the state-of-the-art in modelling agricultural (crop and grassland) systems. In order to carry out this study, we selected the range of biogeochemical models used by the CN-MIP consortium of FACCE-JPI (http://www.faccejpi.com): APSIM, CERES-EGC, DayCent, DNDC, DSSAT, EPIC, PaSim, RothC and STICS. In our analysis, these models were assessed for the quality and comprehensiveness of underlying processes related to pedo-climatic conditions and management practices, but also with respect to time and space of application, and for their accuracy in multiple contexts. Overall, it emerged that there is a possible impact of ill-defined pedo-climatic conditions in the unsatisfactory performance of the models (46.2%), followed by limitations in the algorithms simulating the effects of management practices (33.1%). The multiplicity of scales in both time and space is a fundamental feature, which explains the remaining weaknesses (i.e. 20.7%). Innovative aspects have been identified for future development of C and N models. They include the explicit representation of soil microbial biomass to drive soil organic matter turnover, the effect of N shortage on SOM decomposition, the improvements related to the production and consumption of gases and an adequate simulations of gas transport in soil. On these bases, the assessment of trends and gaps in the modelling approaches currently employed to represent biogeochemical cycles in crop and grassland systems appears an essential step for future research.","author":[{"dropping-particle":"","family":"Brilli","given":"Lorenzo","non-dropping-particle":"","parse-names":false,"suffix":""},{"dropping-particle":"","family":"Bechini","given":"Luca","non-dropping-particle":"","parse-names":false,"suffix":""},{"dropping-particle":"","family":"Bindi","given":"Marco","non-dropping-particle":"","parse-names":false,"suffix":""},{"dropping-particle":"","family":"Carozzi","given":"Marco","non-dropping-particle":"","parse-names":false,"suffix":""},{"dropping-particle":"","family":"Cavalli","given":"Daniele","non-dropping-particle":"","parse-names":false,"suffix":""},{"dropping-particle":"","family":"Conant","given":"Richard","non-dropping-particle":"","parse-names":false,"suffix":""},{"dropping-particle":"","family":"Dorich","given":"Cristopher D.","non-dropping-particle":"","parse-names":false,"suffix":""},{"dropping-particle":"","family":"Doro","given":"Luca","non-dropping-particle":"","parse-names":false,"suffix":""},{"dropping-particle":"","family":"Ehrhardt","given":"Fiona","non-dropping-particle":"","parse-names":false,"suffix":""},{"dropping-particle":"","family":"Farina","given":"Roberta","non-dropping-particle":"","parse-names":false,"suffix":""},{"dropping-particle":"","family":"Ferrise","given":"Roberto","non-dropping-particle":"","parse-names":false,"suffix":""},{"dropping-particle":"","family":"Fitton","given":"Nuala","non-dropping-particle":"","parse-names":false,"suffix":""},{"dropping-particle":"","family":"Francaviglia","given":"Rosa","non-dropping-particle":"","parse-names":false,"suffix":""},{"dropping-particle":"","family":"Grace","given":"Peter","non-dropping-particle":"","parse-names":false,"suffix":""},{"dropping-particle":"","family":"Iocola","given":"Ileana","non-dropping-particle":"","parse-names":false,"suffix":""},{"dropping-particle":"","family":"Klumpp","given":"Katja","non-dropping-particle":"","parse-names":false,"suffix":""},{"dropping-particle":"","family":"Léonard","given":"Joël","non-dropping-particle":"","parse-names":false,"suffix":""},{"dropping-particle":"","family":"Martin","given":"Raphaël","non-dropping-particle":"","parse-names":false,"suffix":""},{"dropping-particle":"","family":"Massad","given":"Raia Silvia","non-dropping-particle":"","parse-names":false,"suffix":""},{"dropping-particle":"","family":"Recous","given":"Sylvie","non-dropping-particle":"","parse-names":false,"suffix":""},{"dropping-particle":"","family":"Seddaiu","given":"Giovanna","non-dropping-particle":"","parse-names":false,"suffix":""},{"dropping-particle":"","family":"Sharp","given":"Joanna","non-dropping-particle":"","parse-names":false,"suffix":""},{"dropping-particle":"","family":"Smith","given":"Pete","non-dropping-particle":"","parse-names":false,"suffix":""},{"dropping-particle":"","family":"Smith","given":"Ward N.","non-dropping-particle":"","parse-names":false,"suffix":""},{"dropping-particle":"","family":"Soussana","given":"Jean Francois","non-dropping-particle":"","parse-names":false,"suffix":""},{"dropping-particle":"","family":"Bellocchi","given":"Gianni","non-dropping-particle":"","parse-names":false,"suffix":""}],"container-title":"Science of the Total Environment","id":"ITEM-1","issue":"April","issued":{"date-parts":[["2017"]]},"page":"445-470","title":"Review and analysis of strengths and weaknesses of agro-ecosystem models for simulating C and N fluxes","type":"article-journal","volume":"598"},"uris":["http://www.mendeley.com/documents/?uuid=04709ae9-09f9-459b-8a25-46f46cccccbf"]}],"mendeley":{"formattedCitation":"(Brilli et al., 2017)","plainTextFormattedCitation":"(Brilli et al., 2017)","previouslyFormattedCitation":"(Brilli et al., 2017)"},"properties":{"noteIndex":0},"schema":"https://github.com/citation-style-language/schema/raw/master/csl-citation.json"}</w:instrText>
      </w:r>
      <w:r w:rsidRPr="00203EB0">
        <w:rPr>
          <w:szCs w:val="24"/>
        </w:rPr>
        <w:fldChar w:fldCharType="separate"/>
      </w:r>
      <w:r w:rsidRPr="00203EB0">
        <w:rPr>
          <w:noProof/>
          <w:szCs w:val="24"/>
        </w:rPr>
        <w:t>(Brilli et al., 2017)</w:t>
      </w:r>
      <w:r w:rsidRPr="00203EB0">
        <w:rPr>
          <w:szCs w:val="24"/>
        </w:rPr>
        <w:fldChar w:fldCharType="end"/>
      </w:r>
      <w:r w:rsidRPr="00203EB0">
        <w:rPr>
          <w:szCs w:val="24"/>
        </w:rPr>
        <w:t>. Although they can capture seasonal dynamics at specific sites, process-based models tend to underestimate episodic peak emissions, known as “hot-</w:t>
      </w:r>
      <w:r w:rsidRPr="00203EB0">
        <w:rPr>
          <w:szCs w:val="24"/>
        </w:rPr>
        <w:lastRenderedPageBreak/>
        <w:t>moments”, and often fail to simulate temporally-resolved N</w:t>
      </w:r>
      <w:r w:rsidRPr="00203EB0">
        <w:rPr>
          <w:szCs w:val="24"/>
          <w:vertAlign w:val="subscript"/>
        </w:rPr>
        <w:t>2</w:t>
      </w:r>
      <w:r w:rsidRPr="00203EB0">
        <w:rPr>
          <w:szCs w:val="24"/>
        </w:rPr>
        <w:t xml:space="preserve">O flux patterns </w:t>
      </w:r>
      <w:r w:rsidRPr="00203EB0">
        <w:rPr>
          <w:szCs w:val="24"/>
        </w:rPr>
        <w:fldChar w:fldCharType="begin" w:fldLock="1"/>
      </w:r>
      <w:r w:rsidRPr="00203EB0">
        <w:rPr>
          <w:szCs w:val="24"/>
        </w:rPr>
        <w:instrText>ADDIN CSL_CITATION {"citationItems":[{"id":"ITEM-1","itemData":{"DOI":"10.1016/S0269-7491(01)00260-3","ISSN":"02697491","PMID":"11833921","abstract":"We present evidence to show that DAYCENT can reliably simulate soil C levels, crop yields, and annual trace gas fluxes for various soils. DAYCENT was applied to compare the net greenhouse gas fluxes for soils under different land uses. To calculate net greenhouse gas flux we accounted for changes in soil organic C, the C equivalents of N2O emissions and CH4 uptake, and the CO2 costs of N fertilizer production. Model results and data show that dryland soils that are depleted of C due to conventional till winter wheat/fallow cropping can store C upon conversion to no till, by reducing the fallow period, or by reversion to native vegetation. However, model results suggest that dryland agricultural soils will still be net sources of greenhouse gases although the magnitude of the source can be significantly reduced and yields can be increased upon conversion to no till annual cropping. © 2001 Elsevier Science Ltd. All rights reserved.","author":[{"dropping-particle":"","family":"Grosso","given":"S.","non-dropping-particle":"Del","parse-names":false,"suffix":""},{"dropping-particle":"","family":"Ojima","given":"D.","non-dropping-particle":"","parse-names":false,"suffix":""},{"dropping-particle":"","family":"Parton","given":"W.","non-dropping-particle":"","parse-names":false,"suffix":""},{"dropping-particle":"","family":"Mosier","given":"A.","non-dropping-particle":"","parse-names":false,"suffix":""},{"dropping-particle":"","family":"Peterson","given":"G.","non-dropping-particle":"","parse-names":false,"suffix":""},{"dropping-particle":"","family":"Schimel","given":"D.","non-dropping-particle":"","parse-names":false,"suffix":""}],"container-title":"Environmental Pollution","id":"ITEM-1","issue":"SUPPL. 1","issued":{"date-parts":[["2002"]]},"page":"75-83","title":"Simulated effects of dryland cropping intensification on soil organic matter and greenhouse gas exchanges using the DAYCENT ecosystem model","type":"article-journal","volume":"116"},"uris":["http://www.mendeley.com/documents/?uuid=37e79757-e01f-4a7a-865a-959cb610fa12"]},{"id":"ITEM-2","itemData":{"DOI":"10.1002/eap.1674","ISSN":"19395582","PMID":"29284189","abstract":"Process-based models are increasingly used to study agroecosystem interactions and N2O emissions from agricultural fields. The widespread use of these models to conduct research and inform policy benefits from periodic model comparisons that assess the state of agroecosystem modeling and indicate areas for model improvement. This work provides an evaluation of simulated N2O flux from three process-based models: DayCent, DNDC, and EPIC. The models were calibrated and validated using data collected from two research sites over five years that represent cropping systems and nitrogen fertilizer management strategies common to dairy cropping systems. We also evaluated the use of a multi-model ensemble strategy, which inconsistently outperformed individual model estimations. Regression analysis indicated a cross-model bias to underestimate high magnitude daily and cumulative N2O flux. Model estimations of observed soil temperature and water content did not sufficiently explain model underestimations, and we found significant variation in model estimates of heterotrophic respiration, denitrification, soil NH4+, and soil NO3−, which may indicate that additional types of observed data are required to evaluate model performance and possible biases. Our results suggest a bias in the model estimation of N2O flux from agroecosystems that limits the extension of models beyond calibration and as instruments of policy development. This highlights a growing need for the modeling and measurement communities to collaborate in the collection and analysis of the data necessary to improve models and coordinate future development.","author":[{"dropping-particle":"","family":"Gaillard","given":"Richard K.","non-dropping-particle":"","parse-names":false,"suffix":""},{"dropping-particle":"","family":"Jones","given":"Curtis D.","non-dropping-particle":"","parse-names":false,"suffix":""},{"dropping-particle":"","family":"Ingraham","given":"Pete","non-dropping-particle":"","parse-names":false,"suffix":""},{"dropping-particle":"","family":"Collier","given":"Sarah","non-dropping-particle":"","parse-names":false,"suffix":""},{"dropping-particle":"","family":"Izaurralde","given":"Roberto Cesar","non-dropping-particle":"","parse-names":false,"suffix":""},{"dropping-particle":"","family":"Jokela","given":"William","non-dropping-particle":"","parse-names":false,"suffix":""},{"dropping-particle":"","family":"Osterholz","given":"William","non-dropping-particle":"","parse-names":false,"suffix":""},{"dropping-particle":"","family":"Salas","given":"William","non-dropping-particle":"","parse-names":false,"suffix":""},{"dropping-particle":"","family":"Vadas","given":"Peter","non-dropping-particle":"","parse-names":false,"suffix":""},{"dropping-particle":"","family":"Ruark","given":"Matthew D.","non-dropping-particle":"","parse-names":false,"suffix":""}],"container-title":"Ecological Applications","id":"ITEM-2","issue":"3","issued":{"date-parts":[["2018"]]},"page":"694-708","title":"Underestimation of N2O emissions in a comparison of the DayCent, DNDC, and EPIC models","type":"article-journal","volume":"28"},"uris":["http://www.mendeley.com/documents/?uuid=caa816ca-147f-4291-ab84-9a5291ce58d3"]}],"mendeley":{"formattedCitation":"(Del Grosso et al., 2002; Gaillard et al., 2018)","plainTextFormattedCitation":"(Del Grosso et al., 2002; Gaillard et al., 2018)","previouslyFormattedCitation":"(Del Grosso et al., 2002; Gaillard et al., 2018)"},"properties":{"noteIndex":0},"schema":"https://github.com/citation-style-language/schema/raw/master/csl-citation.json"}</w:instrText>
      </w:r>
      <w:r w:rsidRPr="00203EB0">
        <w:rPr>
          <w:szCs w:val="24"/>
        </w:rPr>
        <w:fldChar w:fldCharType="separate"/>
      </w:r>
      <w:r w:rsidRPr="00203EB0">
        <w:rPr>
          <w:noProof/>
          <w:szCs w:val="24"/>
        </w:rPr>
        <w:t>(Del Grosso et al., 2002; Gaillard et al., 2018)</w:t>
      </w:r>
      <w:r w:rsidRPr="00203EB0">
        <w:rPr>
          <w:szCs w:val="24"/>
        </w:rPr>
        <w:fldChar w:fldCharType="end"/>
      </w:r>
      <w:r w:rsidRPr="00203EB0">
        <w:rPr>
          <w:szCs w:val="24"/>
        </w:rPr>
        <w:t xml:space="preserve">. </w:t>
      </w:r>
    </w:p>
    <w:p w14:paraId="59CD14B7" w14:textId="48A18AFE" w:rsidR="005751D4" w:rsidRPr="00203EB0" w:rsidRDefault="005751D4" w:rsidP="00FE7DF1">
      <w:pPr>
        <w:pStyle w:val="ParaText"/>
        <w:spacing w:line="480" w:lineRule="auto"/>
        <w:ind w:firstLine="0"/>
        <w:contextualSpacing/>
        <w:jc w:val="both"/>
        <w:rPr>
          <w:szCs w:val="24"/>
        </w:rPr>
      </w:pPr>
      <w:r w:rsidRPr="00203EB0">
        <w:rPr>
          <w:szCs w:val="24"/>
        </w:rPr>
        <w:t>To address these limitations, data driven approaches and particularly machine learning (ML) models have shown great potential for predicting daily N</w:t>
      </w:r>
      <w:r w:rsidRPr="00203EB0">
        <w:rPr>
          <w:szCs w:val="24"/>
          <w:vertAlign w:val="subscript"/>
        </w:rPr>
        <w:t>2</w:t>
      </w:r>
      <w:r w:rsidRPr="00203EB0">
        <w:rPr>
          <w:szCs w:val="24"/>
        </w:rPr>
        <w:t xml:space="preserve">O fluxes at field scale </w:t>
      </w:r>
      <w:r w:rsidRPr="00203EB0">
        <w:rPr>
          <w:szCs w:val="24"/>
        </w:rPr>
        <w:fldChar w:fldCharType="begin" w:fldLock="1"/>
      </w:r>
      <w:r w:rsidR="00EB2F35" w:rsidRPr="00203EB0">
        <w:rPr>
          <w:szCs w:val="24"/>
        </w:rPr>
        <w:instrText xml:space="preserve">ADDIN CSL_CITATION {"citationItems":[{"id":"ITEM-1","itemData":{"DOI":"10.1016/j.scitotenv.2020.140338","ISSN":"18791026","PMID":"32610233","abstract":"Machine learning (ML) models are increasingly used to study complex environmental phenomena with high variability in time and space. In this study, the potential of exploiting three categories of ML regression models, including classical regression, shallow learning and deep learning for predicting soil greenhouse gas (GHG) emissions from an agricultural field was explored. Carbon dioxide (CO2) and nitrous oxide (N2O) fluxes, as well as various environmental, agronomic and soil data were measured at the site over a five-year period in Quebec, Canada. The rigorous analysis, which included statistical comparison and cross-validation for the prediction of CO2 and N2O fluxes, confirmed that the LSTM model performed the best among the considered ML models with the highest R coefficient and the lowest root mean squared error (RMSE) values (R = 0.87 and RMSE = 30.3 mg·m−2·hr−1 for CO2 flux prediction and R = 0.86 and RMSE = 0.19 mg·m−2·hr−1 for N2O flux prediction). The predictive performances of LSTM were more accurate than those simulated in a previous study conducted by a biophysical-based Root Zone Water Quality Model (RZWQM2). The classical regression models (namely RF, SVM and LASSO) satisfactorily simulated cyclical and seasonal variations of CO2 fluxes (R = 0.75, 0.71 and 0.68, respectively); however, they failed to reasonably predict the peak values of N2O fluxes (R &lt; 0.25). Shallow ML was found to be less effective in predicting GHG fluxes than other considered ML models (R &lt; 0.7 for CO2 flux and R &lt; 0.3 for estimating N2O fluxes) and was the most sensitive to hyperparameter tuning. Based on this comprehensive comparison study, it was elicited that the LSTM model can be employed successfully in simulating GHG emissions from agricultural soils, providing a new perspective on the application of machine learning modeling for predicting GHG emissions to the environment.","author":[{"dropping-particle":"","family":"Hamrani","given":"Abderrachid","non-dropping-particle":"","parse-names":false,"suffix":""},{"dropping-particle":"","family":"Akbarzadeh","given":"Abdolhamid","non-dropping-particle":"","parse-names":false,"suffix":""},{"dropping-particle":"","family":"Madramootoo","given":"Chandra A.","non-dropping-particle":"","parse-names":false,"suffix":""}],"container-title":"Science of the Total Environment","id":"ITEM-1","issued":{"date-parts":[["2020"]]},"page":"140338","publisher":"Elsevier B.V.","title":"Machine learning for predicting greenhouse gas emissions from agricultural soils","type":"article-journal","volume":"741"},"uris":["http://www.mendeley.com/documents/?uuid=1847581c-cee3-44b0-b4ca-25cf8d2805c2"]},{"id":"ITEM-2","itemData":{"DOI":"10.1088/1748-9326/abd2f3","ISSN":"17489326","abstract":"The potent greenhouse gas nitrous oxide (N2O) is accumulating in the atmosphere at unprecedented rates largely due to agricultural intensification, and cultivated soils contribute </w:instrText>
      </w:r>
      <w:r w:rsidR="00EB2F35" w:rsidRPr="00203EB0">
        <w:rPr>
          <w:rFonts w:ascii="Cambria Math" w:hAnsi="Cambria Math" w:cs="Cambria Math"/>
          <w:szCs w:val="24"/>
        </w:rPr>
        <w:instrText>∼</w:instrText>
      </w:r>
      <w:r w:rsidR="00EB2F35" w:rsidRPr="00203EB0">
        <w:rPr>
          <w:szCs w:val="24"/>
        </w:rPr>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EB2F35" w:rsidRPr="00203EB0">
        <w:rPr>
          <w:rFonts w:ascii="Cambria Math" w:hAnsi="Cambria Math" w:cs="Cambria Math"/>
          <w:szCs w:val="24"/>
        </w:rPr>
        <w:instrText>∼</w:instrText>
      </w:r>
      <w:r w:rsidR="00EB2F35" w:rsidRPr="00203EB0">
        <w:rPr>
          <w:szCs w:val="24"/>
        </w:rPr>
        <w:instrText>3000 sub-daily flux observations), supplemented with weekly to biweekly manual chamber measurements (</w:instrText>
      </w:r>
      <w:r w:rsidR="00EB2F35" w:rsidRPr="00203EB0">
        <w:rPr>
          <w:rFonts w:ascii="Cambria Math" w:hAnsi="Cambria Math" w:cs="Cambria Math"/>
          <w:szCs w:val="24"/>
        </w:rPr>
        <w:instrText>∼</w:instrText>
      </w:r>
      <w:r w:rsidR="00EB2F35" w:rsidRPr="00203EB0">
        <w:rPr>
          <w:szCs w:val="24"/>
        </w:rPr>
        <w:instrText>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author":[{"dropping-particle":"","family":"Saha","given":"Debasish","non-dropping-particle":"","parse-names":false,"suffix":""},{"dropping-particle":"","family":"Basso","given":"Bruno","non-dropping-particle":"","parse-names":false,"suffix":""},{"dropping-particle":"","family":"Robertson","given":"G. Philip","non-dropping-particle":"","parse-names":false,"suffix":""}],"container-title":"Environmental Research Letters","id":"ITEM-2","issue":"2","issued":{"date-parts":[["2021"]]},"title":"Machine learning improves predictions of agricultural nitrous oxide (N2O) emissions from intensively managed cropping systems","type":"article-journal","volume":"16"},"uris":["http://www.mendeley.com/documents/?uuid=c034218d-6845-4ee4-b546-a34bcc5f78b1"]},{"id":"ITEM-3","itemData":{"DOI":"10.1038/s41598-022-07753-9","ISBN":"0123456789","ISSN":"20452322","PMID":"35273224","abstract":"Denitrification is a key biochemical process in nitrogen cycling and nitrous oxide (N2O) production. In this study, the impacts of different inorganic and organic amendments (OAs) on the abundance of denitrifying genes (nirS, nirK and nosZ) and the level of N2O emission were examined with incubation experiments. Six treatments included the indicated applications: (i) no fertilization (CK); (ii) urea application alone (U); (iii) wheat straw plus urea (U + WS); (iv) pig manure plus urea (U + PM); (v) compost product plus urea (U + CP); and (vi) improved compost product plus urea (U + IC). The results indicated that all fertilization treatments increased accumulative N2O emissions compared with the CK treatment. The U + WS, U + PM and U + CP treatments increased N2O emissions by 2.12–141.3%, and the U + IC treatment decreased N2O emissions by 23.24% relative to the U treatment. nirK was the dominant denitrification gene rather than nirS and nosZ found in soil. Additionally, the highest abundance of nirK gene was that with the U + PM treatment, and the lowest was that with the U + IC treatment. Additionally, changes in the nirK gene were highly correlated with levels of dissolved organic carbon (DOC), dissolved organic nitrogen (DON) and nitrate nitrogen (NO3–N). Automatic linear modeling revealed that N2O emission was closely related to the nirK gene, DOC and NO3–N. Overall, the use of urea and improved compost as co-amendments retarded N2O emission to a considerable degree compared with other OA additions.","author":[{"dropping-particle":"","family":"Yang","given":"Yajun","non-dropping-particle":"","parse-names":false,"suffix":""},{"dropping-particle":"","family":"Liu","given":"Hexiang","non-dropping-particle":"","parse-names":false,"suffix":""},{"dropping-particle":"","family":"Lv","given":"Jialong","non-dropping-particle":"","parse-names":false,"suffix":""}],"container-title":"Scientific Reports","id":"ITEM-3","issue":"1","issued":{"date-parts":[["2022"]]},"page":"1-8","publisher":"Nature Publishing Group UK","title":"Response of N2O emission and denitrification genes to different inorganic and organic amendments","type":"article-journal","volume":"12"},"uris":["http://www.mendeley.com/documents/?uuid=670de812-3de4-4c64-850e-2eb368ec8520"]},{"id":"ITEM-4","itemData":{"DOI":"10.1016/j.agrformet.2024.110085","ISSN":"01681923","abstract":"Nitrous oxide (N2O) emissions from agricultural soil were studied during 6 consecutive years on three plots of two real farms. We analyzed a total of 37 agricultural sequences: 20 sequences with crops including wheat, maize, and legumes and 17 fallow sequences with cover crops, volunteers or bare fallow soils. Controlling factors of N2O emissions were disentangled by using three approaches: (i) applying a random forest algorithm then extracting the most important predictors; (ii) analyzing all sequences separately as a function of the rain and soil mineral nitrate (SMN) content in soils; and (iii) experimentally, by watering soils with different SMN contents. The results showed that rainfall (and hence soil moisture) exerted the greatest control over N2O emissions, followed by daily maximum temperature and SMN. Regarding crop sequences, 6-year N2O cumulative emissions rates (g N2O[sbnd]N ha−1) ranked as follows: legumes (967) &lt; maize (1192) &lt; cereals (1375). Lowest cumulative N2O emissions at the Derrier conventional, no-till, farming plot (</w:instrText>
      </w:r>
      <w:r w:rsidR="00EB2F35" w:rsidRPr="00203EB0">
        <w:rPr>
          <w:rFonts w:ascii="Cambria Math" w:hAnsi="Cambria Math" w:cs="Cambria Math"/>
          <w:szCs w:val="24"/>
        </w:rPr>
        <w:instrText>∼</w:instrText>
      </w:r>
      <w:r w:rsidR="00EB2F35" w:rsidRPr="00203EB0">
        <w:rPr>
          <w:szCs w:val="24"/>
        </w:rPr>
        <w:instrText xml:space="preserve"> 6000 kg N ha−1) was observed compared to </w:instrText>
      </w:r>
      <w:r w:rsidR="00EB2F35" w:rsidRPr="00203EB0">
        <w:rPr>
          <w:rFonts w:ascii="Cambria Math" w:hAnsi="Cambria Math" w:cs="Cambria Math"/>
          <w:szCs w:val="24"/>
        </w:rPr>
        <w:instrText>∼</w:instrText>
      </w:r>
      <w:r w:rsidR="00EB2F35" w:rsidRPr="00203EB0">
        <w:rPr>
          <w:szCs w:val="24"/>
        </w:rPr>
        <w:instrText xml:space="preserve"> 15000 kg N2O[sbnd]N ha−1 measured at the tilled organic farming Chantemerle and Barrière plots. Further, cumulative N2O emissions were rather important during fallow periods with or without cover crops. This study thus supports that N2O emissions need to be measured all year round, including both cropping and fallow periods to grasp the full rotation cycles. This long-term study of N2O emissions gathered a large number of data on N2O emissions over a variety of crops and fallow management and helped to initiate a typology of N2O emissions by crop.","author":[{"dropping-particle":"","family":"Garnier","given":"Josette","non-dropping-particle":"","parse-names":false,"suffix":""},{"dropping-particle":"","family":"Casquin","given":"Antoine","non-dropping-particle":"","parse-names":false,"suffix":""},{"dropping-particle":"","family":"Mercier","given":"Benjamin","non-dropping-particle":"","parse-names":false,"suffix":""},{"dropping-particle":"","family":"Martinez","given":"Anun","non-dropping-particle":"","parse-names":false,"suffix":""},{"dropping-particle":"","family":"Gréhan","given":"Eric","non-dropping-particle":"","parse-names":false,"suffix":""},{"dropping-particle":"","family":"Azougui","given":"Abdel","non-dropping-particle":"","parse-names":false,"suffix":""},{"dropping-particle":"","family":"Bosc","given":"Sébastien","non-dropping-particle":"","parse-names":false,"suffix":""},{"dropping-particle":"","family":"Pomet","given":"Alexandre","non-dropping-particle":"","parse-names":false,"suffix":""},{"dropping-particle":"","family":"Billen","given":"Gilles","non-dropping-particle":"","parse-names":false,"suffix":""},{"dropping-particle":"","family":"Mary","given":"Bruno","non-dropping-particle":"","parse-names":false,"suffix":""}],"container-title":"Agricultural and Forest Meteorology","id":"ITEM-4","issue":"May","issued":{"date-parts":[["2024"]]},"title":"Six years of nitrous oxide emissions from temperate cropping systems under real-farm rotational management","type":"article-journal","volume":"354"},"uris":["http://www.mendeley.com/documents/?uuid=4011fca7-2a69-40ed-9cfc-99d2c2e5ee60"]},{"id":"ITEM-5","itemData":{"DOI":"10.1002/jeq2.20637","ISSN":"15372537","abstract":"Soil nitrous oxide (N2O) emissions exhibit high variability in intensively managed cropping systems, which challenges our ability to understand their complex interactions with controlling factors. We leveraged 17 years (2003–2019) of measurements at the Kellogg Biological Station Long-Term Ecological Research (LTER)/Long-Term Agroecosystem Research (LTAR) site to better understand the controls of N2O emissions in four corn–soybean–winter wheat rotations employing conventional, no-till, reduced input, and biologically based/organic inputs. We used a random forest machine learning model to predict daily N2O fluxes, trained separately for each system with 70% of observations, using variables such as crop species, daily air temperature, cumulative 2-day precipitation, water-filled pore space, and soil nitrate and ammonium concentrations. The model explained 29%–42% of daily N2O flux variability in the test data, with greater predictability for the corn phase in each system. The long-term rotations showed different controlling factors and threshold conditions influencing N2O emissions. In the conventional system, the model identified ammonium (&gt;15 kg N ha−1) and daily air temperature (&gt;23°C) as the most influential variables; in the no-till system, climate variables such as precipitation and air temperature were important variables. In low-input and organic systems, where red clover (Trifolium repens L.; before corn) and cereal rye (Secale cereale L.; before soybean) cover crops were integrated, nitrate was the predominant predictor of N2O emissions, followed by precipitation and air temperature. In low-input and biologically based systems, red clover residues increased soil nitrogen availability to influence N2O emissions. Long-term data facilitated machine learning for predicting N2O emissions in response to differential controls and threshold responses to management, environmental, and biogeochemical drivers.","author":[{"dropping-particle":"","family":"Dhaliwal</w:instrText>
      </w:r>
      <w:r w:rsidR="00EB2F35" w:rsidRPr="00622616">
        <w:rPr>
          <w:szCs w:val="24"/>
          <w:lang w:val="es-UY"/>
        </w:rPr>
        <w:instrText>","given":"Jashanjeet Kaur","non-dropping-particle":"","parse-names":false,"suffix":""},{"dropping-particle":"","family":"Panday","given":"Dinesh","non-dropping-particle":"","parse-names":false,"suffix":""},{"dropping-particle":"","family":"Robertson","given":"G. Philip","non-dropping-particle":"","parse-names":false,"suffix":""},{"dropping-particle":"","family":"Saha","given":"Debasish","non-dropping-particle":"","parse-names":false,"suffix":""}],"container-title":"Journal of Environmental Quality","id":"ITEM-5","issue":"May 2024","issued":{"date-parts":[["2024"]]},"page":"132-146","title":"Machine learning reveals dynamic controls of soil nitrous oxide emissions from diverse long-term cropping systems","type":"article-journal"},"uris":["http://www.mendeley.com/documents/?uuid=e14a282a-4b30-4b4c-9661-cfc5cfab433f"]}],"mendeley":{"formattedCitation":"(Hamrani et al., 2020; Saha et al., 2021a; Yang et al., 2022; Dhaliwal et al., 2024c; Garnier et al., 2024)","manualFormatting":"(Dhaliwal et al., 2024a; Garnier et al., 2024; Hamrani et al., 2020; Saha et al., 2021; Yang et al., 2022)","plainTextFormattedCitation":"(Hamrani et al., 2020; Saha et al., 2021a; Yang et al., 2022; Dhaliwal et al., 2024c; Garnier et al., 2024)","previouslyFormattedCitation":"(Hamrani et al., 2020; Saha et al., 2021a; Yang et al., 2022; Dhaliwal et al., 2024c; Garnier et al., 2024)"},"properties":{"noteIndex":0},"schema":"https://github.com/citation-style-language/schema/raw/master/csl-citation.json"}</w:instrText>
      </w:r>
      <w:r w:rsidRPr="00203EB0">
        <w:rPr>
          <w:szCs w:val="24"/>
        </w:rPr>
        <w:fldChar w:fldCharType="separate"/>
      </w:r>
      <w:r w:rsidRPr="00622616">
        <w:rPr>
          <w:noProof/>
          <w:szCs w:val="24"/>
          <w:lang w:val="es-UY"/>
        </w:rPr>
        <w:t>(Dhaliwal et al., 2024a; Garnier et al., 2024; Hamrani et al., 2020; Saha et al., 2021; Yang et al., 2022)</w:t>
      </w:r>
      <w:r w:rsidRPr="00203EB0">
        <w:rPr>
          <w:szCs w:val="24"/>
        </w:rPr>
        <w:fldChar w:fldCharType="end"/>
      </w:r>
      <w:r w:rsidRPr="00622616">
        <w:rPr>
          <w:szCs w:val="24"/>
          <w:lang w:val="es-UY"/>
        </w:rPr>
        <w:t xml:space="preserve">. </w:t>
      </w:r>
      <w:r w:rsidRPr="00203EB0">
        <w:rPr>
          <w:szCs w:val="24"/>
        </w:rPr>
        <w:t>Unlike process-based models, ML algorithms can learn complex relationships directly from observational data and identify the key drivers of N</w:t>
      </w:r>
      <w:r w:rsidRPr="00203EB0">
        <w:rPr>
          <w:szCs w:val="24"/>
          <w:vertAlign w:val="subscript"/>
        </w:rPr>
        <w:t>2</w:t>
      </w:r>
      <w:r w:rsidRPr="00203EB0">
        <w:rPr>
          <w:szCs w:val="24"/>
        </w:rPr>
        <w:t>O emissions. However, their empirical nature means that ML models are inherently limited by the scope, quality, and availability of the training data, and their performance under unseen conditions or missing key drivers cannot always be guaranteed. Random Forest (RF) models, in particular, have demonstrated strong predictive performance in estimating N</w:t>
      </w:r>
      <w:r w:rsidRPr="00203EB0">
        <w:rPr>
          <w:szCs w:val="24"/>
          <w:vertAlign w:val="subscript"/>
        </w:rPr>
        <w:t>2</w:t>
      </w:r>
      <w:r w:rsidRPr="00203EB0">
        <w:rPr>
          <w:szCs w:val="24"/>
        </w:rPr>
        <w:t xml:space="preserve">O fluxes from agricultural systems by capturing complex interactions among environmental and management variables </w:t>
      </w:r>
      <w:r w:rsidRPr="00203EB0">
        <w:rPr>
          <w:szCs w:val="24"/>
        </w:rPr>
        <w:fldChar w:fldCharType="begin" w:fldLock="1"/>
      </w:r>
      <w:r w:rsidR="00EB2F35" w:rsidRPr="00203EB0">
        <w:rPr>
          <w:szCs w:val="24"/>
        </w:rPr>
        <w:instrText xml:space="preserve">ADDIN CSL_CITATION {"citationItems":[{"id":"ITEM-1","itemData":{"DOI":"10.1088/1748-9326/abd2f3","ISSN":"17489326","abstract":"The potent greenhouse gas nitrous oxide (N2O) is accumulating in the atmosphere at unprecedented rates largely due to agricultural intensification, and cultivated soils contribute </w:instrText>
      </w:r>
      <w:r w:rsidR="00EB2F35" w:rsidRPr="00203EB0">
        <w:rPr>
          <w:rFonts w:ascii="Cambria Math" w:hAnsi="Cambria Math" w:cs="Cambria Math"/>
          <w:szCs w:val="24"/>
        </w:rPr>
        <w:instrText>∼</w:instrText>
      </w:r>
      <w:r w:rsidR="00EB2F35" w:rsidRPr="00203EB0">
        <w:rPr>
          <w:szCs w:val="24"/>
        </w:rPr>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EB2F35" w:rsidRPr="00203EB0">
        <w:rPr>
          <w:rFonts w:ascii="Cambria Math" w:hAnsi="Cambria Math" w:cs="Cambria Math"/>
          <w:szCs w:val="24"/>
        </w:rPr>
        <w:instrText>∼</w:instrText>
      </w:r>
      <w:r w:rsidR="00EB2F35" w:rsidRPr="00203EB0">
        <w:rPr>
          <w:szCs w:val="24"/>
        </w:rPr>
        <w:instrText>3000 sub-daily flux observations), supplemented with weekly to biweekly manual chamber measurements (</w:instrText>
      </w:r>
      <w:r w:rsidR="00EB2F35" w:rsidRPr="00203EB0">
        <w:rPr>
          <w:rFonts w:ascii="Cambria Math" w:hAnsi="Cambria Math" w:cs="Cambria Math"/>
          <w:szCs w:val="24"/>
        </w:rPr>
        <w:instrText>∼</w:instrText>
      </w:r>
      <w:r w:rsidR="00EB2F35" w:rsidRPr="00203EB0">
        <w:rPr>
          <w:szCs w:val="24"/>
        </w:rPr>
        <w:instrText xml:space="preserve">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author":[{"dropping-particle":"","family":"Saha","given":"Debasish","non-dropping-particle":"","parse-names":false,"suffix":""},{"dropping-particle":"","family":"Basso","given":"Bruno","non-dropping-particle":"","parse-names":false,"suffix":""},{"dropping-particle":"","family":"Robertson","given":"G. Philip","non-dropping-particle":"","parse-names":false,"suffix":""}],"container-title":"Environmental Research Letters","id":"ITEM-1","issue":"2","issued":{"date-parts":[["2021"]]},"title":"Machine learning improves predictions of agricultural nitrous oxide (N2O) emissions from intensively managed cropping systems","type":"article-journal","volume":"16"},"uris":["http://www.mendeley.com/documents/?uuid=e5d104c5-fa03-4b6b-8a74-0abf69308886"]},{"id":"ITEM-2","itemData":{"DOI":"10.1111/gcb.15860","ISSN":"13652486","PMID":"34473894","abstract":"Robust global simulation of soil background N2O emissions (BNEs) is a challenge due to the lack of a comprehensive system for quantification of the variations in their magnitude and location. We mapped global BNEs based on 1353 field observations from globally distributed sites and high-resolution climate and soil data. We then calculated global and national total BNE budgets and compared them to the IPCC-estimated values. The average BNE was 1.10, 0.92, and 0.84 kg N ha−1 year−1 with variations from 0.18 to 3.47 (5th–95th percentile, hereafter), 0.20 to 3.44, and −1.16 to 3.70 kg N ha−1 year−1 for cropland, forestland, and grassland, respectively. Soil pH, soil N mineralization, atmospheric N deposition, soil volumetric water content, and soil temperature were the principle significant drivers of BNEs. The total BNEs of three land use types was lower than IPCC-estimated total BNEs by 0.83 Tg (1012 g) N year−1, ranging from −47% to 94% across countries. The estimated BNE with cropland values were slightly higher than the IPCC estimates by 0.11 Tg N year−1, and forestland and grassland lower than the IPCC estimates by 0.4 and 0.54 Tg N year−1, respectively. Our study underlined the necessity for detailed estimation of the spatial distribution of BNEs to improve the estimates of global N2O emissions and enable the establishment of more realistic and effective mitigation measures.","author":[{"dropping-particle":"","family":"Yin","given":"Yulong","non-dropping-particle":"","parse-names":false,"suffix":""},{"dropping-particle":"","family":"Wang","given":"Zihan","non-dropping-particle":"","parse-names":false,"suffix":""},{"dropping-particle":"","family":"Tian","given":"Xingshuai","non-dropping-particle":"","parse-names":false,"suffix":""},{"dropping-particle":"","family":"Wang","given":"Yingcheng","non-dropping-particle":"","parse-names":false,"suffix":""},{"dropping-particle":"","family":"Cong","given":"Jiahui","non-dropping-particle":"","parse-names":false,"suffix":""},{"dropping-particle":"","family":"Cui","given":"Zhenling","non-dropping-particle":"","parse-names":false,"suffix":""}],"container-title":"Global Change Biology","id":"ITEM-2","issue":"2","issued":{"date-parts":[["2022"]]},"page":"480-492","title":"Evaluation of variation in background nitrous oxide emissions: A new global synthesis integrating the impacts of climate, soil, and management conditions","type":"article-journal","volume":"28"},"uris":["http://www.mendeley.com/documents/?uuid=9e33b0f1-038b-4e34-86b5-b015df91a526"]},{"id":"ITEM-3","itemData":{"DOI":"10.1016/j.envpol.2013.02.019","ISSN":"02697491","PMID":"23500053","abstract":"Nitrous oxide is a potent greenhouse gas, with a global warming potential 298 times greater than that of CO2. In agricultural soils, N 2O emissions are influenced by a large number of environmental characteristics and crop management techniques that are not systematically reported in experiments. Random Forest (RF) is a machine learning method that can handle missing data and ranks input variables on the basis of their importance. We aimed to predict N2O emission on the basis of local information, to rank environmental and crop management variables according to their influence on N2O emission, and to compare the performances of </w:instrText>
      </w:r>
      <w:r w:rsidR="00EB2F35" w:rsidRPr="00622616">
        <w:rPr>
          <w:szCs w:val="24"/>
          <w:lang w:val="es-UY"/>
        </w:rPr>
        <w:instrText>RF with several regression models. RF outperformed the regression models for predictive purposes, and this approach led to the identification of three important input variables: N fertilization, type of crop, and experiment duration. This method could be used in the future for prediction of N 2O emissions from local information. © 2013 Elsevier Ltd. All rights reserved.","author":[{"dropping-particle":"","family":"Philibert","given":"Aurore","non-dropping-particle":"","parse-names":false,"suffix":""},{"dropping-particle":"","family":"Loyce","given":"Chantal","non-dropping-particle":"","parse-names":false,"suffix":""},{"dropping-particle":"","family":"Makowski","given":"David","non-dropping-particle":"","parse-names":false,"suffix":""}],"container-title":"Environmental Pollution","id":"ITEM-3","issued":{"date-parts":[["2013"]]},"page":"156-163","publisher":"Elsevier Ltd","title":"Prediction of N2O emission from local information with Random Forest","type":"article-journal","volume":"177"},"uris":["http://www.mendeley.com/documents/?uuid=3476579b-5d71-49df-92bb-29c5a5eac09a"]}],"mendeley":{"formattedCitation":"(Philibert et al., 2013; Saha et al., 2021a; Yin et al., 2022)","plainTextFormattedCitation":"(Philibert et al., 2013; Saha et al., 2021a; Yin et al., 2022)","previouslyFormattedCitation":"(Philibert et al., 2013; Saha et al., 2021a; Yin et al., 2022)"},"properties":{"noteIndex":0},"schema":"https://github.com/citation-style-language/schema/raw/master/csl-citation.json"}</w:instrText>
      </w:r>
      <w:r w:rsidRPr="00203EB0">
        <w:rPr>
          <w:szCs w:val="24"/>
        </w:rPr>
        <w:fldChar w:fldCharType="separate"/>
      </w:r>
      <w:r w:rsidR="00EB2F35" w:rsidRPr="00622616">
        <w:rPr>
          <w:noProof/>
          <w:szCs w:val="24"/>
          <w:lang w:val="es-UY"/>
        </w:rPr>
        <w:t>(Philibert et al., 2013; Saha et al., 2021a; Yin et al., 2022)</w:t>
      </w:r>
      <w:r w:rsidRPr="00203EB0">
        <w:rPr>
          <w:szCs w:val="24"/>
        </w:rPr>
        <w:fldChar w:fldCharType="end"/>
      </w:r>
      <w:r w:rsidRPr="00622616">
        <w:rPr>
          <w:szCs w:val="24"/>
          <w:lang w:val="es-UY"/>
        </w:rPr>
        <w:t xml:space="preserve">. </w:t>
      </w:r>
      <w:r w:rsidRPr="00203EB0">
        <w:rPr>
          <w:szCs w:val="24"/>
        </w:rPr>
        <w:t xml:space="preserve">Nevertheless, accurately predicting both the magnitude and timing of hot-moments remains a challenge for most ML approaches </w:t>
      </w:r>
      <w:r w:rsidRPr="00203EB0">
        <w:rPr>
          <w:szCs w:val="24"/>
        </w:rPr>
        <w:fldChar w:fldCharType="begin" w:fldLock="1"/>
      </w:r>
      <w:r w:rsidR="00EB2F35" w:rsidRPr="00203EB0">
        <w:rPr>
          <w:szCs w:val="24"/>
        </w:rPr>
        <w:instrText xml:space="preserve">ADDIN CSL_CITATION {"citationItems":[{"id":"ITEM-1","itemData":{"DOI":"10.1016/j.watres.2023.120667","ISSN":"18792448","PMID":"37778084","abstract":"Nitrous oxide (N2O) emissions may account for up to 80 % of a wastewater treatment plant's (WWTP) total carbon footprint. Given the complexity of the pathways involved, estimating N2O emissions through mechanistic models still often fails to precisely depict process dynamics. Alternatively, data-driven methods for predicting N2O emissions hold substantial potential. However, so far, a comprehensive approach is still overlooked, impeding the advancement of full-scale application. Therefore, this study develops a comprehensive approach for using machine learning to perform online process modeling of N2O emissions. The approach is tested on a long-term N2O emission dataset from a full-scale WWTP. Uniquely, the proposed approach emphasizes not just model accuracy, but it also considers model complexity, computational speed, and interpretability, equipping operators with the insights needed for informed corrective actions. Algorithms with varying levels of complexity and interpretability including k-Nearest Neighbors (kNN), decision trees, ensemble learning models, and deep neural networks (DNN) were considered. Furthermore, a parametric multivariate outlier removal method was adjusted to account for data statistical distributions, significantly reducing data loss. By employing an effective feature selection methodology, a trade-off between data acquisition, model performance, and complexity was found, reducing the number of features by 40 % and decreasing data collection cost, model complexity and computational burden without significant effect on modeling accuracy. The best performing models are kNN (R2 = 0.88), AdaBoost (R2 = 0.94), and DNN (R2 = 0.90). Feature importance of models was analyzed and compared with process knowledge to test interpretability, guiding N2O mitigation decisions.","author":[{"dropping-particle":"","family":"Khalil","given":"Mostafa","non-dropping-particle":"","parse-names":false,"suffix":""},{"dropping-particle":"","family":"AlSayed","given":"Ahmed","non-dropping-particle":"","parse-names":false,"suffix":""},{"dropping-particle":"","family":"Liu","given":"Yang","non-dropping-particle":"","parse-names":false,"suffix":""},{"dropping-particle":"","family":"Vanrolleghem","given":"Peter A.","non-dropping-particle":"","parse-names":false,"suffix":""}],"container-title":"Water Research","id":"ITEM-1","issue":"September","issued":{"date-parts":[["2023"]]},"page":"120667","publisher":"Elsevier Ltd","title":"Machine learning for modeling N2O emissions from wastewater treatment plants: Aligning model performance, complexity, and interpretability","type":"article-journal","volume":"245"},"uris":["http://www.mendeley.com/documents/?uuid=abe04eb3-1ad5-49c8-b09e-12d09216e0dc"]},{"id":"ITEM-2","itemData":{"DOI":"10.1088/1748-9326/abd2f3","ISSN":"17489326","abstract":"The potent greenhouse gas nitrous oxide (N2O) is accumulating in the atmosphere at unprecedented rates largely due to agricultural intensification, and cultivated soils contribute </w:instrText>
      </w:r>
      <w:r w:rsidR="00EB2F35" w:rsidRPr="00203EB0">
        <w:rPr>
          <w:rFonts w:ascii="Cambria Math" w:hAnsi="Cambria Math" w:cs="Cambria Math"/>
          <w:szCs w:val="24"/>
        </w:rPr>
        <w:instrText>∼</w:instrText>
      </w:r>
      <w:r w:rsidR="00EB2F35" w:rsidRPr="00203EB0">
        <w:rPr>
          <w:szCs w:val="24"/>
        </w:rPr>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EB2F35" w:rsidRPr="00203EB0">
        <w:rPr>
          <w:rFonts w:ascii="Cambria Math" w:hAnsi="Cambria Math" w:cs="Cambria Math"/>
          <w:szCs w:val="24"/>
        </w:rPr>
        <w:instrText>∼</w:instrText>
      </w:r>
      <w:r w:rsidR="00EB2F35" w:rsidRPr="00203EB0">
        <w:rPr>
          <w:szCs w:val="24"/>
        </w:rPr>
        <w:instrText>3000 sub-daily flux observations), supplemented with weekly to biweekly manual chamber measurements (</w:instrText>
      </w:r>
      <w:r w:rsidR="00EB2F35" w:rsidRPr="00203EB0">
        <w:rPr>
          <w:rFonts w:ascii="Cambria Math" w:hAnsi="Cambria Math" w:cs="Cambria Math"/>
          <w:szCs w:val="24"/>
        </w:rPr>
        <w:instrText>∼</w:instrText>
      </w:r>
      <w:r w:rsidR="00EB2F35" w:rsidRPr="00203EB0">
        <w:rPr>
          <w:szCs w:val="24"/>
        </w:rPr>
        <w:instrText>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author":[{"dropping-particle":"","family":"Saha","given":"Debasish","non-dropping-particle":"","parse-names":false,"suffix":""},{"dropping-particle":"","family":"Basso","given":"Bruno","non-dropping-particle":"","parse-names":false,"suffix":""},{"dropping-particle":"","family":"Robertson","given":"G. Philip","non-dropping-particle":"","parse-names":false,"suffix":""}],"container-title":"Environmental Research Letters","id":"ITEM-2","issue":"2","issued":{"date-parts":[["2021"]]},"title":"Machine learning improves predictions of agricultural nitrous oxide (N2O) emissions from intensively managed cropping systems","type":"article-journal","volume":"16"},"uris":["http://www.mendeley.com/documents/?uuid=c034218d-6845-4ee4-b546-a34bcc5f78b1"]},{"id":"ITEM-3","itemData":{"DOI":"10.1088/2515-7620/ad707c","ISSN":"25157620","abstract":"Nitrous oxide is the largest source of greenhouse gas emissions from crop production. There is significant interest in targeting marginal lands for growing biomass crops, however little information is available on how this will affect N2O emissions from these crops. Furthermore, to characterize N2O emission at the farm level to quantify mitigation using measurements is time intensive, costly, and impractical. We selected a highly diverse watershed varying in soil texture and topography to compare two approaches for modeling soil N2O emissions using machine learning, intensive measurements of soil environment and climate variables, with the other only using remotely sensed variables. We confirmed that soil nitrogen was the most important variable followed by soil environment as influence by soil characteristic, topography, and climate. We also found that the machine learning model built on remotely sensed variables performed as well as when direct site level measurements were available. This finding supports the potential of using remotely sensed data to build machine learning models to characterize soil N2O emissions without the need for intensive soil measurements for entity level assessments.","author":[{"dropping-particle":"","family":"Adler","given":"Paul R.","non-dropping-particle":"","parse-names":false,"suffix":""},{"dropping-particle":"","family":"Nguyen","given":"Hai","non-dropping-particle":"","parse-names":false,"suffix":""},{"dropping-particle":"","family":"Rau","given":"Benjamin M.","non-dropping-particle":"","parse-names":false,"suffix":""},{"dropping-particle":"","family":"Dell","given":"Curtis J.","non-dropping-particle":"","parse-names":false,"suffix":""}],"container-title":"Environmental Research Communications","id":"ITEM-3","issue":"9","issued":{"date-parts":[["2024"]]},"publisher":"IOP Publishing","title":"Modeling N2O emissions with remotely sensed variables using machine learning","type":"article-journal","volume":"6"},"uris":["http://www.mendeley.com/documents/?uuid=c7a4059a-df16-4d71-9e94-149c77e43b2f"]}],"mendeley":{"formattedCitation":"(Saha et al., 2021a; Khalil et al., 2023; Adler et al., 2024)","manualFormatting":"(Khalil et al., 2023; Adler et al., 2024)","plainTextFormattedCitation":"(Saha et al., 2021a; Khalil et al., 2023; Adler et al., 2024)","previouslyFormattedCitation":"(Saha et al., 2021a; Khalil et al., 2023; Adler et al., 2024)"},"properties":{"noteIndex":0},"schema":"https://github.com/citation-style-language/schema/raw/master/csl-citation.json"}</w:instrText>
      </w:r>
      <w:r w:rsidRPr="00203EB0">
        <w:rPr>
          <w:szCs w:val="24"/>
        </w:rPr>
        <w:fldChar w:fldCharType="separate"/>
      </w:r>
      <w:r w:rsidRPr="00203EB0">
        <w:rPr>
          <w:noProof/>
          <w:szCs w:val="24"/>
        </w:rPr>
        <w:t>(Khalil et al., 2023; Adler et al., 2024)</w:t>
      </w:r>
      <w:r w:rsidRPr="00203EB0">
        <w:rPr>
          <w:szCs w:val="24"/>
        </w:rPr>
        <w:fldChar w:fldCharType="end"/>
      </w:r>
      <w:r w:rsidRPr="00203EB0">
        <w:rPr>
          <w:szCs w:val="24"/>
        </w:rPr>
        <w:t xml:space="preserve">.  </w:t>
      </w:r>
    </w:p>
    <w:p w14:paraId="2BA0872D" w14:textId="66710542" w:rsidR="005751D4" w:rsidRPr="00203EB0" w:rsidRDefault="005751D4" w:rsidP="00FE7DF1">
      <w:pPr>
        <w:pStyle w:val="ParaText"/>
        <w:spacing w:line="480" w:lineRule="auto"/>
        <w:ind w:firstLine="0"/>
        <w:contextualSpacing/>
        <w:jc w:val="both"/>
        <w:rPr>
          <w:szCs w:val="24"/>
        </w:rPr>
      </w:pPr>
      <w:r w:rsidRPr="00203EB0">
        <w:rPr>
          <w:szCs w:val="24"/>
        </w:rPr>
        <w:t>A major reason for this difficulty lies in the complex and heterogeneous nature of N</w:t>
      </w:r>
      <w:r w:rsidRPr="00203EB0">
        <w:rPr>
          <w:szCs w:val="24"/>
          <w:vertAlign w:val="subscript"/>
        </w:rPr>
        <w:t>2</w:t>
      </w:r>
      <w:r w:rsidRPr="00203EB0">
        <w:rPr>
          <w:szCs w:val="24"/>
        </w:rPr>
        <w:t>O production. Multiple microbial pathways, including nitrification, denitrification, and nitrifier denitrification, can independently or simultaneously contribute to N</w:t>
      </w:r>
      <w:r w:rsidRPr="00203EB0">
        <w:rPr>
          <w:szCs w:val="24"/>
          <w:vertAlign w:val="subscript"/>
        </w:rPr>
        <w:t>2</w:t>
      </w:r>
      <w:r w:rsidRPr="00203EB0">
        <w:rPr>
          <w:szCs w:val="24"/>
        </w:rPr>
        <w:t xml:space="preserve">O emissions </w:t>
      </w:r>
      <w:r w:rsidRPr="00203EB0">
        <w:rPr>
          <w:szCs w:val="24"/>
        </w:rPr>
        <w:fldChar w:fldCharType="begin" w:fldLock="1"/>
      </w:r>
      <w:r w:rsidR="00EB2F35" w:rsidRPr="00203EB0">
        <w:rPr>
          <w:szCs w:val="24"/>
        </w:rPr>
        <w:instrText>ADDIN CSL_CITATION {"citationItems":[{"id":"ITEM-1","itemData":{"DOI":"10.3389/fmicb.2022.1110151","ISSN":"1664302X","abstract":"Biogenic nitrous oxide (N2O) from nitrification and denitrification in agricultural soils is a major source of N2O in the atmosphere, and its flux changes significantly with soil moisture condition. However, the quantitative relationship between N2O production from different pathways (i.e., nitrification vs. denitrification) and soil moisture content remains elusive, limiting our ability of predicting future agricultural N2O emissions under changing environment. This study quantified N2O production rates from nitrification and denitrification under various soil moisture conditions using laboratory incubation combined with literature synthesis. 15N labeling approach was used to differentiate the N2O production from nitrification and denitrification under eight different soil moisture contents ranging from 40 to 120% water-filled pore space (WFPS) in the laboratory study, while 80 groups of data from 17 studies across global agricultural soils were collected in the literature synthesis. Results showed that as soil moisture increased, N2O production rates of nitrification and denitrification first increased and then decreased, with the peak rates occurring between 80 and 95% WFPS. By contrast, the dominant N2O production pathway switched from nitrification to denitrification between 60 and 70% WFPS. Furthermore, the synthetic data elucidated that moisture content was the major driver controlling the relative contributions of nitrification and denitrification to N2O production, while NH4+ and NO3− concentrations mainly determined the N2O production rates from each pathway. The moisture treatments with broad contents and narrow gradient were required to capture the comprehensive response of soil N2O production rate to moisture change, and the response is essential for accurately predicting N2O emission from agricultural soils under climate change scenarios.","author":[{"dropping-particle":"","family":"Wang","given":"Hui","non-dropping-particle":"","parse-names":false,"suffix":""},{"dropping-particle":"","family":"Yan","given":"Zhifeng","non-dropping-particle":"","parse-names":false,"suffix":""},{"dropping-particle":"","family":"Ju","given":"Xiaotang","non-dropping-particle":"","parse-names":false,"suffix":""},{"dropping-particle":"","family":"Song","given":"Xiaotong","non-dropping-particle":"","parse-names":false,"suffix":""},{"dropping-particle":"","family":"Zhang","given":"Jinbo","non-dropping-particle":"","parse-names":false,"suffix":""},{"dropping-particle":"","family":"Li","given":"Siliang","non-dropping-particle":"","parse-names":false,"suffix":""},{"dropping-particle":"","family":"Zhu-Barker","given":"Xia","non-dropping-particle":"","parse-names":false,"suffix":""}],"container-title":"Frontiers in Microbiology","id":"ITEM-1","issue":"January","issued":{"date-parts":[["2023"]]},"page":"1-10","title":"Quantifying nitrous oxide production rates from nitrification and denitrification under various moisture conditions in agricultural soils: Laboratory study and literature synthesis","type":"article-journal","volume":"13"},"uris":["http://www.mendeley.com/documents/?uuid=4013fdcf-c0a0-4eab-8fb5-1e4f420317a2"]},{"id":"ITEM-2","itemData":{"DOI":"10.1073/pnas.1219993110","ISSN":"00278424","PMID":"23576736","abstract":"The continuous increase of nitrous oxide (N2O) abundance in the atmosphere is a global concern. Multiple pathways of N2O production occur in soil, but their significance and dependence on oxygen (O2) availability and nitrogen (N) fertilizer source are poorly understood. We examined N2O and nitric oxide (NO) production under 21%, 3%, 1%, 0.5%, and 0% (vol/vol) O2 concentrations following urea or ammonium sulfate [(NH4)2SO4] additions in loam, clay loam, and sandy loam soils that also contained ample nitrate. The contribution of the ammonia (NH3) oxidation pathways (nitrifier nitrification, nitrifier denitrification, and nitrification-coupled denitrification) and heterotrophic de-nitrification (HD) to N2O production was determined in 36-h incubations in microcosms by 15N-18O isotope and NH3 oxidation inhibition (by 0.01% acetylene) methods. Nitrous oxide and NO production via NH3 oxidation pathways increased as O 2 concentrations decreased from 21% to 0.5%. At low (0.5% and 3%) O2 concentrations, nitrifier denitrification contributed between 34% and 66%, and HD between 34% and 50% of total N2O production. Heterotrophic denitrification was responsible for all N2O production at 0% O2. Nitrifier denitrification was the main source of N 2O production from ammonical fertilizer under low O2 concentrations with urea producing more N2O than (NH 4)2SO4 additions. These findings challenge established thought attributing N2O emissions from soils with high water content to HD due to presumably low O2 availability. Our results imply that management practices that increase soil aeration, e.g., reducing compaction and enhancing soil structure, together with careful selection of fertilizer sources and/or nitrification inhibitors, could decrease N2O production in agricultural soils.","author":[{"dropping-particle":"","family":"Zhu","given":"Xia","non-dropping-particle":"","parse-names":false,"suffix":""},{"dropping-particle":"","family":"Burger","given":"Martin","non-dropping-particle":"","parse-names":false,"suffix":""},{"dropping-particle":"","family":"Doane","given":"Timothy A.","non-dropping-particle":"","parse-names":false,"suffix":""},{"dropping-particle":"","family":"Horwath","given":"William R.","non-dropping-particle":"","parse-names":false,"suffix":""}],"container-title":"Proceedings of the National Academy of Sciences of the United States of America","id":"ITEM-2","issue":"16","issued":{"date-parts":[["2013"]]},"page":"6328-6333","title":"Ammonia oxidation pathways and nitrifier denitrification are significant sources of N2O and NO under low oxygen availability","type":"article-journal","volume":"110"},"uris":["http://www.mendeley.com/documents/?uuid=3f5a6dbf-3c6c-4c06-b9b2-1917e29739b1"]}],"mendeley":{"formattedCitation":"(Zhu et al., 2013a; Wang et al., 2023)","plainTextFormattedCitation":"(Zhu et al., 2013a; Wang et al., 2023)","previouslyFormattedCitation":"(Zhu et al., 2013a; Wang et al., 2023)"},"properties":{"noteIndex":0},"schema":"https://github.com/citation-style-language/schema/raw/master/csl-citation.json"}</w:instrText>
      </w:r>
      <w:r w:rsidRPr="00203EB0">
        <w:rPr>
          <w:szCs w:val="24"/>
        </w:rPr>
        <w:fldChar w:fldCharType="separate"/>
      </w:r>
      <w:r w:rsidR="00EB2F35" w:rsidRPr="00203EB0">
        <w:rPr>
          <w:noProof/>
          <w:szCs w:val="24"/>
        </w:rPr>
        <w:t>(Zhu et al., 2013a; Wang et al., 2023)</w:t>
      </w:r>
      <w:r w:rsidRPr="00203EB0">
        <w:rPr>
          <w:szCs w:val="24"/>
        </w:rPr>
        <w:fldChar w:fldCharType="end"/>
      </w:r>
      <w:r w:rsidRPr="00203EB0">
        <w:rPr>
          <w:szCs w:val="24"/>
        </w:rPr>
        <w:t xml:space="preserve">. The relative dominance of these pathways is regulated by dynamic environmental conditions and management practices in nonlinear ways </w:t>
      </w:r>
      <w:r w:rsidRPr="00203EB0">
        <w:rPr>
          <w:szCs w:val="24"/>
        </w:rPr>
        <w:fldChar w:fldCharType="begin" w:fldLock="1"/>
      </w:r>
      <w:r w:rsidRPr="00203EB0">
        <w:rPr>
          <w:szCs w:val="24"/>
        </w:rPr>
        <w:instrText>ADDIN CSL_CITATION {"citationItems":[{"id":"ITEM-1","itemData":{"DOI":"10.1098/rstb.2013.0122","ISSN":"09628436","PMID":"23713120","abstract":"Although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 © 2013 The Authors.","author":[{"dropping-particle":"","family":"Butterbach-Bahl","given":"Klaus","non-dropping-particle":"","parse-names":false,"suffix":""},{"dropping-particle":"","family":"Baggs","given":"Elizabeth M.","non-dropping-particle":"","parse-names":false,"suffix":""},{"dropping-particle":"","family":"Dannenmann","given":"Michael","non-dropping-particle":"","parse-names":false,"suffix":""},{"dropping-particle":"","family":"Kiese","given":"Ralf","non-dropping-particle":"","parse-names":false,"suffix":""},{"dropping-particle":"","family":"Zechmeister-Boltenstern","given":"Sophie","non-dropping-particle":"","parse-names":false,"suffix":""}],"container-title":"Philosophical Transactions of the Royal Society B: Biological Sciences","id":"ITEM-1","issue":"1621","issued":{"date-parts":[["2013"]]},"title":"Nitrous oxide emissions from soils: How well do we understand the processes and their controls?","type":"article-journal","volume":"368"},"uris":["http://www.mendeley.com/documents/?uuid=0db8131c-aaca-494e-b70f-d876b35147f7"]},{"id":"ITEM-2","itemData":{"DOI":"10.1002/jeq2.20361","ISSN":"15372537","PMID":"35443288","abstract":"Agroecosystems in the upper Mississippi River Basin are highly productive but often contribute to deterioration of water quality and greenhouse gas emissions. Cover cropping and no-till are conservation strategies implemented to reduce the environmental impact of these agroecosystems. However, using multiple strategies can lead to systemwide interactions that are not fully understood. These interactions can affect not only environmental quality metrics, such as subsurface drainage nitrate losses or nitrous oxide (N2O) emissions, but also may influence crop production potential. A field trial was initiated comparing nitrate losses, N2O emissions, and crop production under systems with fall chisel plow tillage, fall chisel plow tillage with an oat (Avena sativa L.) cover crop (CP-oat), no-till (NT), no-till with a rye (Secale cereale L.) cover crop (NT-rye), and NT with zero N fertilizer. Pathways for nitrate losses and N2O emissions did not appear linked and were not tied to cover crop or tillage practices. Nitrate losses were linked with drainage volumes, and cover crops and tillage had limited effect on cumulative drainage volumes. Notably, NT-rye altered the relationship between drainage volume and nitrate losses by reducing nitrate concentrations, lowering nitrate losses by 59 ±9% compared with CP-oat and 67 ± 9% compared with NT. Neither cover crop nor tillage consistently affected N2O emissions or crop yield. Rather, N2O emissions were closely tied with fertilizer N application and seasonal weather patterns. These findings indicate that nitrate leaching and N2O emissions are regulated by separate mechanisms, so conservation management may require stacking multiple practices to be effective.","author":[{"dropping-particle":"","family":"O'Brien","given":"Peter L.","non-dropping-particle":"","parse-names":false,"suffix":""},{"dropping-particle":"","family":"Emmett","given":"Bryan D.","non-dropping-particle":"","parse-names":false,"suffix":""},{"dropping-particle":"","family":"Malone","given":"Robert W.","non-dropping-particle":"","parse-names":false,"suffix":""},{"dropping-particle":"","family":"Nunes","given":"Márcio R.","non-dropping-particle":"","parse-names":false,"suffix":""},{"dropping-particle":"","family":"Kovar","given":"John L.","non-dropping-particle":"","parse-names":false,"suffix":""},{"dropping-particle":"","family":"Kaspar","given":"Thomas C.","non-dropping-particle":"","parse-names":false,"suffix":""},{"dropping-particle":"","family":"Moorman","given":"Thomas B.","non-dropping-particle":"","parse-names":false,"suffix":""},{"dropping-particle":"","family":"Jaynes","given":"Dan B.","non-dropping-particle":"","parse-names":false,"suffix":""},{"dropping-particle":"","family":"Parkin","given":"Timothy B.","non-dropping-particle":"","parse-names":false,"suffix":""}],"container-title":"Journal of Environmental Quality","id":"ITEM-2","issue":"4","issued":{"date-parts":[["2022"]]},"page":"683-695","title":"Nitrate losses and nitrous oxide emissions under contrasting tillage and cover crop management","type":"article-journal","volume":"51"},"uris":["http://www.mendeley.com/documents/?uuid=195b5107-bbf2-4fbe-a319-af044946cb3a"]}],"mendeley":{"formattedCitation":"(Butterbach-Bahl et al., 2013; O’Brien et al., 2022)","plainTextFormattedCitation":"(Butterbach-Bahl et al., 2013; O’Brien et al., 2022)","previouslyFormattedCitation":"(Butterbach-Bahl et al., 2013; O’Brien et al., 2022)"},"properties":{"noteIndex":0},"schema":"https://github.com/citation-style-language/schema/raw/master/csl-citation.json"}</w:instrText>
      </w:r>
      <w:r w:rsidRPr="00203EB0">
        <w:rPr>
          <w:szCs w:val="24"/>
        </w:rPr>
        <w:fldChar w:fldCharType="separate"/>
      </w:r>
      <w:r w:rsidRPr="00203EB0">
        <w:rPr>
          <w:noProof/>
          <w:szCs w:val="24"/>
        </w:rPr>
        <w:t>(Butterbach-Bahl et al., 2013; O’Brien et al., 2022)</w:t>
      </w:r>
      <w:r w:rsidRPr="00203EB0">
        <w:rPr>
          <w:szCs w:val="24"/>
        </w:rPr>
        <w:fldChar w:fldCharType="end"/>
      </w:r>
      <w:r w:rsidRPr="00203EB0">
        <w:rPr>
          <w:szCs w:val="24"/>
        </w:rPr>
        <w:t>. As a result, agricultural soils typically exhibit low background N</w:t>
      </w:r>
      <w:r w:rsidRPr="00203EB0">
        <w:rPr>
          <w:szCs w:val="24"/>
          <w:vertAlign w:val="subscript"/>
        </w:rPr>
        <w:t>2</w:t>
      </w:r>
      <w:r w:rsidRPr="00203EB0">
        <w:rPr>
          <w:szCs w:val="24"/>
        </w:rPr>
        <w:t xml:space="preserve">O fluxes interrupted by infrequent but intense </w:t>
      </w:r>
      <w:r w:rsidRPr="00203EB0">
        <w:rPr>
          <w:szCs w:val="24"/>
        </w:rPr>
        <w:lastRenderedPageBreak/>
        <w:t xml:space="preserve">emissions peaks, often caused by the coincidence of triggering factors  such as fertilization, residue addition, and precipitation occurring together or in close succession </w:t>
      </w:r>
      <w:r w:rsidRPr="00203EB0">
        <w:rPr>
          <w:szCs w:val="24"/>
        </w:rPr>
        <w:fldChar w:fldCharType="begin" w:fldLock="1"/>
      </w:r>
      <w:r w:rsidR="004179E3" w:rsidRPr="00203EB0">
        <w:rPr>
          <w:szCs w:val="24"/>
        </w:rPr>
        <w:instrText>ADDIN CSL_CITATION {"citationItems":[{"id":"ITEM-1","itemData":{"DOI":"10.1007/s10533-008-9277-5","ISBN":"1053300892775","ISSN":"01682563","abstract":"Denitrification, the anaerobic reduction of nitrogen oxides to nitrogenous gases, is an extremely challenging process to measure and model. Much of this challenge arises from the fact that small areas (hotspots) and brief periods (hot moments) frequently account for a high percentage of the denitrification activity that occurs in both terrestrial and aquatic ecosystems. In this paper, we describe the prospects for incorporating hotspot and hot moment phenomena into denitrification models in terrestrial soils, the interface between terrestrial and aquatic ecosystems, and in aquatic ecosystems. Our analysis suggests that while our data needs are strongest for hot moments, the greatest modeling challenges are for hotspots. Given the increasing availability of high temporal frequency climate data, models are promising tools for evaluating the importance of hot moments such as freeze-thaw cycles and drying/rewetting events. Spatial hotspots are less tractable due to our inability to get high resolution spatial approximations of denitrification drivers such as carbon substrate. Investigators need to consider the types of hotspots and hot moments that might be occurring at small, medium, and large spatial scales in the particular ecosystem type they are working in before starting a study or developing a new model. New experimental design and heterogeneity quantification tools can then be applied from the outset and will result in better quantification and more robust and widely applicable denitrification models. © 2009 Springer Science+Business Media B.V.","author":[{"dropping-particle":"","family":"Groffman","given":"Peter M.","non-dropping-particle":"","parse-names":false,"suffix":""},{"dropping-particle":"","family":"Butterbach-Bahl","given":"Klaus","non-dropping-particle":"","parse-names":false,"suffix":""},{"dropping-particle":"","family":"Fulweiler","given":"Robinson W.","non-dropping-particle":"","parse-names":false,"suffix":""},{"dropping-particle":"","family":"Gold","given":"Arthur J.","non-dropping-particle":"","parse-names":false,"suffix":""},{"dropping-particle":"","family":"Morse","given":"Jennifer L.","non-dropping-particle":"","parse-names":false,"suffix":""},{"dropping-particle":"","family":"Stander","given":"Emilie K.","non-dropping-particle":"","parse-names":false,"suffix":""},{"dropping-particle":"","family":"Tague","given":"Christina","non-dropping-particle":"","parse-names":false,"suffix":""},{"dropping-particle":"","family":"Tonitto","given":"Christina","non-dropping-particle":"","parse-names":false,"suffix":""},{"dropping-particle":"","family":"Vidon","given":"Philippe","non-dropping-particle":"","parse-names":false,"suffix":""}],"container-title":"Biogeochemistry","id":"ITEM-1","issue":"1-2","issued":{"date-parts":[["2009"]]},"page":"49-77","title":"Challenges to incorporating spatially and temporally explicit phenomena (hotspots and hot moments) in denitrification models","type":"article-journal","volume":"93"},"uris":["http://www.mendeley.com/documents/?uuid=a24f6899-26ac-489d-951e-6ec30a9ce5bd"]},{"id":"ITEM-2","itemData":{"DOI":"10.2136/sssaj2012.0039","ISSN":"0361-5995","abstract":"Nitrous oxide (N 2 O) emissions were monitored using the micrometeorological eddy covariance technique from manure-fertilized cropland on a large dairy farm in New York State in 2006 to 2009. Nitrous oxide emissions demonstrated episodic behavior with intermittent short-duration peak fluxes up to 39.7 mg N 2 O-N m -2 d -1 , whereas most of background fluxes during the annual agricultural cycle were below 6.5 mg N 2 O-N m -2 d -1 . This paper discusses temporal variability of measured N 2 O emissions using a \"hot moment\" approach. To identify and quantify peak events as potential hot moments and to determine whether or not they could be treated statistically as outliers, N 2 O daily fluxes were analyzed by the box plot method using multiple thresholds. Peak events exceeding outlier thresholds contributed up to 51% of cumulative annual N 2 O emissions, although they represented &lt; 7% of the total observation time. Individual N 2 O peaks were also categorized by their duration, as single day spikes and multiday events. The highest contributing instances were multiday N 2 O peaks during summer precipitation and early spring thaw, largely enhanced by manure fertilization. These high-intensity emission events demonstrated repetitive seasonal responses to a combination of environmental factors and were therefore identified as hot moments. Abrupt rises in both temperature and soil moisture appeared to trigger major hot moments, whereas the availability of manure N controlled their magnitude. In the absence of strong correlations between time-series of individual environmental factors and N 2 O emissions, the hot moment approach can be a promising tool for the integrated analysis of most significant N 2 O events in cultivated fields receiving manure applications. © Soil Science Society of America.","author":[{"dropping-particle":"","family":"Molodovskaya","given":"Marina","non-dropping-particle":"","parse-names":false,"suffix":""},{"dropping-particle":"","family":"Singurindy","given":"Olga","non-dropping-particle":"","parse-names":false,"suffix":""},{"dropping-particle":"","family":"Richards","given":"Brian K.","non-dropping-particle":"","parse-names":false,"suffix":""},{"dropping-particle":"","family":"Warland","given":"Jon","non-dropping-particle":"","parse-names":false,"suffix":""},{"dropping-particle":"","family":"Johnson","given":"Mark S.","non-dropping-particle":"","parse-names":false,"suffix":""},{"dropping-particle":"","family":"Steenhuis","given":"Tammo S.","non-dropping-particle":"","parse-names":false,"suffix":""}],"container-title":"Soil Science Society of America Journal","id":"ITEM-2","issue":"5","issued":{"date-parts":[["2012"]]},"page":"1728-1740","title":"Temporal variability of nitrous oxide from fertilized croplands: Hot moment analysis","type":"article-journal","volume":"76"},"uris":["http://www.mendeley.com/documents/?uuid=e306afe4-7c02-471b-abc2-e746e0bb1437"]},{"id":"ITEM-3","itemData":{"DOI":"10.1038/s41598-024-58942-7","ISBN":"0123456789","ISSN":"20452322","PMID":"38600170","abstract":"Cover cropping is a promising strategy to improve soil health, but it may also trigger greenhouse gas emissions, especially nitrous oxide (N2O). Beyond nitrogen (N) availability, cover crop residue decomposition may accelerate heterotrophic respiration to limit soil O2 availability, hence promote N2O emissions from denitrification under sub-optimal water-filled pore space (WFPS) conditions that are typically not conducive to large N2O production. We conducted a 21-day incubation experiment to examine the effects of contrasting cover crop residue (grass vs legume) decomposition on soil O2 and biogeochemical changes to influence N2O and CO2 emissions from 15N labeled fertilized soils under 50% and 80% WFPS levels. Irrespective of cover crop type, mixing cover crop residue with N fertilizer resulted in high cumulative N2O emissions under both WFPS conditions. In the absence of cover crop residues, the N fertilizer effect of N2O was only realized under 80% WFPS, whereas it was comparable to the control under 50% WFPS. The N2O peaks under 50% WFPS coincided with soil O2 depletion and concomitant high CO2 emissions when cover crop residues were mixed with N fertilizer. While N fertilizer largely contributed to the total N2O emissions from the cover crop treatments, soil organic matter and/or cover crop residue derived N2O had a greater contribution under 50% than 80% WFPS. Our results underscore the importance of N2O emissions from cover crop-based fertilized systems under relatively lower WFPS via a mechanism of respiration-induced anoxia and highlight potential risks of underestimating N2O emissions under sole reliance on WFPS.","author":[{"dropping-particle":"","family":"Lussich","given":"Facundo","non-dropping-particle":"","parse-names":false,"suffix":""},{"dropping-particle":"","family":"Dhaliwal","given":"Jashanjeet Kaur","non-dropping-particle":"","parse-names":false,"suffix":""},{"dropping-particle":"","family":"Faiia","given":"Anthony M.","non-dropping-particle":"","parse-names":false,"suffix":""},{"dropping-particle":"","family":"Jagadamma","given":"Sindhu","non-dropping-particle":"","parse-names":false,"suffix":""},{"dropping-particle":"","family":"Schaeffer","given":"Sean M.","non-dropping-particle":"","parse-names":false,"suffix":""},{"dropping-particle":"","family":"Saha","given":"Debasish","non-dropping-particle":"","parse-names":false,"suffix":""}],"container-title":"Scientific Reports","id":"ITEM-3","issue":"1","issued":{"date-parts":[["2024"]]},"page":"1-14","publisher":"Nature Publishing Group UK","title":"Cover crop residue decomposition triggered soil oxygen depletion and promoted nitrous oxide emissions","type":"article-journal","volume":"14"},"uris":["http://www.mendeley.com/documents/?uuid=fddb8963-c4ed-4aa6-b2ea-2415802874d0"]}],"mendeley":{"formattedCitation":"(Groffman et al., 2009; Molodovskaya et al., 2012; Lussich et al., 2024a)","manualFormatting":"(Groffman et al., 2009; Molodovskaya et al., 2012; Lussich et al., 2024)","plainTextFormattedCitation":"(Groffman et al., 2009; Molodovskaya et al., 2012; Lussich et al., 2024a)","previouslyFormattedCitation":"(Groffman et al., 2009; Molodovskaya et al., 2012; Lussich et al., 2024a)"},"properties":{"noteIndex":0},"schema":"https://github.com/citation-style-language/schema/raw/master/csl-citation.json"}</w:instrText>
      </w:r>
      <w:r w:rsidRPr="00203EB0">
        <w:rPr>
          <w:szCs w:val="24"/>
        </w:rPr>
        <w:fldChar w:fldCharType="separate"/>
      </w:r>
      <w:r w:rsidRPr="00203EB0">
        <w:rPr>
          <w:noProof/>
          <w:szCs w:val="24"/>
        </w:rPr>
        <w:t>(Groffman et al., 2009; Molodovskaya et al., 2012; Lussich et al., 2024)</w:t>
      </w:r>
      <w:r w:rsidRPr="00203EB0">
        <w:rPr>
          <w:szCs w:val="24"/>
        </w:rPr>
        <w:fldChar w:fldCharType="end"/>
      </w:r>
      <w:r w:rsidRPr="00203EB0">
        <w:rPr>
          <w:szCs w:val="24"/>
        </w:rPr>
        <w:t xml:space="preserve">. Although rare, these hot-moments </w:t>
      </w:r>
      <w:r w:rsidR="008E51F8">
        <w:rPr>
          <w:szCs w:val="24"/>
        </w:rPr>
        <w:t xml:space="preserve">represent disproportionately contribute to the cumulative emissions </w:t>
      </w:r>
      <w:r w:rsidR="008E51F8">
        <w:rPr>
          <w:szCs w:val="24"/>
        </w:rPr>
        <w:fldChar w:fldCharType="begin" w:fldLock="1"/>
      </w:r>
      <w:r w:rsidR="00256601">
        <w:rPr>
          <w:szCs w:val="24"/>
        </w:rPr>
        <w:instrText>ADDIN CSL_CITATION {"citationItems":[{"id":"ITEM-1","itemData":{"DOI":"10.1016/j.catena.2015.04.014","ISSN":"03418162","abstract":"Soil nitrous oxide (N2O) and carbon dioxide (CO2) fluxes from managed grassland (2004 to 2009) and cornfield (2009 to 2012) in southern Hokkaido of Japan were monitored by closed chamber method at three plots applied with fertilizer (F), manure plus fertilizer (MF), and no-fertilizer (CT), respectively. The hot moments of N2O and CO2 flux were analyzed by box plot method using upper fence (UF, UF=Q3+1.5×(Q3-Q1), where Q1 and Q3 are the 25 and 75 percentiles, respectively) as a threshold. Events affecting N2O and CO2 hot moments were identified, and N2O and CO2 fluxes in hot moment and non-hot moment were statistically analyzed. Peak N2O fluxes in managed grassland and cornfield were up to 1291 and 2461μgNm-2h-1, respectively, and peak CO2 fluxes were 623 and 442mgCm-2h-1, respectively. Threshold of N2O peak was higher in cornfield than in grassland due to higher fertilization and NO3- concentration in cornfield (100kgNha-1 and 28.4±31.8mgNkg-1, respectively) than in grassland (45.5kgNha-1 and 2.6±5.5mgNkg-1, respectively). The number of N2O hot moments exceeding the threshold of UF accounted for 17% in grassland and 12% in cornfield to total number of observations, and was largest in MF plot, followed by F and CT plots. But CO2 hot moments were only 0.5% in grassland and 0.4% in cornfield. Temperature more than 20°C, rainfall, harvest, fertilizer and manure applications and tillage were the important events promoting N2O hot moments. In grassland, all events other than tillage contributed to N2O hot moment significantly. Combined chemical fertilizer application with harvest increased the frequency of N2O hot moments in grassland significantly, while in cornfield, which had higher concentration of NO3-, events of temperature more than 20°C, rainfall and tillage caused N2O hot moment. Regardless of the events causing N2O hot moment, grassland and cornfield showed that N2O emission in hot moments accounted for more than half of the annual total emission in F and MF plots.","author":[{"dropping-particle":"","family":"Li","given":"Mengjie","non-dropping-particle":"","parse-names":false,"suffix":""},{"dropping-particle":"","family":"Shimizu","given":"Mariko","non-dropping-particle":"","parse-names":false,"suffix":""},{"dropping-particle":"","family":"Hatano","given":"Ryusuke","non-dropping-particle":"","parse-names":false,"suffix":""}],"container-title":"Catena","id":"ITEM-1","issued":{"date-parts":[["2015"]]},"page":"1-13","publisher":"Elsevier B.V.","title":"Evaluation of N2O and CO2 hot moments in managed grassland and cornfield, southern Hokkaido, Japan","type":"article-journal","volume":"133"},"uris":["http://www.mendeley.com/documents/?uuid=87b48c32-4de3-4284-a831-d7f006f54bf4"]},{"id":"ITEM-2","itemData":{"DOI":"10.1007/s10533-023-01095-y","ISBN":"0123456789","ISSN":"1573515X","abstract":"Drained agricultural peatlands occupy only 1% of agricultural land but are estimated to be responsible for approximately one third of global cropland greenhouse gas emissions. However, recent studies show that greenhouse gases fluxes from agricultural peatlands can vary by orders of magnitude over time. The relationship between these hot moments (individual fluxes with disproportionate impact on annual budgets) of greenhouse gas emissions and individual chamber locations (i.e. hot spots with disproportionate observations of hot moments) is poorly understood, but may help elucidate patterns and drivers of high greenhouse gas emissions from agricultural peatland soils. We used continuous chamber-based flux measurements across three land uses (corn, alfalfa, and pasture) to quantify the spatiotemporal patterns of soil greenhouse gas emissions from temperate agricultural peatlands in the Sacramento-San Joaquin Delta of California. We found that the location of hot spots of emissions varied over time and were not consistent across annual timescales. Hot moments of nitrous oxide (N2O) and carbon dioxide (CO2) fluxes were more evenly distributed across space than methane (CH4). In the corn system, hot moments of CH4 flux were often isolated to a single location but locations were not consistent across years. Spatiotemporal variability in soil moisture, soil oxygen, and temperature helped explain patterns in N2O fluxes in the annual corn agroecosystem but were less informative for perennial alfalfa N2O fluxes or CH4 fluxes across ecosystems, potentially due to insufficient spatiotemporal resolution of the associated drivers. Overall, our results do not support the concept of persistent hot spots of soil CO2, CH4, and N2O emissions in these drained agricultural peatlands. Hot moments of high flux events generally varied in space and time and thus required high sample densities. Our results highlight the importance of constraining hot moments and their controls to better quantify ecosystem greenhouse gas budgets.","author":[{"dropping-particle":"","family":"Anthony","given":"Tyler L.","non-dropping-particle":"","parse-names":false,"suffix":""},{"dropping-particle":"","family":"Silver","given":"Whendee L.","non-dropping-particle":"","parse-names":false,"suffix":""}],"container-title":"Biogeochemistry","id":"ITEM-2","issue":"4","issued":{"date-parts":[["2024"]]},"page":"461-477","publisher":"Springer International Publishing","title":"Hot spots and hot moments of greenhouse gas emissions in agricultural peatlands","type":"article-journal","volume":"167"},"uris":["http://www.mendeley.com/documents/?uuid=feadb5c1-9930-44fc-a72f-f2aa95f43192"]},{"id":"ITEM-3","itemData":{"DOI":"(accepted)","author":[{"dropping-particle":"","family":"Ackett","given":"Ryan","non-dropping-particle":"","parse-names":false,"suffix":""},{"dropping-particle":"","family":"Hilafu","given":"H","non-dropping-particle":"","parse-names":false,"suffix":""},{"dropping-particle":"","family":"Gelfand","given":"I","non-dropping-particle":"","parse-names":false,"suffix":""},{"dropping-particle":"","family":"Saha","given":"Debasish","non-dropping-particle":"","parse-names":false,"suffix":""}],"container-title":"Journal of Geophysics: Biogeosciences","id":"ITEM-3","issued":{"date-parts":[["2025"]]},"title":"A novel statistical context to define and identify nitrous oxide hot moments and their significance across global agroecosystems.","type":"article-journal"},"uris":["http://www.mendeley.com/documents/?uuid=55c4ec02-3624-40ea-8d1d-f8a308c8bc61"]}],"mendeley":{"formattedCitation":"(Li et al., 2015; Anthony and Silver, 2024; Ackett et al., 2025)","plainTextFormattedCitation":"(Li et al., 2015; Anthony and Silver, 2024; Ackett et al., 2025)","previouslyFormattedCitation":"(Li et al., 2015; Anthony and Silver, 2024; Ackett et al., 2025)"},"properties":{"noteIndex":0},"schema":"https://github.com/citation-style-language/schema/raw/master/csl-citation.json"}</w:instrText>
      </w:r>
      <w:r w:rsidR="008E51F8">
        <w:rPr>
          <w:szCs w:val="24"/>
        </w:rPr>
        <w:fldChar w:fldCharType="separate"/>
      </w:r>
      <w:r w:rsidR="008E51F8" w:rsidRPr="008E51F8">
        <w:rPr>
          <w:noProof/>
          <w:szCs w:val="24"/>
        </w:rPr>
        <w:t>(Li et al., 2015; Anthony and Silver, 2024; Ackett et al., 2025)</w:t>
      </w:r>
      <w:r w:rsidR="008E51F8">
        <w:rPr>
          <w:szCs w:val="24"/>
        </w:rPr>
        <w:fldChar w:fldCharType="end"/>
      </w:r>
      <w:r w:rsidRPr="00203EB0">
        <w:rPr>
          <w:szCs w:val="24"/>
        </w:rPr>
        <w:t>, leading to  datasets dominated by low background fluxes and only a few</w:t>
      </w:r>
      <w:r w:rsidR="008E51F8">
        <w:rPr>
          <w:szCs w:val="24"/>
        </w:rPr>
        <w:t xml:space="preserve"> </w:t>
      </w:r>
      <w:r w:rsidRPr="00203EB0">
        <w:rPr>
          <w:szCs w:val="24"/>
        </w:rPr>
        <w:t xml:space="preserve">high flux data points . </w:t>
      </w:r>
      <w:r w:rsidR="000655E1">
        <w:rPr>
          <w:szCs w:val="24"/>
        </w:rPr>
        <w:t>Although infrequent hot-moment events in N</w:t>
      </w:r>
      <w:r w:rsidR="000655E1" w:rsidRPr="00F4765A">
        <w:rPr>
          <w:szCs w:val="24"/>
          <w:vertAlign w:val="subscript"/>
        </w:rPr>
        <w:t>2</w:t>
      </w:r>
      <w:r w:rsidR="000655E1">
        <w:rPr>
          <w:szCs w:val="24"/>
        </w:rPr>
        <w:t xml:space="preserve">O time-series data represent real biogeochemical phenomena, their scarcity provides limited information for training ML models, often leading to underprediction of these fluxes </w:t>
      </w:r>
      <w:r w:rsidRPr="00203EB0">
        <w:rPr>
          <w:szCs w:val="24"/>
        </w:rPr>
        <w:fldChar w:fldCharType="begin" w:fldLock="1"/>
      </w:r>
      <w:r w:rsidR="00EB2F35" w:rsidRPr="00203EB0">
        <w:rPr>
          <w:szCs w:val="24"/>
        </w:rPr>
        <w:instrText>ADDIN CSL_CITATION {"citationItems":[{"id":"ITEM-1","itemData":{"DOI":"10.1002/saj2.20429","ISSN":"14350661","abstract":"The significant contribution of greenhouse gas (GHG) emissions to global climate change and stratospheric ozone depletion has been calling the attention to assess the effect of agricultural management on them. Although machine learning (ML) methods have been widely used for the quantification of various inherent and dynamic soil properties, the accuracy of these techniques in the prediction of agricultural soil GHG emissions remains unclear. Therefore, this study aims at evaluating the performance of six different ML methods including simple linear regression, Cubist, support vector machines (SVM) with three different kernel functions, and random forest (RF) for the prediction of CO2 and N2O fluxes from plots managed with and without cover cropping. The input parameters include typical meteorological data as well as soil temperature and soil water content. Results show that the daily flux of CO2 is positively correlated with soil temperature and solar radiation and negatively with soil water content, whereas daily N2O flux is positively correlated with soil water content. For plots without cover cropping, Cubist and SVM with polynomial kernel function outperformed in the prediction of the testing dataset with RMSE of 14.18 kg ha–1 d–1 and 11.52 g ha–1 d–1 for daily CO2 and N2O emissions, respectively. Where cover cropping was considered, SVM with radial basis function and Cubist were the best models in the prediction of daily CO2 and N2O fluxes with respective RMSE values of 15.71 kg ha–1 d–1 and 14.12 g ha–1 d–1. Considering the ranking of the models for all scenarios and both GHGs, SVM with nonlinear kernel functions and Cubist method surpassed other ML techniques.","author":[{"dropping-particle":"","family":"Kotlar","given":"Ali Mehmandoost","non-dropping-particle":"","parse-names":false,"suffix":""},{"dropping-particle":"","family":"Singh","given":"Jasdeep","non-dropping-particle":"","parse-names":false,"suffix":""},{"dropping-particle":"","family":"Kumar","given":"Sandeep","non-dropping-particle":"","parse-names":false,"suffix":""}],"container-title":"Soil Science Society of America Journal","id":"ITEM-1","issue":"5","issued":{"date-parts":[["2022"]]},"page":"1227-1240","title":"Prediction of greenhouse gas emissions from agricultural fields with and without cover crops","type":"article-journal","volume":"86"},"uris":["http://www.mendeley.com/documents/?uuid=e34ff80c-ecea-4794-986b-714ee9bf772a"]},{"id":"ITEM-2","itemData":{"DOI":"10.1002/jeq2.20637","ISSN":"15372537","PMID":"39384550","abstract":"Soil nitrous oxide (N2O) emissions exhibit high variability in intensively managed cropping systems, which challenges our ability to understand their complex interactions with controlling factors. We leveraged 17 years (2003–2019) of measurements at the Kellogg Biological Station Long-Term Ecological Research (LTER)/Long-Term Agroecosystem Research (LTAR) site to better understand the controls of N2O emissions in four corn–soybean–winter wheat rotations employing conventional, no-till, reduced input, and biologically based/organic inputs. We used a random forest machine learning model to predict daily N2O fluxes, trained separately for each system with 70% of observations, using variables such as crop species, daily air temperature, cumulative 2-day precipitation, water-filled pore space, and soil nitrate and ammonium concentrations. The model explained 29%–42% of daily N2O flux variability in the test data, with greater predictability for the corn phase in each system. The long-term rotations showed different controlling factors and threshold conditions influencing N2O emissions. In the conventional system, the model identified ammonium (&gt;15 kg N ha−1) and daily air temperature (&gt;23°C) as the most influential variables; in the no-till system, climate variables such as precipitation and air temperature were important variables. In low-input and organic systems, where red clover (Trifolium repens L.; before corn) and cereal rye (Secale cereale L.; before soybean) cover crops were integrated, nitrate was the predominant predictor of N2O emissions, followed by precipitation and air temperature. In low-input and biologically based systems, red clover residues increased soil nitrogen availability to influence N2O emissions. Long-term data facilitated machine learning for predicting N2O emissions in response to differential controls and threshold responses to management, environmental, and biogeochemical drivers.","author":[{"dropping-particle":"","family":"Dhaliwal","given":"Jashanjeet Kaur","non-dropping-particle":"","parse-names":false,"suffix":""},{"dropping-particle":"","family":"Panday","given":"Dinesh","non-dropping-particle":"","parse-names":false,"suffix":""},{"dropping-particle":"","family":"Robertson","given":"G. Philip","non-dropping-particle":"","parse-names":false,"suffix":""},{"dropping-particle":"","family":"Saha","given":"Debasish","non-dropping-particle":"","parse-names":false,"suffix":""}],"container-title":"Journal of Environmental Quality","id":"ITEM-2","issue":"1","issued":{"date-parts":[["2024"]]},"page":"132-146","title":"Machine learning reveals dynamic controls of soil nitrous oxide emissions from diverse long-term cropping systems","type":"article-journal","volume":"54"},"uris":["http://www.mendeley.com/documents/?uuid=df39d508-6fab-476b-afc8-a60781f12fc8"]},{"id":"ITEM-3","itemData":{"DOI":"10.1002/agj2.21185","ISSN":"14350645","abstract":"Cover crops improve soil health and reduce the risk of soil erosion. However, their impact on the carbon dioxide equivalence (CO2e) is unknown. Therefore, the objective of this 2-yr study was to quantify the effect of cover crop-induced differences in soil moisture, temperature, organic C, and microorganisms on CO2e, and to develop machine learning algorithms that predict daily N2O–N and CO2–C emissions. The prediction models tested were multiple linear regression, partial least square regression, support vector machine, random forest (RF), and artificial neural network. Models’ performance was accessed using R2, RMSE and mean of absolute value of error. Rye (Secale cereale L.) was dormant seeded in mid-October, and in the following spring it was terminated at corn's (Zea mays L.) V4 growth stage. Soil temperature, moisture, and N2O–N and CO2–C emissions were measured near continuously from soil thaw to harvest in 2019 and 2020. Prior to termination, the cover crop decreased N2O–N emissions by 34% (p =.05), and over the entire season, N2O–N emissions from cover crop and no cover crop treatments were similar (p =.71). Based on N2O–N and CO2–C emissions over the entire season and the estimated fixed cover crop-C remaining in the soil, the partial CO2e were −1,061 and 496 kg CO2e ha–1 in the cover crop and no cover crop treatments, respectively. The RF algorithm explained more of the daily N2O–N (73%) and CO2–C (85%) emissions variability during validation than the other models. Across models, the most important variables were temperature and the amount of cover crop-C added to the soil.","author":[{"dropping-particle":"","family":"Joshi","given":"Deepak R.","non-dropping-particle":"","parse-names":false,"suffix":""},{"dropping-particle":"","family":"Clay","given":"David E.","non-dropping-particle":"","parse-names":false,"suffix":""},{"dropping-particle":"","family":"Clay","given":"Sharon A.","non-dropping-particle":"","parse-names":false,"suffix":""},{"dropping-particle":"","family":"Moriles-Miller","given":"Janet","non-dropping-particle":"","parse-names":false,"suffix":""},{"dropping-particle":"","family":"Daigh","given":"Aaron L.M.","non-dropping-particle":"","parse-names":false,"suffix":""},{"dropping-particle":"","family":"Reicks","given":"Graig","non-dropping-particle":"","parse-names":false,"suffix":""},{"dropping-particle":"","family":"Westhoff","given":"Shaina","non-dropping-particle":"","parse-names":false,"suffix":""}],"container-title":"Agronomy Journal","id":"ITEM-3","issue":"3","issued":{"date-parts":[["2024"]]},"page":"795-809","title":"Quantification and machine learning based N2O–N and CO2–C emissions predictions from a decomposing rye cover crop","type":"article-journal","volume":"116"},"uris":["http://www.mendeley.com/documents/?uuid=faf8ea33-416c-4ac1-ab29-c17116ace26c"]},{"id":"ITEM-4","itemData":{"DOI":"10.1088/2515-7620/ad707c","ISSN":"25157620","abstract":"Nitrous oxide is the largest source of greenhouse gas emissions from crop production. There is significant interest in targeting marginal lands for growing biomass crops, however little information is available on how this will affect N2O emissions from these crops. Furthermore, to characterize N2O emission at the farm level to quantify mitigation using measurements is time intensive, costly, and impractical. We selected a highly diverse watershed varying in soil texture and topography to compare two approaches for modeling soil N2O emissions using machine learning, intensive measurements of soil environment and climate variables, with the other only using remotely sensed variables. We confirmed that soil nitrogen was the most important variable followed by soil environment as influence by soil characteristic, topography, and climate. We also found that the machine learning model built on remotely sensed variables performed as well as when direct site level measurements were available. This finding supports the potential of using remotely sensed data to build machine learning models to characterize soil N2O emissions without the need for intensive soil measurements for entity level assessments.","author":[{"dropping-particle":"","family":"Adler","given":"Paul R.","non-dropping-particle":"","parse-names":false,"suffix":""},{"dropping-particle":"","family":"Nguyen","given":"Hai","non-dropping-particle":"","parse-names":false,"suffix":""},{"dropping-particle":"","family":"Rau","given":"Benjamin M.","non-dropping-particle":"","parse-names":false,"suffix":""},{"dropping-particle":"","family":"Dell","given":"Curtis J.","non-dropping-particle":"","parse-names":false,"suffix":""}],"container-title":"Environmental Research Communications","id":"ITEM-4","issue":"9","issued":{"date-parts":[["2024"]]},"publisher":"IOP Publishing","title":"Modeling N2O emissions with remotely sensed variables using machine learning","type":"article-journal","volume":"6"},"uris":["http://www.mendeley.com/documents/?uuid=c7a4059a-df16-4d71-9e94-149c77e43b2f"]},{"id":"ITEM-5","itemData":{"DOI":"10.1007/s10533-023-01095-y","ISBN":"0123456789","ISSN":"1573515X","abstract":"Drained agricultural peatlands occupy only 1% of agricultural land but are estimated to be responsible for approximately one third of global cropland greenhouse gas emissions. However, recent studies show that greenhouse gases fluxes from agricultural peatlands can vary by orders of magnitude over time. The relationship between these hot moments (individual fluxes with disproportionate impact on annual budgets) of greenhouse gas emissions and individual chamber locations (i.e. hot spots with disproportionate observations of hot moments) is poorly understood, but may help elucidate patterns and drivers of high greenhouse gas emissions from agricultural peatland soils. We used continuous chamber-based flux measurements across three land uses (corn, alfalfa, and pasture) to quantify the spatiotemporal patterns of soil greenhouse gas emissions from temperate agricultural peatlands in the Sacramento-San Joaquin Delta of California. We found that the location of hot spots of emissions varied over time and were not consistent across annual timescales. Hot moments of nitrous oxide (N2O) and carbon dioxide (CO2) fluxes were more evenly distributed across space than methane (CH4). In the corn system, hot moments of CH4 flux were often isolated to a single location but locations were not consistent across years. Spatiotemporal variability in soil moisture, soil oxygen, and temperature helped explain patterns in N2O fluxes in the annual corn agroecosystem but were less informative for perennial alfalfa N2O fluxes or CH4 fluxes across ecosystems, potentially due to insufficient spatiotemporal resolution of the associated drivers. Overall, our results do not support the concept of persistent hot spots of soil CO2, CH4, and N2O emissions in these drained agricultural peatlands. Hot moments of high flux events generally varied in space and time and thus required high sample densities. Our results highlight the importance of constraining hot moments and their controls to better quantify ecosystem greenhouse gas budgets.","author":[{"dropping-particle":"","family":"Anthony","given":"Tyler L.","non-dropping-particle":"","parse-names":false,"suffix":""},{"dropping-particle":"","family":"Silver","given":"Whendee L.","non-dropping-particle":"","parse-names":false,"suffix":""}],"container-title":"Biogeochemistry","id":"ITEM-5","issue":"4","issued":{"date-parts":[["2024"]]},"page":"461-477","publisher":"Springer International Publishing","title":"Hot spots and hot moments of greenhouse gas emissions in agricultural peatlands","type":"article-journal","volume":"167"},"uris":["http://www.mendeley.com/documents/?uuid=feadb5c1-9930-44fc-a72f-f2aa95f43192"]}],"mendeley":{"formattedCitation":"(Kotlar et al., 2022; Adler et al., 2024; Anthony and Silver, 2024; Dhaliwal et al., 2024d; Joshi et al., 2024)","manualFormatting":"(Adler et al., 2024; Anthony &amp; Silver, 2024; Dhaliwal et al., 2024b; Joshi et al., 2024; Kotlar et al., 2022)","plainTextFormattedCitation":"(Kotlar et al., 2022; Adler et al., 2024; Anthony and Silver, 2024; Dhaliwal et al., 2024d; Joshi et al., 2024)","previouslyFormattedCitation":"(Kotlar et al., 2022; Adler et al., 2024; Anthony and Silver, 2024; Dhaliwal et al., 2024d; Joshi et al., 2024)"},"properties":{"noteIndex":0},"schema":"https://github.com/citation-style-language/schema/raw/master/csl-citation.json"}</w:instrText>
      </w:r>
      <w:r w:rsidRPr="00203EB0">
        <w:rPr>
          <w:szCs w:val="24"/>
        </w:rPr>
        <w:fldChar w:fldCharType="separate"/>
      </w:r>
      <w:r w:rsidRPr="00203EB0">
        <w:rPr>
          <w:noProof/>
          <w:szCs w:val="24"/>
        </w:rPr>
        <w:t>(Adler et al., 2024; Anthony &amp; Silver, 2024; Dhaliwal et al., 2024b; Joshi et al., 2024; Kotlar et al., 2022)</w:t>
      </w:r>
      <w:r w:rsidRPr="00203EB0">
        <w:rPr>
          <w:szCs w:val="24"/>
        </w:rPr>
        <w:fldChar w:fldCharType="end"/>
      </w:r>
      <w:r w:rsidRPr="00203EB0">
        <w:rPr>
          <w:szCs w:val="24"/>
        </w:rPr>
        <w:t>. It is also important to accurately represent the dynamics of background fluxes to ensure reliable cumulative emissions estimates, as these fluxes dominate the temporal dataset despite their lower magnitude. This typically skewed distribution, where the proportion of background emissions and hot moments are imbalanced (i.e. class imbalance), makes it challenging to train</w:t>
      </w:r>
      <w:r w:rsidR="0048523B" w:rsidRPr="00203EB0">
        <w:rPr>
          <w:szCs w:val="24"/>
        </w:rPr>
        <w:t xml:space="preserve"> </w:t>
      </w:r>
      <w:r w:rsidRPr="00203EB0">
        <w:rPr>
          <w:szCs w:val="24"/>
        </w:rPr>
        <w:t>data-driven</w:t>
      </w:r>
      <w:r w:rsidR="0048523B" w:rsidRPr="00203EB0">
        <w:rPr>
          <w:szCs w:val="24"/>
        </w:rPr>
        <w:t xml:space="preserve"> </w:t>
      </w:r>
      <w:r w:rsidRPr="00203EB0">
        <w:rPr>
          <w:szCs w:val="24"/>
        </w:rPr>
        <w:t>models</w:t>
      </w:r>
      <w:r w:rsidR="0048523B" w:rsidRPr="00203EB0">
        <w:rPr>
          <w:szCs w:val="24"/>
        </w:rPr>
        <w:t xml:space="preserve"> </w:t>
      </w:r>
      <w:r w:rsidRPr="00203EB0">
        <w:rPr>
          <w:szCs w:val="24"/>
        </w:rPr>
        <w:t xml:space="preserve">that can accurately predict both emissions regimes. </w:t>
      </w:r>
    </w:p>
    <w:p w14:paraId="486E82E4" w14:textId="4EB16E1F" w:rsidR="005751D4" w:rsidRPr="00203EB0" w:rsidRDefault="005751D4" w:rsidP="00FE7DF1">
      <w:pPr>
        <w:pStyle w:val="ParaText"/>
        <w:spacing w:line="480" w:lineRule="auto"/>
        <w:ind w:firstLine="0"/>
        <w:contextualSpacing/>
        <w:jc w:val="both"/>
        <w:rPr>
          <w:szCs w:val="24"/>
        </w:rPr>
      </w:pPr>
      <w:r w:rsidRPr="00203EB0">
        <w:rPr>
          <w:szCs w:val="24"/>
        </w:rPr>
        <w:t xml:space="preserve">Accurately distinguishing hot-moments from background emissions remains a challenge, as standardized quantitative methods are still lacking </w:t>
      </w:r>
      <w:r w:rsidRPr="00203EB0">
        <w:rPr>
          <w:szCs w:val="24"/>
        </w:rPr>
        <w:fldChar w:fldCharType="begin" w:fldLock="1"/>
      </w:r>
      <w:r w:rsidR="00EB2F35" w:rsidRPr="00203EB0">
        <w:rPr>
          <w:szCs w:val="24"/>
        </w:rPr>
        <w:instrText>ADDIN CSL_CITATION {"citationItems":[{"id":"ITEM-1","itemData":{"DOI":"10.1007/s10021-016-0103-y","ISSN":"14350629","abstract":"The phrase “hot spots and hot moments” first entered the lexicon in 2003, following the publication of the paper “Biogeochemical hot spots and hot moments at the interface of terrestrial and aquatic ecosystems” by McClain and others (Ecosystems 6:301–312, 2003). This paper described the potential for rare places and rare events to exert a disproportionate influence on the movement of elements at the scale of landscapes and ecosystems. Here, we examine how the cleverly named hot spot and hot moment concept (hereafter HSHM) has influenced biogeochemistry and ecosystem science over the last 13 years. We specifically examined the extent to which the HSHM concept has: (1) motivated research aimed at understanding how and why biogeochemical behavior varies across spatiotemporal scales; (2) improved our ability to detect HSHM phenomena; and (3) influenced our approaches to restoration and ecosystem management practices. We found that the HSHM concept has provided a highly fertile framework for a substantial volume of research on the spatial and temporal dynamics of nutrient cycling, and in doing so, has improved our understanding of when and where biogeochemical rates are maximized. Despite the high usage of the term, we found limited examples of rigorous statistical or modeling approaches that would allow ecosystem scientists to not only identify, but scale the aggregate impact of HSHM on ecosystem processes. We propose that the phrase “hot spots and hot moments” includes two implicit assumptions that may actually be limiting progress in applying the concept. First, by differentiating “hot spots” from “hot moments,” the phrase separates the spatial and temporal components of biogeochemical behavior. Instead, we argue that the temporal dynamics of a putative hot spot are a fundamental trait that should be used in their description. Second, the adjective “hot” implicitly suggests that a place or a time must be dichotomously classified as “hot or not.” We suggest instead that each landscape of interest contains a wide range of biogeochemical process rates that respond to critical drivers, and the gradations of this biogeochemical topography are of greater interest than the maximum peaks. For these reasons, we recommend replacing the HSHM terminology with the more nuanced term ecosystem control points. “Ecosystem control” suggests that the rate must be of sufficient magnitude or ubiquity to affect dynamics of the ecosystem, while “points” allows for descriptions …","author":[{"dropping-particle":"","family":"Bernhardt","given":"Emily S.","non-dropping-particle":"","parse-names":false,"suffix":""},{"dropping-particle":"","family":"Blaszczak","given":"Joanna R.","non-dropping-particle":"","parse-names":false,"suffix":""},{"dropping-particle":"","family":"Ficken","given":"Cari D.","non-dropping-particle":"","parse-names":false,"suffix":""},{"dropping-particle":"","family":"Fork","given":"Megan L.","non-dropping-particle":"","parse-names":false,"suffix":""},{"dropping-particle":"","family":"Kaiser","given":"Kendra E.","non-dropping-particle":"","parse-names":false,"suffix":""},{"dropping-particle":"","family":"Seybold","given":"Erin C.","non-dropping-particle":"","parse-names":false,"suffix":""}],"container-title":"Ecosystems","id":"ITEM-1","issue":"4","issued":{"date-parts":[["2017"]]},"page":"665-682","publisher":"Springer US","title":"Control points in ecosystems: moving beyond the hot spot hot moment concept","type":"article-journal","volume":"20"},"uris":["http://www.mendeley.com/documents/?uuid=ba5bb8a7-a786-4e3b-b06c-de194b15b002"]}],"mendeley":{"formattedCitation":"(Bernhardt et al., 2017)","plainTextFormattedCitation":"(Bernhardt et al., 2017)","previouslyFormattedCitation":"(Bernhardt et al., 2017)"},"properties":{"noteIndex":0},"schema":"https://github.com/citation-style-language/schema/raw/master/csl-citation.json"}</w:instrText>
      </w:r>
      <w:r w:rsidRPr="00203EB0">
        <w:rPr>
          <w:szCs w:val="24"/>
        </w:rPr>
        <w:fldChar w:fldCharType="separate"/>
      </w:r>
      <w:r w:rsidRPr="00203EB0">
        <w:rPr>
          <w:noProof/>
          <w:szCs w:val="24"/>
        </w:rPr>
        <w:t>(Bernhardt et al., 2017)</w:t>
      </w:r>
      <w:r w:rsidRPr="00203EB0">
        <w:rPr>
          <w:szCs w:val="24"/>
        </w:rPr>
        <w:fldChar w:fldCharType="end"/>
      </w:r>
      <w:r w:rsidRPr="00203EB0">
        <w:rPr>
          <w:szCs w:val="24"/>
        </w:rPr>
        <w:t xml:space="preserve">. Recent work by </w:t>
      </w:r>
      <w:r w:rsidRPr="00203EB0">
        <w:rPr>
          <w:szCs w:val="24"/>
        </w:rPr>
        <w:fldChar w:fldCharType="begin" w:fldLock="1"/>
      </w:r>
      <w:r w:rsidR="004179E3" w:rsidRPr="00203EB0">
        <w:rPr>
          <w:szCs w:val="24"/>
        </w:rPr>
        <w:instrText>ADDIN CSL_CITATION {"citationItems":[{"id":"ITEM-1","itemData":{"DOI":"10.1029/2024JG008138","ISSN":"21698961","abstract":"Effectively quantifying hot moments of nitrous oxide (N2O) emissions from agricultural soils is critical for managing this potent greenhouse gas. However, we are challenged by a lack of standard approaches for identifying hot moments, including (a) determining thresholds above which emissions are considered hot moments, and (b) considering seasonal variation in the magnitude and frequency distribution of net N2O fluxes. We used one year of hourly N2O flux measurements from 16 autochambers that varied in flux magnitude and frequency distribution in a conventionally tilled maize field in central Illinois, USA, to compare three approaches to identify hot moment thresholds: standard deviations (SD) above the mean, 1.5x the interquartile range (IQR), and isolation forest (IF) identification of anomalous values. We also compared these approaches on seasonally subdivided data (early, late, and non-growing seasons) versus the whole year. Our analyses revealed that 1.5x IQR method best identified N2O hot moments. In contrast, using 2 or 4 SD both yielded hot moment threshold values too high, and IF yielded threshold values too low, leading to missed N2O hot moments or low net N2O fluxes mischaracterized as hot moments, respectively. Furthermore, seasonally subdividing the data set not only facilitated identification of smaller hot moments in the late- and non-growing seasons when N2O hot moments were generally smaller but it also increased hot moment threshold values in the early growing season when N2O hot moments were larger. Consequently, of the methods evaluated here, we recommend using the 1.5x IQR method on whole year data sets to identify N2O hot moments.","author":[{"dropping-particle":"","family":"Stuchiner","given":"Emily R.","non-dropping-particle":"","parse-names":false,"suffix":""},{"dropping-particle":"","family":"Xu","given":"Jiacheng","non-dropping-particle":"","parse-names":false,"suffix":""},{"dropping-particle":"","family":"Eddy","given":"William C.","non-dropping-particle":"","parse-names":false,"suffix":""},{"dropping-particle":"","family":"DeLucia","given":"Evan H.","non-dropping-particle":"","parse-names":false,"suffix":""},{"dropping-particle":"","family":"Yang","given":"Wendy H.","non-dropping-particle":"","parse-names":false,"suffix":""}],"container-title":"Journal of Geophysical Research: Biogeosciences","id":"ITEM-1","issue":"1","issued":{"date-parts":[["2025"]]},"title":"Hot or not? An evaluation of methods for identifying hot moments of nitrous oxide emissions from soils","type":"article-journal","volume":"130"},"uris":["http://www.mendeley.com/documents/?uuid=30c81516-ac21-486c-b96b-b16edff4d289"]}],"mendeley":{"formattedCitation":"(Stuchiner et al., 2025)","manualFormatting":"Stuchiner et al. (2025)","plainTextFormattedCitation":"(Stuchiner et al., 2025)","previouslyFormattedCitation":"(Stuchiner et al., 2025)"},"properties":{"noteIndex":0},"schema":"https://github.com/citation-style-language/schema/raw/master/csl-citation.json"}</w:instrText>
      </w:r>
      <w:r w:rsidRPr="00203EB0">
        <w:rPr>
          <w:szCs w:val="24"/>
        </w:rPr>
        <w:fldChar w:fldCharType="separate"/>
      </w:r>
      <w:r w:rsidRPr="00203EB0">
        <w:rPr>
          <w:noProof/>
          <w:szCs w:val="24"/>
        </w:rPr>
        <w:t>Stuchiner et al. (2025)</w:t>
      </w:r>
      <w:r w:rsidRPr="00203EB0">
        <w:rPr>
          <w:szCs w:val="24"/>
        </w:rPr>
        <w:fldChar w:fldCharType="end"/>
      </w:r>
      <w:r w:rsidRPr="00203EB0">
        <w:rPr>
          <w:szCs w:val="24"/>
        </w:rPr>
        <w:t xml:space="preserve"> addressed this gap by evaluating various outlier detection algorithms to classify N</w:t>
      </w:r>
      <w:r w:rsidRPr="00203EB0">
        <w:rPr>
          <w:szCs w:val="24"/>
          <w:vertAlign w:val="subscript"/>
        </w:rPr>
        <w:t>2</w:t>
      </w:r>
      <w:r w:rsidRPr="00203EB0">
        <w:rPr>
          <w:szCs w:val="24"/>
        </w:rPr>
        <w:t xml:space="preserve">O fluxes. However, most traditional approaches using ML models still attempt to predict both background and hot-moments emissions with a single model, even though datasets are dominated by background fluxes and provide few cases of high-emission events for effective learning. This imbalance often causes models to replicate </w:t>
      </w:r>
      <w:r w:rsidRPr="00203EB0">
        <w:rPr>
          <w:szCs w:val="24"/>
        </w:rPr>
        <w:lastRenderedPageBreak/>
        <w:t xml:space="preserve">background dynamics and struggle to capture peak fluxes accurately </w:t>
      </w:r>
      <w:r w:rsidRPr="00203EB0">
        <w:rPr>
          <w:szCs w:val="24"/>
        </w:rPr>
        <w:fldChar w:fldCharType="begin" w:fldLock="1"/>
      </w:r>
      <w:r w:rsidR="00EB2F35" w:rsidRPr="00203EB0">
        <w:rPr>
          <w:szCs w:val="24"/>
        </w:rPr>
        <w:instrText>ADDIN CSL_CITATION {"citationItems":[{"id":"ITEM-1","itemData":{"DOI":"10.1088/2515-7620/ad707c","ISSN":"25157620","abstract":"Nitrous oxide is the largest source of greenhouse gas emissions from crop production. There is significant interest in targeting marginal lands for growing biomass crops, however little information is available on how this will affect N2O emissions from these crops. Furthermore, to characterize N2O emission at the farm level to quantify mitigation using measurements is time intensive, costly, and impractical. We selected a highly diverse watershed varying in soil texture and topography to compare two approaches for modeling soil N2O emissions using machine learning, intensive measurements of soil environment and climate variables, with the other only using remotely sensed variables. We confirmed that soil nitrogen was the most important variable followed by soil environment as influence by soil characteristic, topography, and climate. We also found that the machine learning model built on remotely sensed variables performed as well as when direct site level measurements were available. This finding supports the potential of using remotely sensed data to build machine learning models to characterize soil N2O emissions without the need for intensive soil measurements for entity level assessments.","author":[{"dropping-particle":"","family":"Adler","given":"Paul R.","non-dropping-particle":"","parse-names":false,"suffix":""},{"dropping-particle":"","family":"Nguyen","given":"Hai","non-dropping-particle":"","parse-names":false,"suffix":""},{"dropping-particle":"","family":"Rau","given":"Benjamin M.","non-dropping-particle":"","parse-names":false,"suffix":""},{"dropping-particle":"","family":"Dell","given":"Curtis J.","non-dropping-particle":"","parse-names":false,"suffix":""}],"container-title":"Environmental Research Communications","id":"ITEM-1","issue":"9","issued":{"date-parts":[["2024"]]},"publisher":"IOP Publishing","title":"Modeling N2O emissions with remotely sensed variables using machine learning","type":"article-journal","volume":"6"},"uris":["http://www.mendeley.com/documents/?uuid=c7a4059a-df16-4d71-9e94-149c77e43b2f"]},{"id":"ITEM-2","itemData":{"DOI":"10.1007/s10533-023-01095-y","ISBN":"0123456789","ISSN":"1573515X","abstract":"Drained agricultural peatlands occupy only 1% of agricultural land but are estimated to be responsible for approximately one third of global cropland greenhouse gas emissions. However, recent studies show that greenhouse gases fluxes from agricultural peatlands can vary by orders of magnitude over time. The relationship between these hot moments (individual fluxes with disproportionate impact on annual budgets) of greenhouse gas emissions and individual chamber locations (i.e. hot spots with disproportionate observations of hot moments) is poorly understood, but may help elucidate patterns and drivers of high greenhouse gas emissions from agricultural peatland soils. We used continuous chamber-based flux measurements across three land uses (corn, alfalfa, and pasture) to quantify the spatiotemporal patterns of soil greenhouse gas emissions from temperate agricultural peatlands in the Sacramento-San Joaquin Delta of California. We found that the location of hot spots of emissions varied over time and were not consistent across annual timescales. Hot moments of nitrous oxide (N2O) and carbon dioxide (CO2) fluxes were more evenly distributed across space than methane (CH4). In the corn system, hot moments of CH4 flux were often isolated to a single location but locations were not consistent across years. Spatiotemporal variability in soil moisture, soil oxygen, and temperature helped explain patterns in N2O fluxes in the annual corn agroecosystem but were less informative for perennial alfalfa N2O fluxes or CH4 fluxes across ecosystems, potentially due to insufficient spatiotemporal resolution of the associated drivers. Overall, our results do not support the concept of persistent hot spots of soil CO2, CH4, and N2O emissions in these drained agricultural peatlands. Hot moments of high flux events generally varied in space and time and thus required high sample densities. Our results highlight the importance of constraining hot moments and their controls to better quantify ecosystem greenhouse gas budgets.","author":[{"dropping-particle":"","family":"Anthony","given":"Tyler L.","non-dropping-particle":"","parse-names":false,"suffix":""},{"dropping-particle":"","family":"Silver","given":"Whendee L.","non-dropping-particle":"","parse-names":false,"suffix":""}],"container-title":"Biogeochemistry","id":"ITEM-2","issue":"4","issued":{"date-parts":[["2024"]]},"page":"461-477","publisher":"Springer International Publishing","title":"Hot spots and hot moments of greenhouse gas emissions in agricultural peatlands","type":"article-journal","volume":"167"},"uris":["http://www.mendeley.com/documents/?uuid=feadb5c1-9930-44fc-a72f-f2aa95f43192"]}],"mendeley":{"formattedCitation":"(Adler et al., 2024; Anthony and Silver, 2024)","plainTextFormattedCitation":"(Adler et al., 2024; Anthony and Silver, 2024)","previouslyFormattedCitation":"(Adler et al., 2024; Anthony and Silver, 2024)"},"properties":{"noteIndex":0},"schema":"https://github.com/citation-style-language/schema/raw/master/csl-citation.json"}</w:instrText>
      </w:r>
      <w:r w:rsidRPr="00203EB0">
        <w:rPr>
          <w:szCs w:val="24"/>
        </w:rPr>
        <w:fldChar w:fldCharType="separate"/>
      </w:r>
      <w:r w:rsidR="00EB2F35" w:rsidRPr="00203EB0">
        <w:rPr>
          <w:noProof/>
          <w:szCs w:val="24"/>
        </w:rPr>
        <w:t>(Adler et al., 2024; Anthony and Silver, 2024)</w:t>
      </w:r>
      <w:r w:rsidRPr="00203EB0">
        <w:rPr>
          <w:szCs w:val="24"/>
        </w:rPr>
        <w:fldChar w:fldCharType="end"/>
      </w:r>
      <w:r w:rsidRPr="00203EB0">
        <w:rPr>
          <w:szCs w:val="24"/>
        </w:rPr>
        <w:t xml:space="preserve">. A more targeted approach that separates background and hot-moment emissions and trains specialized models for each group of observations could significantly improve predictive accuracy, particularly for capturing peak flux events. </w:t>
      </w:r>
    </w:p>
    <w:p w14:paraId="52A051D9" w14:textId="00E4A533" w:rsidR="005751D4" w:rsidRPr="00203EB0" w:rsidRDefault="005751D4" w:rsidP="00FE7DF1">
      <w:pPr>
        <w:pStyle w:val="ParaText"/>
        <w:spacing w:line="480" w:lineRule="auto"/>
        <w:ind w:firstLine="0"/>
        <w:contextualSpacing/>
        <w:jc w:val="both"/>
        <w:rPr>
          <w:szCs w:val="24"/>
        </w:rPr>
      </w:pPr>
      <w:r w:rsidRPr="00203EB0">
        <w:rPr>
          <w:szCs w:val="24"/>
        </w:rPr>
        <w:t>In this study, we introduce a novel modeling approach, referred to as the “Class-Swap” modeling framework, for predicting daily N</w:t>
      </w:r>
      <w:r w:rsidRPr="00203EB0">
        <w:rPr>
          <w:szCs w:val="24"/>
          <w:vertAlign w:val="subscript"/>
        </w:rPr>
        <w:t>2</w:t>
      </w:r>
      <w:r w:rsidRPr="00203EB0">
        <w:rPr>
          <w:szCs w:val="24"/>
        </w:rPr>
        <w:t>O emissions. This approach involves two steps: first, flux observations are segmented into two categories background emissions and hot moments using an outlier detection algorithm. Second, following this classification,</w:t>
      </w:r>
      <w:r w:rsidR="00781C25" w:rsidRPr="00203EB0">
        <w:rPr>
          <w:szCs w:val="24"/>
        </w:rPr>
        <w:t xml:space="preserve"> </w:t>
      </w:r>
      <w:r w:rsidRPr="00203EB0">
        <w:rPr>
          <w:szCs w:val="24"/>
        </w:rPr>
        <w:t xml:space="preserve">separate RF models are trained </w:t>
      </w:r>
      <w:proofErr w:type="gramStart"/>
      <w:r w:rsidRPr="00203EB0">
        <w:rPr>
          <w:szCs w:val="24"/>
        </w:rPr>
        <w:t>on</w:t>
      </w:r>
      <w:proofErr w:type="gramEnd"/>
      <w:r w:rsidRPr="00203EB0">
        <w:rPr>
          <w:szCs w:val="24"/>
        </w:rPr>
        <w:t xml:space="preserve"> each category, and thus are each tailored to one of the emission classes. During model validation, the appropriate model is dynamically selected based on the flux classification for the time point to predict N</w:t>
      </w:r>
      <w:r w:rsidRPr="00203EB0">
        <w:rPr>
          <w:szCs w:val="24"/>
          <w:vertAlign w:val="subscript"/>
        </w:rPr>
        <w:t>2</w:t>
      </w:r>
      <w:r w:rsidRPr="00203EB0">
        <w:rPr>
          <w:szCs w:val="24"/>
        </w:rPr>
        <w:t>O fluxes. This ensemble strategy has the potential to improve N</w:t>
      </w:r>
      <w:r w:rsidRPr="00203EB0">
        <w:rPr>
          <w:szCs w:val="24"/>
          <w:vertAlign w:val="subscript"/>
        </w:rPr>
        <w:t>2</w:t>
      </w:r>
      <w:r w:rsidRPr="00203EB0">
        <w:rPr>
          <w:szCs w:val="24"/>
        </w:rPr>
        <w:t xml:space="preserve">O predictions, as similar multi-model approaches have enhanced process-based simulations under contrasting emission conditions </w:t>
      </w:r>
      <w:r w:rsidRPr="00203EB0">
        <w:rPr>
          <w:szCs w:val="24"/>
        </w:rPr>
        <w:fldChar w:fldCharType="begin" w:fldLock="1"/>
      </w:r>
      <w:r w:rsidR="004179E3" w:rsidRPr="00203EB0">
        <w:rPr>
          <w:szCs w:val="24"/>
        </w:rPr>
        <w:instrText>ADDIN CSL_CITATION {"citationItems":[{"id":"ITEM-1","itemData":{"DOI":"10.1029/2019JG005261","ISSN":"21698961","abstract":"Process-based models are useful for assessing the impact of changing management practices and climate on yields and greenhouse gas (GHG) emissions from agricultural systems such as grasslands. They can be used to construct national GHG inventories using a Tier 3 approach. However, accurate simulations of nitrous oxide (N2O) fluxes remain challenging. Models are limited by our understanding of soil-plant-microbe interactions and the impact of uncertainty in measured input parameters on simulated outputs. To improve model performance, thorough evaluations against in situ measurements are needed. Experimental data of N2O emissions under two management practices (control with typical fertilization versus increased clover and no fertilization) were acquired in a Swiss field experiment. We conducted a multimodel evaluation with three commonly used biogeochemical models (DayCent in two variants, PaSim, APSIM in two variants) comparing four years of data. DayCent was the most accurate model for simulating N2O fluxes on annual timescales, while APSIM was most accurate for daily N2O fluxes. The multimodel ensemble average reduced the error in estimated annual fluxes by 41% compared to an estimate using the Intergovernmental Panel on Climate Change (IPCC)-derived method for the Swiss agricultural GHG inventory (IPCC-Swiss), but individual models were not systematically more accurate than IPCC-Swiss. The model ensemble overestimated the N2O mitigation effect of the clover-based treatment (measured: 39–45%; ensemble: 52–57%) but was more accurate than IPCC-Swiss (IPCC-Swiss: 72–81%). These results suggest that multimodel ensembles are valuable for estimating the impact of climate and management on N2O emissions.","author":[{"dropping-particle":"","family":"Fuchs","given":"Kathrin","non-dropping-particle":"","parse-names":false,"suffix":""},{"dropping-particle":"","family":"Merbold","given":"Lutz","non-dropping-particle":"","parse-names":false,"suffix":""},{"dropping-particle":"","family":"Buchmann","given":"Nina","non-dropping-particle":"","parse-names":false,"suffix":""},{"dropping-particle":"","family":"Bretscher","given":"Daniel","non-dropping-particle":"","parse-names":false,"suffix":""},{"dropping-particle":"","family":"Brilli","given":"Lorenzo","non-dropping-particle":"","parse-names":false,"suffix":""},{"dropping-particle":"","family":"Fitton","given":"Nuala","non-dropping-particle":"","parse-names":false,"suffix":""},{"dropping-particle":"","family":"Topp","given":"Cairistiona F.E.","non-dropping-particle":"","parse-names":false,"suffix":""},{"dropping-particle":"","family":"Klumpp","given":"Katja","non-dropping-particle":"","parse-names":false,"suffix":""},{"dropping-particle":"","family":"Lieffering","given":"Mark","non-dropping-particle":"","parse-names":false,"suffix":""},{"dropping-particle":"","family":"Martin","given":"Raphaël","non-dropping-particle":"","parse-names":false,"suffix":""},{"dropping-particle":"","family":"Newton","given":"Paul C.D.","non-dropping-particle":"","parse-names":false,"suffix":""},{"dropping-particle":"","family":"Rees","given":"Robert M.","non-dropping-particle":"","parse-names":false,"suffix":""},{"dropping-particle":"","family":"Rolinski","given":"Susanne","non-dropping-particle":"","parse-names":false,"suffix":""},{"dropping-particle":"","family":"Smith","given":"Pete","non-dropping-particle":"","parse-names":false,"suffix":""},{"dropping-particle":"","family":"Snow","given":"Val","non-dropping-particle":"","parse-names":false,"suffix":""}],"container-title":"Journal of Geophysical Research: Biogeosciences","id":"ITEM-1","issue":"1","issued":{"date-parts":[["2020"]]},"page":"1-21","title":"Multimodel evaluation of nitrous oxide emissions from an intensively managed grassland","type":"article-journal","volume":"125"},"uris":["http://www.mendeley.com/documents/?uuid=fcf41f32-ae3f-4a86-ab18-56c77312ebb9"]}],"mendeley":{"formattedCitation":"(Fuchs et al., 2020)","plainTextFormattedCitation":"(Fuchs et al., 2020)","previouslyFormattedCitation":"(Fuchs et al., 2020)"},"properties":{"noteIndex":0},"schema":"https://github.com/citation-style-language/schema/raw/master/csl-citation.json"}</w:instrText>
      </w:r>
      <w:r w:rsidRPr="00203EB0">
        <w:rPr>
          <w:szCs w:val="24"/>
        </w:rPr>
        <w:fldChar w:fldCharType="separate"/>
      </w:r>
      <w:r w:rsidRPr="00203EB0">
        <w:rPr>
          <w:noProof/>
          <w:szCs w:val="24"/>
        </w:rPr>
        <w:t>(Fuchs et al., 2020)</w:t>
      </w:r>
      <w:r w:rsidRPr="00203EB0">
        <w:rPr>
          <w:szCs w:val="24"/>
        </w:rPr>
        <w:fldChar w:fldCharType="end"/>
      </w:r>
      <w:r w:rsidRPr="00203EB0">
        <w:rPr>
          <w:szCs w:val="24"/>
        </w:rPr>
        <w:t xml:space="preserve">.  By analogy, applying an ensemble concept in data-driven models may help address the common challenge of underestimating hot-moment events </w:t>
      </w:r>
      <w:r w:rsidRPr="00203EB0">
        <w:rPr>
          <w:szCs w:val="24"/>
        </w:rPr>
        <w:fldChar w:fldCharType="begin" w:fldLock="1"/>
      </w:r>
      <w:r w:rsidRPr="00203EB0">
        <w:rPr>
          <w:szCs w:val="24"/>
        </w:rPr>
        <w:instrText>ADDIN CSL_CITATION {"citationItems":[{"id":"ITEM-1","itemData":{"DOI":"10.1002/eap.1674","ISSN":"19395582","PMID":"29284189","abstract":"Process-based models are increasingly used to study agroecosystem interactions and N2O emissions from agricultural fields. The widespread use of these models to conduct research and inform policy benefits from periodic model comparisons that assess the state of agroecosystem modeling and indicate areas for model improvement. This work provides an evaluation of simulated N2O flux from three process-based models: DayCent, DNDC, and EPIC. The models were calibrated and validated using data collected from two research sites over five years that represent cropping systems and nitrogen fertilizer management strategies common to dairy cropping systems. We also evaluated the use of a multi-model ensemble strategy, which inconsistently outperformed individual model estimations. Regression analysis indicated a cross-model bias to underestimate high magnitude daily and cumulative N2O flux. Model estimations of observed soil temperature and water content did not sufficiently explain model underestimations, and we found significant variation in model estimates of heterotrophic respiration, denitrification, soil NH4+, and soil NO3−, which may indicate that additional types of observed data are required to evaluate model performance and possible biases. Our results suggest a bias in the model estimation of N2O flux from agroecosystems that limits the extension of models beyond calibration and as instruments of policy development. This highlights a growing need for the modeling and measurement communities to collaborate in the collection and analysis of the data necessary to improve models and coordinate future development.","author":[{"dropping-particle":"","family":"Gaillard","given":"Richard K.","non-dropping-particle":"","parse-names":false,"suffix":""},{"dropping-particle":"","family":"Jones","given":"Curtis D.","non-dropping-particle":"","parse-names":false,"suffix":""},{"dropping-particle":"","family":"Ingraham","given":"Pete","non-dropping-particle":"","parse-names":false,"suffix":""},{"dropping-particle":"","family":"Collier","given":"Sarah","non-dropping-particle":"","parse-names":false,"suffix":""},{"dropping-particle":"","family":"Izaurralde","given":"Roberto Cesar","non-dropping-particle":"","parse-names":false,"suffix":""},{"dropping-particle":"","family":"Jokela","given":"William","non-dropping-particle":"","parse-names":false,"suffix":""},{"dropping-particle":"","family":"Osterholz","given":"William","non-dropping-particle":"","parse-names":false,"suffix":""},{"dropping-particle":"","family":"Salas","given":"William","non-dropping-particle":"","parse-names":false,"suffix":""},{"dropping-particle":"","family":"Vadas","given":"Peter","non-dropping-particle":"","parse-names":false,"suffix":""},{"dropping-particle":"","family":"Ruark","given":"Matthew D.","non-dropping-particle":"","parse-names":false,"suffix":""}],"container-title":"Ecological Applications","id":"ITEM-1","issue":"3","issued":{"date-parts":[["2018"]]},"page":"694-708","title":"Underestimation of N2O emissions in a comparison of the DayCent, DNDC, and EPIC models","type":"article-journal","volume":"28"},"uris":["http://www.mendeley.com/documents/?uuid=caa816ca-147f-4291-ab84-9a5291ce58d3"]}],"mendeley":{"formattedCitation":"(Gaillard et al., 2018)","plainTextFormattedCitation":"(Gaillard et al., 2018)","previouslyFormattedCitation":"(Gaillard et al., 2018)"},"properties":{"noteIndex":0},"schema":"https://github.com/citation-style-language/schema/raw/master/csl-citation.json"}</w:instrText>
      </w:r>
      <w:r w:rsidRPr="00203EB0">
        <w:rPr>
          <w:szCs w:val="24"/>
        </w:rPr>
        <w:fldChar w:fldCharType="separate"/>
      </w:r>
      <w:r w:rsidRPr="00203EB0">
        <w:rPr>
          <w:noProof/>
          <w:szCs w:val="24"/>
        </w:rPr>
        <w:t>(Gaillard et al., 2018)</w:t>
      </w:r>
      <w:r w:rsidRPr="00203EB0">
        <w:rPr>
          <w:szCs w:val="24"/>
        </w:rPr>
        <w:fldChar w:fldCharType="end"/>
      </w:r>
      <w:r w:rsidRPr="00203EB0">
        <w:rPr>
          <w:szCs w:val="24"/>
        </w:rPr>
        <w:t xml:space="preserve">. </w:t>
      </w:r>
    </w:p>
    <w:p w14:paraId="6B70D6AF" w14:textId="535E9FF6" w:rsidR="005751D4" w:rsidRPr="00203EB0" w:rsidRDefault="005751D4" w:rsidP="00FE7DF1">
      <w:pPr>
        <w:pStyle w:val="ParaText"/>
        <w:spacing w:line="480" w:lineRule="auto"/>
        <w:ind w:firstLine="0"/>
        <w:contextualSpacing/>
        <w:jc w:val="both"/>
        <w:rPr>
          <w:szCs w:val="24"/>
        </w:rPr>
      </w:pPr>
      <w:r w:rsidRPr="00203EB0">
        <w:rPr>
          <w:szCs w:val="24"/>
        </w:rPr>
        <w:t xml:space="preserve">To assess the effectiveness of the Class-Swap modeling approach, we compared its performance against a  traditional RF model and an alternative approach that applies an oversampling technique, often used in ML to correct for class imbalance </w:t>
      </w:r>
      <w:r w:rsidRPr="00203EB0">
        <w:rPr>
          <w:szCs w:val="24"/>
        </w:rPr>
        <w:fldChar w:fldCharType="begin" w:fldLock="1"/>
      </w:r>
      <w:r w:rsidR="004179E3" w:rsidRPr="00203EB0">
        <w:rPr>
          <w:szCs w:val="24"/>
        </w:rPr>
        <w:instrText xml:space="preserve">ADDIN CSL_CITATION {"citationItems":[{"id":"ITEM-1","itemData":{"ISBN":"013805326X","ISSN":"10769757","PMID":"18190633","abstract":"Synthetic Minority Over-sampling Technique (SMOTE) is the most popular over-sampling method. However, its random nature makes the synthesized data and even imbalanced classification results unstable. It means that in case of running SMOTE n different times, n different synthesized instances are obtained with n different classification results. To address this problem, we adapt the SMOTE idea in deep learning architecture. In this method, a deep neural network regression model is used to train the inputs and outputs of traditional SMOTE. Inputs of the proposed deep regression model are two randomly chosen data points which are concatenated to form a double size vector. The outputs of this model are corresponding randomly interpolated data points between two randomly chosen vectors with original dimension. The experimental results show that, Deep SMOTE can outperform traditional SMOTE in terms of precision, F1 score and Area Under Curve (AUC) in majority of test cases.","author":[{"dropping-particle":"V.","family":"Chawla","given":"Nitesh","non-dropping-particle":"","parse-names":false,"suffix":""},{"dropping-particle":"","family":"Bowyer","given":"Kevin W.","non-dropping-particle":"","parse-names":false,"suffix":""},{"dropping-particle":"","family":"Hall","given":"Lawrence O.","non-dropping-particle":"","parse-names":false,"suffix":""},{"dropping-particle":"","family":"Kegelmeyer","given":"W. Philip","non-dropping-particle":"","parse-names":false,"suffix":""}],"container-title":"Journal of Artificial Intelligence Research","id":"ITEM-1","issue":"Sept. 28","issued":{"date-parts":[["2002"]]},"page":"321-357","title":"SMOTE: Synthetic minority over-sampling technique","type":"article-journal","volume":"16"},"uris":["http://www.mendeley.com/documents/?uuid=ef0d9600-f3cd-4fef-bfc4-a7b5d5c4e5b9"]},{"id":"ITEM-2","itemData":{"DOI":"10.1088/1748-9326/abd2f3","ISSN":"17489326","abstract":"The potent greenhouse gas nitrous oxide (N2O) is accumulating in the atmosphere at unprecedented rates largely due to agricultural intensification, and cultivated soils contribute </w:instrText>
      </w:r>
      <w:r w:rsidR="004179E3" w:rsidRPr="00203EB0">
        <w:rPr>
          <w:rFonts w:ascii="Cambria Math" w:hAnsi="Cambria Math" w:cs="Cambria Math"/>
          <w:szCs w:val="24"/>
        </w:rPr>
        <w:instrText>∼</w:instrText>
      </w:r>
      <w:r w:rsidR="004179E3" w:rsidRPr="00203EB0">
        <w:rPr>
          <w:szCs w:val="24"/>
        </w:rPr>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4179E3" w:rsidRPr="00203EB0">
        <w:rPr>
          <w:rFonts w:ascii="Cambria Math" w:hAnsi="Cambria Math" w:cs="Cambria Math"/>
          <w:szCs w:val="24"/>
        </w:rPr>
        <w:instrText>∼</w:instrText>
      </w:r>
      <w:r w:rsidR="004179E3" w:rsidRPr="00203EB0">
        <w:rPr>
          <w:szCs w:val="24"/>
        </w:rPr>
        <w:instrText>3000 sub-daily flux observations), supplemented with weekly to biweekly manual chamber measurements (</w:instrText>
      </w:r>
      <w:r w:rsidR="004179E3" w:rsidRPr="00203EB0">
        <w:rPr>
          <w:rFonts w:ascii="Cambria Math" w:hAnsi="Cambria Math" w:cs="Cambria Math"/>
          <w:szCs w:val="24"/>
        </w:rPr>
        <w:instrText>∼</w:instrText>
      </w:r>
      <w:r w:rsidR="004179E3" w:rsidRPr="00203EB0">
        <w:rPr>
          <w:szCs w:val="24"/>
        </w:rPr>
        <w:instrText>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author":[{"dropping-particle":"","family":"Saha","given":"Debasish","non-dropping-particle":"","parse-names":false,"suffix":""},{"dropping-particle":"","family":"Basso","given":"Bruno","non-dropping-particle":"","parse-names":false,"suffix":""},{"dropping-particle":"","family":"Robertson","given":"G. Philip","non-dropping-particle":"","parse-names":false,"suffix":""}],"container-title":"Environmental Research Letters","id":"ITEM-2","issue":"2","issued":{"date-parts":[["2021"]]},"title":"Machine learning improves predictions of agricultural nitrous oxide (N2O) emissions from intensively managed cropping systems","type":"article-journal","volume":"16"},"uris":["http://www.mendeley.com/documents/?uuid=e5d104c5-fa03-4b6b-8a74-0abf69308886"]}],"mendeley":{"formattedCitation":"(Chawla et al., 2002; Saha et al., 2021a)","plainTextFormattedCitation":"(Chawla et al., 2002; Saha et al., 2021a)","previouslyFormattedCitation":"(Chawla et al., 2002; Saha et al., 2021a)"},"properties":{"noteIndex":0},"schema":"https://github.com/citation-style-language/schema/raw/master/csl-citation.json"}</w:instrText>
      </w:r>
      <w:r w:rsidRPr="00203EB0">
        <w:rPr>
          <w:szCs w:val="24"/>
        </w:rPr>
        <w:fldChar w:fldCharType="separate"/>
      </w:r>
      <w:r w:rsidR="00EB2F35" w:rsidRPr="00203EB0">
        <w:rPr>
          <w:noProof/>
          <w:szCs w:val="24"/>
        </w:rPr>
        <w:t>(Chawla et al., 2002; Saha et al., 2021a)</w:t>
      </w:r>
      <w:r w:rsidRPr="00203EB0">
        <w:rPr>
          <w:szCs w:val="24"/>
        </w:rPr>
        <w:fldChar w:fldCharType="end"/>
      </w:r>
      <w:r w:rsidRPr="00203EB0">
        <w:rPr>
          <w:szCs w:val="24"/>
        </w:rPr>
        <w:t xml:space="preserve">. Both the Class-Swap and traditional models were evaluated with and without oversampling, allowing us to test the distinct value of class separation and traditional data balancing strategies.   </w:t>
      </w:r>
    </w:p>
    <w:p w14:paraId="0EA0E2C6" w14:textId="62E8E425" w:rsidR="005751D4" w:rsidRPr="00203EB0" w:rsidRDefault="005751D4" w:rsidP="00FE7DF1">
      <w:pPr>
        <w:spacing w:line="480" w:lineRule="auto"/>
        <w:contextualSpacing/>
      </w:pPr>
      <w:r w:rsidRPr="00203EB0">
        <w:lastRenderedPageBreak/>
        <w:t xml:space="preserve">Our objectives were: </w:t>
      </w:r>
      <w:proofErr w:type="spellStart"/>
      <w:r w:rsidRPr="00203EB0">
        <w:t>i</w:t>
      </w:r>
      <w:proofErr w:type="spellEnd"/>
      <w:r w:rsidRPr="00203EB0">
        <w:t>) to determine whether the Class-Swap modeling approach improves N</w:t>
      </w:r>
      <w:r w:rsidRPr="00203EB0">
        <w:rPr>
          <w:vertAlign w:val="subscript"/>
        </w:rPr>
        <w:t>2</w:t>
      </w:r>
      <w:r w:rsidRPr="00203EB0">
        <w:t>O flux predictions relative to traditional ML approaches, and ii) to identify the key environmental drivers differentiating background from hot-moment emissions. We hypothesized that the Class-Swap models would outperform traditional RF models in both the cross-validation and independent testing by better representing the distinct processes driving N</w:t>
      </w:r>
      <w:r w:rsidRPr="00203EB0">
        <w:rPr>
          <w:vertAlign w:val="subscript"/>
        </w:rPr>
        <w:t>2</w:t>
      </w:r>
      <w:r w:rsidRPr="00203EB0">
        <w:t>O variability.</w:t>
      </w:r>
    </w:p>
    <w:p w14:paraId="32E6B340" w14:textId="6EC166D4" w:rsidR="0016702C" w:rsidRPr="00203EB0" w:rsidRDefault="000F2508" w:rsidP="000F2508">
      <w:pPr>
        <w:pStyle w:val="Heading2"/>
      </w:pPr>
      <w:bookmarkStart w:id="115" w:name="_Toc206669161"/>
      <w:r w:rsidRPr="00203EB0">
        <w:t>Materials and Methods</w:t>
      </w:r>
      <w:bookmarkEnd w:id="115"/>
    </w:p>
    <w:p w14:paraId="76F4A624" w14:textId="75D494D1" w:rsidR="000F2508" w:rsidRPr="00203EB0" w:rsidRDefault="000F2508" w:rsidP="000F2508">
      <w:pPr>
        <w:pStyle w:val="Heading3"/>
        <w:spacing w:line="480" w:lineRule="auto"/>
      </w:pPr>
      <w:bookmarkStart w:id="116" w:name="_Toc206669162"/>
      <w:r w:rsidRPr="00203EB0">
        <w:t>Study site and experimental design</w:t>
      </w:r>
      <w:bookmarkEnd w:id="116"/>
    </w:p>
    <w:p w14:paraId="267AC812" w14:textId="302400BA" w:rsidR="000F2508" w:rsidRPr="00203EB0" w:rsidRDefault="000F2508" w:rsidP="000F2508">
      <w:pPr>
        <w:spacing w:line="480" w:lineRule="auto"/>
        <w:rPr>
          <w:rFonts w:cs="Times New Roman"/>
        </w:rPr>
      </w:pPr>
      <w:r w:rsidRPr="00203EB0">
        <w:rPr>
          <w:rFonts w:cs="Times New Roman"/>
          <w:iCs/>
        </w:rPr>
        <w:t xml:space="preserve">This study was conducted from January 2022 to October 2023 in </w:t>
      </w:r>
      <w:r w:rsidRPr="00203EB0">
        <w:rPr>
          <w:rFonts w:cs="Times New Roman"/>
        </w:rPr>
        <w:t xml:space="preserve">a long-term continuous cotton field experiment, established in 1981 at the University of Tennessee’s West Tennessee Research and Education Center in Jackson, Tennessee (35°37′22″ N, 88°50′47″ W; elevation 125 m). The soil at the site is Lexington silt loam (fine-silty, mixed, thermic, </w:t>
      </w:r>
      <w:proofErr w:type="spellStart"/>
      <w:r w:rsidRPr="00203EB0">
        <w:rPr>
          <w:rFonts w:cs="Times New Roman"/>
        </w:rPr>
        <w:t>Ultic</w:t>
      </w:r>
      <w:proofErr w:type="spellEnd"/>
      <w:r w:rsidRPr="00203EB0">
        <w:rPr>
          <w:rFonts w:cs="Times New Roman"/>
        </w:rPr>
        <w:t xml:space="preserve"> </w:t>
      </w:r>
      <w:proofErr w:type="spellStart"/>
      <w:r w:rsidRPr="00203EB0">
        <w:rPr>
          <w:rFonts w:cs="Times New Roman"/>
        </w:rPr>
        <w:t>Hapludalfs</w:t>
      </w:r>
      <w:proofErr w:type="spellEnd"/>
      <w:r w:rsidRPr="00203EB0">
        <w:rPr>
          <w:rFonts w:cs="Times New Roman"/>
        </w:rPr>
        <w:t xml:space="preserve">), with a mean annual precipitation of 1415 mm and an average air temperature of 15.6 º C. The experiment follows a randomized complete block design with split-split plots, including four replications and a total of 128 experimental units (12 m </w:t>
      </w:r>
      <m:oMath>
        <m:r>
          <w:rPr>
            <w:rFonts w:ascii="Cambria Math" w:hAnsi="Cambria Math" w:cs="Times New Roman"/>
          </w:rPr>
          <m:t>×</m:t>
        </m:r>
      </m:oMath>
      <w:r w:rsidRPr="00203EB0">
        <w:rPr>
          <w:rFonts w:cs="Times New Roman"/>
        </w:rPr>
        <w:t xml:space="preserve"> 8 m). Detailed descriptions of the experimental design, treatments, and management practices can be found in </w:t>
      </w:r>
      <w:r w:rsidRPr="00203EB0">
        <w:rPr>
          <w:rFonts w:cs="Times New Roman"/>
        </w:rPr>
        <w:fldChar w:fldCharType="begin" w:fldLock="1"/>
      </w:r>
      <w:r w:rsidR="00EB2F35" w:rsidRPr="00203EB0">
        <w:rPr>
          <w:rFonts w:cs="Times New Roman"/>
        </w:rPr>
        <w:instrText>ADDIN CSL_CITATION {"citationItems":[{"id":"ITEM-1","itemData":{"ISBN":"1600-051X (Electronic)\\r0303-6979 (Linking)","ISSN":"1600051X","PMID":"25808877","abstract":"An efficient method for the synthesis of 2-amino-3-cyano-4-aryl-5,10-dioxo-5,10-dihydro-4H-benzo[g]chromenes and hydroxy-substituted naphthalene-1,4-dione derivatives, using silica-bonded propylpiperazine-N-sulfamic acid as a solid acid, green, heterogeneous catalyst, under ambient and solvent-free conditions, is described. A simple procedure, high yields, short reaction time, safety, and reusability of the catalyst are advantages of these protocols.","author":[{"dropping-particle":"","family":"Dhaliwal","given":"J.K;","non-dropping-particle":"","parse-names":false,"suffix":""},{"dropping-particle":"","family":"Lussich","given":"Facundo;","non-dropping-particle":"","parse-names":false,"suffix":""},{"dropping-particle":"","family":"Jagadamma","given":"Sindhu;","non-dropping-particle":"","parse-names":false,"suffix":""},{"dropping-particle":"","family":"Schaeffer","given":"Sean M.;","non-dropping-particle":"","parse-names":false,"suffix":""},{"dropping-particle":"","family":"Saha","given":"Debasish","non-dropping-particle":"","parse-names":false,"suffix":""}],"container-title":"Agronomy Journal","id":"ITEM-1","issued":{"date-parts":[["2024"]]},"page":"22","title":"Long-term tillage and cover cropping differentially influenced soil nitrous oxide emissions from cotton cropping system","type":"article-journal"},"uris":["http://www.mendeley.com/documents/?uuid=5d6fc41e-f445-4fb6-9365-0633845277d2"]}],"mendeley":{"formattedCitation":"(Dhaliwal et al., 2024b)","manualFormatting":"Dhaliwal et al. (2024)","plainTextFormattedCitation":"(Dhaliwal et al., 2024b)","previouslyFormattedCitation":"(Dhaliwal et al., 2024b)"},"properties":{"noteIndex":0},"schema":"https://github.com/citation-style-language/schema/raw/master/csl-citation.json"}</w:instrText>
      </w:r>
      <w:r w:rsidRPr="00203EB0">
        <w:rPr>
          <w:rFonts w:cs="Times New Roman"/>
        </w:rPr>
        <w:fldChar w:fldCharType="separate"/>
      </w:r>
      <w:r w:rsidRPr="00203EB0">
        <w:rPr>
          <w:rFonts w:cs="Times New Roman"/>
          <w:noProof/>
        </w:rPr>
        <w:t>Dhaliwal et al. (2024)</w:t>
      </w:r>
      <w:r w:rsidRPr="00203EB0">
        <w:rPr>
          <w:rFonts w:cs="Times New Roman"/>
        </w:rPr>
        <w:fldChar w:fldCharType="end"/>
      </w:r>
      <w:r w:rsidRPr="00203EB0">
        <w:rPr>
          <w:rFonts w:cs="Times New Roman"/>
        </w:rPr>
        <w:t>. For this study, a subset of 32 plots was selected, including two levels of N (0 and 67 kg N ha</w:t>
      </w:r>
      <w:r w:rsidRPr="00203EB0">
        <w:rPr>
          <w:rFonts w:cs="Times New Roman"/>
          <w:vertAlign w:val="superscript"/>
        </w:rPr>
        <w:t>-1</w:t>
      </w:r>
      <w:r w:rsidRPr="00203EB0">
        <w:rPr>
          <w:rFonts w:cs="Times New Roman"/>
        </w:rPr>
        <w:t xml:space="preserve">), two levels of cover crop (no cover crop, NC; hairy vetch, HV), and two levels of tillage (no-tillage, NT; conventional tillage, CT), across four blocks. This combination resulted in eight treatments: CT-NC-0, CT-NC-67, CT-HV-0, CT-HV-67, NT-NC-0, NT-NC-67, NT-HV-0, and NT-HV-67. Although the </w:t>
      </w:r>
      <w:r w:rsidRPr="00203EB0">
        <w:rPr>
          <w:rFonts w:cs="Times New Roman"/>
        </w:rPr>
        <w:lastRenderedPageBreak/>
        <w:t xml:space="preserve">experiment was generally rainfed, two critical irrigation events were applied during the 2022 cotton growing season (July 7 and July 26), each delivering 55 mm of water, to alleviate severe drought stress observed in June and July. </w:t>
      </w:r>
    </w:p>
    <w:p w14:paraId="2A6E55B8" w14:textId="6BB8291B" w:rsidR="00290A0D" w:rsidRPr="00203EB0" w:rsidRDefault="00290A0D" w:rsidP="00290A0D">
      <w:pPr>
        <w:pStyle w:val="Heading3"/>
        <w:spacing w:line="480" w:lineRule="auto"/>
      </w:pPr>
      <w:bookmarkStart w:id="117" w:name="_Toc206669163"/>
      <w:r w:rsidRPr="00203EB0">
        <w:t>Greenhouse gas flux measurements</w:t>
      </w:r>
      <w:bookmarkEnd w:id="117"/>
      <w:r w:rsidRPr="00203EB0">
        <w:t xml:space="preserve"> </w:t>
      </w:r>
    </w:p>
    <w:p w14:paraId="5E5EBEA5" w14:textId="392D556E" w:rsidR="00290A0D" w:rsidRPr="00203EB0" w:rsidRDefault="00290A0D" w:rsidP="00290A0D">
      <w:pPr>
        <w:spacing w:line="480" w:lineRule="auto"/>
        <w:rPr>
          <w:rFonts w:cs="Times New Roman"/>
        </w:rPr>
      </w:pPr>
      <w:r w:rsidRPr="00203EB0">
        <w:rPr>
          <w:rFonts w:cs="Times New Roman"/>
        </w:rPr>
        <w:t>The N</w:t>
      </w:r>
      <w:r w:rsidRPr="00203EB0">
        <w:rPr>
          <w:rFonts w:cs="Times New Roman"/>
          <w:vertAlign w:val="subscript"/>
        </w:rPr>
        <w:t>2</w:t>
      </w:r>
      <w:r w:rsidRPr="00203EB0">
        <w:rPr>
          <w:rFonts w:cs="Times New Roman"/>
        </w:rPr>
        <w:t>O and CO</w:t>
      </w:r>
      <w:r w:rsidRPr="00203EB0">
        <w:rPr>
          <w:rFonts w:cs="Times New Roman"/>
          <w:vertAlign w:val="subscript"/>
        </w:rPr>
        <w:t>2</w:t>
      </w:r>
      <w:r w:rsidRPr="00203EB0">
        <w:rPr>
          <w:rFonts w:cs="Times New Roman"/>
        </w:rPr>
        <w:t xml:space="preserve"> fluxes were measured using a static closed chamber technique, consistently conducted between 8:00 am and 12:00 pm on each sampling day, with randomized plot order. Vented polyvinyl chloride (PVC) collars (25 cm diameter </w:t>
      </w:r>
      <m:oMath>
        <m:r>
          <w:rPr>
            <w:rFonts w:ascii="Cambria Math" w:hAnsi="Cambria Math" w:cs="Times New Roman"/>
          </w:rPr>
          <m:t>×</m:t>
        </m:r>
      </m:oMath>
      <w:r w:rsidRPr="00203EB0">
        <w:rPr>
          <w:rFonts w:cs="Times New Roman"/>
        </w:rPr>
        <w:t xml:space="preserve"> 25 cm height) were installed between cotton rows at 5 cm depth. N</w:t>
      </w:r>
      <w:r w:rsidRPr="00203EB0">
        <w:rPr>
          <w:rFonts w:cs="Times New Roman"/>
          <w:vertAlign w:val="subscript"/>
        </w:rPr>
        <w:t>2</w:t>
      </w:r>
      <w:r w:rsidRPr="00203EB0">
        <w:rPr>
          <w:rFonts w:cs="Times New Roman"/>
        </w:rPr>
        <w:t>O fluxes were measured using a portable Integrated Cavity Output Spectroscopy (ICOS) instrument (Los Gatos Research Inc., Quebec, Canada), and CO</w:t>
      </w:r>
      <w:r w:rsidRPr="00203EB0">
        <w:rPr>
          <w:rFonts w:cs="Times New Roman"/>
          <w:vertAlign w:val="subscript"/>
        </w:rPr>
        <w:t>2</w:t>
      </w:r>
      <w:r w:rsidRPr="00203EB0">
        <w:rPr>
          <w:rFonts w:cs="Times New Roman"/>
        </w:rPr>
        <w:t xml:space="preserve"> fluxes were measured using an infrared gas analyzer (LI-850, LI-COR Biosciences NE, USA). Gas concentrations were recorded at 5 second intervals for ~5 minutes per plot using a closed-loop system </w:t>
      </w:r>
      <w:r w:rsidRPr="00203EB0">
        <w:rPr>
          <w:rFonts w:cs="Times New Roman"/>
        </w:rPr>
        <w:fldChar w:fldCharType="begin" w:fldLock="1"/>
      </w:r>
      <w:r w:rsidR="00EB2F35" w:rsidRPr="00203EB0">
        <w:rPr>
          <w:rFonts w:cs="Times New Roman"/>
        </w:rPr>
        <w:instrText>ADDIN CSL_CITATION {"citationItems":[{"id":"ITEM-1","itemData":{"ISBN":"1600-051X (Electronic)\\r0303-6979 (Linking)","ISSN":"1600051X","PMID":"25808877","abstract":"An efficient method for the synthesis of 2-amino-3-cyano-4-aryl-5,10-dioxo-5,10-dihydro-4H-benzo[g]chromenes and hydroxy-substituted naphthalene-1,4-dione derivatives, using silica-bonded propylpiperazine-N-sulfamic acid as a solid acid, green, heterogeneous catalyst, under ambient and solvent-free conditions, is described. A simple procedure, high yields, short reaction time, safety, and reusability of the catalyst are advantages of these protocols.","author":[{"dropping-particle":"","family":"Dhaliwal","given":"J.K;","non-dropping-particle":"","parse-names":false,"suffix":""},{"dropping-particle":"","family":"Lussich","given":"Facundo;","non-dropping-particle":"","parse-names":false,"suffix":""},{"dropping-particle":"","family":"Jagadamma","given":"Sindhu;","non-dropping-particle":"","parse-names":false,"suffix":""},{"dropping-particle":"","family":"Schaeffer","given":"Sean M.;","non-dropping-particle":"","parse-names":false,"suffix":""},{"dropping-particle":"","family":"Saha","given":"Debasish","non-dropping-particle":"","parse-names":false,"suffix":""}],"container-title":"Agronomy Journal","id":"ITEM-1","issued":{"date-parts":[["2024"]]},"page":"22","title":"Long-term tillage and cover cropping differentially influenced soil nitrous oxide emissions from cotton cropping system","type":"article-journal"},"uris":["http://www.mendeley.com/documents/?uuid=5d6fc41e-f445-4fb6-9365-0633845277d2"]}],"mendeley":{"formattedCitation":"(Dhaliwal et al., 2024b)","manualFormatting":"(Dhaliwal et al., 2024)","plainTextFormattedCitation":"(Dhaliwal et al., 2024b)","previouslyFormattedCitation":"(Dhaliwal et al., 2024b)"},"properties":{"noteIndex":0},"schema":"https://github.com/citation-style-language/schema/raw/master/csl-citation.json"}</w:instrText>
      </w:r>
      <w:r w:rsidRPr="00203EB0">
        <w:rPr>
          <w:rFonts w:cs="Times New Roman"/>
        </w:rPr>
        <w:fldChar w:fldCharType="separate"/>
      </w:r>
      <w:r w:rsidRPr="00203EB0">
        <w:rPr>
          <w:rFonts w:cs="Times New Roman"/>
          <w:noProof/>
        </w:rPr>
        <w:t>(Dhaliwal et al., 2024)</w:t>
      </w:r>
      <w:r w:rsidRPr="00203EB0">
        <w:rPr>
          <w:rFonts w:cs="Times New Roman"/>
        </w:rPr>
        <w:fldChar w:fldCharType="end"/>
      </w:r>
      <w:r w:rsidRPr="00203EB0">
        <w:rPr>
          <w:rFonts w:cs="Times New Roman"/>
        </w:rPr>
        <w:t xml:space="preserve">. Fluxes were calculated based on the rate of change in gas concentration within the chamber headspace over the measurement period. Gas sampling was carried out intensively following cover crop termination, tillage, fertilizer application, and heavy precipitation events. In total, 27 sampling events (859 observations) were conducted in 2022 and 21 sampling events (672 observations) </w:t>
      </w:r>
      <w:proofErr w:type="gramStart"/>
      <w:r w:rsidRPr="00203EB0">
        <w:rPr>
          <w:rFonts w:cs="Times New Roman"/>
        </w:rPr>
        <w:t>in</w:t>
      </w:r>
      <w:proofErr w:type="gramEnd"/>
      <w:r w:rsidRPr="00203EB0">
        <w:rPr>
          <w:rFonts w:cs="Times New Roman"/>
        </w:rPr>
        <w:t xml:space="preserve"> 2023. </w:t>
      </w:r>
    </w:p>
    <w:p w14:paraId="6F04FD53" w14:textId="21256448" w:rsidR="00687C4A" w:rsidRPr="00203EB0" w:rsidRDefault="00687C4A" w:rsidP="00687C4A">
      <w:pPr>
        <w:pStyle w:val="Heading3"/>
        <w:spacing w:line="480" w:lineRule="auto"/>
      </w:pPr>
      <w:bookmarkStart w:id="118" w:name="_Toc206669164"/>
      <w:r w:rsidRPr="00203EB0">
        <w:t>Soil measurements and environmental data collection</w:t>
      </w:r>
      <w:bookmarkEnd w:id="118"/>
    </w:p>
    <w:p w14:paraId="0AE7633C" w14:textId="77777777" w:rsidR="00687C4A" w:rsidRPr="00203EB0" w:rsidRDefault="00687C4A" w:rsidP="00687C4A">
      <w:pPr>
        <w:spacing w:line="480" w:lineRule="auto"/>
        <w:rPr>
          <w:rFonts w:cs="Times New Roman"/>
        </w:rPr>
      </w:pPr>
      <w:r w:rsidRPr="00203EB0">
        <w:rPr>
          <w:rFonts w:cs="Times New Roman"/>
        </w:rPr>
        <w:t xml:space="preserve">Soil temperature and volumetric moisture content were recorded at a 10 cm depth on each sampling day using a thermocouple temperature sensor and </w:t>
      </w:r>
      <w:proofErr w:type="spellStart"/>
      <w:r w:rsidRPr="00203EB0">
        <w:rPr>
          <w:rFonts w:cs="Times New Roman"/>
        </w:rPr>
        <w:t>HydroSense</w:t>
      </w:r>
      <w:proofErr w:type="spellEnd"/>
      <w:r w:rsidRPr="00203EB0">
        <w:rPr>
          <w:rFonts w:cs="Times New Roman"/>
        </w:rPr>
        <w:t xml:space="preserve"> II portable soil </w:t>
      </w:r>
      <w:r w:rsidRPr="00203EB0">
        <w:rPr>
          <w:rFonts w:cs="Times New Roman"/>
        </w:rPr>
        <w:lastRenderedPageBreak/>
        <w:t>moisture sensor. Water-filled pore space (WFPS) was calculated based on bulk density and volumetric soil moisture measurements.</w:t>
      </w:r>
    </w:p>
    <w:p w14:paraId="6F2BC77A" w14:textId="06431906" w:rsidR="00687C4A" w:rsidRPr="00203EB0" w:rsidRDefault="00687C4A" w:rsidP="00687C4A">
      <w:pPr>
        <w:spacing w:line="480" w:lineRule="auto"/>
        <w:rPr>
          <w:rFonts w:cs="Times New Roman"/>
        </w:rPr>
      </w:pPr>
      <w:r w:rsidRPr="00203EB0">
        <w:rPr>
          <w:rFonts w:cs="Times New Roman"/>
        </w:rPr>
        <w:t>Soil samples were collected five times during each growing season at a 10 cm depth and analyzed for ammonium (</w:t>
      </w:r>
      <m:oMath>
        <m:sSubSup>
          <m:sSubSupPr>
            <m:ctrlPr>
              <w:rPr>
                <w:rFonts w:ascii="Cambria Math" w:hAnsi="Cambria Math" w:cs="Times New Roman"/>
                <w:i/>
              </w:rPr>
            </m:ctrlPr>
          </m:sSubSupPr>
          <m:e>
            <m:r>
              <w:rPr>
                <w:rFonts w:ascii="Cambria Math" w:hAnsi="Cambria Math" w:cs="Times New Roman"/>
              </w:rPr>
              <m:t>NH</m:t>
            </m:r>
          </m:e>
          <m:sub>
            <m:r>
              <w:rPr>
                <w:rFonts w:ascii="Cambria Math" w:hAnsi="Cambria Math" w:cs="Times New Roman"/>
              </w:rPr>
              <m:t>4</m:t>
            </m:r>
          </m:sub>
          <m:sup>
            <m:r>
              <w:rPr>
                <w:rFonts w:ascii="Cambria Math" w:hAnsi="Cambria Math" w:cs="Times New Roman"/>
              </w:rPr>
              <m:t>+</m:t>
            </m:r>
          </m:sup>
        </m:sSubSup>
      </m:oMath>
      <w:r w:rsidRPr="00203EB0">
        <w:rPr>
          <w:rFonts w:cs="Times New Roman"/>
        </w:rPr>
        <w:t>) and nitrate (</w:t>
      </w:r>
      <m:oMath>
        <m:sSubSup>
          <m:sSubSupPr>
            <m:ctrlPr>
              <w:rPr>
                <w:rFonts w:ascii="Cambria Math" w:hAnsi="Cambria Math" w:cs="Times New Roman"/>
                <w:i/>
              </w:rPr>
            </m:ctrlPr>
          </m:sSubSupPr>
          <m:e>
            <m:r>
              <w:rPr>
                <w:rFonts w:ascii="Cambria Math" w:hAnsi="Cambria Math" w:cs="Times New Roman"/>
              </w:rPr>
              <m:t>NO</m:t>
            </m:r>
          </m:e>
          <m:sub>
            <m:r>
              <w:rPr>
                <w:rFonts w:ascii="Cambria Math" w:hAnsi="Cambria Math" w:cs="Times New Roman"/>
              </w:rPr>
              <m:t>3</m:t>
            </m:r>
          </m:sub>
          <m:sup>
            <m:r>
              <w:rPr>
                <w:rFonts w:ascii="Cambria Math" w:hAnsi="Cambria Math" w:cs="Times New Roman"/>
              </w:rPr>
              <m:t>-</m:t>
            </m:r>
          </m:sup>
        </m:sSubSup>
      </m:oMath>
      <w:r w:rsidRPr="00203EB0">
        <w:rPr>
          <w:rFonts w:cs="Times New Roman"/>
        </w:rPr>
        <w:t xml:space="preserve">) concentration using a 2-M KCl extraction method </w:t>
      </w:r>
      <w:r w:rsidRPr="00203EB0">
        <w:rPr>
          <w:rFonts w:cs="Times New Roman"/>
        </w:rPr>
        <w:fldChar w:fldCharType="begin" w:fldLock="1"/>
      </w:r>
      <w:r w:rsidR="00EB2F35" w:rsidRPr="00203EB0">
        <w:rPr>
          <w:rFonts w:cs="Times New Roman"/>
        </w:rPr>
        <w:instrText>ADDIN CSL_CITATION {"citationItems":[{"id":"ITEM-1","itemData":{"DOI":"10.1081/AL-120024647","ISSN":"00032719","abstract":"A spectrophotometric procedure for determination of nitrate in water, soil extracts, and a variety of other sample types is described using one reagent solution which is easily prepared and stored. Sample and equipment requirements are minimal. Reduced chemical hazard, simplicity, and versatility represent improvements over existing methods. Limit of detection is 0.01 μg N mL -1 (0.72 μM NO3-) or less, depending on the matrix.","author":[{"dropping-particle":"","family":"Doane","given":"Timothy A.","non-dropping-particle":"","parse-names":false,"suffix":""},{"dropping-particle":"","family":"Horwáth","given":"William R.","non-dropping-particle":"","parse-names":false,"suffix":""}],"container-title":"Analytical Letters","id":"ITEM-1","issue":"12","issued":{"date-parts":[["2003"]]},"page":"2713-2722","title":"Spectrophotometric determination of nitrate with a single reagent","type":"article-journal","volume":"36"},"uris":["http://www.mendeley.com/documents/?uuid=ce5d9156-97fe-44c1-a3f8-43c21a16defb"]},{"id":"ITEM-2","itemData":{"author":[{"dropping-particle":"","family":"Forster","given":"JC","non-dropping-particle":"","parse-names":false,"suffix":""}],"container-title":"Methods in Applied Soil Microbiology and Biochemistry","editor":[{"dropping-particle":"","family":"Alef","given":"K","non-dropping-particle":"","parse-names":false,"suffix":""},{"dropping-particle":"","family":"Nannipieri","given":"P","non-dropping-particle":"","parse-names":false,"suffix":""}],"id":"ITEM-2","issued":{"date-parts":[["1995"]]},"page":"79-87","publisher":"Academic Press","publisher-place":"San Diego","title":"Soil nitrogen","type":"chapter"},"uris":["http://www.mendeley.com/documents/?uuid=62cf468d-bcdf-4416-8c5e-2bea12ea24d7"]}],"mendeley":{"formattedCitation":"(Forster, 1995; Doane and Horwáth, 2003)","plainTextFormattedCitation":"(Forster, 1995; Doane and Horwáth, 2003)","previouslyFormattedCitation":"(Forster, 1995; Doane and Horwáth, 2003)"},"properties":{"noteIndex":0},"schema":"https://github.com/citation-style-language/schema/raw/master/csl-citation.json"}</w:instrText>
      </w:r>
      <w:r w:rsidRPr="00203EB0">
        <w:rPr>
          <w:rFonts w:cs="Times New Roman"/>
        </w:rPr>
        <w:fldChar w:fldCharType="separate"/>
      </w:r>
      <w:r w:rsidR="00EB2F35" w:rsidRPr="00203EB0">
        <w:rPr>
          <w:rFonts w:cs="Times New Roman"/>
          <w:noProof/>
        </w:rPr>
        <w:t>(Forster, 1995; Doane and Horwáth, 2003)</w:t>
      </w:r>
      <w:r w:rsidRPr="00203EB0">
        <w:rPr>
          <w:rFonts w:cs="Times New Roman"/>
        </w:rPr>
        <w:fldChar w:fldCharType="end"/>
      </w:r>
      <w:r w:rsidRPr="00203EB0">
        <w:rPr>
          <w:rFonts w:cs="Times New Roman"/>
        </w:rPr>
        <w:t xml:space="preserve">. Soil samples from the first sampling time point were analyzed for soil organic carbon concentration using the dry combustion method with an </w:t>
      </w:r>
      <w:proofErr w:type="spellStart"/>
      <w:r w:rsidRPr="00203EB0">
        <w:rPr>
          <w:rFonts w:cs="Times New Roman"/>
        </w:rPr>
        <w:t>Elementar</w:t>
      </w:r>
      <w:proofErr w:type="spellEnd"/>
      <w:r w:rsidRPr="00203EB0">
        <w:rPr>
          <w:rFonts w:cs="Times New Roman"/>
        </w:rPr>
        <w:t xml:space="preserve"> </w:t>
      </w:r>
      <w:proofErr w:type="spellStart"/>
      <w:r w:rsidRPr="00203EB0">
        <w:rPr>
          <w:rFonts w:cs="Times New Roman"/>
        </w:rPr>
        <w:t>vario</w:t>
      </w:r>
      <w:proofErr w:type="spellEnd"/>
      <w:r w:rsidRPr="00203EB0">
        <w:rPr>
          <w:rFonts w:cs="Times New Roman"/>
        </w:rPr>
        <w:t xml:space="preserve"> Max cube CN analyzer, which was then used to estimate soil organic matter (SOM). Soil </w:t>
      </w:r>
      <m:oMath>
        <m:sSubSup>
          <m:sSubSupPr>
            <m:ctrlPr>
              <w:rPr>
                <w:rFonts w:ascii="Cambria Math" w:hAnsi="Cambria Math" w:cs="Times New Roman"/>
                <w:i/>
              </w:rPr>
            </m:ctrlPr>
          </m:sSubSupPr>
          <m:e>
            <m:r>
              <w:rPr>
                <w:rFonts w:ascii="Cambria Math" w:hAnsi="Cambria Math" w:cs="Times New Roman"/>
              </w:rPr>
              <m:t>NH</m:t>
            </m:r>
          </m:e>
          <m:sub>
            <m:r>
              <w:rPr>
                <w:rFonts w:ascii="Cambria Math" w:hAnsi="Cambria Math" w:cs="Times New Roman"/>
              </w:rPr>
              <m:t>4</m:t>
            </m:r>
          </m:sub>
          <m:sup>
            <m:r>
              <w:rPr>
                <w:rFonts w:ascii="Cambria Math" w:hAnsi="Cambria Math" w:cs="Times New Roman"/>
              </w:rPr>
              <m:t>+</m:t>
            </m:r>
          </m:sup>
        </m:sSubSup>
      </m:oMath>
      <w:r w:rsidRPr="00203EB0">
        <w:rPr>
          <w:rFonts w:cs="Times New Roman"/>
        </w:rPr>
        <w:t xml:space="preserve"> and </w:t>
      </w:r>
      <m:oMath>
        <m:sSubSup>
          <m:sSubSupPr>
            <m:ctrlPr>
              <w:rPr>
                <w:rFonts w:ascii="Cambria Math" w:hAnsi="Cambria Math" w:cs="Times New Roman"/>
                <w:i/>
              </w:rPr>
            </m:ctrlPr>
          </m:sSubSupPr>
          <m:e>
            <m:r>
              <w:rPr>
                <w:rFonts w:ascii="Cambria Math" w:hAnsi="Cambria Math" w:cs="Times New Roman"/>
              </w:rPr>
              <m:t>NO</m:t>
            </m:r>
          </m:e>
          <m:sub>
            <m:r>
              <w:rPr>
                <w:rFonts w:ascii="Cambria Math" w:hAnsi="Cambria Math" w:cs="Times New Roman"/>
              </w:rPr>
              <m:t>3</m:t>
            </m:r>
          </m:sub>
          <m:sup>
            <m:r>
              <w:rPr>
                <w:rFonts w:ascii="Cambria Math" w:hAnsi="Cambria Math" w:cs="Times New Roman"/>
              </w:rPr>
              <m:t>-</m:t>
            </m:r>
          </m:sup>
        </m:sSubSup>
      </m:oMath>
      <w:r w:rsidRPr="00203EB0">
        <w:rPr>
          <w:rFonts w:cs="Times New Roman"/>
        </w:rPr>
        <w:t xml:space="preserve"> concentration data were interpolated to match the temporal GHG flux sampling scale. Additionally, daily air temperature and precipitation data were recorded using an on-site meteorological station.</w:t>
      </w:r>
    </w:p>
    <w:p w14:paraId="3189826F" w14:textId="77777777" w:rsidR="00CB7948" w:rsidRPr="00203EB0" w:rsidRDefault="00CB7948" w:rsidP="00CB7948">
      <w:pPr>
        <w:pStyle w:val="Heading3"/>
        <w:spacing w:line="480" w:lineRule="auto"/>
      </w:pPr>
      <w:bookmarkStart w:id="119" w:name="_Toc206669165"/>
      <w:r w:rsidRPr="00203EB0">
        <w:t>Data for model training and validation</w:t>
      </w:r>
      <w:bookmarkEnd w:id="119"/>
    </w:p>
    <w:p w14:paraId="33E40CC9" w14:textId="77777777" w:rsidR="00CB7948" w:rsidRPr="00203EB0" w:rsidRDefault="00CB7948" w:rsidP="00CB7948">
      <w:pPr>
        <w:spacing w:line="480" w:lineRule="auto"/>
        <w:rPr>
          <w:rFonts w:cs="Times New Roman"/>
        </w:rPr>
      </w:pPr>
      <w:r w:rsidRPr="00203EB0">
        <w:rPr>
          <w:rFonts w:cs="Times New Roman"/>
        </w:rPr>
        <w:t>Daily N</w:t>
      </w:r>
      <w:r w:rsidRPr="00203EB0">
        <w:rPr>
          <w:rFonts w:cs="Times New Roman"/>
          <w:vertAlign w:val="subscript"/>
        </w:rPr>
        <w:t>2</w:t>
      </w:r>
      <w:r w:rsidRPr="00203EB0">
        <w:rPr>
          <w:rFonts w:cs="Times New Roman"/>
        </w:rPr>
        <w:t>O fluxes in the 2023 dataset, used for RF model training and cross-validation performance evaluation, ranged from -17.19 to 217.58 g N</w:t>
      </w:r>
      <w:r w:rsidRPr="00203EB0">
        <w:rPr>
          <w:rFonts w:cs="Times New Roman"/>
          <w:vertAlign w:val="subscript"/>
        </w:rPr>
        <w:t>2</w:t>
      </w:r>
      <w:r w:rsidRPr="00203EB0">
        <w:rPr>
          <w:rFonts w:cs="Times New Roman"/>
        </w:rPr>
        <w:t>O-N ha</w:t>
      </w:r>
      <w:r w:rsidRPr="00203EB0">
        <w:rPr>
          <w:rFonts w:cs="Times New Roman"/>
          <w:vertAlign w:val="superscript"/>
        </w:rPr>
        <w:t xml:space="preserve">-1 </w:t>
      </w:r>
      <w:r w:rsidRPr="00203EB0">
        <w:rPr>
          <w:rFonts w:cs="Times New Roman"/>
        </w:rPr>
        <w:t>day</w:t>
      </w:r>
      <w:r w:rsidRPr="00203EB0">
        <w:rPr>
          <w:rFonts w:cs="Times New Roman"/>
          <w:vertAlign w:val="superscript"/>
        </w:rPr>
        <w:t>-1</w:t>
      </w:r>
      <w:r w:rsidRPr="00203EB0">
        <w:rPr>
          <w:rFonts w:cs="Times New Roman"/>
        </w:rPr>
        <w:t>. Subsequently, the model was independently tested on a holdout dataset from 2022, which exhibited fluxes ranging from -6.77 to 149.86 g N</w:t>
      </w:r>
      <w:r w:rsidRPr="00203EB0">
        <w:rPr>
          <w:rFonts w:cs="Times New Roman"/>
          <w:vertAlign w:val="subscript"/>
        </w:rPr>
        <w:t>2</w:t>
      </w:r>
      <w:r w:rsidRPr="00203EB0">
        <w:rPr>
          <w:rFonts w:cs="Times New Roman"/>
        </w:rPr>
        <w:t>O-N ha</w:t>
      </w:r>
      <w:r w:rsidRPr="00203EB0">
        <w:rPr>
          <w:rFonts w:cs="Times New Roman"/>
          <w:vertAlign w:val="superscript"/>
        </w:rPr>
        <w:t xml:space="preserve">-1 </w:t>
      </w:r>
      <w:r w:rsidRPr="00203EB0">
        <w:rPr>
          <w:rFonts w:cs="Times New Roman"/>
        </w:rPr>
        <w:t>day</w:t>
      </w:r>
      <w:r w:rsidRPr="00203EB0">
        <w:rPr>
          <w:rFonts w:cs="Times New Roman"/>
          <w:vertAlign w:val="superscript"/>
        </w:rPr>
        <w:t>-1</w:t>
      </w:r>
      <w:r w:rsidRPr="00203EB0">
        <w:rPr>
          <w:rFonts w:cs="Times New Roman"/>
        </w:rPr>
        <w:t xml:space="preserve">. </w:t>
      </w:r>
    </w:p>
    <w:p w14:paraId="6ED00C77" w14:textId="7AC9C8C8" w:rsidR="00CB7948" w:rsidRPr="00203EB0" w:rsidRDefault="00CB7948" w:rsidP="00CB7948">
      <w:pPr>
        <w:pStyle w:val="Heading3"/>
        <w:spacing w:line="480" w:lineRule="auto"/>
      </w:pPr>
      <w:bookmarkStart w:id="120" w:name="_Toc206669166"/>
      <w:r w:rsidRPr="00203EB0">
        <w:t>Model training</w:t>
      </w:r>
      <w:bookmarkEnd w:id="120"/>
      <w:r w:rsidRPr="00203EB0">
        <w:t xml:space="preserve"> </w:t>
      </w:r>
    </w:p>
    <w:p w14:paraId="37FA2399" w14:textId="5110EF0B" w:rsidR="00CB7948" w:rsidRPr="00203EB0" w:rsidRDefault="00CB7948" w:rsidP="00CB7948">
      <w:pPr>
        <w:spacing w:line="480" w:lineRule="auto"/>
        <w:rPr>
          <w:rFonts w:cs="Times New Roman"/>
        </w:rPr>
      </w:pPr>
      <w:r w:rsidRPr="00203EB0">
        <w:rPr>
          <w:rFonts w:cs="Times New Roman"/>
        </w:rPr>
        <w:t>To evaluate the effectiveness of the Class-Swap approach, four RF models were developed and tested to predict daily N</w:t>
      </w:r>
      <w:r w:rsidRPr="00203EB0">
        <w:rPr>
          <w:rFonts w:cs="Times New Roman"/>
          <w:vertAlign w:val="subscript"/>
        </w:rPr>
        <w:t>2</w:t>
      </w:r>
      <w:r w:rsidRPr="00203EB0">
        <w:rPr>
          <w:rFonts w:cs="Times New Roman"/>
        </w:rPr>
        <w:t>O fluxes. Model development was conducted in Python 3 using the ‘</w:t>
      </w:r>
      <w:proofErr w:type="spellStart"/>
      <w:r w:rsidRPr="00203EB0">
        <w:rPr>
          <w:rFonts w:cs="Times New Roman"/>
          <w:i/>
        </w:rPr>
        <w:t>RandomForestRegressor</w:t>
      </w:r>
      <w:proofErr w:type="spellEnd"/>
      <w:r w:rsidRPr="00203EB0">
        <w:rPr>
          <w:rFonts w:cs="Times New Roman"/>
        </w:rPr>
        <w:t>’ function from the ‘</w:t>
      </w:r>
      <w:proofErr w:type="spellStart"/>
      <w:r w:rsidRPr="00203EB0">
        <w:rPr>
          <w:rFonts w:cs="Times New Roman"/>
          <w:i/>
        </w:rPr>
        <w:t>sklearn.ensemble</w:t>
      </w:r>
      <w:proofErr w:type="spellEnd"/>
      <w:r w:rsidRPr="00203EB0">
        <w:rPr>
          <w:rFonts w:cs="Times New Roman"/>
        </w:rPr>
        <w:t xml:space="preserve">’ package </w:t>
      </w:r>
      <w:r w:rsidRPr="00203EB0">
        <w:rPr>
          <w:rFonts w:cs="Times New Roman"/>
        </w:rPr>
        <w:fldChar w:fldCharType="begin" w:fldLock="1"/>
      </w:r>
      <w:r w:rsidR="004179E3" w:rsidRPr="00203EB0">
        <w:rPr>
          <w:rFonts w:cs="Times New Roman"/>
        </w:rPr>
        <w:instrText>ADDIN CSL_CITATION {"citationItems":[{"id":"ITEM-1","itemData":{"DOI":"10.1289/EHP4713","ISSN":"15529924","PMID":"31557052","abstract":"BACKGROUND: Blood chemicals are routinely measured in clinical or preclinical research studies to diagnose diseases, assess risks in epidemiological research, or use metabolomic phenotyping in response to treatments. A vast volume of blood-related literature is available via the PubMed database for data mining. OBJECTIVES: We aimed to generate a comprehensive blood exposome database of endogenous and exogenous chemicals associated with the mammalian circulating system through text mining and database fusion. METHODS: Using NCBI resources, we retrieved PubMed abstracts, PubChem chemical synonyms, and PMC supplementary tables. We then employed text mining and PubChem crowdsourcing to associate phrases relating to blood with PubChem chemicals. False positives were removed by a phrase pattern and a compound exclusion list. RESULTS: A query to identify blood-related publications in the PubMed database yielded 1.1 million papers. Matching a total of 15 million synonyms from 6.5 million relevant PubChem chemicals against all blood-related publications yielded 37,514 chemicals and 851,999 publications records. Mapping PubChem compound identifiers to the PubMed database yielded 49,940 unique chemicals linked to 676,643 papers. Analysis of open-access metabolomics papers related to blood phrases in the PMC database yielded 4,039 unique compounds and 204 papers. Consolidating these three approaches summed up to a total of 41,474 achiral structures that were linked to 65,957 PubChem CIDs and to over 878,966 PubMed articles. We mapped these compounds to 50 databases such as those covering metabolites and pathways, governmental and toxicological databases, pharmacology resources, and bioassay repositories. In comparison, HMDB, the Human Metabolome Database, links 1,075 compounds to blood-related primary publications. CONCLUSION: This new Blood Exposome Database can be used for prioritizing chemicals for systematic reviews, developing target assays in exposome research, identifying compounds in untargeted mass spectrometry, and biological interpretation in metabolomics data. The database is available at http://bloodexposome.org. https://doi.org/10.1289/EHP4713.","author":[{"dropping-particle":"","family":"Pedregosa","given":"Fabian","non-dropping-particle":"","parse-names":false,"suffix":""},{"dropping-particle":"","family":"Varoquaux","given":"Gael","non-dropping-particle":"","parse-names":false,"suffix":""},{"dropping-particle":"","family":"Gramfort","given":"Alexandre","non-dropping-particle":"","parse-names":false,"suffix":""},{"dropping-particle":"","family":"Michel","given":"Vincent","non-dropping-particle":"","parse-names":false,"suffix":""},{"dropping-particle":"","family":"Thirion","given":"Bertrand","non-dropping-particle":"","parse-names":false,"suffix":""}],"container-title":"Journal of Machine Learning Research","id":"ITEM-1","issue":"9","issued":{"date-parts":[["2011"]]},"page":"2825-2830","title":"Scikit-learn: Machine learning in Python","type":"article-journal","volume":"127"},"uris":["http://www.mendeley.com/documents/?uuid=094d55ce-1d91-40b2-84b9-d7533850f1e2"]}],"mendeley":{"formattedCitation":"(Pedregosa et al., 2011)","plainTextFormattedCitation":"(Pedregosa et al., 2011)","previouslyFormattedCitation":"(Pedregosa et al., 2011)"},"properties":{"noteIndex":0},"schema":"https://github.com/citation-style-language/schema/raw/master/csl-citation.json"}</w:instrText>
      </w:r>
      <w:r w:rsidRPr="00203EB0">
        <w:rPr>
          <w:rFonts w:cs="Times New Roman"/>
        </w:rPr>
        <w:fldChar w:fldCharType="separate"/>
      </w:r>
      <w:r w:rsidRPr="00203EB0">
        <w:rPr>
          <w:rFonts w:cs="Times New Roman"/>
          <w:noProof/>
        </w:rPr>
        <w:t>(Pedregosa et al., 2011)</w:t>
      </w:r>
      <w:r w:rsidRPr="00203EB0">
        <w:rPr>
          <w:rFonts w:cs="Times New Roman"/>
        </w:rPr>
        <w:fldChar w:fldCharType="end"/>
      </w:r>
      <w:r w:rsidRPr="00203EB0">
        <w:rPr>
          <w:rFonts w:cs="Times New Roman"/>
        </w:rPr>
        <w:t xml:space="preserve">. All models were trained on the 2023 dataset (n = 672 observations), which corresponded to a growing season with normal precipitations </w:t>
      </w:r>
      <w:r w:rsidRPr="00203EB0">
        <w:rPr>
          <w:rFonts w:cs="Times New Roman"/>
        </w:rPr>
        <w:lastRenderedPageBreak/>
        <w:t>patterns. The predictor variables included precipitations accumulated over the last 48 hours (PP2, mm), WFPS, CO</w:t>
      </w:r>
      <w:r w:rsidRPr="00203EB0">
        <w:rPr>
          <w:rFonts w:cs="Times New Roman"/>
          <w:vertAlign w:val="subscript"/>
        </w:rPr>
        <w:t xml:space="preserve">2 </w:t>
      </w:r>
      <w:r w:rsidRPr="00203EB0">
        <w:rPr>
          <w:rFonts w:cs="Times New Roman"/>
        </w:rPr>
        <w:t>(g C-CO</w:t>
      </w:r>
      <w:r w:rsidRPr="00203EB0">
        <w:rPr>
          <w:rFonts w:cs="Times New Roman"/>
          <w:vertAlign w:val="subscript"/>
        </w:rPr>
        <w:t>2</w:t>
      </w:r>
      <w:r w:rsidRPr="00203EB0">
        <w:rPr>
          <w:rFonts w:cs="Times New Roman"/>
        </w:rPr>
        <w:t xml:space="preserve"> ha</w:t>
      </w:r>
      <w:r w:rsidRPr="00203EB0">
        <w:rPr>
          <w:rFonts w:cs="Times New Roman"/>
          <w:vertAlign w:val="superscript"/>
        </w:rPr>
        <w:t>-1</w:t>
      </w:r>
      <w:r w:rsidRPr="00203EB0">
        <w:rPr>
          <w:rFonts w:cs="Times New Roman"/>
        </w:rPr>
        <w:t xml:space="preserve"> day</w:t>
      </w:r>
      <w:r w:rsidRPr="00203EB0">
        <w:rPr>
          <w:rFonts w:cs="Times New Roman"/>
          <w:vertAlign w:val="superscript"/>
        </w:rPr>
        <w:t>-1</w:t>
      </w:r>
      <w:r w:rsidRPr="00203EB0">
        <w:rPr>
          <w:rFonts w:cs="Times New Roman"/>
        </w:rPr>
        <w:t xml:space="preserve">), soil </w:t>
      </w:r>
      <m:oMath>
        <m:sSubSup>
          <m:sSubSupPr>
            <m:ctrlPr>
              <w:rPr>
                <w:rFonts w:ascii="Cambria Math" w:hAnsi="Cambria Math" w:cs="Times New Roman"/>
                <w:i/>
              </w:rPr>
            </m:ctrlPr>
          </m:sSubSupPr>
          <m:e>
            <m:r>
              <w:rPr>
                <w:rFonts w:ascii="Cambria Math" w:hAnsi="Cambria Math" w:cs="Times New Roman"/>
              </w:rPr>
              <m:t>NH</m:t>
            </m:r>
          </m:e>
          <m:sub>
            <m:r>
              <w:rPr>
                <w:rFonts w:ascii="Cambria Math" w:hAnsi="Cambria Math" w:cs="Times New Roman"/>
              </w:rPr>
              <m:t>4</m:t>
            </m:r>
          </m:sub>
          <m:sup>
            <m:r>
              <w:rPr>
                <w:rFonts w:ascii="Cambria Math" w:hAnsi="Cambria Math" w:cs="Times New Roman"/>
              </w:rPr>
              <m:t>+</m:t>
            </m:r>
          </m:sup>
        </m:sSubSup>
      </m:oMath>
      <w:r w:rsidRPr="00203EB0">
        <w:rPr>
          <w:rFonts w:cs="Times New Roman"/>
        </w:rPr>
        <w:t xml:space="preserve"> (mg kg</w:t>
      </w:r>
      <w:r w:rsidRPr="00203EB0">
        <w:rPr>
          <w:rFonts w:cs="Times New Roman"/>
          <w:vertAlign w:val="superscript"/>
        </w:rPr>
        <w:t>-1</w:t>
      </w:r>
      <w:r w:rsidRPr="00203EB0">
        <w:rPr>
          <w:rFonts w:cs="Times New Roman"/>
        </w:rPr>
        <w:t xml:space="preserve">), soil </w:t>
      </w:r>
      <m:oMath>
        <m:sSubSup>
          <m:sSubSupPr>
            <m:ctrlPr>
              <w:rPr>
                <w:rFonts w:ascii="Cambria Math" w:hAnsi="Cambria Math" w:cs="Times New Roman"/>
                <w:i/>
              </w:rPr>
            </m:ctrlPr>
          </m:sSubSupPr>
          <m:e>
            <m:r>
              <w:rPr>
                <w:rFonts w:ascii="Cambria Math" w:hAnsi="Cambria Math" w:cs="Times New Roman"/>
              </w:rPr>
              <m:t>NO</m:t>
            </m:r>
          </m:e>
          <m:sub>
            <m:r>
              <w:rPr>
                <w:rFonts w:ascii="Cambria Math" w:hAnsi="Cambria Math" w:cs="Times New Roman"/>
              </w:rPr>
              <m:t>3</m:t>
            </m:r>
          </m:sub>
          <m:sup>
            <m:r>
              <w:rPr>
                <w:rFonts w:ascii="Cambria Math" w:hAnsi="Cambria Math" w:cs="Times New Roman"/>
              </w:rPr>
              <m:t>-</m:t>
            </m:r>
          </m:sup>
        </m:sSubSup>
      </m:oMath>
      <w:r w:rsidRPr="00203EB0">
        <w:rPr>
          <w:rFonts w:cs="Times New Roman"/>
        </w:rPr>
        <w:t xml:space="preserve"> (mg kg</w:t>
      </w:r>
      <w:r w:rsidRPr="00203EB0">
        <w:rPr>
          <w:rFonts w:cs="Times New Roman"/>
          <w:vertAlign w:val="superscript"/>
        </w:rPr>
        <w:t>-1</w:t>
      </w:r>
      <w:r w:rsidRPr="00203EB0">
        <w:rPr>
          <w:rFonts w:cs="Times New Roman"/>
        </w:rPr>
        <w:t xml:space="preserve">), soil temperature (Soil T, °C), and SOM (%). </w:t>
      </w:r>
    </w:p>
    <w:p w14:paraId="12347582" w14:textId="41E64635" w:rsidR="00CB7948" w:rsidRPr="00203EB0" w:rsidRDefault="00CB7948" w:rsidP="00CB7948">
      <w:pPr>
        <w:spacing w:line="480" w:lineRule="auto"/>
        <w:rPr>
          <w:rFonts w:cs="Times New Roman"/>
        </w:rPr>
      </w:pPr>
      <w:r w:rsidRPr="00203EB0">
        <w:rPr>
          <w:rFonts w:cs="Times New Roman"/>
        </w:rPr>
        <w:t xml:space="preserve">Each model underwent independent hyperparameter tuning prior to evaluation with </w:t>
      </w:r>
      <w:proofErr w:type="gramStart"/>
      <w:r w:rsidRPr="00203EB0">
        <w:rPr>
          <w:rFonts w:cs="Times New Roman"/>
        </w:rPr>
        <w:t>parameters optimized</w:t>
      </w:r>
      <w:proofErr w:type="gramEnd"/>
      <w:r w:rsidRPr="00203EB0">
        <w:rPr>
          <w:rFonts w:cs="Times New Roman"/>
        </w:rPr>
        <w:t xml:space="preserve"> based on the mean absolute error (MAE) and mean percentage error (MPE) (optimized parameters are presented in </w:t>
      </w:r>
      <w:r w:rsidRPr="00203EB0">
        <w:rPr>
          <w:rFonts w:cs="Times New Roman"/>
          <w:b/>
          <w:bCs/>
        </w:rPr>
        <w:t>Table 6.1</w:t>
      </w:r>
      <w:r w:rsidRPr="00203EB0">
        <w:rPr>
          <w:rFonts w:cs="Times New Roman"/>
        </w:rPr>
        <w:t xml:space="preserve">). Model performance was initially assessed through eight-fold cross-validation using 2023 dataset, where one treatment was excluded in each fold to ensure robust evaluation. Following cross-validation, models were tested on an independent holdout dataset from 2022, a contrasting year characterized by extremely dry summer conditions allowing robust model testing. This unseen holdout evaluation provides a more rigorous assessment of model generalizability by incorporating varying environmental conditions and flux patterns, while minimizing the risk of overfitting to the training data. </w:t>
      </w:r>
    </w:p>
    <w:p w14:paraId="712459C7" w14:textId="335DF350" w:rsidR="00721BEA" w:rsidRPr="00203EB0" w:rsidRDefault="00CB7948" w:rsidP="00CB7948">
      <w:pPr>
        <w:spacing w:line="480" w:lineRule="auto"/>
        <w:rPr>
          <w:rFonts w:cs="Times New Roman"/>
        </w:rPr>
      </w:pPr>
      <w:r w:rsidRPr="00203EB0">
        <w:rPr>
          <w:rFonts w:cs="Times New Roman"/>
        </w:rPr>
        <w:t xml:space="preserve">The four RF modeling approaches differed in their strategies for handling data imbalance and classifying </w:t>
      </w:r>
      <w:proofErr w:type="gramStart"/>
      <w:r w:rsidRPr="00203EB0">
        <w:rPr>
          <w:rFonts w:cs="Times New Roman"/>
        </w:rPr>
        <w:t>hot-moments</w:t>
      </w:r>
      <w:proofErr w:type="gramEnd"/>
      <w:r w:rsidRPr="00203EB0">
        <w:rPr>
          <w:rFonts w:cs="Times New Roman"/>
        </w:rPr>
        <w:t xml:space="preserve"> versus background emissions, as described below. </w:t>
      </w:r>
    </w:p>
    <w:p w14:paraId="3818BCF1" w14:textId="4E6EDD75" w:rsidR="00721BEA" w:rsidRPr="00203EB0" w:rsidRDefault="008546E8" w:rsidP="00001ABC">
      <w:pPr>
        <w:pStyle w:val="Caption"/>
      </w:pPr>
      <w:bookmarkStart w:id="121" w:name="_Toc206669229"/>
      <w:r w:rsidRPr="00203EB0">
        <w:rPr>
          <w:b/>
          <w:bCs/>
        </w:rPr>
        <w:t xml:space="preserve">Table </w:t>
      </w:r>
      <w:r w:rsidR="007E5F6E" w:rsidRPr="00203EB0">
        <w:rPr>
          <w:b/>
          <w:bCs/>
        </w:rPr>
        <w:t>6</w:t>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1</w:t>
      </w:r>
      <w:r w:rsidR="00775F57" w:rsidRPr="00203EB0">
        <w:rPr>
          <w:b/>
          <w:bCs/>
        </w:rPr>
        <w:fldChar w:fldCharType="end"/>
      </w:r>
      <w:r w:rsidRPr="00203EB0">
        <w:rPr>
          <w:b/>
          <w:bCs/>
        </w:rPr>
        <w:t>:</w:t>
      </w:r>
      <w:r w:rsidRPr="00203EB0">
        <w:t xml:space="preserve"> Optimized hyperparameters for each model following tuning process.</w:t>
      </w:r>
      <w:bookmarkEnd w:id="1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8"/>
        <w:gridCol w:w="1283"/>
        <w:gridCol w:w="1675"/>
        <w:gridCol w:w="1697"/>
        <w:gridCol w:w="1697"/>
      </w:tblGrid>
      <w:tr w:rsidR="00721BEA" w:rsidRPr="00203EB0" w14:paraId="3B59BDA6" w14:textId="77777777" w:rsidTr="00C17D6E">
        <w:tc>
          <w:tcPr>
            <w:tcW w:w="2363" w:type="dxa"/>
            <w:vMerge w:val="restart"/>
            <w:tcBorders>
              <w:top w:val="single" w:sz="4" w:space="0" w:color="auto"/>
            </w:tcBorders>
            <w:vAlign w:val="center"/>
          </w:tcPr>
          <w:p w14:paraId="28153215" w14:textId="77777777" w:rsidR="00721BEA" w:rsidRPr="00203EB0" w:rsidRDefault="00721BEA" w:rsidP="00C17D6E">
            <w:pPr>
              <w:tabs>
                <w:tab w:val="left" w:pos="8148"/>
              </w:tabs>
              <w:jc w:val="center"/>
              <w:rPr>
                <w:rFonts w:cs="Times New Roman"/>
                <w:b/>
              </w:rPr>
            </w:pPr>
            <w:r w:rsidRPr="00203EB0">
              <w:rPr>
                <w:rFonts w:cs="Times New Roman"/>
                <w:b/>
              </w:rPr>
              <w:t>Models</w:t>
            </w:r>
          </w:p>
        </w:tc>
        <w:tc>
          <w:tcPr>
            <w:tcW w:w="6475" w:type="dxa"/>
            <w:gridSpan w:val="4"/>
            <w:tcBorders>
              <w:top w:val="single" w:sz="4" w:space="0" w:color="auto"/>
              <w:bottom w:val="single" w:sz="4" w:space="0" w:color="auto"/>
            </w:tcBorders>
            <w:vAlign w:val="center"/>
          </w:tcPr>
          <w:p w14:paraId="502F22E0" w14:textId="77777777" w:rsidR="00721BEA" w:rsidRPr="00203EB0" w:rsidRDefault="00721BEA" w:rsidP="00C17D6E">
            <w:pPr>
              <w:tabs>
                <w:tab w:val="left" w:pos="8148"/>
              </w:tabs>
              <w:jc w:val="center"/>
              <w:rPr>
                <w:rFonts w:cs="Times New Roman"/>
                <w:b/>
              </w:rPr>
            </w:pPr>
            <w:r w:rsidRPr="00203EB0">
              <w:rPr>
                <w:rFonts w:cs="Times New Roman"/>
                <w:b/>
              </w:rPr>
              <w:t>Random Forest Parameters</w:t>
            </w:r>
          </w:p>
        </w:tc>
      </w:tr>
      <w:tr w:rsidR="00721BEA" w:rsidRPr="00203EB0" w14:paraId="108074DB" w14:textId="77777777" w:rsidTr="00C17D6E">
        <w:tc>
          <w:tcPr>
            <w:tcW w:w="2363" w:type="dxa"/>
            <w:vMerge/>
            <w:tcBorders>
              <w:bottom w:val="single" w:sz="4" w:space="0" w:color="auto"/>
            </w:tcBorders>
          </w:tcPr>
          <w:p w14:paraId="7CCD4DB6" w14:textId="77777777" w:rsidR="00721BEA" w:rsidRPr="00203EB0" w:rsidRDefault="00721BEA" w:rsidP="00C17D6E">
            <w:pPr>
              <w:tabs>
                <w:tab w:val="left" w:pos="8148"/>
              </w:tabs>
              <w:rPr>
                <w:rFonts w:cs="Times New Roman"/>
              </w:rPr>
            </w:pPr>
          </w:p>
        </w:tc>
        <w:tc>
          <w:tcPr>
            <w:tcW w:w="1283" w:type="dxa"/>
            <w:tcBorders>
              <w:top w:val="single" w:sz="4" w:space="0" w:color="auto"/>
              <w:bottom w:val="single" w:sz="4" w:space="0" w:color="auto"/>
            </w:tcBorders>
          </w:tcPr>
          <w:p w14:paraId="6B2B3919" w14:textId="77777777" w:rsidR="00721BEA" w:rsidRPr="00203EB0" w:rsidRDefault="00721BEA" w:rsidP="00C17D6E">
            <w:pPr>
              <w:tabs>
                <w:tab w:val="left" w:pos="8148"/>
              </w:tabs>
              <w:jc w:val="center"/>
              <w:rPr>
                <w:rFonts w:cs="Times New Roman"/>
                <w:b/>
              </w:rPr>
            </w:pPr>
            <w:r w:rsidRPr="00203EB0">
              <w:rPr>
                <w:rFonts w:cs="Times New Roman"/>
                <w:b/>
              </w:rPr>
              <w:t>n estimators</w:t>
            </w:r>
          </w:p>
        </w:tc>
        <w:tc>
          <w:tcPr>
            <w:tcW w:w="1724" w:type="dxa"/>
            <w:tcBorders>
              <w:top w:val="single" w:sz="4" w:space="0" w:color="auto"/>
              <w:bottom w:val="single" w:sz="4" w:space="0" w:color="auto"/>
            </w:tcBorders>
          </w:tcPr>
          <w:p w14:paraId="743A6931" w14:textId="77777777" w:rsidR="00721BEA" w:rsidRPr="00203EB0" w:rsidRDefault="00721BEA" w:rsidP="00C17D6E">
            <w:pPr>
              <w:tabs>
                <w:tab w:val="left" w:pos="8148"/>
              </w:tabs>
              <w:jc w:val="center"/>
              <w:rPr>
                <w:rFonts w:cs="Times New Roman"/>
                <w:b/>
              </w:rPr>
            </w:pPr>
            <w:r w:rsidRPr="00203EB0">
              <w:rPr>
                <w:rFonts w:cs="Times New Roman"/>
                <w:b/>
              </w:rPr>
              <w:t>Max depth</w:t>
            </w:r>
          </w:p>
        </w:tc>
        <w:tc>
          <w:tcPr>
            <w:tcW w:w="1734" w:type="dxa"/>
            <w:tcBorders>
              <w:top w:val="single" w:sz="4" w:space="0" w:color="auto"/>
              <w:bottom w:val="single" w:sz="4" w:space="0" w:color="auto"/>
            </w:tcBorders>
          </w:tcPr>
          <w:p w14:paraId="7FE27967" w14:textId="77777777" w:rsidR="00721BEA" w:rsidRPr="00203EB0" w:rsidRDefault="00721BEA" w:rsidP="00C17D6E">
            <w:pPr>
              <w:tabs>
                <w:tab w:val="left" w:pos="8148"/>
              </w:tabs>
              <w:jc w:val="center"/>
              <w:rPr>
                <w:rFonts w:cs="Times New Roman"/>
                <w:b/>
              </w:rPr>
            </w:pPr>
            <w:r w:rsidRPr="00203EB0">
              <w:rPr>
                <w:rFonts w:cs="Times New Roman"/>
                <w:b/>
              </w:rPr>
              <w:t xml:space="preserve">Min samples split </w:t>
            </w:r>
          </w:p>
        </w:tc>
        <w:tc>
          <w:tcPr>
            <w:tcW w:w="1734" w:type="dxa"/>
            <w:tcBorders>
              <w:top w:val="single" w:sz="4" w:space="0" w:color="auto"/>
              <w:bottom w:val="single" w:sz="4" w:space="0" w:color="auto"/>
            </w:tcBorders>
          </w:tcPr>
          <w:p w14:paraId="2E586752" w14:textId="77777777" w:rsidR="00721BEA" w:rsidRPr="00203EB0" w:rsidRDefault="00721BEA" w:rsidP="00C17D6E">
            <w:pPr>
              <w:tabs>
                <w:tab w:val="left" w:pos="8148"/>
              </w:tabs>
              <w:jc w:val="center"/>
              <w:rPr>
                <w:rFonts w:cs="Times New Roman"/>
                <w:b/>
              </w:rPr>
            </w:pPr>
            <w:r w:rsidRPr="00203EB0">
              <w:rPr>
                <w:rFonts w:cs="Times New Roman"/>
                <w:b/>
              </w:rPr>
              <w:t>Min samples leaf</w:t>
            </w:r>
          </w:p>
        </w:tc>
      </w:tr>
      <w:tr w:rsidR="00721BEA" w:rsidRPr="00203EB0" w14:paraId="3E0690D6" w14:textId="77777777" w:rsidTr="00C17D6E">
        <w:tc>
          <w:tcPr>
            <w:tcW w:w="2363" w:type="dxa"/>
            <w:tcBorders>
              <w:top w:val="single" w:sz="4" w:space="0" w:color="auto"/>
            </w:tcBorders>
          </w:tcPr>
          <w:p w14:paraId="2B0FB4A6" w14:textId="77777777" w:rsidR="00721BEA" w:rsidRPr="00203EB0" w:rsidRDefault="00721BEA" w:rsidP="00C17D6E">
            <w:pPr>
              <w:tabs>
                <w:tab w:val="left" w:pos="8148"/>
              </w:tabs>
              <w:rPr>
                <w:rFonts w:cs="Times New Roman"/>
              </w:rPr>
            </w:pPr>
            <w:r w:rsidRPr="00203EB0">
              <w:rPr>
                <w:rFonts w:cs="Times New Roman"/>
              </w:rPr>
              <w:t>Base</w:t>
            </w:r>
          </w:p>
        </w:tc>
        <w:tc>
          <w:tcPr>
            <w:tcW w:w="1283" w:type="dxa"/>
            <w:tcBorders>
              <w:top w:val="single" w:sz="4" w:space="0" w:color="auto"/>
            </w:tcBorders>
            <w:vAlign w:val="center"/>
          </w:tcPr>
          <w:p w14:paraId="14921BE6" w14:textId="77777777" w:rsidR="00721BEA" w:rsidRPr="00203EB0" w:rsidRDefault="00721BEA" w:rsidP="00C17D6E">
            <w:pPr>
              <w:tabs>
                <w:tab w:val="left" w:pos="8148"/>
              </w:tabs>
              <w:jc w:val="center"/>
              <w:rPr>
                <w:rFonts w:cs="Times New Roman"/>
              </w:rPr>
            </w:pPr>
            <w:r w:rsidRPr="00203EB0">
              <w:rPr>
                <w:rFonts w:cs="Times New Roman"/>
              </w:rPr>
              <w:t>200</w:t>
            </w:r>
          </w:p>
        </w:tc>
        <w:tc>
          <w:tcPr>
            <w:tcW w:w="1724" w:type="dxa"/>
            <w:tcBorders>
              <w:top w:val="single" w:sz="4" w:space="0" w:color="auto"/>
            </w:tcBorders>
            <w:vAlign w:val="center"/>
          </w:tcPr>
          <w:p w14:paraId="444506FE" w14:textId="77777777" w:rsidR="00721BEA" w:rsidRPr="00203EB0" w:rsidRDefault="00721BEA" w:rsidP="00C17D6E">
            <w:pPr>
              <w:tabs>
                <w:tab w:val="left" w:pos="8148"/>
              </w:tabs>
              <w:jc w:val="center"/>
              <w:rPr>
                <w:rFonts w:cs="Times New Roman"/>
              </w:rPr>
            </w:pPr>
            <w:r w:rsidRPr="00203EB0">
              <w:rPr>
                <w:rFonts w:cs="Times New Roman"/>
              </w:rPr>
              <w:t>3</w:t>
            </w:r>
          </w:p>
        </w:tc>
        <w:tc>
          <w:tcPr>
            <w:tcW w:w="1734" w:type="dxa"/>
            <w:tcBorders>
              <w:top w:val="single" w:sz="4" w:space="0" w:color="auto"/>
            </w:tcBorders>
            <w:vAlign w:val="center"/>
          </w:tcPr>
          <w:p w14:paraId="272A2035" w14:textId="77777777" w:rsidR="00721BEA" w:rsidRPr="00203EB0" w:rsidRDefault="00721BEA" w:rsidP="00C17D6E">
            <w:pPr>
              <w:tabs>
                <w:tab w:val="left" w:pos="8148"/>
              </w:tabs>
              <w:jc w:val="center"/>
              <w:rPr>
                <w:rFonts w:cs="Times New Roman"/>
              </w:rPr>
            </w:pPr>
            <w:r w:rsidRPr="00203EB0">
              <w:rPr>
                <w:rFonts w:cs="Times New Roman"/>
              </w:rPr>
              <w:t>2</w:t>
            </w:r>
          </w:p>
        </w:tc>
        <w:tc>
          <w:tcPr>
            <w:tcW w:w="1734" w:type="dxa"/>
            <w:tcBorders>
              <w:top w:val="single" w:sz="4" w:space="0" w:color="auto"/>
            </w:tcBorders>
            <w:vAlign w:val="center"/>
          </w:tcPr>
          <w:p w14:paraId="1622543E" w14:textId="77777777" w:rsidR="00721BEA" w:rsidRPr="00203EB0" w:rsidRDefault="00721BEA" w:rsidP="00C17D6E">
            <w:pPr>
              <w:tabs>
                <w:tab w:val="left" w:pos="8148"/>
              </w:tabs>
              <w:jc w:val="center"/>
              <w:rPr>
                <w:rFonts w:cs="Times New Roman"/>
              </w:rPr>
            </w:pPr>
            <w:r w:rsidRPr="00203EB0">
              <w:rPr>
                <w:rFonts w:cs="Times New Roman"/>
              </w:rPr>
              <w:t>5</w:t>
            </w:r>
          </w:p>
        </w:tc>
      </w:tr>
      <w:tr w:rsidR="00721BEA" w:rsidRPr="00203EB0" w14:paraId="402258D4" w14:textId="77777777" w:rsidTr="00C17D6E">
        <w:tc>
          <w:tcPr>
            <w:tcW w:w="2363" w:type="dxa"/>
          </w:tcPr>
          <w:p w14:paraId="1CEF3211" w14:textId="77777777" w:rsidR="00721BEA" w:rsidRPr="00203EB0" w:rsidRDefault="00721BEA" w:rsidP="00C17D6E">
            <w:pPr>
              <w:tabs>
                <w:tab w:val="left" w:pos="8148"/>
              </w:tabs>
              <w:rPr>
                <w:rFonts w:cs="Times New Roman"/>
              </w:rPr>
            </w:pPr>
            <w:r w:rsidRPr="00203EB0">
              <w:rPr>
                <w:rFonts w:cs="Times New Roman"/>
              </w:rPr>
              <w:t>Class-Swap</w:t>
            </w:r>
          </w:p>
        </w:tc>
        <w:tc>
          <w:tcPr>
            <w:tcW w:w="1283" w:type="dxa"/>
            <w:vAlign w:val="center"/>
          </w:tcPr>
          <w:p w14:paraId="1F60853A" w14:textId="77777777" w:rsidR="00721BEA" w:rsidRPr="00203EB0" w:rsidRDefault="00721BEA" w:rsidP="00C17D6E">
            <w:pPr>
              <w:tabs>
                <w:tab w:val="left" w:pos="8148"/>
              </w:tabs>
              <w:jc w:val="center"/>
              <w:rPr>
                <w:rFonts w:cs="Times New Roman"/>
              </w:rPr>
            </w:pPr>
          </w:p>
        </w:tc>
        <w:tc>
          <w:tcPr>
            <w:tcW w:w="1724" w:type="dxa"/>
            <w:vAlign w:val="center"/>
          </w:tcPr>
          <w:p w14:paraId="54E3CDBF" w14:textId="77777777" w:rsidR="00721BEA" w:rsidRPr="00203EB0" w:rsidRDefault="00721BEA" w:rsidP="00C17D6E">
            <w:pPr>
              <w:tabs>
                <w:tab w:val="left" w:pos="8148"/>
              </w:tabs>
              <w:jc w:val="center"/>
              <w:rPr>
                <w:rFonts w:cs="Times New Roman"/>
              </w:rPr>
            </w:pPr>
          </w:p>
        </w:tc>
        <w:tc>
          <w:tcPr>
            <w:tcW w:w="1734" w:type="dxa"/>
            <w:vAlign w:val="center"/>
          </w:tcPr>
          <w:p w14:paraId="425903C2" w14:textId="77777777" w:rsidR="00721BEA" w:rsidRPr="00203EB0" w:rsidRDefault="00721BEA" w:rsidP="00C17D6E">
            <w:pPr>
              <w:tabs>
                <w:tab w:val="left" w:pos="8148"/>
              </w:tabs>
              <w:jc w:val="center"/>
              <w:rPr>
                <w:rFonts w:cs="Times New Roman"/>
              </w:rPr>
            </w:pPr>
          </w:p>
        </w:tc>
        <w:tc>
          <w:tcPr>
            <w:tcW w:w="1734" w:type="dxa"/>
            <w:vAlign w:val="center"/>
          </w:tcPr>
          <w:p w14:paraId="6BF20E7A" w14:textId="77777777" w:rsidR="00721BEA" w:rsidRPr="00203EB0" w:rsidRDefault="00721BEA" w:rsidP="00C17D6E">
            <w:pPr>
              <w:tabs>
                <w:tab w:val="left" w:pos="8148"/>
              </w:tabs>
              <w:jc w:val="center"/>
              <w:rPr>
                <w:rFonts w:cs="Times New Roman"/>
              </w:rPr>
            </w:pPr>
          </w:p>
        </w:tc>
      </w:tr>
      <w:tr w:rsidR="00721BEA" w:rsidRPr="00203EB0" w14:paraId="427877B4" w14:textId="77777777" w:rsidTr="00C17D6E">
        <w:tc>
          <w:tcPr>
            <w:tcW w:w="2363" w:type="dxa"/>
          </w:tcPr>
          <w:p w14:paraId="00B69642" w14:textId="77777777" w:rsidR="00721BEA" w:rsidRPr="00203EB0" w:rsidRDefault="00721BEA" w:rsidP="00C17D6E">
            <w:pPr>
              <w:tabs>
                <w:tab w:val="left" w:pos="8148"/>
              </w:tabs>
              <w:rPr>
                <w:rFonts w:cs="Times New Roman"/>
              </w:rPr>
            </w:pPr>
            <w:r w:rsidRPr="00203EB0">
              <w:rPr>
                <w:rFonts w:cs="Times New Roman"/>
              </w:rPr>
              <w:t xml:space="preserve">                   Low</w:t>
            </w:r>
          </w:p>
        </w:tc>
        <w:tc>
          <w:tcPr>
            <w:tcW w:w="1283" w:type="dxa"/>
            <w:vAlign w:val="center"/>
          </w:tcPr>
          <w:p w14:paraId="77AF2243" w14:textId="77777777" w:rsidR="00721BEA" w:rsidRPr="00203EB0" w:rsidRDefault="00721BEA" w:rsidP="00C17D6E">
            <w:pPr>
              <w:tabs>
                <w:tab w:val="left" w:pos="8148"/>
              </w:tabs>
              <w:jc w:val="center"/>
              <w:rPr>
                <w:rFonts w:cs="Times New Roman"/>
              </w:rPr>
            </w:pPr>
            <w:r w:rsidRPr="00203EB0">
              <w:rPr>
                <w:rFonts w:cs="Times New Roman"/>
              </w:rPr>
              <w:t>500</w:t>
            </w:r>
          </w:p>
        </w:tc>
        <w:tc>
          <w:tcPr>
            <w:tcW w:w="1724" w:type="dxa"/>
            <w:vAlign w:val="center"/>
          </w:tcPr>
          <w:p w14:paraId="14C25EB4" w14:textId="77777777" w:rsidR="00721BEA" w:rsidRPr="00203EB0" w:rsidRDefault="00721BEA" w:rsidP="00C17D6E">
            <w:pPr>
              <w:tabs>
                <w:tab w:val="left" w:pos="8148"/>
              </w:tabs>
              <w:jc w:val="center"/>
              <w:rPr>
                <w:rFonts w:cs="Times New Roman"/>
              </w:rPr>
            </w:pPr>
            <w:r w:rsidRPr="00203EB0">
              <w:rPr>
                <w:rFonts w:cs="Times New Roman"/>
              </w:rPr>
              <w:t>15</w:t>
            </w:r>
          </w:p>
        </w:tc>
        <w:tc>
          <w:tcPr>
            <w:tcW w:w="1734" w:type="dxa"/>
            <w:vAlign w:val="center"/>
          </w:tcPr>
          <w:p w14:paraId="7FB7CFDE" w14:textId="77777777" w:rsidR="00721BEA" w:rsidRPr="00203EB0" w:rsidRDefault="00721BEA" w:rsidP="00C17D6E">
            <w:pPr>
              <w:tabs>
                <w:tab w:val="left" w:pos="8148"/>
              </w:tabs>
              <w:jc w:val="center"/>
              <w:rPr>
                <w:rFonts w:cs="Times New Roman"/>
              </w:rPr>
            </w:pPr>
            <w:r w:rsidRPr="00203EB0">
              <w:rPr>
                <w:rFonts w:cs="Times New Roman"/>
              </w:rPr>
              <w:t>5</w:t>
            </w:r>
          </w:p>
        </w:tc>
        <w:tc>
          <w:tcPr>
            <w:tcW w:w="1734" w:type="dxa"/>
            <w:vAlign w:val="center"/>
          </w:tcPr>
          <w:p w14:paraId="49AE657E" w14:textId="77777777" w:rsidR="00721BEA" w:rsidRPr="00203EB0" w:rsidRDefault="00721BEA" w:rsidP="00C17D6E">
            <w:pPr>
              <w:tabs>
                <w:tab w:val="left" w:pos="8148"/>
              </w:tabs>
              <w:jc w:val="center"/>
              <w:rPr>
                <w:rFonts w:cs="Times New Roman"/>
              </w:rPr>
            </w:pPr>
            <w:r w:rsidRPr="00203EB0">
              <w:rPr>
                <w:rFonts w:cs="Times New Roman"/>
              </w:rPr>
              <w:t>10</w:t>
            </w:r>
          </w:p>
        </w:tc>
      </w:tr>
      <w:tr w:rsidR="00721BEA" w:rsidRPr="00203EB0" w14:paraId="336555E7" w14:textId="77777777" w:rsidTr="00C17D6E">
        <w:tc>
          <w:tcPr>
            <w:tcW w:w="2363" w:type="dxa"/>
          </w:tcPr>
          <w:p w14:paraId="22950192" w14:textId="77777777" w:rsidR="00721BEA" w:rsidRPr="00203EB0" w:rsidRDefault="00721BEA" w:rsidP="00C17D6E">
            <w:pPr>
              <w:tabs>
                <w:tab w:val="left" w:pos="8148"/>
              </w:tabs>
              <w:rPr>
                <w:rFonts w:cs="Times New Roman"/>
              </w:rPr>
            </w:pPr>
            <w:r w:rsidRPr="00203EB0">
              <w:rPr>
                <w:rFonts w:cs="Times New Roman"/>
              </w:rPr>
              <w:t xml:space="preserve">                   High</w:t>
            </w:r>
          </w:p>
        </w:tc>
        <w:tc>
          <w:tcPr>
            <w:tcW w:w="1283" w:type="dxa"/>
            <w:vAlign w:val="center"/>
          </w:tcPr>
          <w:p w14:paraId="4969F4F6" w14:textId="77777777" w:rsidR="00721BEA" w:rsidRPr="00203EB0" w:rsidRDefault="00721BEA" w:rsidP="00C17D6E">
            <w:pPr>
              <w:tabs>
                <w:tab w:val="left" w:pos="8148"/>
              </w:tabs>
              <w:jc w:val="center"/>
              <w:rPr>
                <w:rFonts w:cs="Times New Roman"/>
              </w:rPr>
            </w:pPr>
            <w:r w:rsidRPr="00203EB0">
              <w:rPr>
                <w:rFonts w:cs="Times New Roman"/>
              </w:rPr>
              <w:t>300</w:t>
            </w:r>
          </w:p>
        </w:tc>
        <w:tc>
          <w:tcPr>
            <w:tcW w:w="1724" w:type="dxa"/>
            <w:vAlign w:val="center"/>
          </w:tcPr>
          <w:p w14:paraId="00E760AE" w14:textId="77777777" w:rsidR="00721BEA" w:rsidRPr="00203EB0" w:rsidRDefault="00721BEA" w:rsidP="00C17D6E">
            <w:pPr>
              <w:tabs>
                <w:tab w:val="left" w:pos="8148"/>
              </w:tabs>
              <w:jc w:val="center"/>
              <w:rPr>
                <w:rFonts w:cs="Times New Roman"/>
              </w:rPr>
            </w:pPr>
            <w:r w:rsidRPr="00203EB0">
              <w:rPr>
                <w:rFonts w:cs="Times New Roman"/>
              </w:rPr>
              <w:t>5</w:t>
            </w:r>
          </w:p>
        </w:tc>
        <w:tc>
          <w:tcPr>
            <w:tcW w:w="1734" w:type="dxa"/>
            <w:vAlign w:val="center"/>
          </w:tcPr>
          <w:p w14:paraId="4774A87C" w14:textId="77777777" w:rsidR="00721BEA" w:rsidRPr="00203EB0" w:rsidRDefault="00721BEA" w:rsidP="00C17D6E">
            <w:pPr>
              <w:tabs>
                <w:tab w:val="left" w:pos="8148"/>
              </w:tabs>
              <w:jc w:val="center"/>
              <w:rPr>
                <w:rFonts w:cs="Times New Roman"/>
              </w:rPr>
            </w:pPr>
            <w:r w:rsidRPr="00203EB0">
              <w:rPr>
                <w:rFonts w:cs="Times New Roman"/>
              </w:rPr>
              <w:t>5</w:t>
            </w:r>
          </w:p>
        </w:tc>
        <w:tc>
          <w:tcPr>
            <w:tcW w:w="1734" w:type="dxa"/>
            <w:vAlign w:val="center"/>
          </w:tcPr>
          <w:p w14:paraId="61707C81" w14:textId="77777777" w:rsidR="00721BEA" w:rsidRPr="00203EB0" w:rsidRDefault="00721BEA" w:rsidP="00C17D6E">
            <w:pPr>
              <w:tabs>
                <w:tab w:val="left" w:pos="8148"/>
              </w:tabs>
              <w:jc w:val="center"/>
              <w:rPr>
                <w:rFonts w:cs="Times New Roman"/>
              </w:rPr>
            </w:pPr>
            <w:r w:rsidRPr="00203EB0">
              <w:rPr>
                <w:rFonts w:cs="Times New Roman"/>
              </w:rPr>
              <w:t>12</w:t>
            </w:r>
          </w:p>
        </w:tc>
      </w:tr>
      <w:tr w:rsidR="00721BEA" w:rsidRPr="00203EB0" w14:paraId="665E3BA2" w14:textId="77777777" w:rsidTr="00C17D6E">
        <w:tc>
          <w:tcPr>
            <w:tcW w:w="2363" w:type="dxa"/>
          </w:tcPr>
          <w:p w14:paraId="519D4E1E" w14:textId="77777777" w:rsidR="00721BEA" w:rsidRPr="00203EB0" w:rsidRDefault="00721BEA" w:rsidP="00C17D6E">
            <w:pPr>
              <w:tabs>
                <w:tab w:val="left" w:pos="8148"/>
              </w:tabs>
              <w:rPr>
                <w:rFonts w:cs="Times New Roman"/>
              </w:rPr>
            </w:pPr>
            <w:r w:rsidRPr="00203EB0">
              <w:rPr>
                <w:rFonts w:cs="Times New Roman"/>
              </w:rPr>
              <w:t>Base-Over</w:t>
            </w:r>
          </w:p>
        </w:tc>
        <w:tc>
          <w:tcPr>
            <w:tcW w:w="1283" w:type="dxa"/>
            <w:vAlign w:val="center"/>
          </w:tcPr>
          <w:p w14:paraId="1ACAAE84" w14:textId="77777777" w:rsidR="00721BEA" w:rsidRPr="00203EB0" w:rsidRDefault="00721BEA" w:rsidP="00C17D6E">
            <w:pPr>
              <w:tabs>
                <w:tab w:val="left" w:pos="8148"/>
              </w:tabs>
              <w:jc w:val="center"/>
              <w:rPr>
                <w:rFonts w:cs="Times New Roman"/>
              </w:rPr>
            </w:pPr>
            <w:r w:rsidRPr="00203EB0">
              <w:rPr>
                <w:rFonts w:cs="Times New Roman"/>
              </w:rPr>
              <w:t>200</w:t>
            </w:r>
          </w:p>
        </w:tc>
        <w:tc>
          <w:tcPr>
            <w:tcW w:w="1724" w:type="dxa"/>
            <w:vAlign w:val="center"/>
          </w:tcPr>
          <w:p w14:paraId="6C95BAB8" w14:textId="77777777" w:rsidR="00721BEA" w:rsidRPr="00203EB0" w:rsidRDefault="00721BEA" w:rsidP="00C17D6E">
            <w:pPr>
              <w:tabs>
                <w:tab w:val="left" w:pos="8148"/>
              </w:tabs>
              <w:jc w:val="center"/>
              <w:rPr>
                <w:rFonts w:cs="Times New Roman"/>
              </w:rPr>
            </w:pPr>
            <w:r w:rsidRPr="00203EB0">
              <w:rPr>
                <w:rFonts w:cs="Times New Roman"/>
              </w:rPr>
              <w:t>3</w:t>
            </w:r>
          </w:p>
        </w:tc>
        <w:tc>
          <w:tcPr>
            <w:tcW w:w="1734" w:type="dxa"/>
            <w:vAlign w:val="center"/>
          </w:tcPr>
          <w:p w14:paraId="47290A99" w14:textId="77777777" w:rsidR="00721BEA" w:rsidRPr="00203EB0" w:rsidRDefault="00721BEA" w:rsidP="00C17D6E">
            <w:pPr>
              <w:tabs>
                <w:tab w:val="left" w:pos="8148"/>
              </w:tabs>
              <w:jc w:val="center"/>
              <w:rPr>
                <w:rFonts w:cs="Times New Roman"/>
              </w:rPr>
            </w:pPr>
            <w:r w:rsidRPr="00203EB0">
              <w:rPr>
                <w:rFonts w:cs="Times New Roman"/>
              </w:rPr>
              <w:t>2</w:t>
            </w:r>
          </w:p>
        </w:tc>
        <w:tc>
          <w:tcPr>
            <w:tcW w:w="1734" w:type="dxa"/>
            <w:vAlign w:val="center"/>
          </w:tcPr>
          <w:p w14:paraId="0C885CD6" w14:textId="77777777" w:rsidR="00721BEA" w:rsidRPr="00203EB0" w:rsidRDefault="00721BEA" w:rsidP="00C17D6E">
            <w:pPr>
              <w:tabs>
                <w:tab w:val="left" w:pos="8148"/>
              </w:tabs>
              <w:jc w:val="center"/>
              <w:rPr>
                <w:rFonts w:cs="Times New Roman"/>
              </w:rPr>
            </w:pPr>
            <w:r w:rsidRPr="00203EB0">
              <w:rPr>
                <w:rFonts w:cs="Times New Roman"/>
              </w:rPr>
              <w:t>2</w:t>
            </w:r>
          </w:p>
        </w:tc>
      </w:tr>
      <w:tr w:rsidR="00721BEA" w:rsidRPr="00203EB0" w14:paraId="27A61614" w14:textId="77777777" w:rsidTr="00C17D6E">
        <w:tc>
          <w:tcPr>
            <w:tcW w:w="2363" w:type="dxa"/>
          </w:tcPr>
          <w:p w14:paraId="4822910A" w14:textId="77777777" w:rsidR="00721BEA" w:rsidRPr="00203EB0" w:rsidRDefault="00721BEA" w:rsidP="00C17D6E">
            <w:pPr>
              <w:tabs>
                <w:tab w:val="left" w:pos="8148"/>
              </w:tabs>
              <w:rPr>
                <w:rFonts w:cs="Times New Roman"/>
              </w:rPr>
            </w:pPr>
            <w:r w:rsidRPr="00203EB0">
              <w:rPr>
                <w:rFonts w:cs="Times New Roman"/>
              </w:rPr>
              <w:t>Class-Swap-Over</w:t>
            </w:r>
          </w:p>
        </w:tc>
        <w:tc>
          <w:tcPr>
            <w:tcW w:w="1283" w:type="dxa"/>
            <w:vAlign w:val="center"/>
          </w:tcPr>
          <w:p w14:paraId="712308A4" w14:textId="77777777" w:rsidR="00721BEA" w:rsidRPr="00203EB0" w:rsidRDefault="00721BEA" w:rsidP="00C17D6E">
            <w:pPr>
              <w:tabs>
                <w:tab w:val="left" w:pos="8148"/>
              </w:tabs>
              <w:jc w:val="center"/>
              <w:rPr>
                <w:rFonts w:cs="Times New Roman"/>
              </w:rPr>
            </w:pPr>
          </w:p>
        </w:tc>
        <w:tc>
          <w:tcPr>
            <w:tcW w:w="1724" w:type="dxa"/>
            <w:vAlign w:val="center"/>
          </w:tcPr>
          <w:p w14:paraId="680F7DE0" w14:textId="77777777" w:rsidR="00721BEA" w:rsidRPr="00203EB0" w:rsidRDefault="00721BEA" w:rsidP="00C17D6E">
            <w:pPr>
              <w:tabs>
                <w:tab w:val="left" w:pos="8148"/>
              </w:tabs>
              <w:jc w:val="center"/>
              <w:rPr>
                <w:rFonts w:cs="Times New Roman"/>
              </w:rPr>
            </w:pPr>
          </w:p>
        </w:tc>
        <w:tc>
          <w:tcPr>
            <w:tcW w:w="1734" w:type="dxa"/>
            <w:vAlign w:val="center"/>
          </w:tcPr>
          <w:p w14:paraId="355CF5C8" w14:textId="77777777" w:rsidR="00721BEA" w:rsidRPr="00203EB0" w:rsidRDefault="00721BEA" w:rsidP="00C17D6E">
            <w:pPr>
              <w:tabs>
                <w:tab w:val="left" w:pos="8148"/>
              </w:tabs>
              <w:jc w:val="center"/>
              <w:rPr>
                <w:rFonts w:cs="Times New Roman"/>
              </w:rPr>
            </w:pPr>
          </w:p>
        </w:tc>
        <w:tc>
          <w:tcPr>
            <w:tcW w:w="1734" w:type="dxa"/>
            <w:vAlign w:val="center"/>
          </w:tcPr>
          <w:p w14:paraId="4A4DD9B7" w14:textId="77777777" w:rsidR="00721BEA" w:rsidRPr="00203EB0" w:rsidRDefault="00721BEA" w:rsidP="00C17D6E">
            <w:pPr>
              <w:tabs>
                <w:tab w:val="left" w:pos="8148"/>
              </w:tabs>
              <w:jc w:val="center"/>
              <w:rPr>
                <w:rFonts w:cs="Times New Roman"/>
              </w:rPr>
            </w:pPr>
          </w:p>
        </w:tc>
      </w:tr>
      <w:tr w:rsidR="00721BEA" w:rsidRPr="00203EB0" w14:paraId="3FB89C39" w14:textId="77777777" w:rsidTr="00C17D6E">
        <w:tc>
          <w:tcPr>
            <w:tcW w:w="2363" w:type="dxa"/>
          </w:tcPr>
          <w:p w14:paraId="29A9B384" w14:textId="77777777" w:rsidR="00721BEA" w:rsidRPr="00203EB0" w:rsidRDefault="00721BEA" w:rsidP="00C17D6E">
            <w:pPr>
              <w:tabs>
                <w:tab w:val="left" w:pos="8148"/>
              </w:tabs>
              <w:rPr>
                <w:rFonts w:cs="Times New Roman"/>
              </w:rPr>
            </w:pPr>
            <w:r w:rsidRPr="00203EB0">
              <w:rPr>
                <w:rFonts w:cs="Times New Roman"/>
              </w:rPr>
              <w:t xml:space="preserve">                    Low</w:t>
            </w:r>
          </w:p>
        </w:tc>
        <w:tc>
          <w:tcPr>
            <w:tcW w:w="1283" w:type="dxa"/>
            <w:vAlign w:val="center"/>
          </w:tcPr>
          <w:p w14:paraId="6E5895E8" w14:textId="77777777" w:rsidR="00721BEA" w:rsidRPr="00203EB0" w:rsidRDefault="00721BEA" w:rsidP="00C17D6E">
            <w:pPr>
              <w:tabs>
                <w:tab w:val="left" w:pos="8148"/>
              </w:tabs>
              <w:jc w:val="center"/>
              <w:rPr>
                <w:rFonts w:cs="Times New Roman"/>
              </w:rPr>
            </w:pPr>
            <w:r w:rsidRPr="00203EB0">
              <w:rPr>
                <w:rFonts w:cs="Times New Roman"/>
              </w:rPr>
              <w:t>500</w:t>
            </w:r>
          </w:p>
        </w:tc>
        <w:tc>
          <w:tcPr>
            <w:tcW w:w="1724" w:type="dxa"/>
            <w:vAlign w:val="center"/>
          </w:tcPr>
          <w:p w14:paraId="577BE602" w14:textId="77777777" w:rsidR="00721BEA" w:rsidRPr="00203EB0" w:rsidRDefault="00721BEA" w:rsidP="00C17D6E">
            <w:pPr>
              <w:tabs>
                <w:tab w:val="left" w:pos="8148"/>
              </w:tabs>
              <w:jc w:val="center"/>
              <w:rPr>
                <w:rFonts w:cs="Times New Roman"/>
              </w:rPr>
            </w:pPr>
            <w:r w:rsidRPr="00203EB0">
              <w:rPr>
                <w:rFonts w:cs="Times New Roman"/>
              </w:rPr>
              <w:t>15</w:t>
            </w:r>
          </w:p>
        </w:tc>
        <w:tc>
          <w:tcPr>
            <w:tcW w:w="1734" w:type="dxa"/>
            <w:vAlign w:val="center"/>
          </w:tcPr>
          <w:p w14:paraId="4733B6F7" w14:textId="77777777" w:rsidR="00721BEA" w:rsidRPr="00203EB0" w:rsidRDefault="00721BEA" w:rsidP="00C17D6E">
            <w:pPr>
              <w:tabs>
                <w:tab w:val="left" w:pos="8148"/>
              </w:tabs>
              <w:jc w:val="center"/>
              <w:rPr>
                <w:rFonts w:cs="Times New Roman"/>
              </w:rPr>
            </w:pPr>
            <w:r w:rsidRPr="00203EB0">
              <w:rPr>
                <w:rFonts w:cs="Times New Roman"/>
              </w:rPr>
              <w:t>5</w:t>
            </w:r>
          </w:p>
        </w:tc>
        <w:tc>
          <w:tcPr>
            <w:tcW w:w="1734" w:type="dxa"/>
            <w:vAlign w:val="center"/>
          </w:tcPr>
          <w:p w14:paraId="25FEEC36" w14:textId="77777777" w:rsidR="00721BEA" w:rsidRPr="00203EB0" w:rsidRDefault="00721BEA" w:rsidP="00C17D6E">
            <w:pPr>
              <w:tabs>
                <w:tab w:val="left" w:pos="8148"/>
              </w:tabs>
              <w:jc w:val="center"/>
              <w:rPr>
                <w:rFonts w:cs="Times New Roman"/>
              </w:rPr>
            </w:pPr>
            <w:r w:rsidRPr="00203EB0">
              <w:rPr>
                <w:rFonts w:cs="Times New Roman"/>
              </w:rPr>
              <w:t>10</w:t>
            </w:r>
          </w:p>
        </w:tc>
      </w:tr>
      <w:tr w:rsidR="00721BEA" w:rsidRPr="00203EB0" w14:paraId="36EF6526" w14:textId="77777777" w:rsidTr="00C17D6E">
        <w:tc>
          <w:tcPr>
            <w:tcW w:w="2363" w:type="dxa"/>
            <w:tcBorders>
              <w:bottom w:val="single" w:sz="4" w:space="0" w:color="auto"/>
            </w:tcBorders>
          </w:tcPr>
          <w:p w14:paraId="284E10EC" w14:textId="77777777" w:rsidR="00721BEA" w:rsidRPr="00203EB0" w:rsidRDefault="00721BEA" w:rsidP="00C17D6E">
            <w:pPr>
              <w:tabs>
                <w:tab w:val="left" w:pos="8148"/>
              </w:tabs>
              <w:rPr>
                <w:rFonts w:cs="Times New Roman"/>
              </w:rPr>
            </w:pPr>
            <w:r w:rsidRPr="00203EB0">
              <w:rPr>
                <w:rFonts w:cs="Times New Roman"/>
              </w:rPr>
              <w:t xml:space="preserve">                    High</w:t>
            </w:r>
          </w:p>
        </w:tc>
        <w:tc>
          <w:tcPr>
            <w:tcW w:w="1283" w:type="dxa"/>
            <w:tcBorders>
              <w:bottom w:val="single" w:sz="4" w:space="0" w:color="auto"/>
            </w:tcBorders>
            <w:vAlign w:val="center"/>
          </w:tcPr>
          <w:p w14:paraId="55EBFBE2" w14:textId="77777777" w:rsidR="00721BEA" w:rsidRPr="00203EB0" w:rsidRDefault="00721BEA" w:rsidP="00C17D6E">
            <w:pPr>
              <w:tabs>
                <w:tab w:val="left" w:pos="8148"/>
              </w:tabs>
              <w:jc w:val="center"/>
              <w:rPr>
                <w:rFonts w:cs="Times New Roman"/>
              </w:rPr>
            </w:pPr>
            <w:r w:rsidRPr="00203EB0">
              <w:rPr>
                <w:rFonts w:cs="Times New Roman"/>
              </w:rPr>
              <w:t>300</w:t>
            </w:r>
          </w:p>
        </w:tc>
        <w:tc>
          <w:tcPr>
            <w:tcW w:w="1724" w:type="dxa"/>
            <w:tcBorders>
              <w:bottom w:val="single" w:sz="4" w:space="0" w:color="auto"/>
            </w:tcBorders>
            <w:vAlign w:val="center"/>
          </w:tcPr>
          <w:p w14:paraId="592AF83F" w14:textId="77777777" w:rsidR="00721BEA" w:rsidRPr="00203EB0" w:rsidRDefault="00721BEA" w:rsidP="00C17D6E">
            <w:pPr>
              <w:tabs>
                <w:tab w:val="left" w:pos="8148"/>
              </w:tabs>
              <w:jc w:val="center"/>
              <w:rPr>
                <w:rFonts w:cs="Times New Roman"/>
              </w:rPr>
            </w:pPr>
            <w:r w:rsidRPr="00203EB0">
              <w:rPr>
                <w:rFonts w:cs="Times New Roman"/>
              </w:rPr>
              <w:t>5</w:t>
            </w:r>
          </w:p>
        </w:tc>
        <w:tc>
          <w:tcPr>
            <w:tcW w:w="1734" w:type="dxa"/>
            <w:tcBorders>
              <w:bottom w:val="single" w:sz="4" w:space="0" w:color="auto"/>
            </w:tcBorders>
            <w:vAlign w:val="center"/>
          </w:tcPr>
          <w:p w14:paraId="60827F59" w14:textId="77777777" w:rsidR="00721BEA" w:rsidRPr="00203EB0" w:rsidRDefault="00721BEA" w:rsidP="00C17D6E">
            <w:pPr>
              <w:tabs>
                <w:tab w:val="left" w:pos="8148"/>
              </w:tabs>
              <w:jc w:val="center"/>
              <w:rPr>
                <w:rFonts w:cs="Times New Roman"/>
              </w:rPr>
            </w:pPr>
            <w:r w:rsidRPr="00203EB0">
              <w:rPr>
                <w:rFonts w:cs="Times New Roman"/>
              </w:rPr>
              <w:t>5</w:t>
            </w:r>
          </w:p>
        </w:tc>
        <w:tc>
          <w:tcPr>
            <w:tcW w:w="1734" w:type="dxa"/>
            <w:tcBorders>
              <w:bottom w:val="single" w:sz="4" w:space="0" w:color="auto"/>
            </w:tcBorders>
            <w:vAlign w:val="center"/>
          </w:tcPr>
          <w:p w14:paraId="095C59D8" w14:textId="77777777" w:rsidR="00721BEA" w:rsidRPr="00203EB0" w:rsidRDefault="00721BEA" w:rsidP="00C17D6E">
            <w:pPr>
              <w:tabs>
                <w:tab w:val="left" w:pos="8148"/>
              </w:tabs>
              <w:jc w:val="center"/>
              <w:rPr>
                <w:rFonts w:cs="Times New Roman"/>
              </w:rPr>
            </w:pPr>
            <w:r w:rsidRPr="00203EB0">
              <w:rPr>
                <w:rFonts w:cs="Times New Roman"/>
              </w:rPr>
              <w:t>12</w:t>
            </w:r>
          </w:p>
        </w:tc>
      </w:tr>
    </w:tbl>
    <w:p w14:paraId="190826B1" w14:textId="77777777" w:rsidR="00721BEA" w:rsidRPr="00203EB0" w:rsidRDefault="00721BEA" w:rsidP="00721BEA">
      <w:pPr>
        <w:rPr>
          <w:rFonts w:cs="Times New Roman"/>
          <w:sz w:val="20"/>
          <w:szCs w:val="20"/>
        </w:rPr>
      </w:pPr>
      <w:r w:rsidRPr="00203EB0">
        <w:rPr>
          <w:rFonts w:cs="Times New Roman"/>
          <w:sz w:val="20"/>
          <w:szCs w:val="20"/>
        </w:rPr>
        <w:t xml:space="preserve">*Notes: Low: model for background emissions, High: model for </w:t>
      </w:r>
      <w:proofErr w:type="gramStart"/>
      <w:r w:rsidRPr="00203EB0">
        <w:rPr>
          <w:rFonts w:cs="Times New Roman"/>
          <w:sz w:val="20"/>
          <w:szCs w:val="20"/>
        </w:rPr>
        <w:t>hot-moments</w:t>
      </w:r>
      <w:proofErr w:type="gramEnd"/>
    </w:p>
    <w:p w14:paraId="16CD29E5" w14:textId="77777777" w:rsidR="00290A0D" w:rsidRPr="00203EB0" w:rsidRDefault="00290A0D" w:rsidP="00290A0D"/>
    <w:p w14:paraId="1B38D3B2" w14:textId="3A5D8349" w:rsidR="0016702C" w:rsidRPr="00203EB0" w:rsidRDefault="00DD51FA" w:rsidP="00DD51FA">
      <w:pPr>
        <w:pStyle w:val="Heading3"/>
        <w:spacing w:line="480" w:lineRule="auto"/>
      </w:pPr>
      <w:bookmarkStart w:id="122" w:name="_Toc206669167"/>
      <w:r w:rsidRPr="00203EB0">
        <w:lastRenderedPageBreak/>
        <w:t>Traditional Random Forest: Base Model</w:t>
      </w:r>
      <w:bookmarkEnd w:id="122"/>
    </w:p>
    <w:p w14:paraId="15F5EDAF" w14:textId="77777777" w:rsidR="00DD51FA" w:rsidRPr="00203EB0" w:rsidRDefault="00DD51FA" w:rsidP="00DD51FA">
      <w:pPr>
        <w:spacing w:line="480" w:lineRule="auto"/>
        <w:rPr>
          <w:rFonts w:cs="Times New Roman"/>
        </w:rPr>
      </w:pPr>
      <w:r w:rsidRPr="00203EB0">
        <w:rPr>
          <w:rFonts w:cs="Times New Roman"/>
        </w:rPr>
        <w:t>The Base model served as the standard RF implementation. It was trained directly on the measured 2023 dataset (n = 672), without any prior flux classification or modifications to the distribution of background and hot-moment observations. This model represented a traditional approach that treated all N</w:t>
      </w:r>
      <w:r w:rsidRPr="00203EB0">
        <w:rPr>
          <w:rFonts w:cs="Times New Roman"/>
          <w:vertAlign w:val="subscript"/>
        </w:rPr>
        <w:t>2</w:t>
      </w:r>
      <w:r w:rsidRPr="00203EB0">
        <w:rPr>
          <w:rFonts w:cs="Times New Roman"/>
        </w:rPr>
        <w:t xml:space="preserve">O fluxes equally during training. </w:t>
      </w:r>
    </w:p>
    <w:p w14:paraId="1522D4FE" w14:textId="3F7E1FCD" w:rsidR="00DD51FA" w:rsidRPr="00203EB0" w:rsidRDefault="00DD51FA" w:rsidP="00DD51FA">
      <w:pPr>
        <w:pStyle w:val="Heading3"/>
        <w:spacing w:line="480" w:lineRule="auto"/>
      </w:pPr>
      <w:bookmarkStart w:id="123" w:name="_Toc206669168"/>
      <w:r w:rsidRPr="00203EB0">
        <w:t>Classification of background and hot-moment emissions: Class-Swap Model</w:t>
      </w:r>
      <w:bookmarkEnd w:id="123"/>
    </w:p>
    <w:p w14:paraId="1F16D230" w14:textId="4C189F96" w:rsidR="00DD51FA" w:rsidRPr="00203EB0" w:rsidRDefault="00DD51FA" w:rsidP="00DD51FA">
      <w:pPr>
        <w:spacing w:line="480" w:lineRule="auto"/>
        <w:rPr>
          <w:rFonts w:cs="Times New Roman"/>
        </w:rPr>
      </w:pPr>
      <w:r w:rsidRPr="00203EB0">
        <w:rPr>
          <w:rFonts w:cs="Times New Roman"/>
        </w:rPr>
        <w:t xml:space="preserve">The Class-Swap model introduced a flux classification step prior to quantitative prediction, distinguishing between hot-moments and background emissions. To classify daily fluxes, the Histogram-Based Outlier Score (HBOS) algorithm </w:t>
      </w:r>
      <w:r w:rsidRPr="00203EB0">
        <w:rPr>
          <w:rFonts w:cs="Times New Roman"/>
        </w:rPr>
        <w:fldChar w:fldCharType="begin" w:fldLock="1"/>
      </w:r>
      <w:r w:rsidRPr="00203EB0">
        <w:rPr>
          <w:rFonts w:cs="Times New Roman"/>
        </w:rPr>
        <w:instrText>ADDIN CSL_CITATION {"citationItems":[{"id":"ITEM-1","itemData":{"ISSN":"15337928","abstract":"PyOD is an open-source Python toolbox for performing scalable outlier detection on multivariate data. Uniquely, it provides access to a wide range of outlier detection algorithms, including established outlier ensembles and more recent neural network-based approaches, under a single, well-documented API designed for use by both practitioners and researchers. With robustness and scalability in mind, best practices such as unit testing, continuous integration, code coverage, maintainability checks, interactive examples and parallelization are emphasized as core components in the toolbox's development. PyOD is compatible with both Python 2 and 3 and can be installed through Python Package Index (PyPI).","author":[{"dropping-particle":"","family":"Zhao","given":"Yue","non-dropping-particle":"","parse-names":false,"suffix":""},{"dropping-particle":"","family":"Nasrullah","given":"Zain","non-dropping-particle":"","parse-names":false,"suffix":""},{"dropping-particle":"","family":"Li","given":"Zheng","non-dropping-particle":"","parse-names":false,"suffix":""}],"container-title":"Journal of Machine Learning Research","id":"ITEM-1","issued":{"date-parts":[["2019"]]},"page":"1-7","title":"PyOD: A python toolbox for scalable outlier detection","type":"article-journal","volume":"20"},"uris":["http://www.mendeley.com/documents/?uuid=08a81c2d-bc32-489a-b597-d5b19c5a3164"]}],"mendeley":{"formattedCitation":"(Zhao et al., 2019)","plainTextFormattedCitation":"(Zhao et al., 2019)","previouslyFormattedCitation":"(Zhao et al., 2019)"},"properties":{"noteIndex":0},"schema":"https://github.com/citation-style-language/schema/raw/master/csl-citation.json"}</w:instrText>
      </w:r>
      <w:r w:rsidRPr="00203EB0">
        <w:rPr>
          <w:rFonts w:cs="Times New Roman"/>
        </w:rPr>
        <w:fldChar w:fldCharType="separate"/>
      </w:r>
      <w:r w:rsidRPr="00203EB0">
        <w:rPr>
          <w:rFonts w:cs="Times New Roman"/>
          <w:noProof/>
        </w:rPr>
        <w:t>(Zhao et al., 2019)</w:t>
      </w:r>
      <w:r w:rsidRPr="00203EB0">
        <w:rPr>
          <w:rFonts w:cs="Times New Roman"/>
        </w:rPr>
        <w:fldChar w:fldCharType="end"/>
      </w:r>
      <w:r w:rsidRPr="00203EB0">
        <w:rPr>
          <w:rFonts w:cs="Times New Roman"/>
        </w:rPr>
        <w:t xml:space="preserve"> from the ‘</w:t>
      </w:r>
      <w:proofErr w:type="spellStart"/>
      <w:r w:rsidRPr="00203EB0">
        <w:rPr>
          <w:rFonts w:cs="Times New Roman"/>
          <w:i/>
        </w:rPr>
        <w:t>pyod</w:t>
      </w:r>
      <w:proofErr w:type="spellEnd"/>
      <w:r w:rsidRPr="00203EB0">
        <w:rPr>
          <w:rFonts w:cs="Times New Roman"/>
        </w:rPr>
        <w:t xml:space="preserve">’ package </w:t>
      </w:r>
      <w:r w:rsidRPr="00203EB0">
        <w:rPr>
          <w:rFonts w:cs="Times New Roman"/>
        </w:rPr>
        <w:fldChar w:fldCharType="begin" w:fldLock="1"/>
      </w:r>
      <w:r w:rsidR="004179E3" w:rsidRPr="00203EB0">
        <w:rPr>
          <w:rFonts w:cs="Times New Roman"/>
        </w:rPr>
        <w:instrText>ADDIN CSL_CITATION {"citationItems":[{"id":"ITEM-1","itemData":{"abstract":"Outlier detection (OD), also known as anomaly detection, is a critical machine learning (ML) task with applications in fraud detection, network intrusion detection, clickstream analysis, recommendation systems, and social network moderation. Among open-source libraries for outlier detection, the Python Outlier Detection (PyOD) library is the most widely adopted, with over 8,500 GitHub stars, 25 million downloads, and diverse industry usage. However, PyOD currently faces three limitations: (1) insufficient coverage of modern deep learning algorithms, (2) fragmented implementations across PyTorch and TensorFlow, and (3) no automated model selection, making it hard for non-experts. To address these issues, we present PyOD Version 2 (PyOD 2), which integrates 12 state-of-the-art deep learning models into a unified PyTorch framework and introduces a large language model (LLM)-based pipeline for automated OD model selection. These improvements simplify OD workflows, provide access to 45 algorithms, and deliver robust performance on various datasets. In this paper, we demonstrate how PyOD 2 streamlines the deployment and automation of OD models and sets a new standard in both research and industry. PyOD 2 is accessible at [https://github.com/yzhao062/pyod](https://github.com/yzhao062/pyod). This study aligns with the Web Mining and Content Analysis track, addressing topics such as the robustness of Web mining methods and the quality of algorithmically-generated Web data.","author":[{"dropping-particle":"","family":"Chen","given":"Sihan","non-dropping-particle":"","parse-names":false,"suffix":""},{"dropping-particle":"","family":"Qian","given":"Zhuangzhuang","non-dropping-particle":"","parse-names":false,"suffix":""},{"dropping-particle":"","family":"Siu","given":"Wingchun","non-dropping-particle":"","parse-names":false,"suffix":""},{"dropping-particle":"","family":"Hu","given":"Xingcan","non-dropping-particle":"","parse-names":false,"suffix":""},{"dropping-particle":"","family":"Li","given":"Jiaqi","non-dropping-particle":"","parse-names":false,"suffix":""},{"dropping-particle":"","family":"Li","given":"Shawn","non-dropping-particle":"","parse-names":false,"suffix":""},{"dropping-particle":"","family":"Qin","given":"Yuehan","non-dropping-particle":"","parse-names":false,"suffix":""},{"dropping-particle":"","family":"Yang","given":"Tiankai","non-dropping-particle":"","parse-names":false,"suffix":""},{"dropping-particle":"","family":"Xiao","given":"Zhuo","non-dropping-particle":"","parse-names":false,"suffix":""},{"dropping-particle":"","family":"Ye","given":"Wanghao","non-dropping-particle":"","parse-names":false,"suffix":""},{"dropping-particle":"","family":"Zhang","given":"Yichi","non-dropping-particle":"","parse-names":false,"suffix":""},{"dropping-particle":"","family":"Dong","given":"Yushun","non-dropping-particle":"","parse-names":false,"suffix":""},{"dropping-particle":"","family":"Zhao","given":"Yue","non-dropping-particle":"","parse-names":false,"suffix":""}],"id":"ITEM-1","issued":{"date-parts":[["2024"]]},"page":"3-6","title":"PyOD 2: A Python library for outlier detection with LLM-powered model selection","type":"article-journal"},"uris":["http://www.mendeley.com/documents/?uuid=a574c223-d96d-4120-83c8-cba6e1a9f82c"]}],"mendeley":{"formattedCitation":"(Chen et al., 2024)","plainTextFormattedCitation":"(Chen et al., 2024)","previouslyFormattedCitation":"(Chen et al., 2024)"},"properties":{"noteIndex":0},"schema":"https://github.com/citation-style-language/schema/raw/master/csl-citation.json"}</w:instrText>
      </w:r>
      <w:r w:rsidRPr="00203EB0">
        <w:rPr>
          <w:rFonts w:cs="Times New Roman"/>
        </w:rPr>
        <w:fldChar w:fldCharType="separate"/>
      </w:r>
      <w:r w:rsidRPr="00203EB0">
        <w:rPr>
          <w:rFonts w:cs="Times New Roman"/>
          <w:noProof/>
        </w:rPr>
        <w:t>(Chen et al., 2024)</w:t>
      </w:r>
      <w:r w:rsidRPr="00203EB0">
        <w:rPr>
          <w:rFonts w:cs="Times New Roman"/>
        </w:rPr>
        <w:fldChar w:fldCharType="end"/>
      </w:r>
      <w:r w:rsidRPr="00203EB0">
        <w:rPr>
          <w:rFonts w:cs="Times New Roman"/>
        </w:rPr>
        <w:t xml:space="preserve"> was individually applied to each time series of measurements from the 32 plots</w:t>
      </w:r>
      <w:r w:rsidR="00CF6870">
        <w:rPr>
          <w:rFonts w:cs="Times New Roman"/>
        </w:rPr>
        <w:t xml:space="preserve">, in combination with the interquartile range (IQR) method to further identify extreme values. </w:t>
      </w:r>
      <w:r w:rsidRPr="00203EB0">
        <w:rPr>
          <w:rFonts w:cs="Times New Roman"/>
        </w:rPr>
        <w:t xml:space="preserve">The HBOS method assigns a score to each observation, identifying potential outliers by constructing individual univariate histograms for each feature of the dataset, where bins with low frequencies indicate a higher likelihood of outliers </w:t>
      </w:r>
      <w:r w:rsidRPr="00203EB0">
        <w:rPr>
          <w:rFonts w:cs="Times New Roman"/>
        </w:rPr>
        <w:fldChar w:fldCharType="begin" w:fldLock="1"/>
      </w:r>
      <w:r w:rsidR="00EB2F35" w:rsidRPr="00203EB0">
        <w:rPr>
          <w:rFonts w:cs="Times New Roman"/>
        </w:rPr>
        <w:instrText>ADDIN CSL_CITATION {"citationItems":[{"id":"ITEM-1","itemData":{"author":[{"dropping-particle":"","family":"Goldstein","given":"M;","non-dropping-particle":"","parse-names":false,"suffix":""},{"dropping-particle":"","family":"Dengel","given":"A","non-dropping-particle":"","parse-names":false,"suffix":""}],"container-title":"KI-2012: poster and demo track","id":"ITEM-1","issue":"1","issued":{"date-parts":[["2012"]]},"page":"59-63","title":"Histogram-based outlier score (hbos): A fast unsupervised anomaly detection algorithm.","type":"article-journal"},"uris":["http://www.mendeley.com/documents/?uuid=58a70744-9a19-4ba1-aaa9-0ddc2e758806"]}],"mendeley":{"formattedCitation":"(Goldstein and Dengel, 2012)","plainTextFormattedCitation":"(Goldstein and Dengel, 2012)","previouslyFormattedCitation":"(Goldstein and Dengel, 2012)"},"properties":{"noteIndex":0},"schema":"https://github.com/citation-style-language/schema/raw/master/csl-citation.json"}</w:instrText>
      </w:r>
      <w:r w:rsidRPr="00203EB0">
        <w:rPr>
          <w:rFonts w:cs="Times New Roman"/>
        </w:rPr>
        <w:fldChar w:fldCharType="separate"/>
      </w:r>
      <w:r w:rsidR="00EB2F35" w:rsidRPr="00203EB0">
        <w:rPr>
          <w:rFonts w:cs="Times New Roman"/>
          <w:noProof/>
        </w:rPr>
        <w:t>(Goldstein and Dengel, 2012)</w:t>
      </w:r>
      <w:r w:rsidRPr="00203EB0">
        <w:rPr>
          <w:rFonts w:cs="Times New Roman"/>
        </w:rPr>
        <w:fldChar w:fldCharType="end"/>
      </w:r>
      <w:r w:rsidRPr="00203EB0">
        <w:rPr>
          <w:rFonts w:cs="Times New Roman"/>
        </w:rPr>
        <w:t xml:space="preserve">. Details on the HBOS implementation parameters used in this study are provided in </w:t>
      </w:r>
      <w:r w:rsidRPr="00203EB0">
        <w:rPr>
          <w:rFonts w:cs="Times New Roman"/>
          <w:b/>
          <w:bCs/>
        </w:rPr>
        <w:t>Table 6.2</w:t>
      </w:r>
      <w:r w:rsidRPr="00203EB0">
        <w:rPr>
          <w:rFonts w:cs="Times New Roman"/>
        </w:rPr>
        <w:t>. N</w:t>
      </w:r>
      <w:r w:rsidRPr="00203EB0">
        <w:rPr>
          <w:rFonts w:cs="Times New Roman"/>
          <w:vertAlign w:val="subscript"/>
        </w:rPr>
        <w:t>2</w:t>
      </w:r>
      <w:r w:rsidRPr="00203EB0">
        <w:rPr>
          <w:rFonts w:cs="Times New Roman"/>
        </w:rPr>
        <w:t>O fluxes were classified as hot-moments if they met one of the two criteria: (1) the HBOS score &gt; 0.23 combined with a flux value exceeding the plot’s median flux, or (2) a N</w:t>
      </w:r>
      <w:r w:rsidRPr="00203EB0">
        <w:rPr>
          <w:rFonts w:cs="Times New Roman"/>
          <w:vertAlign w:val="subscript"/>
        </w:rPr>
        <w:t>2</w:t>
      </w:r>
      <w:r w:rsidRPr="00203EB0">
        <w:rPr>
          <w:rFonts w:cs="Times New Roman"/>
        </w:rPr>
        <w:t xml:space="preserve">O flux value greater than 1.5 times the interquartile range (IQR) above the upper quartile </w:t>
      </w:r>
      <w:r w:rsidRPr="00203EB0">
        <w:rPr>
          <w:rFonts w:cs="Times New Roman"/>
        </w:rPr>
        <w:fldChar w:fldCharType="begin" w:fldLock="1"/>
      </w:r>
      <w:r w:rsidRPr="00203EB0">
        <w:rPr>
          <w:rFonts w:cs="Times New Roman"/>
        </w:rPr>
        <w:instrText>ADDIN CSL_CITATION {"citationItems":[{"id":"ITEM-1","itemData":{"ISSN":"15432521","abstract":"Outliers may provide useful information about the development and manufacturing process. Analysts use various statistical methods to evaluate outliers and to reduce their impact on the analysis. This article describes some of the more commonly used identification methods.","author":[{"dropping-particle":"","family":"Walfish","given":"Steven","non-dropping-particle":"","parse-names":false,"suffix":""}],"container-title":"Pharmaceutical Technology","id":"ITEM-1","issue":"11","issued":{"date-parts":[["2006"]]},"page":"82-86","title":"A review of statistical outlier methods","type":"article-journal","volume":"30"},"uris":["http://www.mendeley.com/documents/?uuid=996decda-5fd4-4c92-a9cc-70e85a3abdc6"]}],"mendeley":{"formattedCitation":"(Walfish, 2006)","plainTextFormattedCitation":"(Walfish, 2006)","previouslyFormattedCitation":"(Walfish, 2006)"},"properties":{"noteIndex":0},"schema":"https://github.com/citation-style-language/schema/raw/master/csl-citation.json"}</w:instrText>
      </w:r>
      <w:r w:rsidRPr="00203EB0">
        <w:rPr>
          <w:rFonts w:cs="Times New Roman"/>
        </w:rPr>
        <w:fldChar w:fldCharType="separate"/>
      </w:r>
      <w:r w:rsidRPr="00203EB0">
        <w:rPr>
          <w:rFonts w:cs="Times New Roman"/>
          <w:noProof/>
        </w:rPr>
        <w:t>(Walfish, 2006)</w:t>
      </w:r>
      <w:r w:rsidRPr="00203EB0">
        <w:rPr>
          <w:rFonts w:cs="Times New Roman"/>
        </w:rPr>
        <w:fldChar w:fldCharType="end"/>
      </w:r>
      <w:r w:rsidRPr="00203EB0">
        <w:rPr>
          <w:rFonts w:cs="Times New Roman"/>
        </w:rPr>
        <w:t xml:space="preserve">. The HBOS threshold of 0.23 was selected after extensive calibration across a range of thresholds, as it consistently provided reliable identification of local </w:t>
      </w:r>
      <w:proofErr w:type="gramStart"/>
      <w:r w:rsidRPr="00203EB0">
        <w:rPr>
          <w:rFonts w:cs="Times New Roman"/>
        </w:rPr>
        <w:t>hot-moments</w:t>
      </w:r>
      <w:proofErr w:type="gramEnd"/>
      <w:r w:rsidRPr="00203EB0">
        <w:rPr>
          <w:rFonts w:cs="Times New Roman"/>
        </w:rPr>
        <w:t xml:space="preserve"> across treatments. This dual criterion approach leverages the complementary strengths of HBOS and IQR. </w:t>
      </w:r>
      <w:r w:rsidR="004D0379">
        <w:rPr>
          <w:rFonts w:cs="Times New Roman"/>
        </w:rPr>
        <w:t xml:space="preserve">Recent studies have shown the </w:t>
      </w:r>
      <w:r w:rsidR="004D0379">
        <w:rPr>
          <w:rFonts w:cs="Times New Roman"/>
        </w:rPr>
        <w:lastRenderedPageBreak/>
        <w:t>context-dependent appropriateness and performance of N</w:t>
      </w:r>
      <w:r w:rsidR="004D0379" w:rsidRPr="00CF4DB0">
        <w:rPr>
          <w:rFonts w:cs="Times New Roman"/>
          <w:vertAlign w:val="subscript"/>
        </w:rPr>
        <w:t>2</w:t>
      </w:r>
      <w:r w:rsidR="004D0379">
        <w:rPr>
          <w:rFonts w:cs="Times New Roman"/>
        </w:rPr>
        <w:t>O hot-moment identification methods in data classification (</w:t>
      </w:r>
      <w:proofErr w:type="spellStart"/>
      <w:r w:rsidR="004D0379">
        <w:rPr>
          <w:rFonts w:cs="Times New Roman"/>
        </w:rPr>
        <w:t>Ackett</w:t>
      </w:r>
      <w:proofErr w:type="spellEnd"/>
      <w:r w:rsidR="004D0379">
        <w:rPr>
          <w:rFonts w:cs="Times New Roman"/>
        </w:rPr>
        <w:t xml:space="preserve"> et al., 2025; </w:t>
      </w:r>
      <w:proofErr w:type="spellStart"/>
      <w:r w:rsidR="004D0379">
        <w:rPr>
          <w:rFonts w:cs="Times New Roman"/>
        </w:rPr>
        <w:t>Stuchiner</w:t>
      </w:r>
      <w:proofErr w:type="spellEnd"/>
      <w:r w:rsidR="004D0379">
        <w:rPr>
          <w:rFonts w:cs="Times New Roman"/>
        </w:rPr>
        <w:t xml:space="preserve"> et al., 2025). Our selection of dual-criterion classification methods by leveraging HBOS and IQR is based on simplicity, wider applicability, and superior performance compared to other methods evaluated in the context of our dataset. </w:t>
      </w:r>
      <w:r w:rsidRPr="00203EB0">
        <w:rPr>
          <w:rFonts w:cs="Times New Roman"/>
        </w:rPr>
        <w:t xml:space="preserve">HBOS is more aggressive and sensitive, effectively detecting a broader range of true positives, while IQR is more conservative, minimizing false positives but often missing subtle anomalies. This ensemble strategy draws on a similar rationale to that of </w:t>
      </w:r>
      <w:r w:rsidRPr="00203EB0">
        <w:rPr>
          <w:rFonts w:cs="Times New Roman"/>
        </w:rPr>
        <w:fldChar w:fldCharType="begin" w:fldLock="1"/>
      </w:r>
      <w:r w:rsidR="004179E3" w:rsidRPr="00203EB0">
        <w:rPr>
          <w:rFonts w:cs="Times New Roman"/>
        </w:rPr>
        <w:instrText>ADDIN CSL_CITATION {"citationItems":[{"id":"ITEM-1","itemData":{"DOI":"10.1029/2024JG008138","ISSN":"21698961","abstract":"Effectively quantifying hot moments of nitrous oxide (N2O) emissions from agricultural soils is critical for managing this potent greenhouse gas. However, we are challenged by a lack of standard approaches for identifying hot moments, including (a) determining thresholds above which emissions are considered hot moments, and (b) considering seasonal variation in the magnitude and frequency distribution of net N2O fluxes. We used one year of hourly N2O flux measurements from 16 autochambers that varied in flux magnitude and frequency distribution in a conventionally tilled maize field in central Illinois, USA, to compare three approaches to identify hot moment thresholds: standard deviations (SD) above the mean, 1.5x the interquartile range (IQR), and isolation forest (IF) identification of anomalous values. We also compared these approaches on seasonally subdivided data (early, late, and non-growing seasons) versus the whole year. Our analyses revealed that 1.5x IQR method best identified N2O hot moments. In contrast, using 2 or 4 SD both yielded hot moment threshold values too high, and IF yielded threshold values too low, leading to missed N2O hot moments or low net N2O fluxes mischaracterized as hot moments, respectively. Furthermore, seasonally subdividing the data set not only facilitated identification of smaller hot moments in the late- and non-growing seasons when N2O hot moments were generally smaller but it also increased hot moment threshold values in the early growing season when N2O hot moments were larger. Consequently, of the methods evaluated here, we recommend using the 1.5x IQR method on whole year data sets to identify N2O hot moments.","author":[{"dropping-particle":"","family":"Stuchiner","given":"Emily R.","non-dropping-particle":"","parse-names":false,"suffix":""},{"dropping-particle":"","family":"Xu","given":"Jiacheng","non-dropping-particle":"","parse-names":false,"suffix":""},{"dropping-particle":"","family":"Eddy","given":"William C.","non-dropping-particle":"","parse-names":false,"suffix":""},{"dropping-particle":"","family":"DeLucia","given":"Evan H.","non-dropping-particle":"","parse-names":false,"suffix":""},{"dropping-particle":"","family":"Yang","given":"Wendy H.","non-dropping-particle":"","parse-names":false,"suffix":""}],"container-title":"Journal of Geophysical Research: Biogeosciences","id":"ITEM-1","issue":"1","issued":{"date-parts":[["2025"]]},"title":"Hot or not? An evaluation of methods for identifying hot moments of nitrous oxide emissions from soils","type":"article-journal","volume":"130"},"uris":["http://www.mendeley.com/documents/?uuid=30c81516-ac21-486c-b96b-b16edff4d289"]}],"mendeley":{"formattedCitation":"(Stuchiner et al., 2025)","manualFormatting":"Stuchiner et al. (2025)","plainTextFormattedCitation":"(Stuchiner et al., 2025)","previouslyFormattedCitation":"(Stuchiner et al., 2025)"},"properties":{"noteIndex":0},"schema":"https://github.com/citation-style-language/schema/raw/master/csl-citation.json"}</w:instrText>
      </w:r>
      <w:r w:rsidRPr="00203EB0">
        <w:rPr>
          <w:rFonts w:cs="Times New Roman"/>
        </w:rPr>
        <w:fldChar w:fldCharType="separate"/>
      </w:r>
      <w:r w:rsidRPr="00203EB0">
        <w:rPr>
          <w:rFonts w:cs="Times New Roman"/>
          <w:noProof/>
        </w:rPr>
        <w:t>Stuchiner et al. (2025)</w:t>
      </w:r>
      <w:r w:rsidRPr="00203EB0">
        <w:rPr>
          <w:rFonts w:cs="Times New Roman"/>
        </w:rPr>
        <w:fldChar w:fldCharType="end"/>
      </w:r>
      <w:r w:rsidRPr="00203EB0">
        <w:rPr>
          <w:rFonts w:cs="Times New Roman"/>
        </w:rPr>
        <w:t>, who observed a comparable dynamic between IQR and Isolation Forest, though without formalizing their complementary potential. Using this dual–criterion classification method, the 2023 (total observation, n = 672; hot-moments, n = 137; background emissions, n = 535) and 2022 (total observation, n = 859; hot-moments, n = 286; background emissions, n = 573) datasets were classified for training and validation (</w:t>
      </w:r>
      <w:r w:rsidRPr="00203EB0">
        <w:rPr>
          <w:rFonts w:cs="Times New Roman"/>
          <w:b/>
          <w:bCs/>
        </w:rPr>
        <w:t>Figures 6.1</w:t>
      </w:r>
      <w:r w:rsidRPr="00203EB0">
        <w:rPr>
          <w:rFonts w:cs="Times New Roman"/>
        </w:rPr>
        <w:t xml:space="preserve"> and </w:t>
      </w:r>
      <w:r w:rsidRPr="00203EB0">
        <w:rPr>
          <w:rFonts w:cs="Times New Roman"/>
          <w:b/>
          <w:bCs/>
        </w:rPr>
        <w:t>6.2</w:t>
      </w:r>
      <w:r w:rsidRPr="00203EB0">
        <w:rPr>
          <w:rFonts w:cs="Times New Roman"/>
        </w:rPr>
        <w:t xml:space="preserve">). </w:t>
      </w:r>
    </w:p>
    <w:p w14:paraId="498A483D" w14:textId="77777777" w:rsidR="00DD51FA" w:rsidRPr="00203EB0" w:rsidRDefault="00DD51FA" w:rsidP="00DD51FA">
      <w:pPr>
        <w:spacing w:line="480" w:lineRule="auto"/>
        <w:rPr>
          <w:rFonts w:cs="Times New Roman"/>
        </w:rPr>
      </w:pPr>
      <w:r w:rsidRPr="00203EB0">
        <w:rPr>
          <w:rFonts w:cs="Times New Roman"/>
        </w:rPr>
        <w:t xml:space="preserve">Based on the classified data, two RF models were trained: one for predicting background emissions and another for hot-moment emissions. During prediction, the appropriate model was dynamically selected based on the HBOS + IQR classification outcomes, an approach referred to as Class-Swap. </w:t>
      </w:r>
    </w:p>
    <w:p w14:paraId="047F9865" w14:textId="41FE0DFC" w:rsidR="006A189D" w:rsidRPr="00203EB0" w:rsidRDefault="00DD51FA" w:rsidP="00001ABC">
      <w:pPr>
        <w:pStyle w:val="Caption"/>
      </w:pPr>
      <w:bookmarkStart w:id="124" w:name="_Toc206669230"/>
      <w:r w:rsidRPr="00203EB0">
        <w:rPr>
          <w:b/>
          <w:bCs/>
        </w:rPr>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6</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2</w:t>
      </w:r>
      <w:r w:rsidR="00775F57" w:rsidRPr="00203EB0">
        <w:rPr>
          <w:b/>
          <w:bCs/>
        </w:rPr>
        <w:fldChar w:fldCharType="end"/>
      </w:r>
      <w:r w:rsidRPr="00203EB0">
        <w:rPr>
          <w:b/>
          <w:bCs/>
        </w:rPr>
        <w:t>:</w:t>
      </w:r>
      <w:r w:rsidRPr="00203EB0">
        <w:t xml:space="preserve"> Hyperparameters for HBOS Outlier Detection Algorithm</w:t>
      </w:r>
      <w:bookmarkEnd w:id="12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6"/>
        <w:gridCol w:w="1496"/>
        <w:gridCol w:w="4918"/>
      </w:tblGrid>
      <w:tr w:rsidR="00DD51FA" w:rsidRPr="00203EB0" w14:paraId="0743BAC6" w14:textId="77777777" w:rsidTr="00C17D6E">
        <w:tc>
          <w:tcPr>
            <w:tcW w:w="2250" w:type="dxa"/>
            <w:tcBorders>
              <w:top w:val="single" w:sz="4" w:space="0" w:color="auto"/>
              <w:bottom w:val="single" w:sz="4" w:space="0" w:color="auto"/>
            </w:tcBorders>
          </w:tcPr>
          <w:p w14:paraId="259B80DB" w14:textId="77777777" w:rsidR="00DD51FA" w:rsidRPr="00203EB0" w:rsidRDefault="00DD51FA" w:rsidP="00C17D6E">
            <w:pPr>
              <w:rPr>
                <w:rFonts w:cs="Times New Roman"/>
                <w:b/>
              </w:rPr>
            </w:pPr>
            <w:r w:rsidRPr="00203EB0">
              <w:rPr>
                <w:rFonts w:cs="Times New Roman"/>
                <w:b/>
              </w:rPr>
              <w:t>Parameter</w:t>
            </w:r>
          </w:p>
        </w:tc>
        <w:tc>
          <w:tcPr>
            <w:tcW w:w="1525" w:type="dxa"/>
            <w:tcBorders>
              <w:top w:val="single" w:sz="4" w:space="0" w:color="auto"/>
              <w:bottom w:val="single" w:sz="4" w:space="0" w:color="auto"/>
            </w:tcBorders>
          </w:tcPr>
          <w:p w14:paraId="59AB2819" w14:textId="77777777" w:rsidR="00DD51FA" w:rsidRPr="00203EB0" w:rsidRDefault="00DD51FA" w:rsidP="00C17D6E">
            <w:pPr>
              <w:rPr>
                <w:rFonts w:cs="Times New Roman"/>
                <w:b/>
              </w:rPr>
            </w:pPr>
            <w:r w:rsidRPr="00203EB0">
              <w:rPr>
                <w:rFonts w:cs="Times New Roman"/>
                <w:b/>
              </w:rPr>
              <w:t>Value</w:t>
            </w:r>
          </w:p>
        </w:tc>
        <w:tc>
          <w:tcPr>
            <w:tcW w:w="5057" w:type="dxa"/>
            <w:tcBorders>
              <w:top w:val="single" w:sz="4" w:space="0" w:color="auto"/>
              <w:bottom w:val="single" w:sz="4" w:space="0" w:color="auto"/>
            </w:tcBorders>
          </w:tcPr>
          <w:p w14:paraId="162E3F6B" w14:textId="77777777" w:rsidR="00DD51FA" w:rsidRPr="00203EB0" w:rsidRDefault="00DD51FA" w:rsidP="00C17D6E">
            <w:pPr>
              <w:rPr>
                <w:rFonts w:cs="Times New Roman"/>
                <w:b/>
              </w:rPr>
            </w:pPr>
            <w:r w:rsidRPr="00203EB0">
              <w:rPr>
                <w:rFonts w:cs="Times New Roman"/>
                <w:b/>
              </w:rPr>
              <w:t>Description</w:t>
            </w:r>
          </w:p>
        </w:tc>
      </w:tr>
      <w:tr w:rsidR="00DD51FA" w:rsidRPr="00203EB0" w14:paraId="2D3A1E69" w14:textId="77777777" w:rsidTr="00C17D6E">
        <w:tc>
          <w:tcPr>
            <w:tcW w:w="2250" w:type="dxa"/>
            <w:tcBorders>
              <w:top w:val="single" w:sz="4" w:space="0" w:color="auto"/>
            </w:tcBorders>
          </w:tcPr>
          <w:p w14:paraId="4C60FBAC" w14:textId="77777777" w:rsidR="00DD51FA" w:rsidRPr="00203EB0" w:rsidRDefault="00DD51FA" w:rsidP="00C17D6E">
            <w:pPr>
              <w:rPr>
                <w:rFonts w:cs="Times New Roman"/>
              </w:rPr>
            </w:pPr>
            <w:r w:rsidRPr="00203EB0">
              <w:rPr>
                <w:rFonts w:cs="Times New Roman"/>
              </w:rPr>
              <w:t>Contamination</w:t>
            </w:r>
          </w:p>
        </w:tc>
        <w:tc>
          <w:tcPr>
            <w:tcW w:w="1525" w:type="dxa"/>
            <w:tcBorders>
              <w:top w:val="single" w:sz="4" w:space="0" w:color="auto"/>
            </w:tcBorders>
          </w:tcPr>
          <w:p w14:paraId="3FA3C2BC" w14:textId="77777777" w:rsidR="00DD51FA" w:rsidRPr="00203EB0" w:rsidRDefault="00DD51FA" w:rsidP="00C17D6E">
            <w:pPr>
              <w:rPr>
                <w:rFonts w:cs="Times New Roman"/>
              </w:rPr>
            </w:pPr>
            <w:r w:rsidRPr="00203EB0">
              <w:rPr>
                <w:rFonts w:cs="Times New Roman"/>
              </w:rPr>
              <w:t>0.5</w:t>
            </w:r>
          </w:p>
        </w:tc>
        <w:tc>
          <w:tcPr>
            <w:tcW w:w="5057" w:type="dxa"/>
            <w:tcBorders>
              <w:top w:val="single" w:sz="4" w:space="0" w:color="auto"/>
            </w:tcBorders>
          </w:tcPr>
          <w:p w14:paraId="08728A8E" w14:textId="77777777" w:rsidR="00DD51FA" w:rsidRPr="00203EB0" w:rsidRDefault="00DD51FA" w:rsidP="00C17D6E">
            <w:pPr>
              <w:rPr>
                <w:rFonts w:cs="Times New Roman"/>
              </w:rPr>
            </w:pPr>
            <w:r w:rsidRPr="00203EB0">
              <w:rPr>
                <w:rFonts w:cs="Times New Roman"/>
              </w:rPr>
              <w:t>Proportion of data expected to be anomalies; used to define the decision threshold</w:t>
            </w:r>
          </w:p>
        </w:tc>
      </w:tr>
      <w:tr w:rsidR="00DD51FA" w:rsidRPr="00203EB0" w14:paraId="0FC69D8E" w14:textId="77777777" w:rsidTr="00C17D6E">
        <w:trPr>
          <w:trHeight w:val="172"/>
        </w:trPr>
        <w:tc>
          <w:tcPr>
            <w:tcW w:w="2250" w:type="dxa"/>
          </w:tcPr>
          <w:p w14:paraId="29AD7E28" w14:textId="77777777" w:rsidR="00DD51FA" w:rsidRPr="00203EB0" w:rsidRDefault="00DD51FA" w:rsidP="00C17D6E">
            <w:pPr>
              <w:rPr>
                <w:rFonts w:cs="Times New Roman"/>
              </w:rPr>
            </w:pPr>
            <w:proofErr w:type="spellStart"/>
            <w:r w:rsidRPr="00203EB0">
              <w:rPr>
                <w:rFonts w:cs="Times New Roman"/>
              </w:rPr>
              <w:t>n_bins</w:t>
            </w:r>
            <w:proofErr w:type="spellEnd"/>
          </w:p>
        </w:tc>
        <w:tc>
          <w:tcPr>
            <w:tcW w:w="1525" w:type="dxa"/>
          </w:tcPr>
          <w:p w14:paraId="7FCDA077" w14:textId="77777777" w:rsidR="00DD51FA" w:rsidRPr="00203EB0" w:rsidRDefault="00DD51FA" w:rsidP="00C17D6E">
            <w:pPr>
              <w:rPr>
                <w:rFonts w:cs="Times New Roman"/>
              </w:rPr>
            </w:pPr>
            <w:r w:rsidRPr="00203EB0">
              <w:rPr>
                <w:rFonts w:cs="Times New Roman"/>
              </w:rPr>
              <w:t>20</w:t>
            </w:r>
          </w:p>
        </w:tc>
        <w:tc>
          <w:tcPr>
            <w:tcW w:w="5057" w:type="dxa"/>
          </w:tcPr>
          <w:p w14:paraId="0E91F091" w14:textId="77777777" w:rsidR="00DD51FA" w:rsidRPr="00203EB0" w:rsidRDefault="00DD51FA" w:rsidP="00C17D6E">
            <w:pPr>
              <w:rPr>
                <w:rFonts w:cs="Times New Roman"/>
              </w:rPr>
            </w:pPr>
            <w:r w:rsidRPr="00203EB0">
              <w:rPr>
                <w:rFonts w:cs="Times New Roman"/>
              </w:rPr>
              <w:t>Number of bins used to construct histograms for each feature, capturing data distribution</w:t>
            </w:r>
          </w:p>
        </w:tc>
      </w:tr>
      <w:tr w:rsidR="00DD51FA" w:rsidRPr="00203EB0" w14:paraId="36766296" w14:textId="77777777" w:rsidTr="00C17D6E">
        <w:tc>
          <w:tcPr>
            <w:tcW w:w="2250" w:type="dxa"/>
            <w:tcBorders>
              <w:bottom w:val="single" w:sz="4" w:space="0" w:color="auto"/>
            </w:tcBorders>
          </w:tcPr>
          <w:p w14:paraId="519710E0" w14:textId="77777777" w:rsidR="00DD51FA" w:rsidRPr="00203EB0" w:rsidRDefault="00DD51FA" w:rsidP="00C17D6E">
            <w:pPr>
              <w:rPr>
                <w:rFonts w:cs="Times New Roman"/>
              </w:rPr>
            </w:pPr>
            <w:r w:rsidRPr="00203EB0">
              <w:rPr>
                <w:rFonts w:cs="Times New Roman"/>
              </w:rPr>
              <w:t>alpha</w:t>
            </w:r>
          </w:p>
        </w:tc>
        <w:tc>
          <w:tcPr>
            <w:tcW w:w="1525" w:type="dxa"/>
            <w:tcBorders>
              <w:bottom w:val="single" w:sz="4" w:space="0" w:color="auto"/>
            </w:tcBorders>
          </w:tcPr>
          <w:p w14:paraId="2B6F355F" w14:textId="77777777" w:rsidR="00DD51FA" w:rsidRPr="00203EB0" w:rsidRDefault="00DD51FA" w:rsidP="00C17D6E">
            <w:pPr>
              <w:rPr>
                <w:rFonts w:cs="Times New Roman"/>
              </w:rPr>
            </w:pPr>
            <w:r w:rsidRPr="00203EB0">
              <w:rPr>
                <w:rFonts w:cs="Times New Roman"/>
              </w:rPr>
              <w:t>0.75</w:t>
            </w:r>
          </w:p>
        </w:tc>
        <w:tc>
          <w:tcPr>
            <w:tcW w:w="5057" w:type="dxa"/>
            <w:tcBorders>
              <w:bottom w:val="single" w:sz="4" w:space="0" w:color="auto"/>
            </w:tcBorders>
          </w:tcPr>
          <w:p w14:paraId="645F48BD" w14:textId="77777777" w:rsidR="00DD51FA" w:rsidRPr="00203EB0" w:rsidRDefault="00DD51FA" w:rsidP="00C17D6E">
            <w:pPr>
              <w:rPr>
                <w:rFonts w:cs="Times New Roman"/>
              </w:rPr>
            </w:pPr>
            <w:r w:rsidRPr="00203EB0">
              <w:rPr>
                <w:rFonts w:cs="Times New Roman"/>
              </w:rPr>
              <w:t>Regularization factor to avoid zero probabilities in bins, improving robustness</w:t>
            </w:r>
          </w:p>
        </w:tc>
      </w:tr>
    </w:tbl>
    <w:p w14:paraId="0304233A" w14:textId="77777777" w:rsidR="005751D4" w:rsidRPr="00203EB0" w:rsidRDefault="005751D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116C186F" w14:textId="166B3D1B" w:rsidR="00DD51FA" w:rsidRPr="00203EB0" w:rsidRDefault="00DD51FA" w:rsidP="00DD51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cs="Times New Roman"/>
        </w:rPr>
      </w:pPr>
      <w:r w:rsidRPr="00203EB0">
        <w:rPr>
          <w:rFonts w:cs="Times New Roman"/>
          <w:noProof/>
        </w:rPr>
        <w:lastRenderedPageBreak/>
        <w:drawing>
          <wp:inline distT="0" distB="0" distL="0" distR="0" wp14:anchorId="2B13E524" wp14:editId="35B39F1D">
            <wp:extent cx="4800600" cy="7274918"/>
            <wp:effectExtent l="0" t="0" r="0" b="2540"/>
            <wp:docPr id="1965826143" name="Imagen 1965826143" descr="C:\Users\Facundo Lussich\Desktop\Research project\Random Forest\Manuscript\Script for Submission-After reviewers\Suplemental material\N2O_emissions_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cundo Lussich\Desktop\Research project\Random Forest\Manuscript\Script for Submission-After reviewers\Suplemental material\N2O_emissions_2023.jpg"/>
                    <pic:cNvPicPr>
                      <a:picLocks noChangeAspect="1" noChangeArrowheads="1"/>
                    </pic:cNvPicPr>
                  </pic:nvPicPr>
                  <pic:blipFill>
                    <a:blip r:embed="rId39" cstate="hqprint">
                      <a:extLst>
                        <a:ext uri="{28A0092B-C50C-407E-A947-70E740481C1C}">
                          <a14:useLocalDpi xmlns:a14="http://schemas.microsoft.com/office/drawing/2010/main" val="0"/>
                        </a:ext>
                      </a:extLst>
                    </a:blip>
                    <a:srcRect/>
                    <a:stretch>
                      <a:fillRect/>
                    </a:stretch>
                  </pic:blipFill>
                  <pic:spPr bwMode="auto">
                    <a:xfrm>
                      <a:off x="0" y="0"/>
                      <a:ext cx="4813939" cy="7295132"/>
                    </a:xfrm>
                    <a:prstGeom prst="rect">
                      <a:avLst/>
                    </a:prstGeom>
                    <a:noFill/>
                    <a:ln>
                      <a:noFill/>
                    </a:ln>
                  </pic:spPr>
                </pic:pic>
              </a:graphicData>
            </a:graphic>
          </wp:inline>
        </w:drawing>
      </w:r>
    </w:p>
    <w:p w14:paraId="0E8BB0BE" w14:textId="10710193" w:rsidR="00DD51FA" w:rsidRPr="00203EB0" w:rsidRDefault="00DD51FA" w:rsidP="00DD51FA">
      <w:pPr>
        <w:rPr>
          <w:rFonts w:cs="Times New Roman"/>
        </w:rPr>
      </w:pPr>
      <w:bookmarkStart w:id="125" w:name="_Toc206669281"/>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6</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1</w:t>
      </w:r>
      <w:r w:rsidR="00BD46F8" w:rsidRPr="00203EB0">
        <w:rPr>
          <w:b/>
          <w:bCs/>
        </w:rPr>
        <w:fldChar w:fldCharType="end"/>
      </w:r>
      <w:r w:rsidRPr="00203EB0">
        <w:rPr>
          <w:b/>
          <w:bCs/>
        </w:rPr>
        <w:t>:</w:t>
      </w:r>
      <w:r w:rsidRPr="00203EB0">
        <w:t xml:space="preserve"> </w:t>
      </w:r>
      <w:r w:rsidRPr="00203EB0">
        <w:rPr>
          <w:rFonts w:cs="Times New Roman"/>
        </w:rPr>
        <w:t>HBOS-based classification of hot-moments (red, n = 137) and background emissions (blue, n = 535) across 32 plots in the 2023 training dataset.</w:t>
      </w:r>
      <w:bookmarkEnd w:id="125"/>
      <w:r w:rsidRPr="00203EB0">
        <w:rPr>
          <w:rFonts w:cs="Times New Roman"/>
        </w:rPr>
        <w:t xml:space="preserve"> </w:t>
      </w:r>
    </w:p>
    <w:p w14:paraId="4F1588EF" w14:textId="19856DBB" w:rsidR="00DD51FA" w:rsidRPr="00203EB0" w:rsidRDefault="00DD51FA" w:rsidP="000831E1">
      <w:pPr>
        <w:pStyle w:val="Caption"/>
        <w:jc w:val="center"/>
      </w:pPr>
      <w:r w:rsidRPr="00203EB0">
        <w:rPr>
          <w:noProof/>
        </w:rPr>
        <w:lastRenderedPageBreak/>
        <w:drawing>
          <wp:inline distT="0" distB="0" distL="0" distR="0" wp14:anchorId="2ECF67FD" wp14:editId="34AB9659">
            <wp:extent cx="4930140" cy="7412447"/>
            <wp:effectExtent l="0" t="0" r="3810" b="0"/>
            <wp:docPr id="756038608" name="Imagen 756038608" descr="C:\Users\Facundo Lussich\Desktop\Research project\Random Forest\Manuscript\Script for Submission-After reviewers\Suplemental material\N2O_emissions_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cundo Lussich\Desktop\Research project\Random Forest\Manuscript\Script for Submission-After reviewers\Suplemental material\N2O_emissions_2022.jpg"/>
                    <pic:cNvPicPr>
                      <a:picLocks noChangeAspect="1" noChangeArrowheads="1"/>
                    </pic:cNvPicPr>
                  </pic:nvPicPr>
                  <pic:blipFill>
                    <a:blip r:embed="rId40" cstate="hqprint">
                      <a:extLst>
                        <a:ext uri="{28A0092B-C50C-407E-A947-70E740481C1C}">
                          <a14:useLocalDpi xmlns:a14="http://schemas.microsoft.com/office/drawing/2010/main" val="0"/>
                        </a:ext>
                      </a:extLst>
                    </a:blip>
                    <a:srcRect/>
                    <a:stretch>
                      <a:fillRect/>
                    </a:stretch>
                  </pic:blipFill>
                  <pic:spPr bwMode="auto">
                    <a:xfrm>
                      <a:off x="0" y="0"/>
                      <a:ext cx="4949191" cy="7441089"/>
                    </a:xfrm>
                    <a:prstGeom prst="rect">
                      <a:avLst/>
                    </a:prstGeom>
                    <a:noFill/>
                    <a:ln>
                      <a:noFill/>
                    </a:ln>
                  </pic:spPr>
                </pic:pic>
              </a:graphicData>
            </a:graphic>
          </wp:inline>
        </w:drawing>
      </w:r>
    </w:p>
    <w:p w14:paraId="31998A1B" w14:textId="25BDF6F5" w:rsidR="00DD51FA" w:rsidRPr="00B13104" w:rsidRDefault="00DD51FA" w:rsidP="00B13104">
      <w:pPr>
        <w:tabs>
          <w:tab w:val="left" w:pos="1464"/>
        </w:tabs>
        <w:rPr>
          <w:rFonts w:cs="Times New Roman"/>
        </w:rPr>
      </w:pPr>
      <w:bookmarkStart w:id="126" w:name="_Toc206669282"/>
      <w:r w:rsidRPr="00203EB0">
        <w:rPr>
          <w:b/>
          <w:bCs/>
        </w:rPr>
        <w:t>Figure</w:t>
      </w:r>
      <w:r w:rsidR="00335B5E" w:rsidRPr="00203EB0">
        <w:rPr>
          <w:b/>
          <w:bCs/>
        </w:rPr>
        <w:t xml:space="preserv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6</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2</w:t>
      </w:r>
      <w:r w:rsidR="00BD46F8" w:rsidRPr="00203EB0">
        <w:rPr>
          <w:b/>
          <w:bCs/>
        </w:rPr>
        <w:fldChar w:fldCharType="end"/>
      </w:r>
      <w:r w:rsidRPr="00203EB0">
        <w:rPr>
          <w:b/>
          <w:bCs/>
        </w:rPr>
        <w:t>:</w:t>
      </w:r>
      <w:r w:rsidRPr="00203EB0">
        <w:t xml:space="preserve"> </w:t>
      </w:r>
      <w:r w:rsidRPr="00203EB0">
        <w:rPr>
          <w:rFonts w:cs="Times New Roman"/>
        </w:rPr>
        <w:t>HBOS-based classification of hot-moments (red, n = 286) and background emissions (blue, n = 573) across 32 plots in the 2022 independent validation dataset.</w:t>
      </w:r>
      <w:bookmarkEnd w:id="126"/>
      <w:r w:rsidRPr="00203EB0">
        <w:rPr>
          <w:rFonts w:cs="Times New Roman"/>
        </w:rPr>
        <w:t xml:space="preserve"> </w:t>
      </w:r>
    </w:p>
    <w:p w14:paraId="2981E844" w14:textId="7D3E0353" w:rsidR="005751D4" w:rsidRPr="00203EB0" w:rsidRDefault="00CB5140" w:rsidP="00CB5140">
      <w:pPr>
        <w:pStyle w:val="Heading3"/>
        <w:spacing w:line="480" w:lineRule="auto"/>
      </w:pPr>
      <w:bookmarkStart w:id="127" w:name="_Toc206669169"/>
      <w:r w:rsidRPr="00203EB0">
        <w:lastRenderedPageBreak/>
        <w:t>Traditional Random Forest with oversampling techniques: Base-Over Model</w:t>
      </w:r>
      <w:bookmarkEnd w:id="127"/>
    </w:p>
    <w:p w14:paraId="6FB6A23B" w14:textId="0ED8A04C" w:rsidR="00CB5140" w:rsidRPr="00203EB0" w:rsidRDefault="00CB5140" w:rsidP="00CB5140">
      <w:pPr>
        <w:spacing w:line="480" w:lineRule="auto"/>
        <w:rPr>
          <w:rFonts w:cs="Times New Roman"/>
        </w:rPr>
      </w:pPr>
      <w:r w:rsidRPr="00203EB0">
        <w:rPr>
          <w:rFonts w:cs="Times New Roman"/>
        </w:rPr>
        <w:t xml:space="preserve">The Base-Over model addressed the class imbalance problem by oversampling the minority class (i.e. hot-moments) prior to training </w:t>
      </w:r>
      <w:r w:rsidRPr="00203EB0">
        <w:rPr>
          <w:rFonts w:cs="Times New Roman"/>
        </w:rPr>
        <w:fldChar w:fldCharType="begin" w:fldLock="1"/>
      </w:r>
      <w:r w:rsidR="004179E3" w:rsidRPr="00203EB0">
        <w:rPr>
          <w:rFonts w:cs="Times New Roman"/>
        </w:rPr>
        <w:instrText>ADDIN CSL_CITATION {"citationItems":[{"id":"ITEM-1","itemData":{"ISBN":"013805326X","ISSN":"10769757","PMID":"18190633","abstract":"Synthetic Minority Over-sampling Technique (SMOTE) is the most popular over-sampling method. However, its random nature makes the synthesized data and even imbalanced classification results unstable. It means that in case of running SMOTE n different times, n different synthesized instances are obtained with n different classification results. To address this problem, we adapt the SMOTE idea in deep learning architecture. In this method, a deep neural network regression model is used to train the inputs and outputs of traditional SMOTE. Inputs of the proposed deep regression model are two randomly chosen data points which are concatenated to form a double size vector. The outputs of this model are corresponding randomly interpolated data points between two randomly chosen vectors with original dimension. The experimental results show that, Deep SMOTE can outperform traditional SMOTE in terms of precision, F1 score and Area Under Curve (AUC) in majority of test cases.","author":[{"dropping-particle":"V.","family":"Chawla","given":"Nitesh","non-dropping-particle":"","parse-names":false,"suffix":""},{"dropping-particle":"","family":"Bowyer","given":"Kevin W.","non-dropping-particle":"","parse-names":false,"suffix":""},{"dropping-particle":"","family":"Hall","given":"Lawrence O.","non-dropping-particle":"","parse-names":false,"suffix":""},{"dropping-particle":"","family":"Kegelmeyer","given":"W. Philip","non-dropping-particle":"","parse-names":false,"suffix":""}],"container-title":"Journal of Artificial Intelligence Research","id":"ITEM-1","issue":"Sept. 28","issued":{"date-parts":[["2002"]]},"page":"321-357","title":"SMOTE: Synthetic minority over-sampling technique","type":"article-journal","volume":"16"},"uris":["http://www.mendeley.com/documents/?uuid=ef0d9600-f3cd-4fef-bfc4-a7b5d5c4e5b9"]},{"id":"ITEM-2","itemData":{"ISBN":"978-3-642-40669-0","abstract":"Several real world prediction problems involve forecasting rare values of a target variable. When this variable is nominal we have a problem of class imbalance that was already studied thoroughly within machine learning. For regression tasks, where the target variable is continuous, few works exist addressing this type of problem. Still, important application areas involve forecasting rare extreme values of a continuous target variable. This paper describes a contribution to this type of tasks. Namely, we propose to address such tasks by sampling approaches. These approaches change the distribution of the given training data set to decrease the problem of imbalance between the rare target cases and the most frequent ones. We present a modification of the well-known Smote algorithm that allows its use on these regression tasks. In an extensive set of experiments we provide empirical evidence for the superiority of our proposals for these particular regression tasks. The proposed SmoteR method can be used with any existing regression algorithm turning it into a general tool for addressing problems of forecasting rare extreme values of a continuous target variable.","author":[{"dropping-particle":"","family":"Torgo","given":"Luís","non-dropping-particle":"","parse-names":false,"suffix":""},{"dropping-particle":"","family":"Ribeiro","given":"Rita P","non-dropping-particle":"","parse-names":false,"suffix":""},{"dropping-particle":"","family":"Pfahringer","given":"Bernhard","non-dropping-particle":"","parse-names":false,"suffix":""},{"dropping-particle":"","family":"Branco","given":"Paula","non-dropping-particle":"","parse-names":false,"suffix":""}],"id":"ITEM-2","issue":"September","issued":{"date-parts":[["2013"]]},"number-of-pages":"378-389","title":"SMOTE for regression BT - progress in artificial intelligence","type":"book"},"uris":["http://www.mendeley.com/documents/?uuid=2c4eda6b-15e1-488a-bffc-3327c8ca22da"]}],"mendeley":{"formattedCitation":"(Chawla et al., 2002; Torgo et al., 2013)","plainTextFormattedCitation":"(Chawla et al., 2002; Torgo et al., 2013)","previouslyFormattedCitation":"(Chawla et al., 2002; Torgo et al., 2013)"},"properties":{"noteIndex":0},"schema":"https://github.com/citation-style-language/schema/raw/master/csl-citation.json"}</w:instrText>
      </w:r>
      <w:r w:rsidRPr="00203EB0">
        <w:rPr>
          <w:rFonts w:cs="Times New Roman"/>
        </w:rPr>
        <w:fldChar w:fldCharType="separate"/>
      </w:r>
      <w:r w:rsidRPr="00203EB0">
        <w:rPr>
          <w:rFonts w:cs="Times New Roman"/>
          <w:noProof/>
        </w:rPr>
        <w:t>(Chawla et al., 2002; Torgo et al., 2013)</w:t>
      </w:r>
      <w:r w:rsidRPr="00203EB0">
        <w:rPr>
          <w:rFonts w:cs="Times New Roman"/>
        </w:rPr>
        <w:fldChar w:fldCharType="end"/>
      </w:r>
      <w:r w:rsidRPr="00203EB0">
        <w:rPr>
          <w:rFonts w:cs="Times New Roman"/>
        </w:rPr>
        <w:t xml:space="preserve">. The Synthetic Minority Over-Sampling Technique (SMOTE algorithm) was applied to generate synthetic hot-moment observations, increasing their number from 137 to 274, approximately half the size of the background emissions (n = 535). SMOTE creates new synthetic cases by selecting one of the five nearest neighbors (k=5) for each minority-class observation and interpolating between the two data points to generate a new sample </w:t>
      </w:r>
      <w:r w:rsidRPr="00203EB0">
        <w:rPr>
          <w:rFonts w:cs="Times New Roman"/>
        </w:rPr>
        <w:fldChar w:fldCharType="begin" w:fldLock="1"/>
      </w:r>
      <w:r w:rsidR="004179E3" w:rsidRPr="00203EB0">
        <w:rPr>
          <w:rFonts w:cs="Times New Roman"/>
        </w:rPr>
        <w:instrText>ADDIN CSL_CITATION {"citationItems":[{"id":"ITEM-1","itemData":{"ISBN":"013805326X","ISSN":"10769757","PMID":"18190633","abstract":"Synthetic Minority Over-sampling Technique (SMOTE) is the most popular over-sampling method. However, its random nature makes the synthesized data and even imbalanced classification results unstable. It means that in case of running SMOTE n different times, n different synthesized instances are obtained with n different classification results. To address this problem, we adapt the SMOTE idea in deep learning architecture. In this method, a deep neural network regression model is used to train the inputs and outputs of traditional SMOTE. Inputs of the proposed deep regression model are two randomly chosen data points which are concatenated to form a double size vector. The outputs of this model are corresponding randomly interpolated data points between two randomly chosen vectors with original dimension. The experimental results show that, Deep SMOTE can outperform traditional SMOTE in terms of precision, F1 score and Area Under Curve (AUC) in majority of test cases.","author":[{"dropping-particle":"V.","family":"Chawla","given":"Nitesh","non-dropping-particle":"","parse-names":false,"suffix":""},{"dropping-particle":"","family":"Bowyer","given":"Kevin W.","non-dropping-particle":"","parse-names":false,"suffix":""},{"dropping-particle":"","family":"Hall","given":"Lawrence O.","non-dropping-particle":"","parse-names":false,"suffix":""},{"dropping-particle":"","family":"Kegelmeyer","given":"W. Philip","non-dropping-particle":"","parse-names":false,"suffix":""}],"container-title":"Journal of Artificial Intelligence Research","id":"ITEM-1","issue":"Sept. 28","issued":{"date-parts":[["2002"]]},"page":"321-357","title":"SMOTE: Synthetic minority over-sampling technique","type":"article-journal","volume":"16"},"uris":["http://www.mendeley.com/documents/?uuid=ef0d9600-f3cd-4fef-bfc4-a7b5d5c4e5b9"]}],"mendeley":{"formattedCitation":"(Chawla et al., 2002)","plainTextFormattedCitation":"(Chawla et al., 2002)","previouslyFormattedCitation":"(Chawla et al., 2002)"},"properties":{"noteIndex":0},"schema":"https://github.com/citation-style-language/schema/raw/master/csl-citation.json"}</w:instrText>
      </w:r>
      <w:r w:rsidRPr="00203EB0">
        <w:rPr>
          <w:rFonts w:cs="Times New Roman"/>
        </w:rPr>
        <w:fldChar w:fldCharType="separate"/>
      </w:r>
      <w:r w:rsidRPr="00203EB0">
        <w:rPr>
          <w:rFonts w:cs="Times New Roman"/>
          <w:noProof/>
        </w:rPr>
        <w:t>(Chawla et al., 2002)</w:t>
      </w:r>
      <w:r w:rsidRPr="00203EB0">
        <w:rPr>
          <w:rFonts w:cs="Times New Roman"/>
        </w:rPr>
        <w:fldChar w:fldCharType="end"/>
      </w:r>
      <w:r w:rsidRPr="00203EB0">
        <w:rPr>
          <w:rFonts w:cs="Times New Roman"/>
        </w:rPr>
        <w:t xml:space="preserve">. This approach has been shown to outperform traditional resampling techniques that rely solely on duplicating existing observations or removing data </w:t>
      </w:r>
      <w:r w:rsidRPr="00203EB0">
        <w:rPr>
          <w:rFonts w:cs="Times New Roman"/>
        </w:rPr>
        <w:fldChar w:fldCharType="begin" w:fldLock="1"/>
      </w:r>
      <w:r w:rsidR="004179E3" w:rsidRPr="00203EB0">
        <w:rPr>
          <w:rFonts w:cs="Times New Roman"/>
        </w:rPr>
        <w:instrText>ADDIN CSL_CITATION {"citationItems":[{"id":"ITEM-1","itemData":{"ISBN":"013805326X","ISSN":"10769757","PMID":"18190633","abstract":"Synthetic Minority Over-sampling Technique (SMOTE) is the most popular over-sampling method. However, its random nature makes the synthesized data and even imbalanced classification results unstable. It means that in case of running SMOTE n different times, n different synthesized instances are obtained with n different classification results. To address this problem, we adapt the SMOTE idea in deep learning architecture. In this method, a deep neural network regression model is used to train the inputs and outputs of traditional SMOTE. Inputs of the proposed deep regression model are two randomly chosen data points which are concatenated to form a double size vector. The outputs of this model are corresponding randomly interpolated data points between two randomly chosen vectors with original dimension. The experimental results show that, Deep SMOTE can outperform traditional SMOTE in terms of precision, F1 score and Area Under Curve (AUC) in majority of test cases.","author":[{"dropping-particle":"V.","family":"Chawla","given":"Nitesh","non-dropping-particle":"","parse-names":false,"suffix":""},{"dropping-particle":"","family":"Bowyer","given":"Kevin W.","non-dropping-particle":"","parse-names":false,"suffix":""},{"dropping-particle":"","family":"Hall","given":"Lawrence O.","non-dropping-particle":"","parse-names":false,"suffix":""},{"dropping-particle":"","family":"Kegelmeyer","given":"W. Philip","non-dropping-particle":"","parse-names":false,"suffix":""}],"container-title":"Journal of Artificial Intelligence Research","id":"ITEM-1","issue":"Sept. 28","issued":{"date-parts":[["2002"]]},"page":"321-357","title":"SMOTE: Synthetic minority over-sampling technique","type":"article-journal","volume":"16"},"uris":["http://www.mendeley.com/documents/?uuid=ef0d9600-f3cd-4fef-bfc4-a7b5d5c4e5b9"]}],"mendeley":{"formattedCitation":"(Chawla et al., 2002)","plainTextFormattedCitation":"(Chawla et al., 2002)","previouslyFormattedCitation":"(Chawla et al., 2002)"},"properties":{"noteIndex":0},"schema":"https://github.com/citation-style-language/schema/raw/master/csl-citation.json"}</w:instrText>
      </w:r>
      <w:r w:rsidRPr="00203EB0">
        <w:rPr>
          <w:rFonts w:cs="Times New Roman"/>
        </w:rPr>
        <w:fldChar w:fldCharType="separate"/>
      </w:r>
      <w:r w:rsidRPr="00203EB0">
        <w:rPr>
          <w:rFonts w:cs="Times New Roman"/>
          <w:noProof/>
        </w:rPr>
        <w:t>(Chawla et al., 2002)</w:t>
      </w:r>
      <w:r w:rsidRPr="00203EB0">
        <w:rPr>
          <w:rFonts w:cs="Times New Roman"/>
        </w:rPr>
        <w:fldChar w:fldCharType="end"/>
      </w:r>
      <w:r w:rsidRPr="00203EB0">
        <w:rPr>
          <w:rFonts w:cs="Times New Roman"/>
        </w:rPr>
        <w:t xml:space="preserve">. After balancing the dataset, a standard RF model was trained following the same procedure as the Base model. In contrast to the Class-Swap model, the Base-Over model did not differentiate between emission types during prediction but relied solely on oversampling to account for class imbalance during training. </w:t>
      </w:r>
    </w:p>
    <w:p w14:paraId="12B4B8D8" w14:textId="0DD4A425" w:rsidR="00CB5140" w:rsidRPr="00203EB0" w:rsidRDefault="00CB5140" w:rsidP="00CB5140">
      <w:pPr>
        <w:pStyle w:val="Heading3"/>
        <w:spacing w:line="480" w:lineRule="auto"/>
      </w:pPr>
      <w:bookmarkStart w:id="128" w:name="_Toc206669170"/>
      <w:r w:rsidRPr="00203EB0">
        <w:t>Classification of emissions with oversampling techniques: Class-Swap-Over Model</w:t>
      </w:r>
      <w:bookmarkEnd w:id="128"/>
    </w:p>
    <w:p w14:paraId="2EFC975F" w14:textId="0316498A" w:rsidR="00CB5140" w:rsidRPr="00203EB0" w:rsidRDefault="00CB5140" w:rsidP="00CB5140">
      <w:pPr>
        <w:spacing w:line="480" w:lineRule="auto"/>
        <w:rPr>
          <w:rFonts w:cs="Times New Roman"/>
        </w:rPr>
      </w:pPr>
      <w:r w:rsidRPr="00203EB0">
        <w:rPr>
          <w:rFonts w:cs="Times New Roman"/>
        </w:rPr>
        <w:t xml:space="preserve">The Class-Swap-Over model combined both techniques: the classification of emissions into hot-moments and background emissions using HBOS + IQR, and the balancing of the dataset with SMOTE oversampling of the minority class. After oversampling, </w:t>
      </w:r>
      <w:proofErr w:type="gramStart"/>
      <w:r w:rsidRPr="00203EB0">
        <w:rPr>
          <w:rFonts w:cs="Times New Roman"/>
        </w:rPr>
        <w:t>hot</w:t>
      </w:r>
      <w:r w:rsidR="007E5F6E" w:rsidRPr="00203EB0">
        <w:rPr>
          <w:rFonts w:cs="Times New Roman"/>
        </w:rPr>
        <w:t>-</w:t>
      </w:r>
      <w:r w:rsidRPr="00203EB0">
        <w:rPr>
          <w:rFonts w:cs="Times New Roman"/>
        </w:rPr>
        <w:t>moments</w:t>
      </w:r>
      <w:proofErr w:type="gramEnd"/>
      <w:r w:rsidRPr="00203EB0">
        <w:rPr>
          <w:rFonts w:cs="Times New Roman"/>
        </w:rPr>
        <w:t xml:space="preserve"> were increased to 274 observations, maintaining the background class at 535 observations.</w:t>
      </w:r>
    </w:p>
    <w:p w14:paraId="2B47DFD2" w14:textId="794A099A" w:rsidR="00CB5140" w:rsidRPr="00203EB0" w:rsidRDefault="00CB5140" w:rsidP="00CB5140">
      <w:pPr>
        <w:spacing w:line="480" w:lineRule="auto"/>
        <w:rPr>
          <w:rFonts w:cs="Times New Roman"/>
        </w:rPr>
      </w:pPr>
      <w:r w:rsidRPr="00203EB0">
        <w:rPr>
          <w:rFonts w:cs="Times New Roman"/>
        </w:rPr>
        <w:t xml:space="preserve">As in the Class-Swap model, two separate RF models were trained, one for each emission type, and dynamically swapped during prediction based on the HBOS + IQR classification. </w:t>
      </w:r>
      <w:r w:rsidRPr="00203EB0">
        <w:rPr>
          <w:rFonts w:cs="Times New Roman"/>
        </w:rPr>
        <w:lastRenderedPageBreak/>
        <w:t xml:space="preserve">This approach was designed to simultaneously address class imbalance and improve model specialization for the distinct emission types, an approach referred to as Class-Swap-Over. </w:t>
      </w:r>
    </w:p>
    <w:p w14:paraId="58F0EB5B" w14:textId="0D14242E" w:rsidR="00CB5140" w:rsidRPr="00203EB0" w:rsidRDefault="00CB5140" w:rsidP="00CB5140">
      <w:pPr>
        <w:pStyle w:val="Heading3"/>
        <w:spacing w:line="480" w:lineRule="auto"/>
      </w:pPr>
      <w:bookmarkStart w:id="129" w:name="_Toc206669171"/>
      <w:r w:rsidRPr="00203EB0">
        <w:t>Model performance evaluation</w:t>
      </w:r>
      <w:bookmarkEnd w:id="129"/>
    </w:p>
    <w:p w14:paraId="2B69AA90" w14:textId="3F2ECD24" w:rsidR="00CB5140" w:rsidRPr="00203EB0" w:rsidRDefault="00CB5140" w:rsidP="00CB5140">
      <w:pPr>
        <w:spacing w:line="480" w:lineRule="auto"/>
        <w:rPr>
          <w:rFonts w:cs="Times New Roman"/>
        </w:rPr>
      </w:pPr>
      <w:r w:rsidRPr="00203EB0">
        <w:rPr>
          <w:rFonts w:cs="Times New Roman"/>
        </w:rPr>
        <w:t>Evaluating model performance on temporal data series is inherently challenging, particularly for N</w:t>
      </w:r>
      <w:r w:rsidRPr="00203EB0">
        <w:rPr>
          <w:rFonts w:cs="Times New Roman"/>
          <w:vertAlign w:val="subscript"/>
        </w:rPr>
        <w:t>2</w:t>
      </w:r>
      <w:r w:rsidRPr="00203EB0">
        <w:rPr>
          <w:rFonts w:cs="Times New Roman"/>
        </w:rPr>
        <w:t>O emissions data, which are highly skewed. In such cases, no single metric can fully capture the model performance across background and high flux observations. Some metrics tend to overvalue extreme outliers (e.g., R</w:t>
      </w:r>
      <w:r w:rsidRPr="00203EB0">
        <w:rPr>
          <w:rFonts w:cs="Times New Roman"/>
          <w:vertAlign w:val="superscript"/>
        </w:rPr>
        <w:t>2</w:t>
      </w:r>
      <w:r w:rsidRPr="00203EB0">
        <w:rPr>
          <w:rFonts w:cs="Times New Roman"/>
        </w:rPr>
        <w:t xml:space="preserve">), while others may undervalue them (e.g., Mean Absolute Percentage Error) </w:t>
      </w:r>
      <w:r w:rsidRPr="00203EB0">
        <w:rPr>
          <w:rFonts w:cs="Times New Roman"/>
        </w:rPr>
        <w:fldChar w:fldCharType="begin" w:fldLock="1"/>
      </w:r>
      <w:r w:rsidR="004179E3" w:rsidRPr="00203EB0">
        <w:rPr>
          <w:rFonts w:cs="Times New Roman"/>
        </w:rPr>
        <w:instrText>ADDIN CSL_CITATION {"citationItems":[{"id":"ITEM-1","itemData":{"DOI":"doi.org/10.1007/s40745-020-00253-5","author":[{"dropping-particle":"","family":"Wang","given":"Qi","non-dropping-particle":"","parse-names":false,"suffix":""},{"dropping-particle":"","family":"Ma","given":"Yue","non-dropping-particle":"","parse-names":false,"suffix":""},{"dropping-particle":"","family":"Zhao","given":"Kun","non-dropping-particle":"","parse-names":false,"suffix":""},{"dropping-particle":"","family":"Tian","given":"Yingjie","non-dropping-particle":"","parse-names":false,"suffix":""}],"container-title":"Annals of Data Science","id":"ITEM-1","issued":{"date-parts":[["2020"]]},"page":"187-212","title":"A comprehensive survey of loss functions in machine learning","type":"article-journal","volume":"9"},"uris":["http://www.mendeley.com/documents/?uuid=e1a6f977-62c2-433f-b7ba-a9b73c1f382b"]}],"mendeley":{"formattedCitation":"(Wang et al., 2020)","manualFormatting":"(Wang et al., 2020)","plainTextFormattedCitation":"(Wang et al., 2020)","previouslyFormattedCitation":"(Wang et al., 2020)"},"properties":{"noteIndex":0},"schema":"https://github.com/citation-style-language/schema/raw/master/csl-citation.json"}</w:instrText>
      </w:r>
      <w:r w:rsidRPr="00203EB0">
        <w:rPr>
          <w:rFonts w:cs="Times New Roman"/>
        </w:rPr>
        <w:fldChar w:fldCharType="separate"/>
      </w:r>
      <w:r w:rsidRPr="00203EB0">
        <w:rPr>
          <w:rFonts w:cs="Times New Roman"/>
          <w:noProof/>
        </w:rPr>
        <w:t>(Wang et al., 2020)</w:t>
      </w:r>
      <w:r w:rsidRPr="00203EB0">
        <w:rPr>
          <w:rFonts w:cs="Times New Roman"/>
        </w:rPr>
        <w:fldChar w:fldCharType="end"/>
      </w:r>
      <w:r w:rsidRPr="00203EB0">
        <w:rPr>
          <w:rFonts w:cs="Times New Roman"/>
        </w:rPr>
        <w:t xml:space="preserve">. Thus, multiple complementary metrics were assessed to provide a more robust and comprehensive evaluation of model accuracy and reliability, acknowledging that each metric has its limitations </w:t>
      </w:r>
      <w:r w:rsidRPr="00203EB0">
        <w:rPr>
          <w:rFonts w:cs="Times New Roman"/>
        </w:rPr>
        <w:fldChar w:fldCharType="begin" w:fldLock="1"/>
      </w:r>
      <w:r w:rsidRPr="00203EB0">
        <w:rPr>
          <w:rFonts w:cs="Times New Roman"/>
        </w:rPr>
        <w:instrText>ADDIN CSL_CITATION {"citationItems":[{"id":"ITEM-1","itemData":{"DOI":"10.7717/PEERJ-CS.623","ISSN":"23765992","PMID":"34307865","abstract":"Regression analysis makes up a large part of supervised machine learning, and consists of the prediction of a continuous independent target from a set of other predictor variables. The difference between binary classification and regression is in the target range: in binary classification, the target can have only two values (usually encoded as 0 and 1), while in regression the target can have multiple values. Even if regression analysis has been employed in a huge number of machine learning studies, no consensus has been reached on a single, unified, standard metric to assess the results of the regression itself. Many studies employ the mean square error (MSE) and its rooted variant (RMSE), or the mean absolute error (MAE) and its percentage variant (MAPE). Although useful, these rates share a common drawback: since their values can range between zero and +infinity, a single value of them does not say much about the performance of the regression with respect to the distribution of the ground truth elements. In this study, we focus on two rates that actually generate a high score only if the majority of the elements of a ground truth group has been correctly predicted: the coefficient of determination (also known as R-squared or R2) and the symmetric mean absolute percentage error (SMAPE). After showing their mathematical properties, we report a comparison between R2 and SMAPE in several use cases and in two real medical scenarios. Our results demonstrate that the coefficient of determination (R-squared) is more informative and truthful than SMAPE, and does not have the interpretability limitations of MSE, RMSE, MAE and MAPE. We therefore suggest the usage of R-squared as standard metric to evaluate regression analyses in any scientific domain.","author":[{"dropping-particle":"","family":"Chicco","given":"Davide","non-dropping-particle":"","parse-names":false,"suffix":""},{"dropping-particle":"","family":"Warrens","given":"Matthijs J.","non-dropping-particle":"","parse-names":false,"suffix":""},{"dropping-particle":"","family":"Jurman","given":"Giuseppe","non-dropping-particle":"","parse-names":false,"suffix":""}],"container-title":"PeerJ Computer Science","id":"ITEM-1","issued":{"date-parts":[["2021"]]},"page":"1-24","title":"The coefficient of determination R-squared is more informative than SMAPE, MAE, MAPE, MSE and RMSE in regression analysis evaluation","type":"article-journal","volume":"7"},"uris":["http://www.mendeley.com/documents/?uuid=05bc1ae5-2c48-4477-8b0d-9aff9c30b62f"]}],"mendeley":{"formattedCitation":"(Chicco et al., 2021)","plainTextFormattedCitation":"(Chicco et al., 2021)","previouslyFormattedCitation":"(Chicco et al., 2021)"},"properties":{"noteIndex":0},"schema":"https://github.com/citation-style-language/schema/raw/master/csl-citation.json"}</w:instrText>
      </w:r>
      <w:r w:rsidRPr="00203EB0">
        <w:rPr>
          <w:rFonts w:cs="Times New Roman"/>
        </w:rPr>
        <w:fldChar w:fldCharType="separate"/>
      </w:r>
      <w:r w:rsidRPr="00203EB0">
        <w:rPr>
          <w:rFonts w:cs="Times New Roman"/>
          <w:noProof/>
        </w:rPr>
        <w:t>(Chicco et al., 2021)</w:t>
      </w:r>
      <w:r w:rsidRPr="00203EB0">
        <w:rPr>
          <w:rFonts w:cs="Times New Roman"/>
        </w:rPr>
        <w:fldChar w:fldCharType="end"/>
      </w:r>
      <w:r w:rsidRPr="00203EB0">
        <w:rPr>
          <w:rFonts w:cs="Times New Roman"/>
        </w:rPr>
        <w:t xml:space="preserve">. </w:t>
      </w:r>
    </w:p>
    <w:p w14:paraId="0FC11B79" w14:textId="2C336542" w:rsidR="00CB5140" w:rsidRPr="00203EB0" w:rsidRDefault="00CB5140" w:rsidP="00CB5140">
      <w:pPr>
        <w:spacing w:line="480" w:lineRule="auto"/>
        <w:rPr>
          <w:rFonts w:cs="Times New Roman"/>
        </w:rPr>
      </w:pPr>
      <w:r w:rsidRPr="00203EB0">
        <w:rPr>
          <w:rFonts w:cs="Times New Roman"/>
        </w:rPr>
        <w:t>Performance was assessed through root mean square errors (RMSE), coefficients of determination (R</w:t>
      </w:r>
      <w:r w:rsidRPr="00203EB0">
        <w:rPr>
          <w:rFonts w:cs="Times New Roman"/>
          <w:vertAlign w:val="superscript"/>
        </w:rPr>
        <w:t>2</w:t>
      </w:r>
      <w:r w:rsidRPr="00203EB0">
        <w:rPr>
          <w:rFonts w:cs="Times New Roman"/>
        </w:rPr>
        <w:t>), mean absolute error (MAE), and symmetric mean absolute error (SMAPE). Additionally, observed and predicted average daily N</w:t>
      </w:r>
      <w:r w:rsidRPr="00203EB0">
        <w:rPr>
          <w:rFonts w:cs="Times New Roman"/>
          <w:vertAlign w:val="subscript"/>
        </w:rPr>
        <w:t>2</w:t>
      </w:r>
      <w:r w:rsidRPr="00203EB0">
        <w:rPr>
          <w:rFonts w:cs="Times New Roman"/>
        </w:rPr>
        <w:t>O fluxes were interpolated to estimate cumulative N</w:t>
      </w:r>
      <w:r w:rsidRPr="00203EB0">
        <w:rPr>
          <w:rFonts w:cs="Times New Roman"/>
          <w:vertAlign w:val="subscript"/>
        </w:rPr>
        <w:t>2</w:t>
      </w:r>
      <w:r w:rsidRPr="00203EB0">
        <w:rPr>
          <w:rFonts w:cs="Times New Roman"/>
        </w:rPr>
        <w:t>O emissions by treatment over the cotton growing season, and mean absolute percentage error (MAPE) was calculated for both total cumulative N</w:t>
      </w:r>
      <w:r w:rsidRPr="00203EB0">
        <w:rPr>
          <w:rFonts w:cs="Times New Roman"/>
          <w:vertAlign w:val="subscript"/>
        </w:rPr>
        <w:t>2</w:t>
      </w:r>
      <w:r w:rsidRPr="00203EB0">
        <w:rPr>
          <w:rFonts w:cs="Times New Roman"/>
        </w:rPr>
        <w:t>O emissions by treatment and the average cumulative N</w:t>
      </w:r>
      <w:r w:rsidRPr="00203EB0">
        <w:rPr>
          <w:rFonts w:cs="Times New Roman"/>
          <w:vertAlign w:val="subscript"/>
        </w:rPr>
        <w:t>2</w:t>
      </w:r>
      <w:r w:rsidRPr="00203EB0">
        <w:rPr>
          <w:rFonts w:cs="Times New Roman"/>
        </w:rPr>
        <w:t xml:space="preserve">O emissions across all treatments. </w:t>
      </w:r>
    </w:p>
    <w:p w14:paraId="7E47BD88" w14:textId="77777777" w:rsidR="00CB5140" w:rsidRPr="00203EB0" w:rsidRDefault="00CB5140" w:rsidP="00CB5140">
      <w:pPr>
        <w:spacing w:line="480" w:lineRule="auto"/>
        <w:rPr>
          <w:rFonts w:cs="Times New Roman"/>
        </w:rPr>
      </w:pPr>
      <w:r w:rsidRPr="00203EB0">
        <w:rPr>
          <w:rFonts w:cs="Times New Roman"/>
        </w:rPr>
        <w:t xml:space="preserve">The performance metrics, along with their equations and key characteristics, are summarized below. In the following formulas, </w:t>
      </w:r>
      <w:r w:rsidRPr="00203EB0">
        <w:rPr>
          <w:rFonts w:cs="Times New Roman"/>
          <w:i/>
        </w:rPr>
        <w:t>X</w:t>
      </w:r>
      <w:r w:rsidRPr="00203EB0">
        <w:rPr>
          <w:rFonts w:cs="Times New Roman"/>
          <w:i/>
          <w:vertAlign w:val="subscript"/>
        </w:rPr>
        <w:t xml:space="preserve">i </w:t>
      </w:r>
      <w:r w:rsidRPr="00203EB0">
        <w:rPr>
          <w:rFonts w:cs="Times New Roman"/>
        </w:rPr>
        <w:t xml:space="preserve">denotes the predicted value, </w:t>
      </w:r>
      <w:r w:rsidRPr="00203EB0">
        <w:rPr>
          <w:rFonts w:cs="Times New Roman"/>
          <w:i/>
        </w:rPr>
        <w:t>Yi</w:t>
      </w:r>
      <w:r w:rsidRPr="00203EB0">
        <w:rPr>
          <w:rFonts w:cs="Times New Roman"/>
        </w:rPr>
        <w:t xml:space="preserve"> denotes the observed value, and n represents the number of observations. </w:t>
      </w:r>
    </w:p>
    <w:p w14:paraId="213EFCAD" w14:textId="77777777" w:rsidR="00CB5140" w:rsidRPr="00203EB0" w:rsidRDefault="00CB5140" w:rsidP="00CB5140">
      <w:pPr>
        <w:spacing w:line="480" w:lineRule="auto"/>
        <w:rPr>
          <w:rFonts w:cs="Times New Roman"/>
        </w:rPr>
      </w:pPr>
      <w:r w:rsidRPr="00203EB0">
        <w:rPr>
          <w:rFonts w:cs="Times New Roman"/>
        </w:rPr>
        <w:lastRenderedPageBreak/>
        <w:t>Coefficient of determination (R</w:t>
      </w:r>
      <w:r w:rsidRPr="00203EB0">
        <w:rPr>
          <w:rFonts w:cs="Times New Roman"/>
          <w:vertAlign w:val="superscript"/>
        </w:rPr>
        <w:t>2</w:t>
      </w:r>
      <w:r w:rsidRPr="00203EB0">
        <w:rPr>
          <w:rFonts w:cs="Times New Roman"/>
        </w:rPr>
        <w:t>), measures the proportion of variance explained by the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
        <w:gridCol w:w="5683"/>
        <w:gridCol w:w="1562"/>
      </w:tblGrid>
      <w:tr w:rsidR="00CB5140" w:rsidRPr="00203EB0" w14:paraId="223D1273" w14:textId="77777777" w:rsidTr="00C17D6E">
        <w:tc>
          <w:tcPr>
            <w:tcW w:w="1525" w:type="dxa"/>
          </w:tcPr>
          <w:p w14:paraId="072B19C1" w14:textId="77777777" w:rsidR="00CB5140" w:rsidRPr="00203EB0" w:rsidRDefault="00CB5140" w:rsidP="00C17D6E">
            <w:pPr>
              <w:spacing w:line="480" w:lineRule="auto"/>
              <w:rPr>
                <w:rFonts w:cs="Times New Roman"/>
              </w:rPr>
            </w:pPr>
          </w:p>
        </w:tc>
        <w:tc>
          <w:tcPr>
            <w:tcW w:w="6210" w:type="dxa"/>
          </w:tcPr>
          <w:p w14:paraId="1B87B078" w14:textId="77777777" w:rsidR="00CB5140" w:rsidRPr="00203EB0" w:rsidRDefault="00000000" w:rsidP="00C17D6E">
            <w:pPr>
              <w:spacing w:line="480" w:lineRule="auto"/>
              <w:jc w:val="center"/>
              <w:rPr>
                <w:rFonts w:cs="Times New Roman"/>
              </w:rPr>
            </w:pPr>
            <m:oMathPara>
              <m:oMath>
                <m:sSup>
                  <m:sSupPr>
                    <m:ctrlPr>
                      <w:rPr>
                        <w:rFonts w:ascii="Cambria Math" w:eastAsiaTheme="minorEastAsia" w:hAnsi="Cambria Math" w:cs="Times New Roman"/>
                        <w:i/>
                      </w:rPr>
                    </m:ctrlPr>
                  </m:sSupPr>
                  <m:e>
                    <m:r>
                      <w:rPr>
                        <w:rFonts w:ascii="Cambria Math" w:eastAsiaTheme="minorEastAsia" w:hAnsi="Cambria Math" w:cs="Times New Roman"/>
                      </w:rPr>
                      <m:t>R</m:t>
                    </m:r>
                  </m:e>
                  <m:sup>
                    <m:r>
                      <w:rPr>
                        <w:rFonts w:ascii="Cambria Math" w:eastAsiaTheme="minorEastAsia" w:hAnsi="Cambria Math" w:cs="Times New Roman"/>
                      </w:rPr>
                      <m:t>2</m:t>
                    </m:r>
                  </m:sup>
                </m:sSup>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MSE</m:t>
                    </m:r>
                  </m:num>
                  <m:den>
                    <m:r>
                      <w:rPr>
                        <w:rFonts w:ascii="Cambria Math" w:hAnsi="Cambria Math" w:cs="Times New Roman"/>
                      </w:rPr>
                      <m:t>MST</m:t>
                    </m:r>
                  </m:den>
                </m:f>
              </m:oMath>
            </m:oMathPara>
          </w:p>
        </w:tc>
        <w:tc>
          <w:tcPr>
            <w:tcW w:w="1615" w:type="dxa"/>
          </w:tcPr>
          <w:p w14:paraId="3F89BDA4" w14:textId="349E8587" w:rsidR="00CB5140" w:rsidRPr="00203EB0" w:rsidRDefault="00CB5140" w:rsidP="00C17D6E">
            <w:pPr>
              <w:spacing w:line="480" w:lineRule="auto"/>
              <w:jc w:val="center"/>
              <w:rPr>
                <w:rFonts w:cs="Times New Roman"/>
              </w:rPr>
            </w:pPr>
            <w:r w:rsidRPr="00203EB0">
              <w:rPr>
                <w:rFonts w:cs="Times New Roman"/>
              </w:rPr>
              <w:t>Equation 1</w:t>
            </w:r>
          </w:p>
        </w:tc>
      </w:tr>
    </w:tbl>
    <w:p w14:paraId="72DC4BD7" w14:textId="77777777" w:rsidR="005751D4" w:rsidRPr="00203EB0" w:rsidRDefault="005751D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3E3527CB" w14:textId="77777777" w:rsidR="00CB5140" w:rsidRPr="00203EB0" w:rsidRDefault="00CB5140" w:rsidP="00CB5140">
      <w:pPr>
        <w:spacing w:line="480" w:lineRule="auto"/>
        <w:rPr>
          <w:rFonts w:cs="Times New Roman"/>
        </w:rPr>
      </w:pPr>
      <w:r w:rsidRPr="00203EB0">
        <w:rPr>
          <w:rFonts w:cs="Times New Roman"/>
        </w:rPr>
        <w:t xml:space="preserve">where </w:t>
      </w:r>
      <w:proofErr w:type="gramStart"/>
      <w:r w:rsidRPr="00203EB0">
        <w:rPr>
          <w:rFonts w:cs="Times New Roman"/>
        </w:rPr>
        <w:t>MSE is mean</w:t>
      </w:r>
      <w:proofErr w:type="gramEnd"/>
      <w:r w:rsidRPr="00203EB0">
        <w:rPr>
          <w:rFonts w:cs="Times New Roman"/>
        </w:rPr>
        <w:t xml:space="preserve"> square error and </w:t>
      </w:r>
      <w:proofErr w:type="gramStart"/>
      <w:r w:rsidRPr="00203EB0">
        <w:rPr>
          <w:rFonts w:cs="Times New Roman"/>
        </w:rPr>
        <w:t>MST is mean</w:t>
      </w:r>
      <w:proofErr w:type="gramEnd"/>
      <w:r w:rsidRPr="00203EB0">
        <w:rPr>
          <w:rFonts w:cs="Times New Roman"/>
        </w:rPr>
        <w:t xml:space="preserve"> total sum of squares. R</w:t>
      </w:r>
      <w:r w:rsidRPr="00203EB0">
        <w:rPr>
          <w:rFonts w:cs="Times New Roman"/>
          <w:vertAlign w:val="superscript"/>
        </w:rPr>
        <w:t>2</w:t>
      </w:r>
      <w:r w:rsidRPr="00203EB0">
        <w:rPr>
          <w:rFonts w:cs="Times New Roman"/>
        </w:rPr>
        <w:t xml:space="preserve"> indicates overall model fit but does not reflect magnitude of prediction errors. </w:t>
      </w:r>
    </w:p>
    <w:p w14:paraId="18447D07" w14:textId="77777777" w:rsidR="00CB5140" w:rsidRPr="00203EB0" w:rsidRDefault="00CB5140" w:rsidP="00CB5140">
      <w:pPr>
        <w:spacing w:line="480" w:lineRule="auto"/>
        <w:rPr>
          <w:rFonts w:cs="Times New Roman"/>
        </w:rPr>
      </w:pPr>
      <w:r w:rsidRPr="00203EB0">
        <w:rPr>
          <w:rFonts w:cs="Times New Roman"/>
        </w:rPr>
        <w:t xml:space="preserve">Root </w:t>
      </w:r>
      <w:proofErr w:type="gramStart"/>
      <w:r w:rsidRPr="00203EB0">
        <w:rPr>
          <w:rFonts w:cs="Times New Roman"/>
        </w:rPr>
        <w:t>mean</w:t>
      </w:r>
      <w:proofErr w:type="gramEnd"/>
      <w:r w:rsidRPr="00203EB0">
        <w:rPr>
          <w:rFonts w:cs="Times New Roman"/>
        </w:rPr>
        <w:t xml:space="preserve"> square error (RMSE): evaluates the average magnitude of errors, giving more weight to larger errors: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1"/>
        <w:gridCol w:w="5768"/>
        <w:gridCol w:w="1491"/>
      </w:tblGrid>
      <w:tr w:rsidR="00CB5140" w:rsidRPr="00203EB0" w14:paraId="1D76ACF4" w14:textId="77777777" w:rsidTr="00CB5140">
        <w:tc>
          <w:tcPr>
            <w:tcW w:w="1381" w:type="dxa"/>
          </w:tcPr>
          <w:p w14:paraId="2224CE80" w14:textId="77777777" w:rsidR="00CB5140" w:rsidRPr="00203EB0" w:rsidRDefault="00CB5140" w:rsidP="00C17D6E">
            <w:pPr>
              <w:spacing w:line="480" w:lineRule="auto"/>
              <w:rPr>
                <w:rFonts w:cs="Times New Roman"/>
              </w:rPr>
            </w:pPr>
          </w:p>
        </w:tc>
        <w:tc>
          <w:tcPr>
            <w:tcW w:w="5768" w:type="dxa"/>
          </w:tcPr>
          <w:p w14:paraId="7912C7EF" w14:textId="77777777" w:rsidR="00CB5140" w:rsidRPr="00203EB0" w:rsidRDefault="00CB5140" w:rsidP="00C17D6E">
            <w:pPr>
              <w:spacing w:line="480" w:lineRule="auto"/>
              <w:rPr>
                <w:rFonts w:cs="Times New Roman"/>
              </w:rPr>
            </w:pPr>
            <m:oMathPara>
              <m:oMath>
                <m:r>
                  <w:rPr>
                    <w:rFonts w:ascii="Cambria Math" w:hAnsi="Cambria Math" w:cs="Times New Roman"/>
                  </w:rPr>
                  <m:t>RMSE=</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Xi-Yi</m:t>
                                </m:r>
                              </m:e>
                            </m:d>
                          </m:e>
                          <m:sup>
                            <m:r>
                              <w:rPr>
                                <w:rFonts w:ascii="Cambria Math" w:hAnsi="Cambria Math" w:cs="Times New Roman"/>
                              </w:rPr>
                              <m:t>2</m:t>
                            </m:r>
                          </m:sup>
                        </m:sSup>
                      </m:e>
                    </m:nary>
                  </m:e>
                </m:rad>
              </m:oMath>
            </m:oMathPara>
          </w:p>
        </w:tc>
        <w:tc>
          <w:tcPr>
            <w:tcW w:w="1491" w:type="dxa"/>
          </w:tcPr>
          <w:p w14:paraId="608D07F2" w14:textId="4BACE923" w:rsidR="00CB5140" w:rsidRPr="00203EB0" w:rsidRDefault="00CB5140" w:rsidP="00C17D6E">
            <w:pPr>
              <w:spacing w:line="480" w:lineRule="auto"/>
              <w:jc w:val="center"/>
              <w:rPr>
                <w:rFonts w:cs="Times New Roman"/>
              </w:rPr>
            </w:pPr>
            <w:r w:rsidRPr="00203EB0">
              <w:rPr>
                <w:rFonts w:cs="Times New Roman"/>
              </w:rPr>
              <w:t xml:space="preserve">Equation </w:t>
            </w:r>
            <w:r w:rsidR="00335B5E" w:rsidRPr="00203EB0">
              <w:rPr>
                <w:rFonts w:cs="Times New Roman"/>
              </w:rPr>
              <w:t>2</w:t>
            </w:r>
          </w:p>
        </w:tc>
      </w:tr>
    </w:tbl>
    <w:p w14:paraId="4F5C6392" w14:textId="77777777" w:rsidR="00CB5140" w:rsidRPr="00203EB0" w:rsidRDefault="00CB5140" w:rsidP="00CB5140">
      <w:pPr>
        <w:spacing w:line="480" w:lineRule="auto"/>
        <w:rPr>
          <w:rFonts w:cs="Times New Roman"/>
        </w:rPr>
      </w:pPr>
      <w:r w:rsidRPr="00203EB0">
        <w:rPr>
          <w:rFonts w:cs="Times New Roman"/>
        </w:rPr>
        <w:t xml:space="preserve">Lower RMSE values indicate better performance, but RMSE is sensitive to outliers (penalizes large errors more heavily). </w:t>
      </w:r>
    </w:p>
    <w:p w14:paraId="2664BC85" w14:textId="77777777" w:rsidR="00CB5140" w:rsidRPr="00203EB0" w:rsidRDefault="00CB5140" w:rsidP="00CB5140">
      <w:pPr>
        <w:spacing w:line="480" w:lineRule="auto"/>
        <w:rPr>
          <w:rFonts w:cs="Times New Roman"/>
        </w:rPr>
      </w:pPr>
      <w:r w:rsidRPr="00203EB0">
        <w:rPr>
          <w:rFonts w:cs="Times New Roman"/>
        </w:rPr>
        <w:t>Mean Absolute Error (MAE), calculates the average of the absolute differences between predictions and observations: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7"/>
        <w:gridCol w:w="5737"/>
        <w:gridCol w:w="1506"/>
      </w:tblGrid>
      <w:tr w:rsidR="00CB5140" w:rsidRPr="00203EB0" w14:paraId="2C7EDFEA" w14:textId="77777777" w:rsidTr="00CB5140">
        <w:tc>
          <w:tcPr>
            <w:tcW w:w="1397" w:type="dxa"/>
          </w:tcPr>
          <w:p w14:paraId="0A3EFFD1" w14:textId="77777777" w:rsidR="00CB5140" w:rsidRPr="00203EB0" w:rsidRDefault="00CB5140" w:rsidP="00C17D6E">
            <w:pPr>
              <w:spacing w:line="480" w:lineRule="auto"/>
              <w:rPr>
                <w:rFonts w:cs="Times New Roman"/>
              </w:rPr>
            </w:pPr>
          </w:p>
        </w:tc>
        <w:tc>
          <w:tcPr>
            <w:tcW w:w="5737" w:type="dxa"/>
          </w:tcPr>
          <w:p w14:paraId="2DE89CA4" w14:textId="77777777" w:rsidR="00CB5140" w:rsidRPr="00203EB0" w:rsidRDefault="00CB5140" w:rsidP="00C17D6E">
            <w:pPr>
              <w:spacing w:line="480" w:lineRule="auto"/>
              <w:rPr>
                <w:rFonts w:cs="Times New Roman"/>
              </w:rPr>
            </w:pPr>
            <m:oMathPara>
              <m:oMath>
                <m:r>
                  <w:rPr>
                    <w:rFonts w:ascii="Cambria Math" w:hAnsi="Cambria Math" w:cs="Times New Roman"/>
                  </w:rPr>
                  <m:t xml:space="preserve">MAE=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|Xi-Yi|</m:t>
                    </m:r>
                  </m:e>
                </m:nary>
              </m:oMath>
            </m:oMathPara>
          </w:p>
        </w:tc>
        <w:tc>
          <w:tcPr>
            <w:tcW w:w="1506" w:type="dxa"/>
          </w:tcPr>
          <w:p w14:paraId="4FCDFD65" w14:textId="09DEC455" w:rsidR="00CB5140" w:rsidRPr="00203EB0" w:rsidRDefault="00CB5140" w:rsidP="00C17D6E">
            <w:pPr>
              <w:spacing w:line="480" w:lineRule="auto"/>
              <w:jc w:val="center"/>
              <w:rPr>
                <w:rFonts w:cs="Times New Roman"/>
              </w:rPr>
            </w:pPr>
            <w:r w:rsidRPr="00203EB0">
              <w:rPr>
                <w:rFonts w:cs="Times New Roman"/>
              </w:rPr>
              <w:t xml:space="preserve">Equation </w:t>
            </w:r>
            <w:r w:rsidR="00335B5E" w:rsidRPr="00203EB0">
              <w:rPr>
                <w:rFonts w:cs="Times New Roman"/>
              </w:rPr>
              <w:t>3</w:t>
            </w:r>
          </w:p>
        </w:tc>
      </w:tr>
    </w:tbl>
    <w:p w14:paraId="108E104F" w14:textId="77777777" w:rsidR="00CB5140" w:rsidRPr="00203EB0" w:rsidRDefault="00CB5140" w:rsidP="00CB5140">
      <w:pPr>
        <w:spacing w:line="480" w:lineRule="auto"/>
        <w:rPr>
          <w:rFonts w:cs="Times New Roman"/>
        </w:rPr>
      </w:pPr>
      <w:r w:rsidRPr="00203EB0">
        <w:rPr>
          <w:rFonts w:cs="Times New Roman"/>
        </w:rPr>
        <w:t xml:space="preserve">MAE provides an intuitive measure of average error but is less sensitive to large deviation than RMSE. </w:t>
      </w:r>
    </w:p>
    <w:p w14:paraId="351462CB" w14:textId="77777777" w:rsidR="00CB5140" w:rsidRPr="00203EB0" w:rsidRDefault="00CB5140" w:rsidP="00CB5140">
      <w:pPr>
        <w:spacing w:line="480" w:lineRule="auto"/>
        <w:rPr>
          <w:rFonts w:cs="Times New Roman"/>
        </w:rPr>
      </w:pPr>
      <w:r w:rsidRPr="00203EB0">
        <w:rPr>
          <w:rFonts w:cs="Times New Roman"/>
        </w:rPr>
        <w:t>Mean absolute percentage error (MAPE), expresses the prediction errors as a percentage of the observed values: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5715"/>
        <w:gridCol w:w="1553"/>
      </w:tblGrid>
      <w:tr w:rsidR="00CB5140" w:rsidRPr="00203EB0" w14:paraId="3D949C0F" w14:textId="77777777" w:rsidTr="00C17D6E">
        <w:tc>
          <w:tcPr>
            <w:tcW w:w="1525" w:type="dxa"/>
          </w:tcPr>
          <w:p w14:paraId="1C0EDB42" w14:textId="77777777" w:rsidR="00CB5140" w:rsidRPr="00203EB0" w:rsidRDefault="00CB5140" w:rsidP="00C17D6E">
            <w:pPr>
              <w:spacing w:line="480" w:lineRule="auto"/>
              <w:rPr>
                <w:rFonts w:cs="Times New Roman"/>
              </w:rPr>
            </w:pPr>
          </w:p>
        </w:tc>
        <w:tc>
          <w:tcPr>
            <w:tcW w:w="6210" w:type="dxa"/>
          </w:tcPr>
          <w:p w14:paraId="00FE3DAF" w14:textId="77777777" w:rsidR="00CB5140" w:rsidRPr="00203EB0" w:rsidRDefault="00CB5140" w:rsidP="00C17D6E">
            <w:pPr>
              <w:spacing w:line="480" w:lineRule="auto"/>
              <w:rPr>
                <w:rFonts w:cs="Times New Roman"/>
              </w:rPr>
            </w:pPr>
            <m:oMathPara>
              <m:oMath>
                <m:r>
                  <w:rPr>
                    <w:rFonts w:ascii="Cambria Math" w:hAnsi="Cambria Math" w:cs="Times New Roman"/>
                  </w:rPr>
                  <m:t>MAPE=</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Yi-Xi</m:t>
                        </m:r>
                      </m:num>
                      <m:den>
                        <m:r>
                          <w:rPr>
                            <w:rFonts w:ascii="Cambria Math" w:hAnsi="Cambria Math" w:cs="Times New Roman"/>
                          </w:rPr>
                          <m:t>Yi</m:t>
                        </m:r>
                      </m:den>
                    </m:f>
                    <m:r>
                      <w:rPr>
                        <w:rFonts w:ascii="Cambria Math" w:hAnsi="Cambria Math" w:cs="Times New Roman"/>
                      </w:rPr>
                      <m:t>|</m:t>
                    </m:r>
                  </m:e>
                </m:nary>
              </m:oMath>
            </m:oMathPara>
          </w:p>
        </w:tc>
        <w:tc>
          <w:tcPr>
            <w:tcW w:w="1615" w:type="dxa"/>
          </w:tcPr>
          <w:p w14:paraId="349119B9" w14:textId="2AE4DC22" w:rsidR="00CB5140" w:rsidRPr="00203EB0" w:rsidRDefault="00CB5140" w:rsidP="00C17D6E">
            <w:pPr>
              <w:spacing w:line="480" w:lineRule="auto"/>
              <w:jc w:val="center"/>
              <w:rPr>
                <w:rFonts w:cs="Times New Roman"/>
              </w:rPr>
            </w:pPr>
            <w:r w:rsidRPr="00203EB0">
              <w:rPr>
                <w:rFonts w:cs="Times New Roman"/>
              </w:rPr>
              <w:t xml:space="preserve">Equation </w:t>
            </w:r>
            <w:r w:rsidR="00335B5E" w:rsidRPr="00203EB0">
              <w:rPr>
                <w:rFonts w:cs="Times New Roman"/>
              </w:rPr>
              <w:t>4</w:t>
            </w:r>
          </w:p>
        </w:tc>
      </w:tr>
    </w:tbl>
    <w:p w14:paraId="0933C63A" w14:textId="77777777" w:rsidR="00CB5140" w:rsidRPr="00203EB0" w:rsidRDefault="00CB5140" w:rsidP="00CB5140">
      <w:pPr>
        <w:spacing w:line="480" w:lineRule="auto"/>
        <w:rPr>
          <w:rFonts w:cs="Times New Roman"/>
        </w:rPr>
      </w:pPr>
      <w:r w:rsidRPr="00203EB0">
        <w:rPr>
          <w:rFonts w:cs="Times New Roman"/>
        </w:rPr>
        <w:t xml:space="preserve">While useful for comparing relative errors across scales, MAPE can become problematic when observed values are very small. </w:t>
      </w:r>
    </w:p>
    <w:p w14:paraId="224867E7" w14:textId="77777777" w:rsidR="00CB5140" w:rsidRPr="00203EB0" w:rsidRDefault="00CB5140" w:rsidP="00CB5140">
      <w:pPr>
        <w:spacing w:line="480" w:lineRule="auto"/>
        <w:rPr>
          <w:rFonts w:cs="Times New Roman"/>
        </w:rPr>
      </w:pPr>
      <w:r w:rsidRPr="00203EB0">
        <w:rPr>
          <w:rFonts w:cs="Times New Roman"/>
        </w:rPr>
        <w:t>Symmetric mean absolute percentage error (SMAPE), modifies MAPE by normalizing over the sum of observed and predicted values: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5735"/>
        <w:gridCol w:w="1547"/>
      </w:tblGrid>
      <w:tr w:rsidR="00CB5140" w:rsidRPr="00203EB0" w14:paraId="4F25CB28" w14:textId="77777777" w:rsidTr="00C17D6E">
        <w:tc>
          <w:tcPr>
            <w:tcW w:w="1525" w:type="dxa"/>
          </w:tcPr>
          <w:p w14:paraId="4EC6D1AC" w14:textId="77777777" w:rsidR="00CB5140" w:rsidRPr="00203EB0" w:rsidRDefault="00CB5140" w:rsidP="00C17D6E">
            <w:pPr>
              <w:spacing w:line="480" w:lineRule="auto"/>
              <w:rPr>
                <w:rFonts w:cs="Times New Roman"/>
              </w:rPr>
            </w:pPr>
          </w:p>
        </w:tc>
        <w:tc>
          <w:tcPr>
            <w:tcW w:w="6210" w:type="dxa"/>
          </w:tcPr>
          <w:p w14:paraId="3C669BA3" w14:textId="77777777" w:rsidR="00CB5140" w:rsidRPr="00203EB0" w:rsidRDefault="00CB5140" w:rsidP="00C17D6E">
            <w:pPr>
              <w:spacing w:line="480" w:lineRule="auto"/>
              <w:rPr>
                <w:rFonts w:cs="Times New Roman"/>
              </w:rPr>
            </w:pPr>
            <m:oMathPara>
              <m:oMath>
                <m:r>
                  <w:rPr>
                    <w:rFonts w:ascii="Cambria Math" w:hAnsi="Cambria Math" w:cs="Times New Roman"/>
                  </w:rPr>
                  <m:t>SMAPE=</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f>
                      <m:fPr>
                        <m:ctrlPr>
                          <w:rPr>
                            <w:rFonts w:ascii="Cambria Math" w:hAnsi="Cambria Math" w:cs="Times New Roman"/>
                            <w:i/>
                          </w:rPr>
                        </m:ctrlPr>
                      </m:fPr>
                      <m:num>
                        <m:r>
                          <w:rPr>
                            <w:rFonts w:ascii="Cambria Math" w:hAnsi="Cambria Math" w:cs="Times New Roman"/>
                          </w:rPr>
                          <m:t>|Xi-Yi|</m:t>
                        </m:r>
                      </m:num>
                      <m:den>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Xi</m:t>
                            </m:r>
                          </m:e>
                        </m:d>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Yi</m:t>
                            </m:r>
                          </m:e>
                        </m:d>
                        <m:r>
                          <w:rPr>
                            <w:rFonts w:ascii="Cambria Math" w:hAnsi="Cambria Math" w:cs="Times New Roman"/>
                          </w:rPr>
                          <m:t>)/2</m:t>
                        </m:r>
                      </m:den>
                    </m:f>
                  </m:e>
                </m:nary>
              </m:oMath>
            </m:oMathPara>
          </w:p>
        </w:tc>
        <w:tc>
          <w:tcPr>
            <w:tcW w:w="1615" w:type="dxa"/>
          </w:tcPr>
          <w:p w14:paraId="476D821F" w14:textId="5D778AF6" w:rsidR="00CB5140" w:rsidRPr="00203EB0" w:rsidRDefault="00CB5140" w:rsidP="00C17D6E">
            <w:pPr>
              <w:spacing w:line="480" w:lineRule="auto"/>
              <w:jc w:val="center"/>
              <w:rPr>
                <w:rFonts w:cs="Times New Roman"/>
              </w:rPr>
            </w:pPr>
            <w:r w:rsidRPr="00203EB0">
              <w:rPr>
                <w:rFonts w:cs="Times New Roman"/>
              </w:rPr>
              <w:t xml:space="preserve">Equation </w:t>
            </w:r>
            <w:r w:rsidR="00335B5E" w:rsidRPr="00203EB0">
              <w:rPr>
                <w:rFonts w:cs="Times New Roman"/>
              </w:rPr>
              <w:t>5</w:t>
            </w:r>
          </w:p>
        </w:tc>
      </w:tr>
    </w:tbl>
    <w:p w14:paraId="77EFACF2" w14:textId="77777777" w:rsidR="00CB5140" w:rsidRPr="00203EB0" w:rsidRDefault="00CB5140" w:rsidP="00CB5140">
      <w:pPr>
        <w:spacing w:line="480" w:lineRule="auto"/>
        <w:rPr>
          <w:rFonts w:cs="Times New Roman"/>
        </w:rPr>
      </w:pPr>
      <w:r w:rsidRPr="00203EB0">
        <w:rPr>
          <w:rFonts w:cs="Times New Roman"/>
        </w:rPr>
        <w:t xml:space="preserve">SMAPE values range from 0 to 200%. SMAPE reduces some of MAPE’s bias but remains sensitive to near-zero values. </w:t>
      </w:r>
    </w:p>
    <w:p w14:paraId="40CAC3F0" w14:textId="77777777" w:rsidR="00CB5140" w:rsidRDefault="00CB5140" w:rsidP="00CB5140">
      <w:pPr>
        <w:spacing w:line="480" w:lineRule="auto"/>
        <w:rPr>
          <w:rFonts w:cs="Times New Roman"/>
        </w:rPr>
      </w:pPr>
      <w:r w:rsidRPr="00203EB0">
        <w:rPr>
          <w:rFonts w:cs="Times New Roman"/>
        </w:rPr>
        <w:t>By using a combination of these metrics, we aimed to better capture model performance across the wide range of N</w:t>
      </w:r>
      <w:r w:rsidRPr="00203EB0">
        <w:rPr>
          <w:rFonts w:cs="Times New Roman"/>
          <w:vertAlign w:val="subscript"/>
        </w:rPr>
        <w:t>2</w:t>
      </w:r>
      <w:r w:rsidRPr="00203EB0">
        <w:rPr>
          <w:rFonts w:cs="Times New Roman"/>
        </w:rPr>
        <w:t xml:space="preserve">O fluxes and to avoid over reliance on any single evaluation criterion. </w:t>
      </w:r>
    </w:p>
    <w:p w14:paraId="76EA1B92" w14:textId="77777777" w:rsidR="00585B16" w:rsidRDefault="00585B16" w:rsidP="00CB5140">
      <w:pPr>
        <w:spacing w:line="480" w:lineRule="auto"/>
        <w:rPr>
          <w:rFonts w:cs="Times New Roman"/>
        </w:rPr>
      </w:pPr>
    </w:p>
    <w:p w14:paraId="3C9217FB" w14:textId="77777777" w:rsidR="00585B16" w:rsidRDefault="00585B16" w:rsidP="00CB5140">
      <w:pPr>
        <w:spacing w:line="480" w:lineRule="auto"/>
        <w:rPr>
          <w:rFonts w:cs="Times New Roman"/>
        </w:rPr>
      </w:pPr>
    </w:p>
    <w:p w14:paraId="0C8F1334" w14:textId="77777777" w:rsidR="00585B16" w:rsidRDefault="00585B16" w:rsidP="00CB5140">
      <w:pPr>
        <w:spacing w:line="480" w:lineRule="auto"/>
        <w:rPr>
          <w:rFonts w:cs="Times New Roman"/>
        </w:rPr>
      </w:pPr>
    </w:p>
    <w:p w14:paraId="7EDB50D5" w14:textId="77777777" w:rsidR="00585B16" w:rsidRDefault="00585B16" w:rsidP="00CB5140">
      <w:pPr>
        <w:spacing w:line="480" w:lineRule="auto"/>
        <w:rPr>
          <w:rFonts w:cs="Times New Roman"/>
        </w:rPr>
      </w:pPr>
    </w:p>
    <w:p w14:paraId="10C7AEB6" w14:textId="77777777" w:rsidR="00585B16" w:rsidRDefault="00585B16" w:rsidP="00CB5140">
      <w:pPr>
        <w:spacing w:line="480" w:lineRule="auto"/>
        <w:rPr>
          <w:rFonts w:cs="Times New Roman"/>
        </w:rPr>
      </w:pPr>
    </w:p>
    <w:p w14:paraId="57DB33CA" w14:textId="77777777" w:rsidR="00585B16" w:rsidRPr="00203EB0" w:rsidRDefault="00585B16" w:rsidP="00CB5140">
      <w:pPr>
        <w:spacing w:line="480" w:lineRule="auto"/>
        <w:rPr>
          <w:rFonts w:cs="Times New Roman"/>
        </w:rPr>
      </w:pPr>
    </w:p>
    <w:p w14:paraId="2FFB810C" w14:textId="2D9AEB4C" w:rsidR="000C5078" w:rsidRPr="00203EB0" w:rsidRDefault="000C5078" w:rsidP="000C5078">
      <w:pPr>
        <w:pStyle w:val="Heading2"/>
      </w:pPr>
      <w:bookmarkStart w:id="130" w:name="_Toc206669172"/>
      <w:r w:rsidRPr="00203EB0">
        <w:lastRenderedPageBreak/>
        <w:t>Results</w:t>
      </w:r>
      <w:bookmarkEnd w:id="130"/>
    </w:p>
    <w:p w14:paraId="0CB1B542" w14:textId="2108D25F" w:rsidR="000C5078" w:rsidRPr="00203EB0" w:rsidRDefault="000C5078" w:rsidP="000C5078">
      <w:pPr>
        <w:pStyle w:val="Heading3"/>
        <w:spacing w:line="480" w:lineRule="auto"/>
      </w:pPr>
      <w:bookmarkStart w:id="131" w:name="_Toc206669173"/>
      <w:r w:rsidRPr="00203EB0">
        <w:t>Predictive performance of models for daily N</w:t>
      </w:r>
      <w:r w:rsidRPr="00203EB0">
        <w:rPr>
          <w:vertAlign w:val="subscript"/>
        </w:rPr>
        <w:t>2</w:t>
      </w:r>
      <w:r w:rsidRPr="00203EB0">
        <w:t>O fluxes</w:t>
      </w:r>
      <w:bookmarkEnd w:id="131"/>
    </w:p>
    <w:p w14:paraId="6D2E5B84" w14:textId="554BCCCB" w:rsidR="000C5078" w:rsidRPr="00203EB0" w:rsidRDefault="000C5078" w:rsidP="000C5078">
      <w:pPr>
        <w:spacing w:line="480" w:lineRule="auto"/>
        <w:rPr>
          <w:rFonts w:cs="Times New Roman"/>
        </w:rPr>
      </w:pPr>
      <w:r w:rsidRPr="00203EB0">
        <w:rPr>
          <w:rFonts w:cs="Times New Roman"/>
        </w:rPr>
        <w:t>The classification-swap approach generally enhanced the accuracy of daily N</w:t>
      </w:r>
      <w:r w:rsidRPr="00203EB0">
        <w:rPr>
          <w:rFonts w:cs="Times New Roman"/>
          <w:vertAlign w:val="subscript"/>
        </w:rPr>
        <w:t>2</w:t>
      </w:r>
      <w:r w:rsidRPr="00203EB0">
        <w:rPr>
          <w:rFonts w:cs="Times New Roman"/>
        </w:rPr>
        <w:t>O flux predictions across the treatments, consistently outperforming traditional models on both measured and oversampled datasets (</w:t>
      </w:r>
      <w:r w:rsidRPr="00203EB0">
        <w:rPr>
          <w:rFonts w:cs="Times New Roman"/>
          <w:b/>
          <w:bCs/>
        </w:rPr>
        <w:t xml:space="preserve">Figure </w:t>
      </w:r>
      <w:r w:rsidR="001A755D" w:rsidRPr="00203EB0">
        <w:rPr>
          <w:rFonts w:cs="Times New Roman"/>
          <w:b/>
          <w:bCs/>
        </w:rPr>
        <w:t>6.3</w:t>
      </w:r>
      <w:r w:rsidRPr="00203EB0">
        <w:rPr>
          <w:rFonts w:cs="Times New Roman"/>
        </w:rPr>
        <w:t xml:space="preserve">, </w:t>
      </w:r>
      <w:r w:rsidRPr="00203EB0">
        <w:rPr>
          <w:rFonts w:cs="Times New Roman"/>
          <w:b/>
          <w:bCs/>
        </w:rPr>
        <w:t xml:space="preserve">Figure </w:t>
      </w:r>
      <w:r w:rsidR="001A755D" w:rsidRPr="00203EB0">
        <w:rPr>
          <w:rFonts w:cs="Times New Roman"/>
          <w:b/>
          <w:bCs/>
        </w:rPr>
        <w:t>6.</w:t>
      </w:r>
      <w:r w:rsidRPr="00203EB0">
        <w:rPr>
          <w:rFonts w:cs="Times New Roman"/>
          <w:b/>
          <w:bCs/>
        </w:rPr>
        <w:t>4</w:t>
      </w:r>
      <w:r w:rsidRPr="00203EB0">
        <w:rPr>
          <w:rFonts w:cs="Times New Roman"/>
        </w:rPr>
        <w:t xml:space="preserve">, </w:t>
      </w:r>
      <w:r w:rsidRPr="00203EB0">
        <w:rPr>
          <w:rFonts w:cs="Times New Roman"/>
          <w:b/>
          <w:bCs/>
        </w:rPr>
        <w:t xml:space="preserve">Figure </w:t>
      </w:r>
      <w:r w:rsidR="001A755D" w:rsidRPr="00203EB0">
        <w:rPr>
          <w:rFonts w:cs="Times New Roman"/>
          <w:b/>
          <w:bCs/>
        </w:rPr>
        <w:t>6.</w:t>
      </w:r>
      <w:r w:rsidRPr="00203EB0">
        <w:rPr>
          <w:rFonts w:cs="Times New Roman"/>
          <w:b/>
          <w:bCs/>
        </w:rPr>
        <w:t>5</w:t>
      </w:r>
      <w:r w:rsidRPr="00203EB0">
        <w:rPr>
          <w:rFonts w:cs="Times New Roman"/>
        </w:rPr>
        <w:t xml:space="preserve">, and </w:t>
      </w:r>
      <w:r w:rsidRPr="00203EB0">
        <w:rPr>
          <w:rFonts w:cs="Times New Roman"/>
          <w:b/>
          <w:bCs/>
        </w:rPr>
        <w:t xml:space="preserve">Figure </w:t>
      </w:r>
      <w:r w:rsidR="001A755D" w:rsidRPr="00203EB0">
        <w:rPr>
          <w:rFonts w:cs="Times New Roman"/>
          <w:b/>
          <w:bCs/>
        </w:rPr>
        <w:t>6.</w:t>
      </w:r>
      <w:r w:rsidRPr="00203EB0">
        <w:rPr>
          <w:rFonts w:cs="Times New Roman"/>
          <w:b/>
          <w:bCs/>
        </w:rPr>
        <w:t>6</w:t>
      </w:r>
      <w:r w:rsidRPr="00203EB0">
        <w:rPr>
          <w:rFonts w:cs="Times New Roman"/>
        </w:rPr>
        <w:t>). The Class-Swap model outperformed the Base model (R</w:t>
      </w:r>
      <w:r w:rsidRPr="00203EB0">
        <w:rPr>
          <w:rFonts w:cs="Times New Roman"/>
          <w:vertAlign w:val="superscript"/>
        </w:rPr>
        <w:t>2</w:t>
      </w:r>
      <w:r w:rsidRPr="00203EB0">
        <w:rPr>
          <w:rFonts w:cs="Times New Roman"/>
        </w:rPr>
        <w:t>: 0.31 vs 0.07) and similarly, the Class-Swap-Over model surpassed the Base-Over model (R</w:t>
      </w:r>
      <w:r w:rsidRPr="00203EB0">
        <w:rPr>
          <w:rFonts w:cs="Times New Roman"/>
          <w:vertAlign w:val="superscript"/>
        </w:rPr>
        <w:t>2</w:t>
      </w:r>
      <w:r w:rsidRPr="00203EB0">
        <w:rPr>
          <w:rFonts w:cs="Times New Roman"/>
        </w:rPr>
        <w:t>: 0.32 vs 0.23) in predicting N</w:t>
      </w:r>
      <w:r w:rsidRPr="00203EB0">
        <w:rPr>
          <w:rFonts w:cs="Times New Roman"/>
          <w:vertAlign w:val="subscript"/>
        </w:rPr>
        <w:t>2</w:t>
      </w:r>
      <w:r w:rsidRPr="00203EB0">
        <w:rPr>
          <w:rFonts w:cs="Times New Roman"/>
        </w:rPr>
        <w:t>O fluxes in the 2022 independent validation dataset, which was excluded from model training. In contrast to the 3-fold gain in predictive performance of the Base model (R</w:t>
      </w:r>
      <w:r w:rsidRPr="00203EB0">
        <w:rPr>
          <w:rFonts w:cs="Times New Roman"/>
          <w:vertAlign w:val="superscript"/>
        </w:rPr>
        <w:t>2</w:t>
      </w:r>
      <w:r w:rsidRPr="00203EB0">
        <w:rPr>
          <w:rFonts w:cs="Times New Roman"/>
        </w:rPr>
        <w:t>: 0.07 vs 0.23), oversampling had minimal effect under the classification-swap approach (R</w:t>
      </w:r>
      <w:r w:rsidRPr="00203EB0">
        <w:rPr>
          <w:rFonts w:cs="Times New Roman"/>
          <w:vertAlign w:val="superscript"/>
        </w:rPr>
        <w:t>2</w:t>
      </w:r>
      <w:r w:rsidRPr="00203EB0">
        <w:rPr>
          <w:rFonts w:cs="Times New Roman"/>
        </w:rPr>
        <w:t>: 0.31 vs 0.32). The classification-swap approach not only improved overall prediction accuracy but also effectively captured both the low and high ranges of N</w:t>
      </w:r>
      <w:r w:rsidRPr="00203EB0">
        <w:rPr>
          <w:rFonts w:cs="Times New Roman"/>
          <w:vertAlign w:val="subscript"/>
        </w:rPr>
        <w:t>2</w:t>
      </w:r>
      <w:r w:rsidRPr="00203EB0">
        <w:rPr>
          <w:rFonts w:cs="Times New Roman"/>
        </w:rPr>
        <w:t>O fluxes in the training and independent validation datasets (</w:t>
      </w:r>
      <w:r w:rsidRPr="00203EB0">
        <w:rPr>
          <w:rFonts w:cs="Times New Roman"/>
          <w:b/>
          <w:bCs/>
        </w:rPr>
        <w:t xml:space="preserve">Figures </w:t>
      </w:r>
      <w:r w:rsidR="002D1346" w:rsidRPr="00203EB0">
        <w:rPr>
          <w:rFonts w:cs="Times New Roman"/>
          <w:b/>
          <w:bCs/>
        </w:rPr>
        <w:t>6.</w:t>
      </w:r>
      <w:r w:rsidRPr="00203EB0">
        <w:rPr>
          <w:rFonts w:cs="Times New Roman"/>
          <w:b/>
          <w:bCs/>
        </w:rPr>
        <w:t>7</w:t>
      </w:r>
      <w:r w:rsidRPr="00203EB0">
        <w:rPr>
          <w:rFonts w:cs="Times New Roman"/>
        </w:rPr>
        <w:t xml:space="preserve"> and </w:t>
      </w:r>
      <w:r w:rsidRPr="00203EB0">
        <w:rPr>
          <w:rFonts w:cs="Times New Roman"/>
          <w:b/>
          <w:bCs/>
        </w:rPr>
        <w:t xml:space="preserve">Figure </w:t>
      </w:r>
      <w:r w:rsidR="002D1346" w:rsidRPr="00203EB0">
        <w:rPr>
          <w:rFonts w:cs="Times New Roman"/>
          <w:b/>
          <w:bCs/>
        </w:rPr>
        <w:t>6.8</w:t>
      </w:r>
      <w:r w:rsidRPr="00203EB0">
        <w:rPr>
          <w:rFonts w:cs="Times New Roman"/>
        </w:rPr>
        <w:t xml:space="preserve">). In contrast, the Base model struggled to predict </w:t>
      </w:r>
      <w:proofErr w:type="gramStart"/>
      <w:r w:rsidRPr="00203EB0">
        <w:rPr>
          <w:rFonts w:cs="Times New Roman"/>
        </w:rPr>
        <w:t>hot-moments</w:t>
      </w:r>
      <w:proofErr w:type="gramEnd"/>
      <w:r w:rsidRPr="00203EB0">
        <w:rPr>
          <w:rFonts w:cs="Times New Roman"/>
        </w:rPr>
        <w:t xml:space="preserve"> in the independent dataset (</w:t>
      </w:r>
      <w:r w:rsidRPr="00203EB0">
        <w:rPr>
          <w:rFonts w:cs="Times New Roman"/>
          <w:b/>
          <w:bCs/>
        </w:rPr>
        <w:t xml:space="preserve">Figure </w:t>
      </w:r>
      <w:r w:rsidR="002D1346" w:rsidRPr="00203EB0">
        <w:rPr>
          <w:rFonts w:cs="Times New Roman"/>
          <w:b/>
          <w:bCs/>
        </w:rPr>
        <w:t>6.3</w:t>
      </w:r>
      <w:r w:rsidRPr="00203EB0">
        <w:rPr>
          <w:rFonts w:cs="Times New Roman"/>
        </w:rPr>
        <w:t xml:space="preserve">, </w:t>
      </w:r>
      <w:r w:rsidRPr="00203EB0">
        <w:rPr>
          <w:rFonts w:cs="Times New Roman"/>
          <w:b/>
          <w:bCs/>
        </w:rPr>
        <w:t xml:space="preserve">Figure </w:t>
      </w:r>
      <w:r w:rsidR="002D1346" w:rsidRPr="00203EB0">
        <w:rPr>
          <w:rFonts w:cs="Times New Roman"/>
          <w:b/>
          <w:bCs/>
        </w:rPr>
        <w:t>6.8</w:t>
      </w:r>
      <w:r w:rsidRPr="00203EB0">
        <w:rPr>
          <w:rFonts w:cs="Times New Roman"/>
        </w:rPr>
        <w:t xml:space="preserve">, </w:t>
      </w:r>
      <w:r w:rsidRPr="00203EB0">
        <w:rPr>
          <w:rFonts w:cs="Times New Roman"/>
          <w:b/>
          <w:bCs/>
        </w:rPr>
        <w:t xml:space="preserve">and Figure </w:t>
      </w:r>
      <w:r w:rsidR="002D1346" w:rsidRPr="00203EB0">
        <w:rPr>
          <w:rFonts w:cs="Times New Roman"/>
          <w:b/>
          <w:bCs/>
        </w:rPr>
        <w:t>6.5</w:t>
      </w:r>
      <w:r w:rsidRPr="00203EB0">
        <w:rPr>
          <w:rFonts w:cs="Times New Roman"/>
        </w:rPr>
        <w:t>). While the Base-oversampling model was better at identifying hot-moments, it frequently over-predicted medium emissions and underestimated the magnitude of hot-moments (</w:t>
      </w:r>
      <w:r w:rsidRPr="00203EB0">
        <w:rPr>
          <w:rFonts w:cs="Times New Roman"/>
          <w:b/>
          <w:bCs/>
        </w:rPr>
        <w:t xml:space="preserve">Figure </w:t>
      </w:r>
      <w:r w:rsidR="002D1346" w:rsidRPr="00203EB0">
        <w:rPr>
          <w:rFonts w:cs="Times New Roman"/>
          <w:b/>
          <w:bCs/>
        </w:rPr>
        <w:t>6.4</w:t>
      </w:r>
      <w:r w:rsidR="002D1346" w:rsidRPr="00203EB0">
        <w:rPr>
          <w:rFonts w:cs="Times New Roman"/>
        </w:rPr>
        <w:t xml:space="preserve"> </w:t>
      </w:r>
      <w:r w:rsidRPr="00203EB0">
        <w:rPr>
          <w:rFonts w:cs="Times New Roman"/>
        </w:rPr>
        <w:t xml:space="preserve">and </w:t>
      </w:r>
      <w:r w:rsidRPr="00203EB0">
        <w:rPr>
          <w:rFonts w:cs="Times New Roman"/>
          <w:b/>
          <w:bCs/>
        </w:rPr>
        <w:t xml:space="preserve">Figure </w:t>
      </w:r>
      <w:r w:rsidR="002D1346" w:rsidRPr="00203EB0">
        <w:rPr>
          <w:rFonts w:cs="Times New Roman"/>
          <w:b/>
          <w:bCs/>
        </w:rPr>
        <w:t>6.</w:t>
      </w:r>
      <w:r w:rsidRPr="00203EB0">
        <w:rPr>
          <w:rFonts w:cs="Times New Roman"/>
          <w:b/>
          <w:bCs/>
        </w:rPr>
        <w:t>6</w:t>
      </w:r>
      <w:r w:rsidRPr="00203EB0">
        <w:rPr>
          <w:rFonts w:cs="Times New Roman"/>
        </w:rPr>
        <w:t>). Overall, the classification swap model approach improved all performance metrics, whether using measured or oversampled data, for both training or independent validation datasets, reducing RMSE by 6-17% and MAE by 9-25% compared to the Base model variants (</w:t>
      </w:r>
      <w:r w:rsidRPr="00203EB0">
        <w:rPr>
          <w:rFonts w:cs="Times New Roman"/>
          <w:b/>
          <w:bCs/>
        </w:rPr>
        <w:t xml:space="preserve">Table </w:t>
      </w:r>
      <w:r w:rsidR="003B1E83" w:rsidRPr="00203EB0">
        <w:rPr>
          <w:rFonts w:cs="Times New Roman"/>
          <w:b/>
          <w:bCs/>
        </w:rPr>
        <w:t>6.3</w:t>
      </w:r>
      <w:r w:rsidRPr="00203EB0">
        <w:rPr>
          <w:rFonts w:cs="Times New Roman"/>
        </w:rPr>
        <w:t xml:space="preserve"> and </w:t>
      </w:r>
      <w:r w:rsidRPr="00203EB0">
        <w:rPr>
          <w:rFonts w:cs="Times New Roman"/>
          <w:b/>
          <w:bCs/>
        </w:rPr>
        <w:t xml:space="preserve">Table </w:t>
      </w:r>
      <w:r w:rsidR="003B1E83" w:rsidRPr="00203EB0">
        <w:rPr>
          <w:rFonts w:cs="Times New Roman"/>
          <w:b/>
          <w:bCs/>
        </w:rPr>
        <w:t>6.4</w:t>
      </w:r>
      <w:r w:rsidRPr="00203EB0">
        <w:rPr>
          <w:rFonts w:cs="Times New Roman"/>
        </w:rPr>
        <w:t>).</w:t>
      </w:r>
    </w:p>
    <w:p w14:paraId="379BDC24" w14:textId="77777777" w:rsidR="001A755D" w:rsidRPr="00203EB0" w:rsidRDefault="001A755D" w:rsidP="000C5078">
      <w:pPr>
        <w:sectPr w:rsidR="001A755D" w:rsidRPr="00203EB0" w:rsidSect="00FE7DF1">
          <w:pgSz w:w="12240" w:h="15840" w:code="1"/>
          <w:pgMar w:top="1440" w:right="1800" w:bottom="1872" w:left="1800" w:header="720" w:footer="1440" w:gutter="0"/>
          <w:pgNumType w:start="98"/>
          <w:cols w:space="720"/>
          <w:noEndnote/>
          <w:docGrid w:linePitch="360"/>
        </w:sectPr>
      </w:pPr>
    </w:p>
    <w:p w14:paraId="1757CEF6" w14:textId="1CD080EE" w:rsidR="000C5078" w:rsidRPr="00203EB0" w:rsidRDefault="001A755D" w:rsidP="001A755D">
      <w:pPr>
        <w:jc w:val="center"/>
      </w:pPr>
      <w:r w:rsidRPr="00203EB0">
        <w:rPr>
          <w:rFonts w:cs="Times New Roman"/>
          <w:noProof/>
        </w:rPr>
        <w:lastRenderedPageBreak/>
        <w:drawing>
          <wp:inline distT="0" distB="0" distL="0" distR="0" wp14:anchorId="05EEF4A5" wp14:editId="02A8D11F">
            <wp:extent cx="6659880" cy="4756984"/>
            <wp:effectExtent l="0" t="0" r="7620" b="5715"/>
            <wp:docPr id="626471415" name="Imagen 626471415" descr="C:\Users\Facundo Lussich\Desktop\Research project\Random Forest\Manuscript\Script for Submission-After reviewers\Figures for paper HIGH Quality\Indep Base vs Class-Swap with arro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cundo Lussich\Desktop\Research project\Random Forest\Manuscript\Script for Submission-After reviewers\Figures for paper HIGH Quality\Indep Base vs Class-Swap with arrows.jpg"/>
                    <pic:cNvPicPr>
                      <a:picLocks noChangeAspect="1" noChangeArrowheads="1"/>
                    </pic:cNvPicPr>
                  </pic:nvPicPr>
                  <pic:blipFill>
                    <a:blip r:embed="rId41" cstate="hqprint">
                      <a:extLst>
                        <a:ext uri="{28A0092B-C50C-407E-A947-70E740481C1C}">
                          <a14:useLocalDpi xmlns:a14="http://schemas.microsoft.com/office/drawing/2010/main" val="0"/>
                        </a:ext>
                      </a:extLst>
                    </a:blip>
                    <a:srcRect/>
                    <a:stretch>
                      <a:fillRect/>
                    </a:stretch>
                  </pic:blipFill>
                  <pic:spPr bwMode="auto">
                    <a:xfrm>
                      <a:off x="0" y="0"/>
                      <a:ext cx="6692184" cy="4780058"/>
                    </a:xfrm>
                    <a:prstGeom prst="rect">
                      <a:avLst/>
                    </a:prstGeom>
                    <a:noFill/>
                    <a:ln>
                      <a:noFill/>
                    </a:ln>
                  </pic:spPr>
                </pic:pic>
              </a:graphicData>
            </a:graphic>
          </wp:inline>
        </w:drawing>
      </w:r>
    </w:p>
    <w:p w14:paraId="6C9CFC6C" w14:textId="1A1121E1" w:rsidR="001A755D" w:rsidRPr="00203EB0" w:rsidRDefault="001A755D" w:rsidP="00001ABC">
      <w:pPr>
        <w:pStyle w:val="Caption"/>
        <w:rPr>
          <w:b/>
          <w:bCs/>
          <w:color w:val="1F1F1F"/>
        </w:rPr>
      </w:pPr>
      <w:bookmarkStart w:id="132" w:name="_Toc206669283"/>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6</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3</w:t>
      </w:r>
      <w:r w:rsidR="00BD46F8" w:rsidRPr="00203EB0">
        <w:rPr>
          <w:b/>
          <w:bCs/>
        </w:rPr>
        <w:fldChar w:fldCharType="end"/>
      </w:r>
      <w:r w:rsidRPr="00203EB0">
        <w:rPr>
          <w:b/>
          <w:bCs/>
        </w:rPr>
        <w:t>:</w:t>
      </w:r>
      <w:r w:rsidRPr="00203EB0">
        <w:t xml:space="preserve"> Observed and predicted nitrous oxide (N</w:t>
      </w:r>
      <w:r w:rsidRPr="00203EB0">
        <w:rPr>
          <w:vertAlign w:val="subscript"/>
        </w:rPr>
        <w:t>2</w:t>
      </w:r>
      <w:r w:rsidRPr="00203EB0">
        <w:t xml:space="preserve">O) fluxes with Base and Class-Swap models across treatments over the 2022 independent validation period. Dashed T-lines represent standard deviation </w:t>
      </w:r>
      <w:r w:rsidRPr="00203EB0">
        <w:rPr>
          <w:color w:val="1F1F1F"/>
        </w:rPr>
        <w:t>(± SD). Vertical black dashed lines indicate transitions between treatments, and black arrows indicate the timing of nitrogen fertilization in fertilized treatments.</w:t>
      </w:r>
      <w:bookmarkEnd w:id="132"/>
    </w:p>
    <w:p w14:paraId="71592B5D" w14:textId="77777777" w:rsidR="001A755D" w:rsidRPr="00203EB0" w:rsidRDefault="001A755D" w:rsidP="001A755D">
      <w:pPr>
        <w:sectPr w:rsidR="001A755D" w:rsidRPr="00203EB0" w:rsidSect="003C3A05">
          <w:pgSz w:w="15840" w:h="12240" w:orient="landscape" w:code="1"/>
          <w:pgMar w:top="1800" w:right="1440" w:bottom="1800" w:left="1872" w:header="720" w:footer="1440" w:gutter="0"/>
          <w:pgNumType w:start="141"/>
          <w:cols w:space="720"/>
          <w:noEndnote/>
          <w:docGrid w:linePitch="360"/>
        </w:sectPr>
      </w:pPr>
    </w:p>
    <w:p w14:paraId="659CF5BB" w14:textId="77777777" w:rsidR="001A755D" w:rsidRPr="00203EB0" w:rsidRDefault="001A755D" w:rsidP="001A755D"/>
    <w:p w14:paraId="780964FF" w14:textId="298E5D73" w:rsidR="005751D4" w:rsidRPr="00203EB0" w:rsidRDefault="001A755D" w:rsidP="001A75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cs="Times New Roman"/>
        </w:rPr>
      </w:pPr>
      <w:r w:rsidRPr="00203EB0">
        <w:rPr>
          <w:rFonts w:cs="Times New Roman"/>
          <w:noProof/>
        </w:rPr>
        <w:drawing>
          <wp:inline distT="0" distB="0" distL="0" distR="0" wp14:anchorId="55A3C66A" wp14:editId="7B2FB43D">
            <wp:extent cx="6149340" cy="4392115"/>
            <wp:effectExtent l="0" t="0" r="3810" b="8890"/>
            <wp:docPr id="1135758073" name="Imagen 1135758073" descr="C:\Users\Facundo Lussich\Desktop\Research project\Random Forest\Manuscript\Script for Submission-After reviewers\Figures for paper HIGH Quality\Indep_BaseOver_vs_ClassSwapOver with arro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cundo Lussich\Desktop\Research project\Random Forest\Manuscript\Script for Submission-After reviewers\Figures for paper HIGH Quality\Indep_BaseOver_vs_ClassSwapOver with arrows.jpg"/>
                    <pic:cNvPicPr>
                      <a:picLocks noChangeAspect="1" noChangeArrowheads="1"/>
                    </pic:cNvPicPr>
                  </pic:nvPicPr>
                  <pic:blipFill>
                    <a:blip r:embed="rId42" cstate="hqprint">
                      <a:extLst>
                        <a:ext uri="{28A0092B-C50C-407E-A947-70E740481C1C}">
                          <a14:useLocalDpi xmlns:a14="http://schemas.microsoft.com/office/drawing/2010/main" val="0"/>
                        </a:ext>
                      </a:extLst>
                    </a:blip>
                    <a:srcRect/>
                    <a:stretch>
                      <a:fillRect/>
                    </a:stretch>
                  </pic:blipFill>
                  <pic:spPr bwMode="auto">
                    <a:xfrm>
                      <a:off x="0" y="0"/>
                      <a:ext cx="6218360" cy="4441412"/>
                    </a:xfrm>
                    <a:prstGeom prst="rect">
                      <a:avLst/>
                    </a:prstGeom>
                    <a:noFill/>
                    <a:ln>
                      <a:noFill/>
                    </a:ln>
                  </pic:spPr>
                </pic:pic>
              </a:graphicData>
            </a:graphic>
          </wp:inline>
        </w:drawing>
      </w:r>
    </w:p>
    <w:p w14:paraId="2767F7E3" w14:textId="1F585878" w:rsidR="001A755D" w:rsidRPr="00203EB0" w:rsidRDefault="001A755D" w:rsidP="00001ABC">
      <w:pPr>
        <w:pStyle w:val="Caption"/>
        <w:rPr>
          <w:b/>
          <w:bCs/>
          <w:color w:val="1F1F1F"/>
        </w:rPr>
      </w:pPr>
      <w:bookmarkStart w:id="133" w:name="_Toc206669284"/>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6</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4</w:t>
      </w:r>
      <w:r w:rsidR="00BD46F8" w:rsidRPr="00203EB0">
        <w:rPr>
          <w:b/>
          <w:bCs/>
        </w:rPr>
        <w:fldChar w:fldCharType="end"/>
      </w:r>
      <w:r w:rsidRPr="00203EB0">
        <w:rPr>
          <w:b/>
          <w:bCs/>
        </w:rPr>
        <w:t>:</w:t>
      </w:r>
      <w:r w:rsidRPr="00203EB0">
        <w:t xml:space="preserve"> Observed and predicted nitrous oxide (N</w:t>
      </w:r>
      <w:r w:rsidRPr="00203EB0">
        <w:rPr>
          <w:vertAlign w:val="subscript"/>
        </w:rPr>
        <w:t>2</w:t>
      </w:r>
      <w:r w:rsidRPr="00203EB0">
        <w:t xml:space="preserve">O) fluxes with Base-Over and Class-Swap-Over models across treatments over the 2022 independent validation period. Dashed T-lines represent standard deviation </w:t>
      </w:r>
      <w:r w:rsidRPr="00203EB0">
        <w:rPr>
          <w:color w:val="1F1F1F"/>
        </w:rPr>
        <w:t>(± SD). Vertical black dashed lines indicate transitions between treatments, and black arrows indicate the timing of nitrogen fertilization in fertilized treatments.</w:t>
      </w:r>
      <w:bookmarkEnd w:id="133"/>
    </w:p>
    <w:p w14:paraId="74440A82" w14:textId="77777777" w:rsidR="001A755D" w:rsidRPr="00203EB0" w:rsidRDefault="001A755D" w:rsidP="001A755D">
      <w:pPr>
        <w:sectPr w:rsidR="001A755D" w:rsidRPr="00203EB0" w:rsidSect="003C3A05">
          <w:pgSz w:w="15840" w:h="12240" w:orient="landscape" w:code="1"/>
          <w:pgMar w:top="1800" w:right="1440" w:bottom="1800" w:left="1872" w:header="720" w:footer="1440" w:gutter="0"/>
          <w:pgNumType w:start="142"/>
          <w:cols w:space="720"/>
          <w:noEndnote/>
          <w:docGrid w:linePitch="360"/>
        </w:sectPr>
      </w:pPr>
    </w:p>
    <w:p w14:paraId="10E0932A" w14:textId="77777777" w:rsidR="001A755D" w:rsidRPr="00203EB0" w:rsidRDefault="001A755D" w:rsidP="001A755D"/>
    <w:p w14:paraId="004F646D" w14:textId="66A1EFBB" w:rsidR="001A755D" w:rsidRPr="00203EB0" w:rsidRDefault="001A755D" w:rsidP="001A755D">
      <w:pPr>
        <w:jc w:val="center"/>
      </w:pPr>
      <w:r w:rsidRPr="00203EB0">
        <w:rPr>
          <w:rFonts w:cs="Times New Roman"/>
          <w:noProof/>
        </w:rPr>
        <w:drawing>
          <wp:inline distT="0" distB="0" distL="0" distR="0" wp14:anchorId="6D76B505" wp14:editId="516BF991">
            <wp:extent cx="7940040" cy="4168246"/>
            <wp:effectExtent l="0" t="0" r="3810" b="3810"/>
            <wp:docPr id="1499332671" name="Imagen 1499332671" descr="C:\Users\Facundo Lussich\Desktop\Research project\Random Forest\Manuscript\Script for Submission-After reviewers\Figures for paper HIGH Quality\Indep_Base_vs_Class_Swap_Scatt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cundo Lussich\Desktop\Research project\Random Forest\Manuscript\Script for Submission-After reviewers\Figures for paper HIGH Quality\Indep_Base_vs_Class_Swap_Scatter (2).jpg"/>
                    <pic:cNvPicPr>
                      <a:picLocks noChangeAspect="1" noChangeArrowheads="1"/>
                    </pic:cNvPicPr>
                  </pic:nvPicPr>
                  <pic:blipFill>
                    <a:blip r:embed="rId43" cstate="hqprint">
                      <a:extLst>
                        <a:ext uri="{28A0092B-C50C-407E-A947-70E740481C1C}">
                          <a14:useLocalDpi xmlns:a14="http://schemas.microsoft.com/office/drawing/2010/main" val="0"/>
                        </a:ext>
                      </a:extLst>
                    </a:blip>
                    <a:srcRect/>
                    <a:stretch>
                      <a:fillRect/>
                    </a:stretch>
                  </pic:blipFill>
                  <pic:spPr bwMode="auto">
                    <a:xfrm>
                      <a:off x="0" y="0"/>
                      <a:ext cx="8031222" cy="4216113"/>
                    </a:xfrm>
                    <a:prstGeom prst="rect">
                      <a:avLst/>
                    </a:prstGeom>
                    <a:noFill/>
                    <a:ln>
                      <a:noFill/>
                    </a:ln>
                  </pic:spPr>
                </pic:pic>
              </a:graphicData>
            </a:graphic>
          </wp:inline>
        </w:drawing>
      </w:r>
    </w:p>
    <w:p w14:paraId="5511BD82" w14:textId="04C87E12" w:rsidR="001A755D" w:rsidRPr="00203EB0" w:rsidRDefault="001A755D" w:rsidP="00001ABC">
      <w:pPr>
        <w:pStyle w:val="Caption"/>
      </w:pPr>
      <w:bookmarkStart w:id="134" w:name="_Toc206669285"/>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6</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5</w:t>
      </w:r>
      <w:r w:rsidR="00BD46F8" w:rsidRPr="00203EB0">
        <w:rPr>
          <w:b/>
          <w:bCs/>
        </w:rPr>
        <w:fldChar w:fldCharType="end"/>
      </w:r>
      <w:r w:rsidRPr="00203EB0">
        <w:rPr>
          <w:b/>
          <w:bCs/>
        </w:rPr>
        <w:t>:</w:t>
      </w:r>
      <w:r w:rsidRPr="00203EB0">
        <w:t xml:space="preserve"> Observed versus predicted nitrous oxide (N</w:t>
      </w:r>
      <w:r w:rsidRPr="00203EB0">
        <w:rPr>
          <w:vertAlign w:val="subscript"/>
        </w:rPr>
        <w:t>2</w:t>
      </w:r>
      <w:r w:rsidRPr="00203EB0">
        <w:t>O) fluxes by the Base and Class-Swap models across treatments for the 2022 independent dataset. The dashed black line denotes the 1:1 reference line, indicating perfect prediction accuracy. r</w:t>
      </w:r>
      <w:r w:rsidRPr="00203EB0">
        <w:rPr>
          <w:vertAlign w:val="superscript"/>
        </w:rPr>
        <w:t>2</w:t>
      </w:r>
      <w:r w:rsidRPr="00203EB0">
        <w:t>: coefficient of determination (square of the Pearson correlation coefficient).</w:t>
      </w:r>
      <w:bookmarkEnd w:id="134"/>
    </w:p>
    <w:p w14:paraId="0BD29A79" w14:textId="77777777" w:rsidR="001A755D" w:rsidRPr="00203EB0" w:rsidRDefault="001A755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sectPr w:rsidR="001A755D" w:rsidRPr="00203EB0" w:rsidSect="003C3A05">
          <w:pgSz w:w="15840" w:h="12240" w:orient="landscape" w:code="1"/>
          <w:pgMar w:top="1800" w:right="1440" w:bottom="1800" w:left="1872" w:header="720" w:footer="1440" w:gutter="0"/>
          <w:pgNumType w:start="143"/>
          <w:cols w:space="720"/>
          <w:noEndnote/>
          <w:docGrid w:linePitch="360"/>
        </w:sectPr>
      </w:pPr>
    </w:p>
    <w:p w14:paraId="5DE2EFC0" w14:textId="77777777" w:rsidR="005751D4" w:rsidRPr="00203EB0" w:rsidRDefault="005751D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3A1AF56A" w14:textId="172DA26E" w:rsidR="005751D4" w:rsidRPr="00203EB0" w:rsidRDefault="001A755D" w:rsidP="001A75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cs="Times New Roman"/>
        </w:rPr>
      </w:pPr>
      <w:r w:rsidRPr="00203EB0">
        <w:rPr>
          <w:rFonts w:cs="Times New Roman"/>
          <w:noProof/>
        </w:rPr>
        <w:drawing>
          <wp:inline distT="0" distB="0" distL="0" distR="0" wp14:anchorId="4CBD0863" wp14:editId="5253FD78">
            <wp:extent cx="8023860" cy="4212248"/>
            <wp:effectExtent l="0" t="0" r="0" b="0"/>
            <wp:docPr id="1304713666" name="Imagen 1304713666" descr="C:\Users\Facundo Lussich\Desktop\Research project\Random Forest\Manuscript\Script for Submission-After reviewers\Figures for paper HIGH Quality\Indep_Base_Over_vs_Class_Swap_Over_Sca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cundo Lussich\Desktop\Research project\Random Forest\Manuscript\Script for Submission-After reviewers\Figures for paper HIGH Quality\Indep_Base_Over_vs_Class_Swap_Over_Scatter.jpg"/>
                    <pic:cNvPicPr>
                      <a:picLocks noChangeAspect="1" noChangeArrowheads="1"/>
                    </pic:cNvPicPr>
                  </pic:nvPicPr>
                  <pic:blipFill>
                    <a:blip r:embed="rId44" cstate="hqprint">
                      <a:extLst>
                        <a:ext uri="{28A0092B-C50C-407E-A947-70E740481C1C}">
                          <a14:useLocalDpi xmlns:a14="http://schemas.microsoft.com/office/drawing/2010/main" val="0"/>
                        </a:ext>
                      </a:extLst>
                    </a:blip>
                    <a:srcRect/>
                    <a:stretch>
                      <a:fillRect/>
                    </a:stretch>
                  </pic:blipFill>
                  <pic:spPr bwMode="auto">
                    <a:xfrm>
                      <a:off x="0" y="0"/>
                      <a:ext cx="8069110" cy="4236003"/>
                    </a:xfrm>
                    <a:prstGeom prst="rect">
                      <a:avLst/>
                    </a:prstGeom>
                    <a:noFill/>
                    <a:ln>
                      <a:noFill/>
                    </a:ln>
                  </pic:spPr>
                </pic:pic>
              </a:graphicData>
            </a:graphic>
          </wp:inline>
        </w:drawing>
      </w:r>
    </w:p>
    <w:p w14:paraId="634D1560" w14:textId="02319C02" w:rsidR="001A755D" w:rsidRPr="00203EB0" w:rsidRDefault="001A755D" w:rsidP="00001ABC">
      <w:pPr>
        <w:pStyle w:val="Caption"/>
        <w:sectPr w:rsidR="001A755D" w:rsidRPr="00203EB0" w:rsidSect="003C3A05">
          <w:pgSz w:w="15840" w:h="12240" w:orient="landscape" w:code="1"/>
          <w:pgMar w:top="1800" w:right="1440" w:bottom="1800" w:left="1872" w:header="720" w:footer="1440" w:gutter="0"/>
          <w:pgNumType w:start="144"/>
          <w:cols w:space="720"/>
          <w:noEndnote/>
          <w:docGrid w:linePitch="360"/>
        </w:sectPr>
      </w:pPr>
      <w:bookmarkStart w:id="135" w:name="_Toc206669286"/>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6</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6</w:t>
      </w:r>
      <w:r w:rsidR="00BD46F8" w:rsidRPr="00203EB0">
        <w:rPr>
          <w:b/>
          <w:bCs/>
        </w:rPr>
        <w:fldChar w:fldCharType="end"/>
      </w:r>
      <w:r w:rsidRPr="00203EB0">
        <w:rPr>
          <w:b/>
          <w:bCs/>
        </w:rPr>
        <w:t>:</w:t>
      </w:r>
      <w:r w:rsidRPr="00203EB0">
        <w:t xml:space="preserve"> Observed versus predicted nitrous oxide (N</w:t>
      </w:r>
      <w:r w:rsidRPr="00203EB0">
        <w:rPr>
          <w:vertAlign w:val="subscript"/>
        </w:rPr>
        <w:t>2</w:t>
      </w:r>
      <w:r w:rsidRPr="00203EB0">
        <w:t>O) fluxes by the Base Over and Class-Swap Over models across treatments for the 2022 independent dataset. The dashed black line denotes the 1:1 reference line, indicating perfect prediction accuracy. r</w:t>
      </w:r>
      <w:r w:rsidRPr="00203EB0">
        <w:rPr>
          <w:vertAlign w:val="superscript"/>
        </w:rPr>
        <w:t>2</w:t>
      </w:r>
      <w:r w:rsidRPr="00203EB0">
        <w:t>: coefficient of determination (square of the Pearson correlation coefficient).</w:t>
      </w:r>
      <w:bookmarkEnd w:id="135"/>
    </w:p>
    <w:p w14:paraId="09F3ABB5" w14:textId="77777777" w:rsidR="005751D4" w:rsidRPr="00203EB0" w:rsidRDefault="005751D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2A0B4EA7" w14:textId="1EA6629F" w:rsidR="005751D4" w:rsidRPr="00203EB0" w:rsidRDefault="002D1346"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r w:rsidRPr="00203EB0">
        <w:rPr>
          <w:rFonts w:cs="Times New Roman"/>
          <w:noProof/>
        </w:rPr>
        <w:drawing>
          <wp:inline distT="0" distB="0" distL="0" distR="0" wp14:anchorId="702220DD" wp14:editId="1EEBACE1">
            <wp:extent cx="4953000" cy="2775068"/>
            <wp:effectExtent l="0" t="0" r="0" b="6350"/>
            <wp:docPr id="1005104468" name="Imagen 1005104468" descr="C:\Users\Facundo Lussich\Desktop\Research project\Random Forest\Manuscript\Script for Submission-After reviewers\Figures for paper HIGH Quality\Train data distrib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cundo Lussich\Desktop\Research project\Random Forest\Manuscript\Script for Submission-After reviewers\Figures for paper HIGH Quality\Train data distribution.jpg"/>
                    <pic:cNvPicPr>
                      <a:picLocks noChangeAspect="1" noChangeArrowheads="1"/>
                    </pic:cNvPicPr>
                  </pic:nvPicPr>
                  <pic:blipFill>
                    <a:blip r:embed="rId45" cstate="hqprint">
                      <a:extLst>
                        <a:ext uri="{28A0092B-C50C-407E-A947-70E740481C1C}">
                          <a14:useLocalDpi xmlns:a14="http://schemas.microsoft.com/office/drawing/2010/main" val="0"/>
                        </a:ext>
                      </a:extLst>
                    </a:blip>
                    <a:srcRect/>
                    <a:stretch>
                      <a:fillRect/>
                    </a:stretch>
                  </pic:blipFill>
                  <pic:spPr bwMode="auto">
                    <a:xfrm>
                      <a:off x="0" y="0"/>
                      <a:ext cx="4982417" cy="2791550"/>
                    </a:xfrm>
                    <a:prstGeom prst="rect">
                      <a:avLst/>
                    </a:prstGeom>
                    <a:noFill/>
                    <a:ln>
                      <a:noFill/>
                    </a:ln>
                  </pic:spPr>
                </pic:pic>
              </a:graphicData>
            </a:graphic>
          </wp:inline>
        </w:drawing>
      </w:r>
    </w:p>
    <w:p w14:paraId="4DFAD973" w14:textId="187D291F" w:rsidR="002D1346" w:rsidRPr="00203EB0" w:rsidRDefault="002D1346" w:rsidP="002D1346">
      <w:pPr>
        <w:tabs>
          <w:tab w:val="left" w:pos="1464"/>
        </w:tabs>
        <w:rPr>
          <w:rFonts w:cs="Times New Roman"/>
        </w:rPr>
      </w:pPr>
      <w:bookmarkStart w:id="136" w:name="_Toc206669287"/>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6</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7</w:t>
      </w:r>
      <w:r w:rsidR="00BD46F8" w:rsidRPr="00203EB0">
        <w:rPr>
          <w:b/>
          <w:bCs/>
        </w:rPr>
        <w:fldChar w:fldCharType="end"/>
      </w:r>
      <w:r w:rsidRPr="00203EB0">
        <w:rPr>
          <w:b/>
          <w:bCs/>
        </w:rPr>
        <w:t>:</w:t>
      </w:r>
      <w:r w:rsidRPr="00203EB0">
        <w:t xml:space="preserve"> </w:t>
      </w:r>
      <w:r w:rsidRPr="00203EB0">
        <w:rPr>
          <w:rFonts w:cs="Times New Roman"/>
        </w:rPr>
        <w:t>Violin plot comparing observed and predicted nitrous oxide (N</w:t>
      </w:r>
      <w:r w:rsidRPr="00203EB0">
        <w:rPr>
          <w:rFonts w:cs="Times New Roman"/>
          <w:vertAlign w:val="subscript"/>
        </w:rPr>
        <w:t>2</w:t>
      </w:r>
      <w:r w:rsidRPr="00203EB0">
        <w:rPr>
          <w:rFonts w:cs="Times New Roman"/>
        </w:rPr>
        <w:t>O) fluxes from the Base, Base-Over, Class-Swap, and Class-Swap-Over models, based on the 2023 training dataset.</w:t>
      </w:r>
      <w:bookmarkEnd w:id="136"/>
      <w:r w:rsidRPr="00203EB0">
        <w:rPr>
          <w:rFonts w:cs="Times New Roman"/>
        </w:rPr>
        <w:t xml:space="preserve"> </w:t>
      </w:r>
    </w:p>
    <w:p w14:paraId="50E9B706" w14:textId="77777777" w:rsidR="002D1346" w:rsidRPr="00203EB0" w:rsidRDefault="002D1346" w:rsidP="002D1346">
      <w:pPr>
        <w:tabs>
          <w:tab w:val="left" w:pos="1464"/>
        </w:tabs>
        <w:rPr>
          <w:rFonts w:cs="Times New Roman"/>
        </w:rPr>
      </w:pPr>
    </w:p>
    <w:p w14:paraId="23D85391" w14:textId="03B06CBF" w:rsidR="005751D4" w:rsidRPr="00203EB0" w:rsidRDefault="002D1346"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r w:rsidRPr="00203EB0">
        <w:rPr>
          <w:rFonts w:cs="Times New Roman"/>
          <w:noProof/>
        </w:rPr>
        <w:drawing>
          <wp:inline distT="0" distB="0" distL="0" distR="0" wp14:anchorId="2248947C" wp14:editId="3ADBD79E">
            <wp:extent cx="4968240" cy="2783488"/>
            <wp:effectExtent l="0" t="0" r="3810" b="0"/>
            <wp:docPr id="835710828" name="Imagen 835710828" descr="C:\Users\Facundo Lussich\Desktop\Research project\Random Forest\Manuscript\Script for Submission-After reviewers\Figures for paper HIGH Quality\Indep_data_Distrib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cundo Lussich\Desktop\Research project\Random Forest\Manuscript\Script for Submission-After reviewers\Figures for paper HIGH Quality\Indep_data_Distribution.jpg"/>
                    <pic:cNvPicPr>
                      <a:picLocks noChangeAspect="1" noChangeArrowheads="1"/>
                    </pic:cNvPicPr>
                  </pic:nvPicPr>
                  <pic:blipFill>
                    <a:blip r:embed="rId46" cstate="hqprint">
                      <a:extLst>
                        <a:ext uri="{28A0092B-C50C-407E-A947-70E740481C1C}">
                          <a14:useLocalDpi xmlns:a14="http://schemas.microsoft.com/office/drawing/2010/main" val="0"/>
                        </a:ext>
                      </a:extLst>
                    </a:blip>
                    <a:srcRect/>
                    <a:stretch>
                      <a:fillRect/>
                    </a:stretch>
                  </pic:blipFill>
                  <pic:spPr bwMode="auto">
                    <a:xfrm>
                      <a:off x="0" y="0"/>
                      <a:ext cx="5027535" cy="2816708"/>
                    </a:xfrm>
                    <a:prstGeom prst="rect">
                      <a:avLst/>
                    </a:prstGeom>
                    <a:noFill/>
                    <a:ln>
                      <a:noFill/>
                    </a:ln>
                  </pic:spPr>
                </pic:pic>
              </a:graphicData>
            </a:graphic>
          </wp:inline>
        </w:drawing>
      </w:r>
    </w:p>
    <w:p w14:paraId="6929387C" w14:textId="3E0196F6" w:rsidR="002D1346" w:rsidRPr="00203EB0" w:rsidRDefault="002D1346" w:rsidP="00001ABC">
      <w:pPr>
        <w:pStyle w:val="Caption"/>
      </w:pPr>
      <w:bookmarkStart w:id="137" w:name="_Toc206669288"/>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6</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8</w:t>
      </w:r>
      <w:r w:rsidR="00BD46F8" w:rsidRPr="00203EB0">
        <w:rPr>
          <w:b/>
          <w:bCs/>
        </w:rPr>
        <w:fldChar w:fldCharType="end"/>
      </w:r>
      <w:r w:rsidRPr="00203EB0">
        <w:rPr>
          <w:b/>
          <w:bCs/>
        </w:rPr>
        <w:t>:</w:t>
      </w:r>
      <w:r w:rsidRPr="00203EB0">
        <w:t xml:space="preserve"> Violin plot comparing observed and predicted nitrous oxide (N</w:t>
      </w:r>
      <w:r w:rsidRPr="00203EB0">
        <w:rPr>
          <w:vertAlign w:val="subscript"/>
        </w:rPr>
        <w:t>2</w:t>
      </w:r>
      <w:r w:rsidRPr="00203EB0">
        <w:t>O) fluxes from the Base, Base-Over, Class-Swap, and Class-Swap-Over models, based on the 2022 independent validation dataset.</w:t>
      </w:r>
      <w:bookmarkEnd w:id="137"/>
      <w:r w:rsidRPr="00203EB0">
        <w:t xml:space="preserve">  </w:t>
      </w:r>
    </w:p>
    <w:p w14:paraId="485F60A0" w14:textId="77777777" w:rsidR="005751D4" w:rsidRPr="00203EB0" w:rsidRDefault="005751D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3975D9D1" w14:textId="1EDE4B5F" w:rsidR="0055113B" w:rsidRPr="00203EB0" w:rsidRDefault="0055113B" w:rsidP="0055113B">
      <w:pPr>
        <w:tabs>
          <w:tab w:val="left" w:pos="8148"/>
        </w:tabs>
        <w:rPr>
          <w:rFonts w:cs="Times New Roman"/>
        </w:rPr>
      </w:pPr>
      <w:bookmarkStart w:id="138" w:name="_Toc206669231"/>
      <w:r w:rsidRPr="00203EB0">
        <w:rPr>
          <w:b/>
          <w:bCs/>
        </w:rPr>
        <w:lastRenderedPageBreak/>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6</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3</w:t>
      </w:r>
      <w:r w:rsidR="00775F57" w:rsidRPr="00203EB0">
        <w:rPr>
          <w:b/>
          <w:bCs/>
        </w:rPr>
        <w:fldChar w:fldCharType="end"/>
      </w:r>
      <w:r w:rsidRPr="00203EB0">
        <w:rPr>
          <w:b/>
          <w:bCs/>
        </w:rPr>
        <w:t>:</w:t>
      </w:r>
      <w:r w:rsidRPr="00203EB0">
        <w:t xml:space="preserve"> </w:t>
      </w:r>
      <w:r w:rsidRPr="00203EB0">
        <w:rPr>
          <w:rFonts w:cs="Times New Roman"/>
        </w:rPr>
        <w:t>Performance metrics of all models evaluated using the 2022 independent validation dataset.</w:t>
      </w:r>
      <w:bookmarkEnd w:id="138"/>
      <w:r w:rsidRPr="00203EB0">
        <w:rPr>
          <w:rFonts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4"/>
        <w:gridCol w:w="1085"/>
        <w:gridCol w:w="1730"/>
        <w:gridCol w:w="1725"/>
        <w:gridCol w:w="1736"/>
      </w:tblGrid>
      <w:tr w:rsidR="0055113B" w:rsidRPr="00203EB0" w14:paraId="60B14628" w14:textId="77777777" w:rsidTr="00C17D6E">
        <w:tc>
          <w:tcPr>
            <w:tcW w:w="2425" w:type="dxa"/>
            <w:vMerge w:val="restart"/>
            <w:tcBorders>
              <w:top w:val="single" w:sz="4" w:space="0" w:color="auto"/>
            </w:tcBorders>
            <w:vAlign w:val="center"/>
          </w:tcPr>
          <w:p w14:paraId="219B00D3" w14:textId="77777777" w:rsidR="0055113B" w:rsidRPr="00203EB0" w:rsidRDefault="0055113B" w:rsidP="00C17D6E">
            <w:pPr>
              <w:tabs>
                <w:tab w:val="left" w:pos="8148"/>
              </w:tabs>
              <w:jc w:val="center"/>
              <w:rPr>
                <w:rFonts w:cs="Times New Roman"/>
                <w:b/>
              </w:rPr>
            </w:pPr>
            <w:r w:rsidRPr="00203EB0">
              <w:rPr>
                <w:rFonts w:cs="Times New Roman"/>
                <w:b/>
              </w:rPr>
              <w:t>Models</w:t>
            </w:r>
          </w:p>
        </w:tc>
        <w:tc>
          <w:tcPr>
            <w:tcW w:w="6403" w:type="dxa"/>
            <w:gridSpan w:val="4"/>
            <w:tcBorders>
              <w:top w:val="single" w:sz="4" w:space="0" w:color="auto"/>
              <w:bottom w:val="single" w:sz="4" w:space="0" w:color="auto"/>
            </w:tcBorders>
            <w:vAlign w:val="center"/>
          </w:tcPr>
          <w:p w14:paraId="527B5679" w14:textId="77777777" w:rsidR="0055113B" w:rsidRPr="00203EB0" w:rsidRDefault="0055113B" w:rsidP="00C17D6E">
            <w:pPr>
              <w:tabs>
                <w:tab w:val="left" w:pos="8148"/>
              </w:tabs>
              <w:jc w:val="center"/>
              <w:rPr>
                <w:rFonts w:cs="Times New Roman"/>
                <w:b/>
              </w:rPr>
            </w:pPr>
            <w:r w:rsidRPr="00203EB0">
              <w:rPr>
                <w:rFonts w:cs="Times New Roman"/>
                <w:b/>
              </w:rPr>
              <w:t>Independent dataset 2022</w:t>
            </w:r>
          </w:p>
        </w:tc>
      </w:tr>
      <w:tr w:rsidR="0055113B" w:rsidRPr="00203EB0" w14:paraId="07735DA9" w14:textId="77777777" w:rsidTr="00C17D6E">
        <w:tc>
          <w:tcPr>
            <w:tcW w:w="2425" w:type="dxa"/>
            <w:vMerge/>
          </w:tcPr>
          <w:p w14:paraId="0BDD6372" w14:textId="77777777" w:rsidR="0055113B" w:rsidRPr="00203EB0" w:rsidRDefault="0055113B" w:rsidP="00C17D6E">
            <w:pPr>
              <w:tabs>
                <w:tab w:val="left" w:pos="8148"/>
              </w:tabs>
              <w:rPr>
                <w:rFonts w:cs="Times New Roman"/>
              </w:rPr>
            </w:pPr>
          </w:p>
        </w:tc>
        <w:tc>
          <w:tcPr>
            <w:tcW w:w="1105" w:type="dxa"/>
            <w:tcBorders>
              <w:top w:val="single" w:sz="4" w:space="0" w:color="auto"/>
            </w:tcBorders>
          </w:tcPr>
          <w:p w14:paraId="473CCA01" w14:textId="77777777" w:rsidR="0055113B" w:rsidRPr="00203EB0" w:rsidRDefault="0055113B" w:rsidP="00C17D6E">
            <w:pPr>
              <w:tabs>
                <w:tab w:val="left" w:pos="8148"/>
              </w:tabs>
              <w:jc w:val="center"/>
              <w:rPr>
                <w:rFonts w:cs="Times New Roman"/>
                <w:b/>
              </w:rPr>
            </w:pPr>
            <w:r w:rsidRPr="00203EB0">
              <w:rPr>
                <w:rFonts w:cs="Times New Roman"/>
                <w:b/>
              </w:rPr>
              <w:t>R</w:t>
            </w:r>
            <w:r w:rsidRPr="00203EB0">
              <w:rPr>
                <w:rFonts w:cs="Times New Roman"/>
                <w:b/>
                <w:vertAlign w:val="superscript"/>
              </w:rPr>
              <w:t>2</w:t>
            </w:r>
          </w:p>
        </w:tc>
        <w:tc>
          <w:tcPr>
            <w:tcW w:w="1766" w:type="dxa"/>
            <w:tcBorders>
              <w:top w:val="single" w:sz="4" w:space="0" w:color="auto"/>
            </w:tcBorders>
          </w:tcPr>
          <w:p w14:paraId="021E6E0C" w14:textId="77777777" w:rsidR="0055113B" w:rsidRPr="00203EB0" w:rsidRDefault="0055113B" w:rsidP="00C17D6E">
            <w:pPr>
              <w:tabs>
                <w:tab w:val="left" w:pos="8148"/>
              </w:tabs>
              <w:jc w:val="center"/>
              <w:rPr>
                <w:rFonts w:cs="Times New Roman"/>
                <w:b/>
              </w:rPr>
            </w:pPr>
            <w:r w:rsidRPr="00203EB0">
              <w:rPr>
                <w:rFonts w:cs="Times New Roman"/>
                <w:b/>
              </w:rPr>
              <w:t xml:space="preserve">RMSE </w:t>
            </w:r>
          </w:p>
        </w:tc>
        <w:tc>
          <w:tcPr>
            <w:tcW w:w="1766" w:type="dxa"/>
            <w:tcBorders>
              <w:top w:val="single" w:sz="4" w:space="0" w:color="auto"/>
            </w:tcBorders>
          </w:tcPr>
          <w:p w14:paraId="64706221" w14:textId="77777777" w:rsidR="0055113B" w:rsidRPr="00203EB0" w:rsidRDefault="0055113B" w:rsidP="00C17D6E">
            <w:pPr>
              <w:tabs>
                <w:tab w:val="left" w:pos="8148"/>
              </w:tabs>
              <w:jc w:val="center"/>
              <w:rPr>
                <w:rFonts w:cs="Times New Roman"/>
                <w:b/>
              </w:rPr>
            </w:pPr>
            <w:r w:rsidRPr="00203EB0">
              <w:rPr>
                <w:rFonts w:cs="Times New Roman"/>
                <w:b/>
              </w:rPr>
              <w:t xml:space="preserve">MAE </w:t>
            </w:r>
          </w:p>
        </w:tc>
        <w:tc>
          <w:tcPr>
            <w:tcW w:w="1766" w:type="dxa"/>
            <w:tcBorders>
              <w:top w:val="single" w:sz="4" w:space="0" w:color="auto"/>
            </w:tcBorders>
          </w:tcPr>
          <w:p w14:paraId="4671666E" w14:textId="77777777" w:rsidR="0055113B" w:rsidRPr="00203EB0" w:rsidRDefault="0055113B" w:rsidP="00C17D6E">
            <w:pPr>
              <w:tabs>
                <w:tab w:val="left" w:pos="8148"/>
              </w:tabs>
              <w:jc w:val="center"/>
              <w:rPr>
                <w:rFonts w:cs="Times New Roman"/>
                <w:b/>
              </w:rPr>
            </w:pPr>
            <w:r w:rsidRPr="00203EB0">
              <w:rPr>
                <w:rFonts w:cs="Times New Roman"/>
                <w:b/>
              </w:rPr>
              <w:t xml:space="preserve">SMAPE </w:t>
            </w:r>
          </w:p>
        </w:tc>
      </w:tr>
      <w:tr w:rsidR="0055113B" w:rsidRPr="00203EB0" w14:paraId="735BDA8A" w14:textId="77777777" w:rsidTr="00C17D6E">
        <w:tc>
          <w:tcPr>
            <w:tcW w:w="2425" w:type="dxa"/>
            <w:vMerge/>
          </w:tcPr>
          <w:p w14:paraId="6FDCCBBF" w14:textId="77777777" w:rsidR="0055113B" w:rsidRPr="00203EB0" w:rsidRDefault="0055113B" w:rsidP="00C17D6E">
            <w:pPr>
              <w:tabs>
                <w:tab w:val="left" w:pos="8148"/>
              </w:tabs>
              <w:rPr>
                <w:rFonts w:cs="Times New Roman"/>
              </w:rPr>
            </w:pPr>
          </w:p>
        </w:tc>
        <w:tc>
          <w:tcPr>
            <w:tcW w:w="1105" w:type="dxa"/>
            <w:vAlign w:val="center"/>
          </w:tcPr>
          <w:p w14:paraId="048156CD" w14:textId="77777777" w:rsidR="0055113B" w:rsidRPr="00203EB0" w:rsidRDefault="0055113B" w:rsidP="00C17D6E">
            <w:pPr>
              <w:tabs>
                <w:tab w:val="left" w:pos="8148"/>
              </w:tabs>
              <w:jc w:val="center"/>
              <w:rPr>
                <w:rFonts w:cs="Times New Roman"/>
              </w:rPr>
            </w:pPr>
          </w:p>
        </w:tc>
        <w:tc>
          <w:tcPr>
            <w:tcW w:w="1766" w:type="dxa"/>
            <w:vAlign w:val="center"/>
          </w:tcPr>
          <w:p w14:paraId="70EBA60D" w14:textId="77777777" w:rsidR="0055113B" w:rsidRPr="00203EB0" w:rsidRDefault="0055113B" w:rsidP="00C17D6E">
            <w:pPr>
              <w:tabs>
                <w:tab w:val="left" w:pos="8148"/>
              </w:tabs>
              <w:jc w:val="center"/>
              <w:rPr>
                <w:rFonts w:cs="Times New Roman"/>
                <w:b/>
                <w:sz w:val="20"/>
                <w:szCs w:val="20"/>
              </w:rPr>
            </w:pPr>
            <w:r w:rsidRPr="00203EB0">
              <w:rPr>
                <w:rFonts w:cs="Times New Roman"/>
                <w:b/>
                <w:sz w:val="20"/>
                <w:szCs w:val="20"/>
              </w:rPr>
              <w:t>(g N</w:t>
            </w:r>
            <w:r w:rsidRPr="00203EB0">
              <w:rPr>
                <w:rFonts w:cs="Times New Roman"/>
                <w:b/>
                <w:sz w:val="20"/>
                <w:szCs w:val="20"/>
                <w:vertAlign w:val="subscript"/>
              </w:rPr>
              <w:t>2</w:t>
            </w:r>
            <w:r w:rsidRPr="00203EB0">
              <w:rPr>
                <w:rFonts w:cs="Times New Roman"/>
                <w:b/>
                <w:sz w:val="20"/>
                <w:szCs w:val="20"/>
              </w:rPr>
              <w:t>O-N ha</w:t>
            </w:r>
            <w:r w:rsidRPr="00203EB0">
              <w:rPr>
                <w:rFonts w:cs="Times New Roman"/>
                <w:b/>
                <w:sz w:val="20"/>
                <w:szCs w:val="20"/>
                <w:vertAlign w:val="superscript"/>
              </w:rPr>
              <w:t>-1</w:t>
            </w:r>
            <w:r w:rsidRPr="00203EB0">
              <w:rPr>
                <w:rFonts w:cs="Times New Roman"/>
                <w:b/>
                <w:sz w:val="20"/>
                <w:szCs w:val="20"/>
              </w:rPr>
              <w:t xml:space="preserve"> d</w:t>
            </w:r>
            <w:r w:rsidRPr="00203EB0">
              <w:rPr>
                <w:rFonts w:cs="Times New Roman"/>
                <w:b/>
                <w:sz w:val="20"/>
                <w:szCs w:val="20"/>
                <w:vertAlign w:val="superscript"/>
              </w:rPr>
              <w:t>-1</w:t>
            </w:r>
            <w:r w:rsidRPr="00203EB0">
              <w:rPr>
                <w:rFonts w:cs="Times New Roman"/>
                <w:b/>
                <w:sz w:val="20"/>
                <w:szCs w:val="20"/>
              </w:rPr>
              <w:t>)</w:t>
            </w:r>
          </w:p>
        </w:tc>
        <w:tc>
          <w:tcPr>
            <w:tcW w:w="1766" w:type="dxa"/>
            <w:vAlign w:val="center"/>
          </w:tcPr>
          <w:p w14:paraId="1B4E27AD" w14:textId="77777777" w:rsidR="0055113B" w:rsidRPr="00203EB0" w:rsidRDefault="0055113B" w:rsidP="00C17D6E">
            <w:pPr>
              <w:tabs>
                <w:tab w:val="left" w:pos="8148"/>
              </w:tabs>
              <w:jc w:val="center"/>
              <w:rPr>
                <w:rFonts w:cs="Times New Roman"/>
              </w:rPr>
            </w:pPr>
            <w:r w:rsidRPr="00203EB0">
              <w:rPr>
                <w:rFonts w:cs="Times New Roman"/>
                <w:b/>
                <w:sz w:val="20"/>
                <w:szCs w:val="20"/>
              </w:rPr>
              <w:t>(g N</w:t>
            </w:r>
            <w:r w:rsidRPr="00203EB0">
              <w:rPr>
                <w:rFonts w:cs="Times New Roman"/>
                <w:b/>
                <w:sz w:val="20"/>
                <w:szCs w:val="20"/>
                <w:vertAlign w:val="subscript"/>
              </w:rPr>
              <w:t>2</w:t>
            </w:r>
            <w:r w:rsidRPr="00203EB0">
              <w:rPr>
                <w:rFonts w:cs="Times New Roman"/>
                <w:b/>
                <w:sz w:val="20"/>
                <w:szCs w:val="20"/>
              </w:rPr>
              <w:t>O-N ha</w:t>
            </w:r>
            <w:r w:rsidRPr="00203EB0">
              <w:rPr>
                <w:rFonts w:cs="Times New Roman"/>
                <w:b/>
                <w:sz w:val="20"/>
                <w:szCs w:val="20"/>
                <w:vertAlign w:val="superscript"/>
              </w:rPr>
              <w:t>-1</w:t>
            </w:r>
            <w:r w:rsidRPr="00203EB0">
              <w:rPr>
                <w:rFonts w:cs="Times New Roman"/>
                <w:b/>
                <w:sz w:val="20"/>
                <w:szCs w:val="20"/>
              </w:rPr>
              <w:t xml:space="preserve"> d</w:t>
            </w:r>
            <w:r w:rsidRPr="00203EB0">
              <w:rPr>
                <w:rFonts w:cs="Times New Roman"/>
                <w:b/>
                <w:sz w:val="20"/>
                <w:szCs w:val="20"/>
                <w:vertAlign w:val="superscript"/>
              </w:rPr>
              <w:t>-1</w:t>
            </w:r>
            <w:r w:rsidRPr="00203EB0">
              <w:rPr>
                <w:rFonts w:cs="Times New Roman"/>
                <w:b/>
                <w:sz w:val="20"/>
                <w:szCs w:val="20"/>
              </w:rPr>
              <w:t>)</w:t>
            </w:r>
          </w:p>
        </w:tc>
        <w:tc>
          <w:tcPr>
            <w:tcW w:w="1766" w:type="dxa"/>
            <w:vAlign w:val="center"/>
          </w:tcPr>
          <w:p w14:paraId="2054E181" w14:textId="77777777" w:rsidR="0055113B" w:rsidRPr="00203EB0" w:rsidRDefault="0055113B" w:rsidP="00C17D6E">
            <w:pPr>
              <w:tabs>
                <w:tab w:val="left" w:pos="8148"/>
              </w:tabs>
              <w:jc w:val="center"/>
              <w:rPr>
                <w:rFonts w:cs="Times New Roman"/>
                <w:b/>
              </w:rPr>
            </w:pPr>
            <w:r w:rsidRPr="00203EB0">
              <w:rPr>
                <w:rFonts w:cs="Times New Roman"/>
                <w:b/>
              </w:rPr>
              <w:t>(%)</w:t>
            </w:r>
          </w:p>
        </w:tc>
      </w:tr>
      <w:tr w:rsidR="0055113B" w:rsidRPr="00203EB0" w14:paraId="730C2823" w14:textId="77777777" w:rsidTr="00C17D6E">
        <w:tc>
          <w:tcPr>
            <w:tcW w:w="2425" w:type="dxa"/>
            <w:tcBorders>
              <w:top w:val="single" w:sz="4" w:space="0" w:color="auto"/>
            </w:tcBorders>
          </w:tcPr>
          <w:p w14:paraId="25DBE7AE" w14:textId="77777777" w:rsidR="0055113B" w:rsidRPr="00203EB0" w:rsidRDefault="0055113B" w:rsidP="00C17D6E">
            <w:pPr>
              <w:tabs>
                <w:tab w:val="left" w:pos="8148"/>
              </w:tabs>
              <w:rPr>
                <w:rFonts w:cs="Times New Roman"/>
              </w:rPr>
            </w:pPr>
            <w:r w:rsidRPr="00203EB0">
              <w:rPr>
                <w:rFonts w:cs="Times New Roman"/>
              </w:rPr>
              <w:t>Base</w:t>
            </w:r>
          </w:p>
        </w:tc>
        <w:tc>
          <w:tcPr>
            <w:tcW w:w="1105" w:type="dxa"/>
            <w:tcBorders>
              <w:top w:val="single" w:sz="4" w:space="0" w:color="auto"/>
            </w:tcBorders>
            <w:vAlign w:val="center"/>
          </w:tcPr>
          <w:p w14:paraId="0053C852" w14:textId="77777777" w:rsidR="0055113B" w:rsidRPr="00203EB0" w:rsidRDefault="0055113B" w:rsidP="00C17D6E">
            <w:pPr>
              <w:tabs>
                <w:tab w:val="left" w:pos="8148"/>
              </w:tabs>
              <w:jc w:val="center"/>
              <w:rPr>
                <w:rFonts w:cs="Times New Roman"/>
              </w:rPr>
            </w:pPr>
            <w:r w:rsidRPr="00203EB0">
              <w:rPr>
                <w:rFonts w:cs="Times New Roman"/>
              </w:rPr>
              <w:t>0.07</w:t>
            </w:r>
          </w:p>
        </w:tc>
        <w:tc>
          <w:tcPr>
            <w:tcW w:w="1766" w:type="dxa"/>
            <w:tcBorders>
              <w:top w:val="single" w:sz="4" w:space="0" w:color="auto"/>
            </w:tcBorders>
            <w:vAlign w:val="center"/>
          </w:tcPr>
          <w:p w14:paraId="2938978E" w14:textId="77777777" w:rsidR="0055113B" w:rsidRPr="00203EB0" w:rsidRDefault="0055113B" w:rsidP="00C17D6E">
            <w:pPr>
              <w:tabs>
                <w:tab w:val="left" w:pos="8148"/>
              </w:tabs>
              <w:jc w:val="center"/>
              <w:rPr>
                <w:rFonts w:cs="Times New Roman"/>
              </w:rPr>
            </w:pPr>
            <w:r w:rsidRPr="00203EB0">
              <w:rPr>
                <w:rFonts w:cs="Times New Roman"/>
              </w:rPr>
              <w:t>11.3</w:t>
            </w:r>
          </w:p>
        </w:tc>
        <w:tc>
          <w:tcPr>
            <w:tcW w:w="1766" w:type="dxa"/>
            <w:tcBorders>
              <w:top w:val="single" w:sz="4" w:space="0" w:color="auto"/>
            </w:tcBorders>
            <w:vAlign w:val="center"/>
          </w:tcPr>
          <w:p w14:paraId="7B1AEB0A" w14:textId="77777777" w:rsidR="0055113B" w:rsidRPr="00203EB0" w:rsidRDefault="0055113B" w:rsidP="00C17D6E">
            <w:pPr>
              <w:tabs>
                <w:tab w:val="left" w:pos="8148"/>
              </w:tabs>
              <w:jc w:val="center"/>
              <w:rPr>
                <w:rFonts w:cs="Times New Roman"/>
              </w:rPr>
            </w:pPr>
            <w:r w:rsidRPr="00203EB0">
              <w:rPr>
                <w:rFonts w:cs="Times New Roman"/>
              </w:rPr>
              <w:t>4.6</w:t>
            </w:r>
          </w:p>
        </w:tc>
        <w:tc>
          <w:tcPr>
            <w:tcW w:w="1766" w:type="dxa"/>
            <w:tcBorders>
              <w:top w:val="single" w:sz="4" w:space="0" w:color="auto"/>
            </w:tcBorders>
            <w:vAlign w:val="center"/>
          </w:tcPr>
          <w:p w14:paraId="52B7DFA9" w14:textId="77777777" w:rsidR="0055113B" w:rsidRPr="00203EB0" w:rsidRDefault="0055113B" w:rsidP="00C17D6E">
            <w:pPr>
              <w:tabs>
                <w:tab w:val="left" w:pos="8148"/>
              </w:tabs>
              <w:jc w:val="center"/>
              <w:rPr>
                <w:rFonts w:cs="Times New Roman"/>
              </w:rPr>
            </w:pPr>
            <w:r w:rsidRPr="00203EB0">
              <w:rPr>
                <w:rFonts w:cs="Times New Roman"/>
              </w:rPr>
              <w:t>55.6</w:t>
            </w:r>
          </w:p>
        </w:tc>
      </w:tr>
      <w:tr w:rsidR="0055113B" w:rsidRPr="00203EB0" w14:paraId="4EE11C29" w14:textId="77777777" w:rsidTr="00C17D6E">
        <w:tc>
          <w:tcPr>
            <w:tcW w:w="2425" w:type="dxa"/>
          </w:tcPr>
          <w:p w14:paraId="346CCD70" w14:textId="77777777" w:rsidR="0055113B" w:rsidRPr="00203EB0" w:rsidRDefault="0055113B" w:rsidP="00C17D6E">
            <w:pPr>
              <w:tabs>
                <w:tab w:val="left" w:pos="8148"/>
              </w:tabs>
              <w:rPr>
                <w:rFonts w:cs="Times New Roman"/>
              </w:rPr>
            </w:pPr>
            <w:r w:rsidRPr="00203EB0">
              <w:rPr>
                <w:rFonts w:cs="Times New Roman"/>
              </w:rPr>
              <w:t>Class-Swap</w:t>
            </w:r>
          </w:p>
        </w:tc>
        <w:tc>
          <w:tcPr>
            <w:tcW w:w="1105" w:type="dxa"/>
            <w:vAlign w:val="center"/>
          </w:tcPr>
          <w:p w14:paraId="4D120BF1" w14:textId="77777777" w:rsidR="0055113B" w:rsidRPr="00203EB0" w:rsidRDefault="0055113B" w:rsidP="00C17D6E">
            <w:pPr>
              <w:tabs>
                <w:tab w:val="left" w:pos="8148"/>
              </w:tabs>
              <w:jc w:val="center"/>
              <w:rPr>
                <w:rFonts w:cs="Times New Roman"/>
              </w:rPr>
            </w:pPr>
            <w:r w:rsidRPr="00203EB0">
              <w:rPr>
                <w:rFonts w:cs="Times New Roman"/>
              </w:rPr>
              <w:t>0.31</w:t>
            </w:r>
          </w:p>
        </w:tc>
        <w:tc>
          <w:tcPr>
            <w:tcW w:w="1766" w:type="dxa"/>
            <w:vAlign w:val="center"/>
          </w:tcPr>
          <w:p w14:paraId="4860F69D" w14:textId="77777777" w:rsidR="0055113B" w:rsidRPr="00203EB0" w:rsidRDefault="0055113B" w:rsidP="00C17D6E">
            <w:pPr>
              <w:tabs>
                <w:tab w:val="left" w:pos="8148"/>
              </w:tabs>
              <w:jc w:val="center"/>
              <w:rPr>
                <w:rFonts w:cs="Times New Roman"/>
              </w:rPr>
            </w:pPr>
            <w:r w:rsidRPr="00203EB0">
              <w:rPr>
                <w:rFonts w:cs="Times New Roman"/>
              </w:rPr>
              <w:t>9.8</w:t>
            </w:r>
          </w:p>
        </w:tc>
        <w:tc>
          <w:tcPr>
            <w:tcW w:w="1766" w:type="dxa"/>
            <w:vAlign w:val="center"/>
          </w:tcPr>
          <w:p w14:paraId="4AE1CB9D" w14:textId="77777777" w:rsidR="0055113B" w:rsidRPr="00203EB0" w:rsidRDefault="0055113B" w:rsidP="00C17D6E">
            <w:pPr>
              <w:tabs>
                <w:tab w:val="left" w:pos="8148"/>
              </w:tabs>
              <w:jc w:val="center"/>
              <w:rPr>
                <w:rFonts w:cs="Times New Roman"/>
              </w:rPr>
            </w:pPr>
            <w:r w:rsidRPr="00203EB0">
              <w:rPr>
                <w:rFonts w:cs="Times New Roman"/>
              </w:rPr>
              <w:t>4.2</w:t>
            </w:r>
          </w:p>
        </w:tc>
        <w:tc>
          <w:tcPr>
            <w:tcW w:w="1766" w:type="dxa"/>
            <w:vAlign w:val="center"/>
          </w:tcPr>
          <w:p w14:paraId="534D1310" w14:textId="77777777" w:rsidR="0055113B" w:rsidRPr="00203EB0" w:rsidRDefault="0055113B" w:rsidP="00C17D6E">
            <w:pPr>
              <w:tabs>
                <w:tab w:val="left" w:pos="8148"/>
              </w:tabs>
              <w:jc w:val="center"/>
              <w:rPr>
                <w:rFonts w:cs="Times New Roman"/>
              </w:rPr>
            </w:pPr>
            <w:r w:rsidRPr="00203EB0">
              <w:rPr>
                <w:rFonts w:cs="Times New Roman"/>
              </w:rPr>
              <w:t>53.0</w:t>
            </w:r>
          </w:p>
        </w:tc>
      </w:tr>
      <w:tr w:rsidR="0055113B" w:rsidRPr="00203EB0" w14:paraId="28A168EF" w14:textId="77777777" w:rsidTr="00C17D6E">
        <w:tc>
          <w:tcPr>
            <w:tcW w:w="2425" w:type="dxa"/>
          </w:tcPr>
          <w:p w14:paraId="2D023872" w14:textId="77777777" w:rsidR="0055113B" w:rsidRPr="00203EB0" w:rsidRDefault="0055113B" w:rsidP="00C17D6E">
            <w:pPr>
              <w:tabs>
                <w:tab w:val="left" w:pos="8148"/>
              </w:tabs>
              <w:rPr>
                <w:rFonts w:cs="Times New Roman"/>
              </w:rPr>
            </w:pPr>
            <w:r w:rsidRPr="00203EB0">
              <w:rPr>
                <w:rFonts w:cs="Times New Roman"/>
              </w:rPr>
              <w:t>Base-Over</w:t>
            </w:r>
          </w:p>
        </w:tc>
        <w:tc>
          <w:tcPr>
            <w:tcW w:w="1105" w:type="dxa"/>
            <w:vAlign w:val="center"/>
          </w:tcPr>
          <w:p w14:paraId="493C484D" w14:textId="77777777" w:rsidR="0055113B" w:rsidRPr="00203EB0" w:rsidRDefault="0055113B" w:rsidP="00C17D6E">
            <w:pPr>
              <w:tabs>
                <w:tab w:val="left" w:pos="8148"/>
              </w:tabs>
              <w:jc w:val="center"/>
              <w:rPr>
                <w:rFonts w:cs="Times New Roman"/>
              </w:rPr>
            </w:pPr>
            <w:r w:rsidRPr="00203EB0">
              <w:rPr>
                <w:rFonts w:cs="Times New Roman"/>
              </w:rPr>
              <w:t>0.23</w:t>
            </w:r>
          </w:p>
        </w:tc>
        <w:tc>
          <w:tcPr>
            <w:tcW w:w="1766" w:type="dxa"/>
            <w:vAlign w:val="center"/>
          </w:tcPr>
          <w:p w14:paraId="28AE987A" w14:textId="77777777" w:rsidR="0055113B" w:rsidRPr="00203EB0" w:rsidRDefault="0055113B" w:rsidP="00C17D6E">
            <w:pPr>
              <w:tabs>
                <w:tab w:val="left" w:pos="8148"/>
              </w:tabs>
              <w:jc w:val="center"/>
              <w:rPr>
                <w:rFonts w:cs="Times New Roman"/>
              </w:rPr>
            </w:pPr>
            <w:r w:rsidRPr="00203EB0">
              <w:rPr>
                <w:rFonts w:cs="Times New Roman"/>
              </w:rPr>
              <w:t>10.3</w:t>
            </w:r>
          </w:p>
        </w:tc>
        <w:tc>
          <w:tcPr>
            <w:tcW w:w="1766" w:type="dxa"/>
            <w:vAlign w:val="center"/>
          </w:tcPr>
          <w:p w14:paraId="4D1C4661" w14:textId="77777777" w:rsidR="0055113B" w:rsidRPr="00203EB0" w:rsidRDefault="0055113B" w:rsidP="00C17D6E">
            <w:pPr>
              <w:tabs>
                <w:tab w:val="left" w:pos="8148"/>
              </w:tabs>
              <w:jc w:val="center"/>
              <w:rPr>
                <w:rFonts w:cs="Times New Roman"/>
              </w:rPr>
            </w:pPr>
            <w:r w:rsidRPr="00203EB0">
              <w:rPr>
                <w:rFonts w:cs="Times New Roman"/>
              </w:rPr>
              <w:t>5.0</w:t>
            </w:r>
          </w:p>
        </w:tc>
        <w:tc>
          <w:tcPr>
            <w:tcW w:w="1766" w:type="dxa"/>
            <w:vAlign w:val="center"/>
          </w:tcPr>
          <w:p w14:paraId="50C4CAB5" w14:textId="77777777" w:rsidR="0055113B" w:rsidRPr="00203EB0" w:rsidRDefault="0055113B" w:rsidP="00C17D6E">
            <w:pPr>
              <w:tabs>
                <w:tab w:val="left" w:pos="8148"/>
              </w:tabs>
              <w:jc w:val="center"/>
              <w:rPr>
                <w:rFonts w:cs="Times New Roman"/>
              </w:rPr>
            </w:pPr>
            <w:r w:rsidRPr="00203EB0">
              <w:rPr>
                <w:rFonts w:cs="Times New Roman"/>
              </w:rPr>
              <w:t>53.7</w:t>
            </w:r>
          </w:p>
        </w:tc>
      </w:tr>
      <w:tr w:rsidR="0055113B" w:rsidRPr="00203EB0" w14:paraId="08661596" w14:textId="77777777" w:rsidTr="00C17D6E">
        <w:tc>
          <w:tcPr>
            <w:tcW w:w="2425" w:type="dxa"/>
            <w:tcBorders>
              <w:bottom w:val="single" w:sz="4" w:space="0" w:color="auto"/>
            </w:tcBorders>
          </w:tcPr>
          <w:p w14:paraId="534350DF" w14:textId="77777777" w:rsidR="0055113B" w:rsidRPr="00203EB0" w:rsidRDefault="0055113B" w:rsidP="00C17D6E">
            <w:pPr>
              <w:tabs>
                <w:tab w:val="left" w:pos="8148"/>
              </w:tabs>
              <w:rPr>
                <w:rFonts w:cs="Times New Roman"/>
              </w:rPr>
            </w:pPr>
            <w:r w:rsidRPr="00203EB0">
              <w:rPr>
                <w:rFonts w:cs="Times New Roman"/>
              </w:rPr>
              <w:t>Class-Swap-Over</w:t>
            </w:r>
          </w:p>
        </w:tc>
        <w:tc>
          <w:tcPr>
            <w:tcW w:w="1105" w:type="dxa"/>
            <w:tcBorders>
              <w:bottom w:val="single" w:sz="4" w:space="0" w:color="auto"/>
            </w:tcBorders>
            <w:vAlign w:val="center"/>
          </w:tcPr>
          <w:p w14:paraId="58824FC1" w14:textId="77777777" w:rsidR="0055113B" w:rsidRPr="00203EB0" w:rsidRDefault="0055113B" w:rsidP="00C17D6E">
            <w:pPr>
              <w:tabs>
                <w:tab w:val="left" w:pos="8148"/>
              </w:tabs>
              <w:jc w:val="center"/>
              <w:rPr>
                <w:rFonts w:cs="Times New Roman"/>
              </w:rPr>
            </w:pPr>
            <w:r w:rsidRPr="00203EB0">
              <w:rPr>
                <w:rFonts w:cs="Times New Roman"/>
              </w:rPr>
              <w:t>0.32</w:t>
            </w:r>
          </w:p>
        </w:tc>
        <w:tc>
          <w:tcPr>
            <w:tcW w:w="1766" w:type="dxa"/>
            <w:tcBorders>
              <w:bottom w:val="single" w:sz="4" w:space="0" w:color="auto"/>
            </w:tcBorders>
            <w:vAlign w:val="center"/>
          </w:tcPr>
          <w:p w14:paraId="1A3A89AA" w14:textId="77777777" w:rsidR="0055113B" w:rsidRPr="00203EB0" w:rsidRDefault="0055113B" w:rsidP="00C17D6E">
            <w:pPr>
              <w:tabs>
                <w:tab w:val="left" w:pos="8148"/>
              </w:tabs>
              <w:jc w:val="center"/>
              <w:rPr>
                <w:rFonts w:cs="Times New Roman"/>
              </w:rPr>
            </w:pPr>
            <w:r w:rsidRPr="00203EB0">
              <w:rPr>
                <w:rFonts w:cs="Times New Roman"/>
              </w:rPr>
              <w:t>9.7</w:t>
            </w:r>
          </w:p>
        </w:tc>
        <w:tc>
          <w:tcPr>
            <w:tcW w:w="1766" w:type="dxa"/>
            <w:tcBorders>
              <w:bottom w:val="single" w:sz="4" w:space="0" w:color="auto"/>
            </w:tcBorders>
            <w:vAlign w:val="center"/>
          </w:tcPr>
          <w:p w14:paraId="52BFFD79" w14:textId="77777777" w:rsidR="0055113B" w:rsidRPr="00203EB0" w:rsidRDefault="0055113B" w:rsidP="00C17D6E">
            <w:pPr>
              <w:tabs>
                <w:tab w:val="left" w:pos="8148"/>
              </w:tabs>
              <w:jc w:val="center"/>
              <w:rPr>
                <w:rFonts w:cs="Times New Roman"/>
              </w:rPr>
            </w:pPr>
            <w:r w:rsidRPr="00203EB0">
              <w:rPr>
                <w:rFonts w:cs="Times New Roman"/>
              </w:rPr>
              <w:t>4.3</w:t>
            </w:r>
          </w:p>
        </w:tc>
        <w:tc>
          <w:tcPr>
            <w:tcW w:w="1766" w:type="dxa"/>
            <w:tcBorders>
              <w:bottom w:val="single" w:sz="4" w:space="0" w:color="auto"/>
            </w:tcBorders>
            <w:vAlign w:val="center"/>
          </w:tcPr>
          <w:p w14:paraId="2A6BE612" w14:textId="77777777" w:rsidR="0055113B" w:rsidRPr="00203EB0" w:rsidRDefault="0055113B" w:rsidP="00C17D6E">
            <w:pPr>
              <w:tabs>
                <w:tab w:val="left" w:pos="8148"/>
              </w:tabs>
              <w:jc w:val="center"/>
              <w:rPr>
                <w:rFonts w:cs="Times New Roman"/>
              </w:rPr>
            </w:pPr>
            <w:r w:rsidRPr="00203EB0">
              <w:rPr>
                <w:rFonts w:cs="Times New Roman"/>
              </w:rPr>
              <w:t>53.4</w:t>
            </w:r>
          </w:p>
        </w:tc>
      </w:tr>
    </w:tbl>
    <w:p w14:paraId="4F56D530" w14:textId="77777777" w:rsidR="0055113B" w:rsidRPr="00203EB0" w:rsidRDefault="0055113B" w:rsidP="0055113B">
      <w:pPr>
        <w:tabs>
          <w:tab w:val="left" w:pos="8148"/>
        </w:tabs>
        <w:rPr>
          <w:rFonts w:cs="Times New Roman"/>
          <w:sz w:val="20"/>
          <w:szCs w:val="20"/>
        </w:rPr>
      </w:pPr>
      <w:r w:rsidRPr="00203EB0">
        <w:rPr>
          <w:rFonts w:cs="Times New Roman"/>
          <w:sz w:val="20"/>
          <w:szCs w:val="20"/>
        </w:rPr>
        <w:t>R</w:t>
      </w:r>
      <w:r w:rsidRPr="00203EB0">
        <w:rPr>
          <w:rFonts w:cs="Times New Roman"/>
          <w:sz w:val="20"/>
          <w:szCs w:val="20"/>
          <w:vertAlign w:val="superscript"/>
        </w:rPr>
        <w:t>2</w:t>
      </w:r>
      <w:r w:rsidRPr="00203EB0">
        <w:rPr>
          <w:rFonts w:cs="Times New Roman"/>
          <w:sz w:val="20"/>
          <w:szCs w:val="20"/>
        </w:rPr>
        <w:t xml:space="preserve">: Coefficient of determination, RMSE: Root </w:t>
      </w:r>
      <w:proofErr w:type="gramStart"/>
      <w:r w:rsidRPr="00203EB0">
        <w:rPr>
          <w:rFonts w:cs="Times New Roman"/>
          <w:sz w:val="20"/>
          <w:szCs w:val="20"/>
        </w:rPr>
        <w:t>mean</w:t>
      </w:r>
      <w:proofErr w:type="gramEnd"/>
      <w:r w:rsidRPr="00203EB0">
        <w:rPr>
          <w:rFonts w:cs="Times New Roman"/>
          <w:sz w:val="20"/>
          <w:szCs w:val="20"/>
        </w:rPr>
        <w:t xml:space="preserve"> square error, MAE: Mean absolute error, SMAPE: Symmetric mean absolute percentage error</w:t>
      </w:r>
    </w:p>
    <w:p w14:paraId="4B258239" w14:textId="7931ED6E" w:rsidR="005751D4" w:rsidRPr="00203EB0" w:rsidRDefault="005751D4" w:rsidP="00001ABC">
      <w:pPr>
        <w:pStyle w:val="Caption"/>
      </w:pPr>
    </w:p>
    <w:p w14:paraId="092D61DD" w14:textId="46B01FCB" w:rsidR="0055113B" w:rsidRPr="00203EB0" w:rsidRDefault="0055113B" w:rsidP="00001ABC">
      <w:pPr>
        <w:pStyle w:val="Caption"/>
      </w:pPr>
      <w:bookmarkStart w:id="139" w:name="_Toc206669232"/>
      <w:r w:rsidRPr="00203EB0">
        <w:rPr>
          <w:b/>
          <w:bCs/>
        </w:rPr>
        <w:t xml:space="preserve">Table </w:t>
      </w:r>
      <w:r w:rsidR="00775F57" w:rsidRPr="00203EB0">
        <w:rPr>
          <w:b/>
          <w:bCs/>
        </w:rPr>
        <w:fldChar w:fldCharType="begin"/>
      </w:r>
      <w:r w:rsidR="00775F57" w:rsidRPr="00203EB0">
        <w:rPr>
          <w:b/>
          <w:bCs/>
        </w:rPr>
        <w:instrText xml:space="preserve"> STYLEREF 1 \s </w:instrText>
      </w:r>
      <w:r w:rsidR="00775F57" w:rsidRPr="00203EB0">
        <w:rPr>
          <w:b/>
          <w:bCs/>
        </w:rPr>
        <w:fldChar w:fldCharType="separate"/>
      </w:r>
      <w:r w:rsidR="00D56363" w:rsidRPr="00203EB0">
        <w:rPr>
          <w:b/>
          <w:bCs/>
        </w:rPr>
        <w:t>6</w:t>
      </w:r>
      <w:r w:rsidR="00775F57" w:rsidRPr="00203EB0">
        <w:rPr>
          <w:b/>
          <w:bCs/>
        </w:rPr>
        <w:fldChar w:fldCharType="end"/>
      </w:r>
      <w:r w:rsidR="00775F57" w:rsidRPr="00203EB0">
        <w:rPr>
          <w:b/>
          <w:bCs/>
        </w:rPr>
        <w:t>.</w:t>
      </w:r>
      <w:r w:rsidR="00775F57" w:rsidRPr="00203EB0">
        <w:rPr>
          <w:b/>
          <w:bCs/>
        </w:rPr>
        <w:fldChar w:fldCharType="begin"/>
      </w:r>
      <w:r w:rsidR="00775F57" w:rsidRPr="00203EB0">
        <w:rPr>
          <w:b/>
          <w:bCs/>
        </w:rPr>
        <w:instrText xml:space="preserve"> SEQ Table \* ARABIC \s 1 </w:instrText>
      </w:r>
      <w:r w:rsidR="00775F57" w:rsidRPr="00203EB0">
        <w:rPr>
          <w:b/>
          <w:bCs/>
        </w:rPr>
        <w:fldChar w:fldCharType="separate"/>
      </w:r>
      <w:r w:rsidR="00D56363" w:rsidRPr="00203EB0">
        <w:rPr>
          <w:b/>
          <w:bCs/>
        </w:rPr>
        <w:t>4</w:t>
      </w:r>
      <w:r w:rsidR="00775F57" w:rsidRPr="00203EB0">
        <w:rPr>
          <w:b/>
          <w:bCs/>
        </w:rPr>
        <w:fldChar w:fldCharType="end"/>
      </w:r>
      <w:r w:rsidRPr="00203EB0">
        <w:rPr>
          <w:b/>
          <w:bCs/>
        </w:rPr>
        <w:t>:</w:t>
      </w:r>
      <w:r w:rsidRPr="00203EB0">
        <w:t xml:space="preserve"> Performance metrics of all models evaluated using the 2023 training dataset</w:t>
      </w:r>
      <w:bookmarkEnd w:id="1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4"/>
        <w:gridCol w:w="1085"/>
        <w:gridCol w:w="1730"/>
        <w:gridCol w:w="1725"/>
        <w:gridCol w:w="1736"/>
      </w:tblGrid>
      <w:tr w:rsidR="0055113B" w:rsidRPr="00203EB0" w14:paraId="321ADBDC" w14:textId="77777777" w:rsidTr="00C17D6E">
        <w:tc>
          <w:tcPr>
            <w:tcW w:w="2425" w:type="dxa"/>
            <w:vMerge w:val="restart"/>
            <w:tcBorders>
              <w:top w:val="single" w:sz="4" w:space="0" w:color="auto"/>
            </w:tcBorders>
            <w:vAlign w:val="center"/>
          </w:tcPr>
          <w:p w14:paraId="77BF7A40" w14:textId="77777777" w:rsidR="0055113B" w:rsidRPr="00203EB0" w:rsidRDefault="0055113B" w:rsidP="00C17D6E">
            <w:pPr>
              <w:tabs>
                <w:tab w:val="left" w:pos="8148"/>
              </w:tabs>
              <w:jc w:val="center"/>
              <w:rPr>
                <w:rFonts w:cs="Times New Roman"/>
                <w:b/>
              </w:rPr>
            </w:pPr>
            <w:r w:rsidRPr="00203EB0">
              <w:rPr>
                <w:rFonts w:cs="Times New Roman"/>
                <w:b/>
              </w:rPr>
              <w:t>Models</w:t>
            </w:r>
          </w:p>
        </w:tc>
        <w:tc>
          <w:tcPr>
            <w:tcW w:w="6403" w:type="dxa"/>
            <w:gridSpan w:val="4"/>
            <w:tcBorders>
              <w:top w:val="single" w:sz="4" w:space="0" w:color="auto"/>
              <w:bottom w:val="single" w:sz="4" w:space="0" w:color="auto"/>
            </w:tcBorders>
            <w:vAlign w:val="center"/>
          </w:tcPr>
          <w:p w14:paraId="07C1D527" w14:textId="77777777" w:rsidR="0055113B" w:rsidRPr="00203EB0" w:rsidRDefault="0055113B" w:rsidP="00C17D6E">
            <w:pPr>
              <w:tabs>
                <w:tab w:val="left" w:pos="8148"/>
              </w:tabs>
              <w:jc w:val="center"/>
              <w:rPr>
                <w:rFonts w:cs="Times New Roman"/>
                <w:b/>
              </w:rPr>
            </w:pPr>
            <w:r w:rsidRPr="00203EB0">
              <w:rPr>
                <w:rFonts w:cs="Times New Roman"/>
                <w:b/>
              </w:rPr>
              <w:t>Train dataset 2023</w:t>
            </w:r>
          </w:p>
        </w:tc>
      </w:tr>
      <w:tr w:rsidR="0055113B" w:rsidRPr="00203EB0" w14:paraId="2C4B11E9" w14:textId="77777777" w:rsidTr="00C17D6E">
        <w:tc>
          <w:tcPr>
            <w:tcW w:w="2425" w:type="dxa"/>
            <w:vMerge/>
          </w:tcPr>
          <w:p w14:paraId="4B716495" w14:textId="77777777" w:rsidR="0055113B" w:rsidRPr="00203EB0" w:rsidRDefault="0055113B" w:rsidP="00C17D6E">
            <w:pPr>
              <w:tabs>
                <w:tab w:val="left" w:pos="8148"/>
              </w:tabs>
              <w:rPr>
                <w:rFonts w:cs="Times New Roman"/>
              </w:rPr>
            </w:pPr>
          </w:p>
        </w:tc>
        <w:tc>
          <w:tcPr>
            <w:tcW w:w="1105" w:type="dxa"/>
            <w:tcBorders>
              <w:top w:val="single" w:sz="4" w:space="0" w:color="auto"/>
            </w:tcBorders>
          </w:tcPr>
          <w:p w14:paraId="582C83EA" w14:textId="77777777" w:rsidR="0055113B" w:rsidRPr="00203EB0" w:rsidRDefault="0055113B" w:rsidP="00C17D6E">
            <w:pPr>
              <w:tabs>
                <w:tab w:val="left" w:pos="8148"/>
              </w:tabs>
              <w:jc w:val="center"/>
              <w:rPr>
                <w:rFonts w:cs="Times New Roman"/>
                <w:b/>
              </w:rPr>
            </w:pPr>
            <w:r w:rsidRPr="00203EB0">
              <w:rPr>
                <w:rFonts w:cs="Times New Roman"/>
                <w:b/>
              </w:rPr>
              <w:t>R</w:t>
            </w:r>
            <w:r w:rsidRPr="00203EB0">
              <w:rPr>
                <w:rFonts w:cs="Times New Roman"/>
                <w:b/>
                <w:vertAlign w:val="superscript"/>
              </w:rPr>
              <w:t>2</w:t>
            </w:r>
          </w:p>
        </w:tc>
        <w:tc>
          <w:tcPr>
            <w:tcW w:w="1766" w:type="dxa"/>
            <w:tcBorders>
              <w:top w:val="single" w:sz="4" w:space="0" w:color="auto"/>
            </w:tcBorders>
          </w:tcPr>
          <w:p w14:paraId="3ECD9567" w14:textId="77777777" w:rsidR="0055113B" w:rsidRPr="00203EB0" w:rsidRDefault="0055113B" w:rsidP="00C17D6E">
            <w:pPr>
              <w:tabs>
                <w:tab w:val="left" w:pos="8148"/>
              </w:tabs>
              <w:jc w:val="center"/>
              <w:rPr>
                <w:rFonts w:cs="Times New Roman"/>
                <w:b/>
              </w:rPr>
            </w:pPr>
            <w:r w:rsidRPr="00203EB0">
              <w:rPr>
                <w:rFonts w:cs="Times New Roman"/>
                <w:b/>
              </w:rPr>
              <w:t xml:space="preserve">RMSE </w:t>
            </w:r>
          </w:p>
        </w:tc>
        <w:tc>
          <w:tcPr>
            <w:tcW w:w="1766" w:type="dxa"/>
            <w:tcBorders>
              <w:top w:val="single" w:sz="4" w:space="0" w:color="auto"/>
            </w:tcBorders>
          </w:tcPr>
          <w:p w14:paraId="6FE971BF" w14:textId="77777777" w:rsidR="0055113B" w:rsidRPr="00203EB0" w:rsidRDefault="0055113B" w:rsidP="00C17D6E">
            <w:pPr>
              <w:tabs>
                <w:tab w:val="left" w:pos="8148"/>
              </w:tabs>
              <w:jc w:val="center"/>
              <w:rPr>
                <w:rFonts w:cs="Times New Roman"/>
                <w:b/>
              </w:rPr>
            </w:pPr>
            <w:r w:rsidRPr="00203EB0">
              <w:rPr>
                <w:rFonts w:cs="Times New Roman"/>
                <w:b/>
              </w:rPr>
              <w:t xml:space="preserve">MAE </w:t>
            </w:r>
          </w:p>
        </w:tc>
        <w:tc>
          <w:tcPr>
            <w:tcW w:w="1766" w:type="dxa"/>
            <w:tcBorders>
              <w:top w:val="single" w:sz="4" w:space="0" w:color="auto"/>
            </w:tcBorders>
          </w:tcPr>
          <w:p w14:paraId="69BDAAB7" w14:textId="77777777" w:rsidR="0055113B" w:rsidRPr="00203EB0" w:rsidRDefault="0055113B" w:rsidP="00C17D6E">
            <w:pPr>
              <w:tabs>
                <w:tab w:val="left" w:pos="8148"/>
              </w:tabs>
              <w:jc w:val="center"/>
              <w:rPr>
                <w:rFonts w:cs="Times New Roman"/>
                <w:b/>
              </w:rPr>
            </w:pPr>
            <w:r w:rsidRPr="00203EB0">
              <w:rPr>
                <w:rFonts w:cs="Times New Roman"/>
                <w:b/>
              </w:rPr>
              <w:t>SMAPE</w:t>
            </w:r>
          </w:p>
        </w:tc>
      </w:tr>
      <w:tr w:rsidR="0055113B" w:rsidRPr="00203EB0" w14:paraId="2AE38C07" w14:textId="77777777" w:rsidTr="00C17D6E">
        <w:tc>
          <w:tcPr>
            <w:tcW w:w="2425" w:type="dxa"/>
            <w:vMerge/>
          </w:tcPr>
          <w:p w14:paraId="56FAF2E8" w14:textId="77777777" w:rsidR="0055113B" w:rsidRPr="00203EB0" w:rsidRDefault="0055113B" w:rsidP="00C17D6E">
            <w:pPr>
              <w:tabs>
                <w:tab w:val="left" w:pos="8148"/>
              </w:tabs>
              <w:rPr>
                <w:rFonts w:cs="Times New Roman"/>
              </w:rPr>
            </w:pPr>
          </w:p>
        </w:tc>
        <w:tc>
          <w:tcPr>
            <w:tcW w:w="1105" w:type="dxa"/>
            <w:vAlign w:val="center"/>
          </w:tcPr>
          <w:p w14:paraId="74459142" w14:textId="77777777" w:rsidR="0055113B" w:rsidRPr="00203EB0" w:rsidRDefault="0055113B" w:rsidP="00C17D6E">
            <w:pPr>
              <w:tabs>
                <w:tab w:val="left" w:pos="8148"/>
              </w:tabs>
              <w:jc w:val="center"/>
              <w:rPr>
                <w:rFonts w:cs="Times New Roman"/>
              </w:rPr>
            </w:pPr>
          </w:p>
        </w:tc>
        <w:tc>
          <w:tcPr>
            <w:tcW w:w="1766" w:type="dxa"/>
            <w:vAlign w:val="center"/>
          </w:tcPr>
          <w:p w14:paraId="2BE28F28" w14:textId="77777777" w:rsidR="0055113B" w:rsidRPr="00203EB0" w:rsidRDefault="0055113B" w:rsidP="00C17D6E">
            <w:pPr>
              <w:tabs>
                <w:tab w:val="left" w:pos="8148"/>
              </w:tabs>
              <w:jc w:val="center"/>
              <w:rPr>
                <w:rFonts w:cs="Times New Roman"/>
                <w:b/>
                <w:sz w:val="20"/>
                <w:szCs w:val="20"/>
              </w:rPr>
            </w:pPr>
            <w:r w:rsidRPr="00203EB0">
              <w:rPr>
                <w:rFonts w:cs="Times New Roman"/>
                <w:b/>
                <w:sz w:val="20"/>
                <w:szCs w:val="20"/>
              </w:rPr>
              <w:t>(g N</w:t>
            </w:r>
            <w:r w:rsidRPr="00203EB0">
              <w:rPr>
                <w:rFonts w:cs="Times New Roman"/>
                <w:b/>
                <w:sz w:val="20"/>
                <w:szCs w:val="20"/>
                <w:vertAlign w:val="subscript"/>
              </w:rPr>
              <w:t>2</w:t>
            </w:r>
            <w:r w:rsidRPr="00203EB0">
              <w:rPr>
                <w:rFonts w:cs="Times New Roman"/>
                <w:b/>
                <w:sz w:val="20"/>
                <w:szCs w:val="20"/>
              </w:rPr>
              <w:t>O-N ha</w:t>
            </w:r>
            <w:r w:rsidRPr="00203EB0">
              <w:rPr>
                <w:rFonts w:cs="Times New Roman"/>
                <w:b/>
                <w:sz w:val="20"/>
                <w:szCs w:val="20"/>
                <w:vertAlign w:val="superscript"/>
              </w:rPr>
              <w:t>-1</w:t>
            </w:r>
            <w:r w:rsidRPr="00203EB0">
              <w:rPr>
                <w:rFonts w:cs="Times New Roman"/>
                <w:b/>
                <w:sz w:val="20"/>
                <w:szCs w:val="20"/>
              </w:rPr>
              <w:t xml:space="preserve"> d</w:t>
            </w:r>
            <w:r w:rsidRPr="00203EB0">
              <w:rPr>
                <w:rFonts w:cs="Times New Roman"/>
                <w:b/>
                <w:sz w:val="20"/>
                <w:szCs w:val="20"/>
                <w:vertAlign w:val="superscript"/>
              </w:rPr>
              <w:t>-1</w:t>
            </w:r>
            <w:r w:rsidRPr="00203EB0">
              <w:rPr>
                <w:rFonts w:cs="Times New Roman"/>
                <w:b/>
                <w:sz w:val="20"/>
                <w:szCs w:val="20"/>
              </w:rPr>
              <w:t>)</w:t>
            </w:r>
          </w:p>
        </w:tc>
        <w:tc>
          <w:tcPr>
            <w:tcW w:w="1766" w:type="dxa"/>
            <w:vAlign w:val="center"/>
          </w:tcPr>
          <w:p w14:paraId="2D9AC6E0" w14:textId="77777777" w:rsidR="0055113B" w:rsidRPr="00203EB0" w:rsidRDefault="0055113B" w:rsidP="00C17D6E">
            <w:pPr>
              <w:tabs>
                <w:tab w:val="left" w:pos="8148"/>
              </w:tabs>
              <w:jc w:val="center"/>
              <w:rPr>
                <w:rFonts w:cs="Times New Roman"/>
              </w:rPr>
            </w:pPr>
            <w:r w:rsidRPr="00203EB0">
              <w:rPr>
                <w:rFonts w:cs="Times New Roman"/>
                <w:b/>
                <w:sz w:val="20"/>
                <w:szCs w:val="20"/>
              </w:rPr>
              <w:t>(g N</w:t>
            </w:r>
            <w:r w:rsidRPr="00203EB0">
              <w:rPr>
                <w:rFonts w:cs="Times New Roman"/>
                <w:b/>
                <w:sz w:val="20"/>
                <w:szCs w:val="20"/>
                <w:vertAlign w:val="subscript"/>
              </w:rPr>
              <w:t>2</w:t>
            </w:r>
            <w:r w:rsidRPr="00203EB0">
              <w:rPr>
                <w:rFonts w:cs="Times New Roman"/>
                <w:b/>
                <w:sz w:val="20"/>
                <w:szCs w:val="20"/>
              </w:rPr>
              <w:t>O-N ha</w:t>
            </w:r>
            <w:r w:rsidRPr="00203EB0">
              <w:rPr>
                <w:rFonts w:cs="Times New Roman"/>
                <w:b/>
                <w:sz w:val="20"/>
                <w:szCs w:val="20"/>
                <w:vertAlign w:val="superscript"/>
              </w:rPr>
              <w:t>-1</w:t>
            </w:r>
            <w:r w:rsidRPr="00203EB0">
              <w:rPr>
                <w:rFonts w:cs="Times New Roman"/>
                <w:b/>
                <w:sz w:val="20"/>
                <w:szCs w:val="20"/>
              </w:rPr>
              <w:t xml:space="preserve"> d</w:t>
            </w:r>
            <w:r w:rsidRPr="00203EB0">
              <w:rPr>
                <w:rFonts w:cs="Times New Roman"/>
                <w:b/>
                <w:sz w:val="20"/>
                <w:szCs w:val="20"/>
                <w:vertAlign w:val="superscript"/>
              </w:rPr>
              <w:t>-1</w:t>
            </w:r>
            <w:r w:rsidRPr="00203EB0">
              <w:rPr>
                <w:rFonts w:cs="Times New Roman"/>
                <w:b/>
                <w:sz w:val="20"/>
                <w:szCs w:val="20"/>
              </w:rPr>
              <w:t>)</w:t>
            </w:r>
          </w:p>
        </w:tc>
        <w:tc>
          <w:tcPr>
            <w:tcW w:w="1766" w:type="dxa"/>
            <w:vAlign w:val="center"/>
          </w:tcPr>
          <w:p w14:paraId="25CC54F2" w14:textId="77777777" w:rsidR="0055113B" w:rsidRPr="00203EB0" w:rsidRDefault="0055113B" w:rsidP="00C17D6E">
            <w:pPr>
              <w:tabs>
                <w:tab w:val="left" w:pos="8148"/>
              </w:tabs>
              <w:jc w:val="center"/>
              <w:rPr>
                <w:rFonts w:cs="Times New Roman"/>
                <w:b/>
              </w:rPr>
            </w:pPr>
            <w:r w:rsidRPr="00203EB0">
              <w:rPr>
                <w:rFonts w:cs="Times New Roman"/>
                <w:b/>
              </w:rPr>
              <w:t>(%)</w:t>
            </w:r>
          </w:p>
        </w:tc>
      </w:tr>
      <w:tr w:rsidR="0055113B" w:rsidRPr="00203EB0" w14:paraId="3A8A4781" w14:textId="77777777" w:rsidTr="00C17D6E">
        <w:tc>
          <w:tcPr>
            <w:tcW w:w="2425" w:type="dxa"/>
            <w:tcBorders>
              <w:top w:val="single" w:sz="4" w:space="0" w:color="auto"/>
            </w:tcBorders>
          </w:tcPr>
          <w:p w14:paraId="767FA049" w14:textId="77777777" w:rsidR="0055113B" w:rsidRPr="00203EB0" w:rsidRDefault="0055113B" w:rsidP="00C17D6E">
            <w:pPr>
              <w:tabs>
                <w:tab w:val="left" w:pos="8148"/>
              </w:tabs>
              <w:rPr>
                <w:rFonts w:cs="Times New Roman"/>
              </w:rPr>
            </w:pPr>
            <w:r w:rsidRPr="00203EB0">
              <w:rPr>
                <w:rFonts w:cs="Times New Roman"/>
              </w:rPr>
              <w:t>Base</w:t>
            </w:r>
          </w:p>
        </w:tc>
        <w:tc>
          <w:tcPr>
            <w:tcW w:w="1105" w:type="dxa"/>
            <w:tcBorders>
              <w:top w:val="single" w:sz="4" w:space="0" w:color="auto"/>
            </w:tcBorders>
            <w:vAlign w:val="center"/>
          </w:tcPr>
          <w:p w14:paraId="1935161F" w14:textId="77777777" w:rsidR="0055113B" w:rsidRPr="00203EB0" w:rsidRDefault="0055113B" w:rsidP="00C17D6E">
            <w:pPr>
              <w:tabs>
                <w:tab w:val="left" w:pos="8148"/>
              </w:tabs>
              <w:jc w:val="center"/>
              <w:rPr>
                <w:rFonts w:cs="Times New Roman"/>
              </w:rPr>
            </w:pPr>
            <w:r w:rsidRPr="00203EB0">
              <w:rPr>
                <w:rFonts w:cs="Times New Roman"/>
              </w:rPr>
              <w:t>0.14</w:t>
            </w:r>
          </w:p>
        </w:tc>
        <w:tc>
          <w:tcPr>
            <w:tcW w:w="1766" w:type="dxa"/>
            <w:tcBorders>
              <w:top w:val="single" w:sz="4" w:space="0" w:color="auto"/>
            </w:tcBorders>
            <w:vAlign w:val="center"/>
          </w:tcPr>
          <w:p w14:paraId="249E51A5" w14:textId="77777777" w:rsidR="0055113B" w:rsidRPr="00203EB0" w:rsidRDefault="0055113B" w:rsidP="00C17D6E">
            <w:pPr>
              <w:tabs>
                <w:tab w:val="left" w:pos="8148"/>
              </w:tabs>
              <w:jc w:val="center"/>
              <w:rPr>
                <w:rFonts w:cs="Times New Roman"/>
              </w:rPr>
            </w:pPr>
            <w:r w:rsidRPr="00203EB0">
              <w:rPr>
                <w:rFonts w:cs="Times New Roman"/>
              </w:rPr>
              <w:t>16.5</w:t>
            </w:r>
          </w:p>
        </w:tc>
        <w:tc>
          <w:tcPr>
            <w:tcW w:w="1766" w:type="dxa"/>
            <w:tcBorders>
              <w:top w:val="single" w:sz="4" w:space="0" w:color="auto"/>
            </w:tcBorders>
            <w:vAlign w:val="center"/>
          </w:tcPr>
          <w:p w14:paraId="68AEEB20" w14:textId="77777777" w:rsidR="0055113B" w:rsidRPr="00203EB0" w:rsidRDefault="0055113B" w:rsidP="00C17D6E">
            <w:pPr>
              <w:tabs>
                <w:tab w:val="left" w:pos="8148"/>
              </w:tabs>
              <w:jc w:val="center"/>
              <w:rPr>
                <w:rFonts w:cs="Times New Roman"/>
              </w:rPr>
            </w:pPr>
            <w:r w:rsidRPr="00203EB0">
              <w:rPr>
                <w:rFonts w:cs="Times New Roman"/>
              </w:rPr>
              <w:t>5.2</w:t>
            </w:r>
          </w:p>
        </w:tc>
        <w:tc>
          <w:tcPr>
            <w:tcW w:w="1766" w:type="dxa"/>
            <w:tcBorders>
              <w:top w:val="single" w:sz="4" w:space="0" w:color="auto"/>
            </w:tcBorders>
            <w:vAlign w:val="center"/>
          </w:tcPr>
          <w:p w14:paraId="197F0FB5" w14:textId="77777777" w:rsidR="0055113B" w:rsidRPr="00203EB0" w:rsidRDefault="0055113B" w:rsidP="00C17D6E">
            <w:pPr>
              <w:tabs>
                <w:tab w:val="left" w:pos="8148"/>
              </w:tabs>
              <w:jc w:val="center"/>
              <w:rPr>
                <w:rFonts w:cs="Times New Roman"/>
              </w:rPr>
            </w:pPr>
            <w:r w:rsidRPr="00203EB0">
              <w:rPr>
                <w:rFonts w:cs="Times New Roman"/>
              </w:rPr>
              <w:t>54.6</w:t>
            </w:r>
          </w:p>
        </w:tc>
      </w:tr>
      <w:tr w:rsidR="0055113B" w:rsidRPr="00203EB0" w14:paraId="696B96B5" w14:textId="77777777" w:rsidTr="00C17D6E">
        <w:tc>
          <w:tcPr>
            <w:tcW w:w="2425" w:type="dxa"/>
          </w:tcPr>
          <w:p w14:paraId="65E5F4E8" w14:textId="77777777" w:rsidR="0055113B" w:rsidRPr="00203EB0" w:rsidRDefault="0055113B" w:rsidP="00C17D6E">
            <w:pPr>
              <w:tabs>
                <w:tab w:val="left" w:pos="8148"/>
              </w:tabs>
              <w:rPr>
                <w:rFonts w:cs="Times New Roman"/>
              </w:rPr>
            </w:pPr>
            <w:r w:rsidRPr="00203EB0">
              <w:rPr>
                <w:rFonts w:cs="Times New Roman"/>
              </w:rPr>
              <w:t>Class-Swap</w:t>
            </w:r>
          </w:p>
        </w:tc>
        <w:tc>
          <w:tcPr>
            <w:tcW w:w="1105" w:type="dxa"/>
            <w:vAlign w:val="center"/>
          </w:tcPr>
          <w:p w14:paraId="41F14857" w14:textId="77777777" w:rsidR="0055113B" w:rsidRPr="00203EB0" w:rsidRDefault="0055113B" w:rsidP="00C17D6E">
            <w:pPr>
              <w:tabs>
                <w:tab w:val="left" w:pos="8148"/>
              </w:tabs>
              <w:jc w:val="center"/>
              <w:rPr>
                <w:rFonts w:cs="Times New Roman"/>
              </w:rPr>
            </w:pPr>
            <w:r w:rsidRPr="00203EB0">
              <w:rPr>
                <w:rFonts w:cs="Times New Roman"/>
              </w:rPr>
              <w:t>0.41</w:t>
            </w:r>
          </w:p>
        </w:tc>
        <w:tc>
          <w:tcPr>
            <w:tcW w:w="1766" w:type="dxa"/>
            <w:vAlign w:val="center"/>
          </w:tcPr>
          <w:p w14:paraId="60710633" w14:textId="77777777" w:rsidR="0055113B" w:rsidRPr="00203EB0" w:rsidRDefault="0055113B" w:rsidP="00C17D6E">
            <w:pPr>
              <w:tabs>
                <w:tab w:val="left" w:pos="8148"/>
              </w:tabs>
              <w:jc w:val="center"/>
              <w:rPr>
                <w:rFonts w:cs="Times New Roman"/>
              </w:rPr>
            </w:pPr>
            <w:r w:rsidRPr="00203EB0">
              <w:rPr>
                <w:rFonts w:cs="Times New Roman"/>
              </w:rPr>
              <w:t>13.7</w:t>
            </w:r>
          </w:p>
        </w:tc>
        <w:tc>
          <w:tcPr>
            <w:tcW w:w="1766" w:type="dxa"/>
            <w:vAlign w:val="center"/>
          </w:tcPr>
          <w:p w14:paraId="6B07AF23" w14:textId="77777777" w:rsidR="0055113B" w:rsidRPr="00203EB0" w:rsidRDefault="0055113B" w:rsidP="00C17D6E">
            <w:pPr>
              <w:tabs>
                <w:tab w:val="left" w:pos="8148"/>
              </w:tabs>
              <w:jc w:val="center"/>
              <w:rPr>
                <w:rFonts w:cs="Times New Roman"/>
              </w:rPr>
            </w:pPr>
            <w:r w:rsidRPr="00203EB0">
              <w:rPr>
                <w:rFonts w:cs="Times New Roman"/>
              </w:rPr>
              <w:t>3.9</w:t>
            </w:r>
          </w:p>
        </w:tc>
        <w:tc>
          <w:tcPr>
            <w:tcW w:w="1766" w:type="dxa"/>
            <w:vAlign w:val="center"/>
          </w:tcPr>
          <w:p w14:paraId="20D6BF0A" w14:textId="77777777" w:rsidR="0055113B" w:rsidRPr="00203EB0" w:rsidRDefault="0055113B" w:rsidP="00C17D6E">
            <w:pPr>
              <w:tabs>
                <w:tab w:val="left" w:pos="8148"/>
              </w:tabs>
              <w:jc w:val="center"/>
              <w:rPr>
                <w:rFonts w:cs="Times New Roman"/>
              </w:rPr>
            </w:pPr>
            <w:r w:rsidRPr="00203EB0">
              <w:rPr>
                <w:rFonts w:cs="Times New Roman"/>
              </w:rPr>
              <w:t>53.5</w:t>
            </w:r>
          </w:p>
        </w:tc>
      </w:tr>
      <w:tr w:rsidR="0055113B" w:rsidRPr="00203EB0" w14:paraId="067D7238" w14:textId="77777777" w:rsidTr="00C17D6E">
        <w:tc>
          <w:tcPr>
            <w:tcW w:w="2425" w:type="dxa"/>
          </w:tcPr>
          <w:p w14:paraId="5F8180CF" w14:textId="77777777" w:rsidR="0055113B" w:rsidRPr="00203EB0" w:rsidRDefault="0055113B" w:rsidP="00C17D6E">
            <w:pPr>
              <w:tabs>
                <w:tab w:val="left" w:pos="8148"/>
              </w:tabs>
              <w:rPr>
                <w:rFonts w:cs="Times New Roman"/>
              </w:rPr>
            </w:pPr>
            <w:r w:rsidRPr="00203EB0">
              <w:rPr>
                <w:rFonts w:cs="Times New Roman"/>
              </w:rPr>
              <w:t>Base-Over</w:t>
            </w:r>
          </w:p>
        </w:tc>
        <w:tc>
          <w:tcPr>
            <w:tcW w:w="1105" w:type="dxa"/>
            <w:vAlign w:val="center"/>
          </w:tcPr>
          <w:p w14:paraId="063763FD" w14:textId="77777777" w:rsidR="0055113B" w:rsidRPr="00203EB0" w:rsidRDefault="0055113B" w:rsidP="00C17D6E">
            <w:pPr>
              <w:tabs>
                <w:tab w:val="left" w:pos="8148"/>
              </w:tabs>
              <w:jc w:val="center"/>
              <w:rPr>
                <w:rFonts w:cs="Times New Roman"/>
              </w:rPr>
            </w:pPr>
            <w:r w:rsidRPr="00203EB0">
              <w:rPr>
                <w:rFonts w:cs="Times New Roman"/>
              </w:rPr>
              <w:t>0.24</w:t>
            </w:r>
          </w:p>
        </w:tc>
        <w:tc>
          <w:tcPr>
            <w:tcW w:w="1766" w:type="dxa"/>
            <w:vAlign w:val="center"/>
          </w:tcPr>
          <w:p w14:paraId="16038BC6" w14:textId="77777777" w:rsidR="0055113B" w:rsidRPr="00203EB0" w:rsidRDefault="0055113B" w:rsidP="00C17D6E">
            <w:pPr>
              <w:tabs>
                <w:tab w:val="left" w:pos="8148"/>
              </w:tabs>
              <w:jc w:val="center"/>
              <w:rPr>
                <w:rFonts w:cs="Times New Roman"/>
              </w:rPr>
            </w:pPr>
            <w:r w:rsidRPr="00203EB0">
              <w:rPr>
                <w:rFonts w:cs="Times New Roman"/>
              </w:rPr>
              <w:t>15.5</w:t>
            </w:r>
          </w:p>
        </w:tc>
        <w:tc>
          <w:tcPr>
            <w:tcW w:w="1766" w:type="dxa"/>
            <w:vAlign w:val="center"/>
          </w:tcPr>
          <w:p w14:paraId="2115DA83" w14:textId="77777777" w:rsidR="0055113B" w:rsidRPr="00203EB0" w:rsidRDefault="0055113B" w:rsidP="00C17D6E">
            <w:pPr>
              <w:tabs>
                <w:tab w:val="left" w:pos="8148"/>
              </w:tabs>
              <w:jc w:val="center"/>
              <w:rPr>
                <w:rFonts w:cs="Times New Roman"/>
              </w:rPr>
            </w:pPr>
            <w:r w:rsidRPr="00203EB0">
              <w:rPr>
                <w:rFonts w:cs="Times New Roman"/>
              </w:rPr>
              <w:t>5.4</w:t>
            </w:r>
          </w:p>
        </w:tc>
        <w:tc>
          <w:tcPr>
            <w:tcW w:w="1766" w:type="dxa"/>
            <w:vAlign w:val="center"/>
          </w:tcPr>
          <w:p w14:paraId="5E6C942D" w14:textId="77777777" w:rsidR="0055113B" w:rsidRPr="00203EB0" w:rsidRDefault="0055113B" w:rsidP="00C17D6E">
            <w:pPr>
              <w:tabs>
                <w:tab w:val="left" w:pos="8148"/>
              </w:tabs>
              <w:jc w:val="center"/>
              <w:rPr>
                <w:rFonts w:cs="Times New Roman"/>
              </w:rPr>
            </w:pPr>
            <w:r w:rsidRPr="00203EB0">
              <w:rPr>
                <w:rFonts w:cs="Times New Roman"/>
              </w:rPr>
              <w:t>55.2</w:t>
            </w:r>
          </w:p>
        </w:tc>
      </w:tr>
      <w:tr w:rsidR="0055113B" w:rsidRPr="00203EB0" w14:paraId="27BF9637" w14:textId="77777777" w:rsidTr="00C17D6E">
        <w:tc>
          <w:tcPr>
            <w:tcW w:w="2425" w:type="dxa"/>
            <w:tcBorders>
              <w:bottom w:val="single" w:sz="4" w:space="0" w:color="auto"/>
            </w:tcBorders>
          </w:tcPr>
          <w:p w14:paraId="15938917" w14:textId="77777777" w:rsidR="0055113B" w:rsidRPr="00203EB0" w:rsidRDefault="0055113B" w:rsidP="00C17D6E">
            <w:pPr>
              <w:tabs>
                <w:tab w:val="left" w:pos="8148"/>
              </w:tabs>
              <w:rPr>
                <w:rFonts w:cs="Times New Roman"/>
              </w:rPr>
            </w:pPr>
            <w:r w:rsidRPr="00203EB0">
              <w:rPr>
                <w:rFonts w:cs="Times New Roman"/>
              </w:rPr>
              <w:t>Class-Swap-Over</w:t>
            </w:r>
          </w:p>
        </w:tc>
        <w:tc>
          <w:tcPr>
            <w:tcW w:w="1105" w:type="dxa"/>
            <w:tcBorders>
              <w:bottom w:val="single" w:sz="4" w:space="0" w:color="auto"/>
            </w:tcBorders>
            <w:vAlign w:val="center"/>
          </w:tcPr>
          <w:p w14:paraId="57FEFA6A" w14:textId="77777777" w:rsidR="0055113B" w:rsidRPr="00203EB0" w:rsidRDefault="0055113B" w:rsidP="00C17D6E">
            <w:pPr>
              <w:tabs>
                <w:tab w:val="left" w:pos="8148"/>
              </w:tabs>
              <w:jc w:val="center"/>
              <w:rPr>
                <w:rFonts w:cs="Times New Roman"/>
              </w:rPr>
            </w:pPr>
            <w:r w:rsidRPr="00203EB0">
              <w:rPr>
                <w:rFonts w:cs="Times New Roman"/>
              </w:rPr>
              <w:t>0.37</w:t>
            </w:r>
          </w:p>
        </w:tc>
        <w:tc>
          <w:tcPr>
            <w:tcW w:w="1766" w:type="dxa"/>
            <w:tcBorders>
              <w:bottom w:val="single" w:sz="4" w:space="0" w:color="auto"/>
            </w:tcBorders>
            <w:vAlign w:val="center"/>
          </w:tcPr>
          <w:p w14:paraId="6BD9A426" w14:textId="77777777" w:rsidR="0055113B" w:rsidRPr="00203EB0" w:rsidRDefault="0055113B" w:rsidP="00C17D6E">
            <w:pPr>
              <w:tabs>
                <w:tab w:val="left" w:pos="8148"/>
              </w:tabs>
              <w:jc w:val="center"/>
              <w:rPr>
                <w:rFonts w:cs="Times New Roman"/>
              </w:rPr>
            </w:pPr>
            <w:r w:rsidRPr="00203EB0">
              <w:rPr>
                <w:rFonts w:cs="Times New Roman"/>
              </w:rPr>
              <w:t>14.1</w:t>
            </w:r>
          </w:p>
        </w:tc>
        <w:tc>
          <w:tcPr>
            <w:tcW w:w="1766" w:type="dxa"/>
            <w:tcBorders>
              <w:bottom w:val="single" w:sz="4" w:space="0" w:color="auto"/>
            </w:tcBorders>
            <w:vAlign w:val="center"/>
          </w:tcPr>
          <w:p w14:paraId="177B385F" w14:textId="77777777" w:rsidR="0055113B" w:rsidRPr="00203EB0" w:rsidRDefault="0055113B" w:rsidP="00C17D6E">
            <w:pPr>
              <w:tabs>
                <w:tab w:val="left" w:pos="8148"/>
              </w:tabs>
              <w:jc w:val="center"/>
              <w:rPr>
                <w:rFonts w:cs="Times New Roman"/>
              </w:rPr>
            </w:pPr>
            <w:r w:rsidRPr="00203EB0">
              <w:rPr>
                <w:rFonts w:cs="Times New Roman"/>
              </w:rPr>
              <w:t>4.1</w:t>
            </w:r>
          </w:p>
        </w:tc>
        <w:tc>
          <w:tcPr>
            <w:tcW w:w="1766" w:type="dxa"/>
            <w:tcBorders>
              <w:bottom w:val="single" w:sz="4" w:space="0" w:color="auto"/>
            </w:tcBorders>
            <w:vAlign w:val="center"/>
          </w:tcPr>
          <w:p w14:paraId="6D2E6402" w14:textId="77777777" w:rsidR="0055113B" w:rsidRPr="00203EB0" w:rsidRDefault="0055113B" w:rsidP="00C17D6E">
            <w:pPr>
              <w:tabs>
                <w:tab w:val="left" w:pos="8148"/>
              </w:tabs>
              <w:jc w:val="center"/>
              <w:rPr>
                <w:rFonts w:cs="Times New Roman"/>
              </w:rPr>
            </w:pPr>
            <w:r w:rsidRPr="00203EB0">
              <w:rPr>
                <w:rFonts w:cs="Times New Roman"/>
              </w:rPr>
              <w:t>53.8</w:t>
            </w:r>
          </w:p>
        </w:tc>
      </w:tr>
    </w:tbl>
    <w:p w14:paraId="7BF28E9F" w14:textId="77777777" w:rsidR="0055113B" w:rsidRPr="00203EB0" w:rsidRDefault="0055113B" w:rsidP="0055113B">
      <w:pPr>
        <w:tabs>
          <w:tab w:val="left" w:pos="8148"/>
        </w:tabs>
        <w:rPr>
          <w:rFonts w:cs="Times New Roman"/>
          <w:sz w:val="20"/>
          <w:szCs w:val="20"/>
        </w:rPr>
      </w:pPr>
      <w:r w:rsidRPr="00203EB0">
        <w:rPr>
          <w:rFonts w:cs="Times New Roman"/>
          <w:sz w:val="20"/>
          <w:szCs w:val="20"/>
        </w:rPr>
        <w:t>R</w:t>
      </w:r>
      <w:r w:rsidRPr="00203EB0">
        <w:rPr>
          <w:rFonts w:cs="Times New Roman"/>
          <w:sz w:val="20"/>
          <w:szCs w:val="20"/>
          <w:vertAlign w:val="superscript"/>
        </w:rPr>
        <w:t>2</w:t>
      </w:r>
      <w:r w:rsidRPr="00203EB0">
        <w:rPr>
          <w:rFonts w:cs="Times New Roman"/>
          <w:sz w:val="20"/>
          <w:szCs w:val="20"/>
        </w:rPr>
        <w:t xml:space="preserve">: Coefficient of determination, RMSE: Root </w:t>
      </w:r>
      <w:proofErr w:type="gramStart"/>
      <w:r w:rsidRPr="00203EB0">
        <w:rPr>
          <w:rFonts w:cs="Times New Roman"/>
          <w:sz w:val="20"/>
          <w:szCs w:val="20"/>
        </w:rPr>
        <w:t>mean</w:t>
      </w:r>
      <w:proofErr w:type="gramEnd"/>
      <w:r w:rsidRPr="00203EB0">
        <w:rPr>
          <w:rFonts w:cs="Times New Roman"/>
          <w:sz w:val="20"/>
          <w:szCs w:val="20"/>
        </w:rPr>
        <w:t xml:space="preserve"> square error, MAE: Mean absolute error, SMAPE: Symmetric mean absolute percentage error</w:t>
      </w:r>
    </w:p>
    <w:p w14:paraId="3870FD61" w14:textId="6C075A32" w:rsidR="0055113B" w:rsidRPr="00203EB0" w:rsidRDefault="0055113B" w:rsidP="0055113B">
      <w:pPr>
        <w:pStyle w:val="Heading3"/>
        <w:numPr>
          <w:ilvl w:val="0"/>
          <w:numId w:val="0"/>
        </w:numPr>
        <w:spacing w:line="480" w:lineRule="auto"/>
      </w:pPr>
      <w:bookmarkStart w:id="140" w:name="_Toc206669174"/>
      <w:r w:rsidRPr="00203EB0">
        <w:t>Cumulative N</w:t>
      </w:r>
      <w:r w:rsidRPr="00203EB0">
        <w:rPr>
          <w:vertAlign w:val="subscript"/>
        </w:rPr>
        <w:t>2</w:t>
      </w:r>
      <w:r w:rsidRPr="00203EB0">
        <w:t>O emissions</w:t>
      </w:r>
      <w:bookmarkEnd w:id="140"/>
    </w:p>
    <w:p w14:paraId="13236415" w14:textId="662193A1" w:rsidR="0055113B" w:rsidRPr="00203EB0" w:rsidRDefault="0055113B" w:rsidP="0055113B">
      <w:pPr>
        <w:spacing w:line="480" w:lineRule="auto"/>
        <w:rPr>
          <w:rFonts w:cs="Times New Roman"/>
        </w:rPr>
      </w:pPr>
      <w:r w:rsidRPr="00203EB0">
        <w:rPr>
          <w:rFonts w:cs="Times New Roman"/>
        </w:rPr>
        <w:t>To further evaluate model performance on temporally aggregated scale, both the Class-Swap and Base model predictions were used to estimate cumulative N</w:t>
      </w:r>
      <w:r w:rsidRPr="00203EB0">
        <w:rPr>
          <w:rFonts w:cs="Times New Roman"/>
          <w:vertAlign w:val="subscript"/>
        </w:rPr>
        <w:t>2</w:t>
      </w:r>
      <w:r w:rsidRPr="00203EB0">
        <w:rPr>
          <w:rFonts w:cs="Times New Roman"/>
        </w:rPr>
        <w:t>O emissions over the cotton growing season, complementing the assessment of daily fluxes. Cumulative emissions were calculated by linearly interpolating daily N</w:t>
      </w:r>
      <w:r w:rsidRPr="00203EB0">
        <w:rPr>
          <w:rFonts w:cs="Times New Roman"/>
          <w:vertAlign w:val="subscript"/>
        </w:rPr>
        <w:t>2</w:t>
      </w:r>
      <w:r w:rsidRPr="00203EB0">
        <w:rPr>
          <w:rFonts w:cs="Times New Roman"/>
        </w:rPr>
        <w:t>O fluxes between sampling dates for each treatment. Observed and predicted cumulative N</w:t>
      </w:r>
      <w:r w:rsidRPr="00203EB0">
        <w:rPr>
          <w:rFonts w:cs="Times New Roman"/>
          <w:vertAlign w:val="subscript"/>
        </w:rPr>
        <w:t>2</w:t>
      </w:r>
      <w:r w:rsidRPr="00203EB0">
        <w:rPr>
          <w:rFonts w:cs="Times New Roman"/>
        </w:rPr>
        <w:t>O emissions are reported as average across treatments (</w:t>
      </w:r>
      <w:r w:rsidRPr="00203EB0">
        <w:rPr>
          <w:rFonts w:cs="Times New Roman"/>
          <w:b/>
          <w:bCs/>
        </w:rPr>
        <w:t>Figure 6.9</w:t>
      </w:r>
      <w:r w:rsidRPr="00203EB0">
        <w:rPr>
          <w:rFonts w:cs="Times New Roman"/>
        </w:rPr>
        <w:t>) and disaggregated by individual treatments (</w:t>
      </w:r>
      <w:r w:rsidRPr="00203EB0">
        <w:rPr>
          <w:rFonts w:cs="Times New Roman"/>
          <w:b/>
          <w:bCs/>
        </w:rPr>
        <w:t xml:space="preserve">Figure </w:t>
      </w:r>
      <w:r w:rsidR="00362D50" w:rsidRPr="00203EB0">
        <w:rPr>
          <w:rFonts w:cs="Times New Roman"/>
          <w:b/>
          <w:bCs/>
        </w:rPr>
        <w:t>6.10</w:t>
      </w:r>
      <w:r w:rsidRPr="00203EB0">
        <w:rPr>
          <w:rFonts w:cs="Times New Roman"/>
        </w:rPr>
        <w:t>). Time series comparison indicate</w:t>
      </w:r>
      <w:r w:rsidR="00487962">
        <w:rPr>
          <w:rFonts w:cs="Times New Roman"/>
        </w:rPr>
        <w:t>s</w:t>
      </w:r>
      <w:r w:rsidRPr="00203EB0">
        <w:rPr>
          <w:rFonts w:cs="Times New Roman"/>
        </w:rPr>
        <w:t xml:space="preserve"> that the Class-Swap models, using both measured and oversampled data, effectively captured the magnitude and temporal progression of cumulative N</w:t>
      </w:r>
      <w:r w:rsidRPr="00203EB0">
        <w:rPr>
          <w:rFonts w:cs="Times New Roman"/>
          <w:vertAlign w:val="subscript"/>
        </w:rPr>
        <w:t>2</w:t>
      </w:r>
      <w:r w:rsidRPr="00203EB0">
        <w:rPr>
          <w:rFonts w:cs="Times New Roman"/>
        </w:rPr>
        <w:t xml:space="preserve">O emissions, closely reflecting the average observed trends </w:t>
      </w:r>
      <w:r w:rsidRPr="00203EB0">
        <w:rPr>
          <w:rFonts w:cs="Times New Roman"/>
        </w:rPr>
        <w:lastRenderedPageBreak/>
        <w:t>over time across the treatments (</w:t>
      </w:r>
      <w:r w:rsidRPr="00203EB0">
        <w:rPr>
          <w:rFonts w:cs="Times New Roman"/>
          <w:b/>
          <w:bCs/>
        </w:rPr>
        <w:t>Figure 6.9</w:t>
      </w:r>
      <w:r w:rsidRPr="00203EB0">
        <w:rPr>
          <w:rFonts w:cs="Times New Roman"/>
        </w:rPr>
        <w:t>). In contrast, the Base-Over model overestimated cumulative N</w:t>
      </w:r>
      <w:r w:rsidRPr="00203EB0">
        <w:rPr>
          <w:rFonts w:cs="Times New Roman"/>
          <w:vertAlign w:val="subscript"/>
        </w:rPr>
        <w:t>2</w:t>
      </w:r>
      <w:r w:rsidRPr="00203EB0">
        <w:rPr>
          <w:rFonts w:cs="Times New Roman"/>
        </w:rPr>
        <w:t>O emissions – a bias primarily manifested through overestimation of daily fluxes - whereas the Base model underestimated cumulative N</w:t>
      </w:r>
      <w:r w:rsidRPr="00203EB0">
        <w:rPr>
          <w:rFonts w:cs="Times New Roman"/>
          <w:vertAlign w:val="subscript"/>
        </w:rPr>
        <w:t>2</w:t>
      </w:r>
      <w:r w:rsidRPr="00203EB0">
        <w:rPr>
          <w:rFonts w:cs="Times New Roman"/>
        </w:rPr>
        <w:t xml:space="preserve">O emissions by systematically underestimating hot-moment events. </w:t>
      </w:r>
    </w:p>
    <w:p w14:paraId="5E36BD66" w14:textId="77777777" w:rsidR="0055113B" w:rsidRPr="00203EB0" w:rsidRDefault="0055113B" w:rsidP="0055113B"/>
    <w:p w14:paraId="085911C2" w14:textId="53392E94" w:rsidR="005751D4" w:rsidRPr="00203EB0" w:rsidRDefault="0055113B"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r w:rsidRPr="00203EB0">
        <w:rPr>
          <w:rFonts w:cs="Times New Roman"/>
          <w:noProof/>
        </w:rPr>
        <w:drawing>
          <wp:inline distT="0" distB="0" distL="0" distR="0" wp14:anchorId="53BCCDA3" wp14:editId="0BCCDDA2">
            <wp:extent cx="5486400" cy="3281430"/>
            <wp:effectExtent l="0" t="0" r="0" b="0"/>
            <wp:docPr id="960315353" name="Imagen 960315353" descr="C:\Users\Facundo Lussich\Desktop\Research project\Random Forest\Manuscript\Script for Submission-After reviewers\Figures for paper HIGH Quality\Model cumulative predictions aver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cundo Lussich\Desktop\Research project\Random Forest\Manuscript\Script for Submission-After reviewers\Figures for paper HIGH Quality\Model cumulative predictions average.jpg"/>
                    <pic:cNvPicPr>
                      <a:picLocks noChangeAspect="1" noChangeArrowheads="1"/>
                    </pic:cNvPicPr>
                  </pic:nvPicPr>
                  <pic:blipFill>
                    <a:blip r:embed="rId47" cstate="hqprint">
                      <a:extLst>
                        <a:ext uri="{28A0092B-C50C-407E-A947-70E740481C1C}">
                          <a14:useLocalDpi xmlns:a14="http://schemas.microsoft.com/office/drawing/2010/main" val="0"/>
                        </a:ext>
                      </a:extLst>
                    </a:blip>
                    <a:srcRect/>
                    <a:stretch>
                      <a:fillRect/>
                    </a:stretch>
                  </pic:blipFill>
                  <pic:spPr bwMode="auto">
                    <a:xfrm>
                      <a:off x="0" y="0"/>
                      <a:ext cx="5486400" cy="3281430"/>
                    </a:xfrm>
                    <a:prstGeom prst="rect">
                      <a:avLst/>
                    </a:prstGeom>
                    <a:noFill/>
                    <a:ln>
                      <a:noFill/>
                    </a:ln>
                  </pic:spPr>
                </pic:pic>
              </a:graphicData>
            </a:graphic>
          </wp:inline>
        </w:drawing>
      </w:r>
    </w:p>
    <w:p w14:paraId="7F83F2B1" w14:textId="0C256C9C" w:rsidR="0055113B" w:rsidRPr="00203EB0" w:rsidRDefault="0055113B" w:rsidP="0055113B">
      <w:pPr>
        <w:tabs>
          <w:tab w:val="left" w:pos="8148"/>
        </w:tabs>
        <w:rPr>
          <w:rFonts w:cs="Times New Roman"/>
        </w:rPr>
      </w:pPr>
      <w:bookmarkStart w:id="141" w:name="_Toc206669289"/>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6</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9</w:t>
      </w:r>
      <w:r w:rsidR="00BD46F8" w:rsidRPr="00203EB0">
        <w:rPr>
          <w:b/>
          <w:bCs/>
        </w:rPr>
        <w:fldChar w:fldCharType="end"/>
      </w:r>
      <w:r w:rsidRPr="00203EB0">
        <w:t xml:space="preserve">: </w:t>
      </w:r>
      <w:r w:rsidRPr="00203EB0">
        <w:rPr>
          <w:rFonts w:cs="Times New Roman"/>
        </w:rPr>
        <w:t>Observed and model-predicted cumulative N</w:t>
      </w:r>
      <w:r w:rsidRPr="00203EB0">
        <w:rPr>
          <w:rFonts w:cs="Times New Roman"/>
          <w:vertAlign w:val="subscript"/>
        </w:rPr>
        <w:t>2</w:t>
      </w:r>
      <w:r w:rsidRPr="00203EB0">
        <w:rPr>
          <w:rFonts w:cs="Times New Roman"/>
        </w:rPr>
        <w:t>O emissions average across all treatments, based on the 2022 independent validation dataset.</w:t>
      </w:r>
      <w:bookmarkEnd w:id="141"/>
      <w:r w:rsidRPr="00203EB0">
        <w:rPr>
          <w:rFonts w:cs="Times New Roman"/>
        </w:rPr>
        <w:t xml:space="preserve"> </w:t>
      </w:r>
    </w:p>
    <w:p w14:paraId="3902B133" w14:textId="77777777" w:rsidR="00362D50" w:rsidRPr="00203EB0" w:rsidRDefault="00362D50" w:rsidP="0055113B">
      <w:pPr>
        <w:tabs>
          <w:tab w:val="left" w:pos="8148"/>
        </w:tabs>
        <w:rPr>
          <w:rFonts w:cs="Times New Roman"/>
        </w:rPr>
      </w:pPr>
    </w:p>
    <w:p w14:paraId="6CA4AFA0" w14:textId="0B389A74" w:rsidR="0055113B" w:rsidRPr="00203EB0" w:rsidRDefault="00362D50" w:rsidP="00C7095A">
      <w:pPr>
        <w:pStyle w:val="Caption"/>
        <w:jc w:val="center"/>
      </w:pPr>
      <w:r w:rsidRPr="00203EB0">
        <w:rPr>
          <w:noProof/>
        </w:rPr>
        <w:lastRenderedPageBreak/>
        <w:drawing>
          <wp:inline distT="0" distB="0" distL="0" distR="0" wp14:anchorId="158A1BDA" wp14:editId="1EC7C29A">
            <wp:extent cx="4914900" cy="7417282"/>
            <wp:effectExtent l="0" t="0" r="0" b="0"/>
            <wp:docPr id="2064196613" name="Imagen 2064196613" descr="C:\Users\Facundo Lussich\Desktop\Research project\Random Forest\Manuscript\Script for Submission-After reviewers\Figures for paper HIGH Quality\Cumulative per treat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cundo Lussich\Desktop\Research project\Random Forest\Manuscript\Script for Submission-After reviewers\Figures for paper HIGH Quality\Cumulative per treatment.jpg"/>
                    <pic:cNvPicPr>
                      <a:picLocks noChangeAspect="1" noChangeArrowheads="1"/>
                    </pic:cNvPicPr>
                  </pic:nvPicPr>
                  <pic:blipFill>
                    <a:blip r:embed="rId48" cstate="hqprint">
                      <a:extLst>
                        <a:ext uri="{28A0092B-C50C-407E-A947-70E740481C1C}">
                          <a14:useLocalDpi xmlns:a14="http://schemas.microsoft.com/office/drawing/2010/main" val="0"/>
                        </a:ext>
                      </a:extLst>
                    </a:blip>
                    <a:srcRect/>
                    <a:stretch>
                      <a:fillRect/>
                    </a:stretch>
                  </pic:blipFill>
                  <pic:spPr bwMode="auto">
                    <a:xfrm>
                      <a:off x="0" y="0"/>
                      <a:ext cx="4934167" cy="7446359"/>
                    </a:xfrm>
                    <a:prstGeom prst="rect">
                      <a:avLst/>
                    </a:prstGeom>
                    <a:noFill/>
                    <a:ln>
                      <a:noFill/>
                    </a:ln>
                  </pic:spPr>
                </pic:pic>
              </a:graphicData>
            </a:graphic>
          </wp:inline>
        </w:drawing>
      </w:r>
    </w:p>
    <w:p w14:paraId="476470DA" w14:textId="11F2C015" w:rsidR="00362D50" w:rsidRPr="00203EB0" w:rsidRDefault="00362D50" w:rsidP="00001ABC">
      <w:pPr>
        <w:pStyle w:val="Caption"/>
        <w:rPr>
          <w:b/>
          <w:bCs/>
        </w:rPr>
      </w:pPr>
      <w:bookmarkStart w:id="142" w:name="_Toc206669290"/>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6</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10</w:t>
      </w:r>
      <w:r w:rsidR="00BD46F8" w:rsidRPr="00203EB0">
        <w:rPr>
          <w:b/>
          <w:bCs/>
        </w:rPr>
        <w:fldChar w:fldCharType="end"/>
      </w:r>
      <w:r w:rsidRPr="00203EB0">
        <w:rPr>
          <w:b/>
          <w:bCs/>
        </w:rPr>
        <w:t>:</w:t>
      </w:r>
      <w:r w:rsidRPr="00203EB0">
        <w:t xml:space="preserve"> Observed and predicted cumulative N</w:t>
      </w:r>
      <w:r w:rsidRPr="00203EB0">
        <w:rPr>
          <w:vertAlign w:val="subscript"/>
        </w:rPr>
        <w:t>2</w:t>
      </w:r>
      <w:r w:rsidRPr="00203EB0">
        <w:t>O emissions by treatment, based on the 2022 independent validation dataset.</w:t>
      </w:r>
      <w:bookmarkEnd w:id="142"/>
    </w:p>
    <w:p w14:paraId="2A651455" w14:textId="77777777" w:rsidR="005751D4" w:rsidRPr="00203EB0" w:rsidRDefault="005751D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33AB113B" w14:textId="3E7DD224" w:rsidR="00362D50" w:rsidRPr="00203EB0" w:rsidRDefault="00362D50" w:rsidP="00362D50">
      <w:pPr>
        <w:spacing w:line="480" w:lineRule="auto"/>
        <w:rPr>
          <w:rFonts w:cs="Times New Roman"/>
        </w:rPr>
      </w:pPr>
      <w:r w:rsidRPr="00203EB0">
        <w:rPr>
          <w:rFonts w:cs="Times New Roman"/>
        </w:rPr>
        <w:t>Overall, the Class-Swap approach significantly reduced the MAPE between observed and predicted cumulative N</w:t>
      </w:r>
      <w:r w:rsidRPr="00203EB0">
        <w:rPr>
          <w:rFonts w:cs="Times New Roman"/>
          <w:vertAlign w:val="subscript"/>
        </w:rPr>
        <w:t>2</w:t>
      </w:r>
      <w:r w:rsidRPr="00203EB0">
        <w:rPr>
          <w:rFonts w:cs="Times New Roman"/>
        </w:rPr>
        <w:t>O emissions, regardless of whether measured or oversampled data were used, and across both training and independent datasets (</w:t>
      </w:r>
      <w:r w:rsidRPr="00203EB0">
        <w:rPr>
          <w:rFonts w:cs="Times New Roman"/>
          <w:b/>
          <w:bCs/>
        </w:rPr>
        <w:t xml:space="preserve">Table </w:t>
      </w:r>
      <w:r w:rsidR="00775F57" w:rsidRPr="00203EB0">
        <w:rPr>
          <w:rFonts w:cs="Times New Roman"/>
          <w:b/>
          <w:bCs/>
        </w:rPr>
        <w:t>6.5</w:t>
      </w:r>
      <w:r w:rsidRPr="00203EB0">
        <w:rPr>
          <w:rFonts w:cs="Times New Roman"/>
        </w:rPr>
        <w:t xml:space="preserve"> and </w:t>
      </w:r>
      <w:r w:rsidRPr="00203EB0">
        <w:rPr>
          <w:rFonts w:cs="Times New Roman"/>
          <w:b/>
          <w:bCs/>
        </w:rPr>
        <w:t xml:space="preserve">Table </w:t>
      </w:r>
      <w:r w:rsidR="00775F57" w:rsidRPr="00203EB0">
        <w:rPr>
          <w:rFonts w:cs="Times New Roman"/>
          <w:b/>
          <w:bCs/>
        </w:rPr>
        <w:t>6.6</w:t>
      </w:r>
      <w:r w:rsidRPr="00203EB0">
        <w:rPr>
          <w:rFonts w:cs="Times New Roman"/>
        </w:rPr>
        <w:t>). This approach reduced MAPE by 40-63% compared to the Base models. Using measured data (Base vs Class-Swap model), the Class-Swap model markedly improved predictions for N-fertilized treatments, where cumulative N</w:t>
      </w:r>
      <w:r w:rsidRPr="00203EB0">
        <w:rPr>
          <w:rFonts w:cs="Times New Roman"/>
          <w:vertAlign w:val="subscript"/>
        </w:rPr>
        <w:t>2</w:t>
      </w:r>
      <w:r w:rsidRPr="00203EB0">
        <w:rPr>
          <w:rFonts w:cs="Times New Roman"/>
        </w:rPr>
        <w:t>O emissions were high. Under the oversampling approach (Base-Over vs Class-Swap-Over model), Class-Swap models significantly enhanced predictions for treatments without N fertilizer, where cumulative N</w:t>
      </w:r>
      <w:r w:rsidRPr="00203EB0">
        <w:rPr>
          <w:rFonts w:cs="Times New Roman"/>
          <w:vertAlign w:val="subscript"/>
        </w:rPr>
        <w:t>2</w:t>
      </w:r>
      <w:r w:rsidRPr="00203EB0">
        <w:rPr>
          <w:rFonts w:cs="Times New Roman"/>
        </w:rPr>
        <w:t>O emissions were lower. Notably, the Class-Swap and Class-Swap-Over models exhibited similar performance in estimating cumulative N</w:t>
      </w:r>
      <w:r w:rsidRPr="00203EB0">
        <w:rPr>
          <w:rFonts w:cs="Times New Roman"/>
          <w:vertAlign w:val="subscript"/>
        </w:rPr>
        <w:t>2</w:t>
      </w:r>
      <w:r w:rsidRPr="00203EB0">
        <w:rPr>
          <w:rFonts w:cs="Times New Roman"/>
        </w:rPr>
        <w:t xml:space="preserve">O emissions. </w:t>
      </w:r>
    </w:p>
    <w:p w14:paraId="0758C7D7" w14:textId="77777777" w:rsidR="00775F57" w:rsidRPr="00203EB0" w:rsidRDefault="00775F57" w:rsidP="00001ABC">
      <w:pPr>
        <w:pStyle w:val="Caption"/>
        <w:sectPr w:rsidR="00775F57" w:rsidRPr="00203EB0" w:rsidSect="003C3A05">
          <w:pgSz w:w="12240" w:h="15840" w:code="1"/>
          <w:pgMar w:top="1440" w:right="1800" w:bottom="1872" w:left="1800" w:header="720" w:footer="1440" w:gutter="0"/>
          <w:pgNumType w:start="145"/>
          <w:cols w:space="720"/>
          <w:noEndnote/>
          <w:docGrid w:linePitch="360"/>
        </w:sectPr>
      </w:pPr>
    </w:p>
    <w:p w14:paraId="0CAD0904" w14:textId="20941248" w:rsidR="005751D4" w:rsidRPr="00203EB0" w:rsidRDefault="00775F57" w:rsidP="00001ABC">
      <w:pPr>
        <w:pStyle w:val="Caption"/>
      </w:pPr>
      <w:bookmarkStart w:id="143" w:name="_Toc206669233"/>
      <w:r w:rsidRPr="00203EB0">
        <w:rPr>
          <w:b/>
          <w:bCs/>
        </w:rPr>
        <w:lastRenderedPageBreak/>
        <w:t xml:space="preserve">Table </w:t>
      </w:r>
      <w:r w:rsidRPr="00203EB0">
        <w:rPr>
          <w:b/>
          <w:bCs/>
        </w:rPr>
        <w:fldChar w:fldCharType="begin"/>
      </w:r>
      <w:r w:rsidRPr="00203EB0">
        <w:rPr>
          <w:b/>
          <w:bCs/>
        </w:rPr>
        <w:instrText xml:space="preserve"> STYLEREF 1 \s </w:instrText>
      </w:r>
      <w:r w:rsidRPr="00203EB0">
        <w:rPr>
          <w:b/>
          <w:bCs/>
        </w:rPr>
        <w:fldChar w:fldCharType="separate"/>
      </w:r>
      <w:r w:rsidR="00D56363" w:rsidRPr="00203EB0">
        <w:rPr>
          <w:b/>
          <w:bCs/>
        </w:rPr>
        <w:t>6</w:t>
      </w:r>
      <w:r w:rsidRPr="00203EB0">
        <w:rPr>
          <w:b/>
          <w:bCs/>
        </w:rPr>
        <w:fldChar w:fldCharType="end"/>
      </w:r>
      <w:r w:rsidRPr="00203EB0">
        <w:rPr>
          <w:b/>
          <w:bCs/>
        </w:rPr>
        <w:t>.</w:t>
      </w:r>
      <w:r w:rsidRPr="00203EB0">
        <w:rPr>
          <w:b/>
          <w:bCs/>
        </w:rPr>
        <w:fldChar w:fldCharType="begin"/>
      </w:r>
      <w:r w:rsidRPr="00203EB0">
        <w:rPr>
          <w:b/>
          <w:bCs/>
        </w:rPr>
        <w:instrText xml:space="preserve"> SEQ Table \* ARABIC \s 1 </w:instrText>
      </w:r>
      <w:r w:rsidRPr="00203EB0">
        <w:rPr>
          <w:b/>
          <w:bCs/>
        </w:rPr>
        <w:fldChar w:fldCharType="separate"/>
      </w:r>
      <w:r w:rsidR="00D56363" w:rsidRPr="00203EB0">
        <w:rPr>
          <w:b/>
          <w:bCs/>
        </w:rPr>
        <w:t>5</w:t>
      </w:r>
      <w:r w:rsidRPr="00203EB0">
        <w:rPr>
          <w:b/>
          <w:bCs/>
        </w:rPr>
        <w:fldChar w:fldCharType="end"/>
      </w:r>
      <w:r w:rsidRPr="00203EB0">
        <w:rPr>
          <w:b/>
          <w:bCs/>
        </w:rPr>
        <w:t>:</w:t>
      </w:r>
      <w:r w:rsidRPr="00203EB0">
        <w:t xml:space="preserve"> Observed and predicted cumulative N</w:t>
      </w:r>
      <w:r w:rsidRPr="00203EB0">
        <w:rPr>
          <w:vertAlign w:val="subscript"/>
        </w:rPr>
        <w:t>2</w:t>
      </w:r>
      <w:r w:rsidRPr="00203EB0">
        <w:t>O emissions by treatment, based on the 2023 training dataset.</w:t>
      </w:r>
      <w:bookmarkEnd w:id="143"/>
    </w:p>
    <w:tbl>
      <w:tblPr>
        <w:tblStyle w:val="TableGrid"/>
        <w:tblpPr w:leftFromText="180" w:rightFromText="180" w:horzAnchor="margin" w:tblpY="5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4"/>
        <w:gridCol w:w="1267"/>
        <w:gridCol w:w="1267"/>
        <w:gridCol w:w="1196"/>
        <w:gridCol w:w="1267"/>
        <w:gridCol w:w="1197"/>
        <w:gridCol w:w="1268"/>
        <w:gridCol w:w="1197"/>
        <w:gridCol w:w="1268"/>
        <w:gridCol w:w="1197"/>
      </w:tblGrid>
      <w:tr w:rsidR="00775F57" w:rsidRPr="00203EB0" w14:paraId="7A5D4F1D" w14:textId="77777777" w:rsidTr="00C17D6E">
        <w:tc>
          <w:tcPr>
            <w:tcW w:w="1403" w:type="dxa"/>
            <w:vMerge w:val="restart"/>
            <w:tcBorders>
              <w:top w:val="single" w:sz="4" w:space="0" w:color="auto"/>
            </w:tcBorders>
            <w:vAlign w:val="center"/>
          </w:tcPr>
          <w:p w14:paraId="3FC55DC7" w14:textId="77777777" w:rsidR="00775F57" w:rsidRPr="00203EB0" w:rsidRDefault="00775F57" w:rsidP="00C17D6E">
            <w:pPr>
              <w:tabs>
                <w:tab w:val="left" w:pos="8148"/>
              </w:tabs>
              <w:jc w:val="center"/>
              <w:rPr>
                <w:rFonts w:cs="Times New Roman"/>
                <w:b/>
              </w:rPr>
            </w:pPr>
            <w:r w:rsidRPr="00203EB0">
              <w:rPr>
                <w:rFonts w:cs="Times New Roman"/>
                <w:b/>
              </w:rPr>
              <w:t>Treatments</w:t>
            </w:r>
          </w:p>
        </w:tc>
        <w:tc>
          <w:tcPr>
            <w:tcW w:w="11605" w:type="dxa"/>
            <w:gridSpan w:val="9"/>
            <w:tcBorders>
              <w:top w:val="single" w:sz="4" w:space="0" w:color="auto"/>
              <w:bottom w:val="single" w:sz="4" w:space="0" w:color="auto"/>
            </w:tcBorders>
            <w:vAlign w:val="center"/>
          </w:tcPr>
          <w:p w14:paraId="11AB7968" w14:textId="77777777" w:rsidR="00775F57" w:rsidRPr="00203EB0" w:rsidRDefault="00775F57" w:rsidP="00C17D6E">
            <w:pPr>
              <w:tabs>
                <w:tab w:val="left" w:pos="8148"/>
              </w:tabs>
              <w:jc w:val="center"/>
              <w:rPr>
                <w:rFonts w:cs="Times New Roman"/>
                <w:b/>
              </w:rPr>
            </w:pPr>
            <w:r w:rsidRPr="00203EB0">
              <w:rPr>
                <w:rFonts w:cs="Times New Roman"/>
                <w:b/>
              </w:rPr>
              <w:t>Models- Train Dataset</w:t>
            </w:r>
          </w:p>
        </w:tc>
      </w:tr>
      <w:tr w:rsidR="00775F57" w:rsidRPr="005F34C8" w14:paraId="611E6061" w14:textId="77777777" w:rsidTr="00C17D6E">
        <w:tc>
          <w:tcPr>
            <w:tcW w:w="1403" w:type="dxa"/>
            <w:vMerge/>
          </w:tcPr>
          <w:p w14:paraId="68B0FE8C" w14:textId="77777777" w:rsidR="00775F57" w:rsidRPr="00203EB0" w:rsidRDefault="00775F57" w:rsidP="00C17D6E">
            <w:pPr>
              <w:tabs>
                <w:tab w:val="left" w:pos="8148"/>
              </w:tabs>
              <w:rPr>
                <w:rFonts w:cs="Times New Roman"/>
              </w:rPr>
            </w:pPr>
          </w:p>
        </w:tc>
        <w:tc>
          <w:tcPr>
            <w:tcW w:w="11605" w:type="dxa"/>
            <w:gridSpan w:val="9"/>
            <w:tcBorders>
              <w:top w:val="single" w:sz="4" w:space="0" w:color="auto"/>
              <w:bottom w:val="single" w:sz="4" w:space="0" w:color="auto"/>
            </w:tcBorders>
            <w:vAlign w:val="center"/>
          </w:tcPr>
          <w:p w14:paraId="69223A2B" w14:textId="5A0B202B" w:rsidR="00775F57" w:rsidRPr="00622616" w:rsidRDefault="00775F57" w:rsidP="00C17D6E">
            <w:pPr>
              <w:jc w:val="center"/>
              <w:rPr>
                <w:rFonts w:cs="Times New Roman"/>
                <w:b/>
                <w:color w:val="000000"/>
                <w:lang w:val="es-UY"/>
              </w:rPr>
            </w:pPr>
            <w:r w:rsidRPr="00622616">
              <w:rPr>
                <w:rFonts w:cs="Times New Roman"/>
                <w:b/>
                <w:color w:val="000000"/>
                <w:lang w:val="es-UY"/>
              </w:rPr>
              <w:t>Cumulative N</w:t>
            </w:r>
            <w:r w:rsidRPr="00622616">
              <w:rPr>
                <w:rFonts w:cs="Times New Roman"/>
                <w:b/>
                <w:color w:val="000000"/>
                <w:vertAlign w:val="subscript"/>
                <w:lang w:val="es-UY"/>
              </w:rPr>
              <w:t>2</w:t>
            </w:r>
            <w:r w:rsidRPr="00622616">
              <w:rPr>
                <w:rFonts w:cs="Times New Roman"/>
                <w:b/>
                <w:color w:val="000000"/>
                <w:lang w:val="es-UY"/>
              </w:rPr>
              <w:t xml:space="preserve">O </w:t>
            </w:r>
            <w:proofErr w:type="spellStart"/>
            <w:r w:rsidRPr="00622616">
              <w:rPr>
                <w:rFonts w:cs="Times New Roman"/>
                <w:b/>
                <w:color w:val="000000"/>
                <w:lang w:val="es-UY"/>
              </w:rPr>
              <w:t>emissions</w:t>
            </w:r>
            <w:proofErr w:type="spellEnd"/>
            <w:r w:rsidRPr="00622616">
              <w:rPr>
                <w:rFonts w:cs="Times New Roman"/>
                <w:b/>
                <w:color w:val="000000"/>
                <w:lang w:val="es-UY"/>
              </w:rPr>
              <w:t xml:space="preserve"> (g N</w:t>
            </w:r>
            <w:r w:rsidRPr="00622616">
              <w:rPr>
                <w:rFonts w:cs="Times New Roman"/>
                <w:b/>
                <w:color w:val="000000"/>
                <w:vertAlign w:val="subscript"/>
                <w:lang w:val="es-UY"/>
              </w:rPr>
              <w:t>2</w:t>
            </w:r>
            <w:r w:rsidRPr="00622616">
              <w:rPr>
                <w:rFonts w:cs="Times New Roman"/>
                <w:b/>
                <w:color w:val="000000"/>
                <w:lang w:val="es-UY"/>
              </w:rPr>
              <w:t>O-N ha</w:t>
            </w:r>
            <w:r w:rsidRPr="00622616">
              <w:rPr>
                <w:rFonts w:cs="Times New Roman"/>
                <w:b/>
                <w:color w:val="000000"/>
                <w:vertAlign w:val="superscript"/>
                <w:lang w:val="es-UY"/>
              </w:rPr>
              <w:t>-1</w:t>
            </w:r>
            <w:r w:rsidRPr="00622616">
              <w:rPr>
                <w:rFonts w:cs="Times New Roman"/>
                <w:b/>
                <w:color w:val="000000"/>
                <w:lang w:val="es-UY"/>
              </w:rPr>
              <w:t>)</w:t>
            </w:r>
          </w:p>
        </w:tc>
      </w:tr>
      <w:tr w:rsidR="00775F57" w:rsidRPr="00203EB0" w14:paraId="40A89A16" w14:textId="77777777" w:rsidTr="00C17D6E">
        <w:tc>
          <w:tcPr>
            <w:tcW w:w="1403" w:type="dxa"/>
            <w:vMerge/>
          </w:tcPr>
          <w:p w14:paraId="6564647E" w14:textId="77777777" w:rsidR="00775F57" w:rsidRPr="00622616" w:rsidRDefault="00775F57" w:rsidP="00C17D6E">
            <w:pPr>
              <w:tabs>
                <w:tab w:val="left" w:pos="8148"/>
              </w:tabs>
              <w:rPr>
                <w:rFonts w:cs="Times New Roman"/>
                <w:lang w:val="es-UY"/>
              </w:rPr>
            </w:pPr>
          </w:p>
        </w:tc>
        <w:tc>
          <w:tcPr>
            <w:tcW w:w="1288" w:type="dxa"/>
            <w:vAlign w:val="center"/>
          </w:tcPr>
          <w:p w14:paraId="57702E42" w14:textId="77777777" w:rsidR="00775F57" w:rsidRPr="00622616" w:rsidRDefault="00775F57" w:rsidP="00C17D6E">
            <w:pPr>
              <w:tabs>
                <w:tab w:val="left" w:pos="8148"/>
              </w:tabs>
              <w:rPr>
                <w:rFonts w:cs="Times New Roman"/>
                <w:b/>
                <w:lang w:val="es-UY"/>
              </w:rPr>
            </w:pPr>
          </w:p>
        </w:tc>
        <w:tc>
          <w:tcPr>
            <w:tcW w:w="2578" w:type="dxa"/>
            <w:gridSpan w:val="2"/>
            <w:tcBorders>
              <w:bottom w:val="single" w:sz="4" w:space="0" w:color="auto"/>
            </w:tcBorders>
            <w:vAlign w:val="center"/>
          </w:tcPr>
          <w:p w14:paraId="05AB76D1" w14:textId="77777777" w:rsidR="00775F57" w:rsidRPr="00203EB0" w:rsidRDefault="00775F57" w:rsidP="00C17D6E">
            <w:pPr>
              <w:tabs>
                <w:tab w:val="left" w:pos="8148"/>
              </w:tabs>
              <w:jc w:val="center"/>
              <w:rPr>
                <w:rFonts w:cs="Times New Roman"/>
                <w:b/>
              </w:rPr>
            </w:pPr>
            <w:r w:rsidRPr="00203EB0">
              <w:rPr>
                <w:rFonts w:cs="Times New Roman"/>
                <w:b/>
              </w:rPr>
              <w:t>Base</w:t>
            </w:r>
          </w:p>
        </w:tc>
        <w:tc>
          <w:tcPr>
            <w:tcW w:w="2579" w:type="dxa"/>
            <w:gridSpan w:val="2"/>
            <w:tcBorders>
              <w:top w:val="single" w:sz="4" w:space="0" w:color="auto"/>
              <w:bottom w:val="single" w:sz="4" w:space="0" w:color="auto"/>
            </w:tcBorders>
            <w:vAlign w:val="center"/>
          </w:tcPr>
          <w:p w14:paraId="1DF9E56D" w14:textId="77777777" w:rsidR="00775F57" w:rsidRPr="00203EB0" w:rsidRDefault="00775F57" w:rsidP="00C17D6E">
            <w:pPr>
              <w:tabs>
                <w:tab w:val="left" w:pos="8148"/>
              </w:tabs>
              <w:jc w:val="center"/>
              <w:rPr>
                <w:rFonts w:cs="Times New Roman"/>
                <w:b/>
              </w:rPr>
            </w:pPr>
            <w:r w:rsidRPr="00203EB0">
              <w:rPr>
                <w:rFonts w:cs="Times New Roman"/>
                <w:b/>
              </w:rPr>
              <w:t>Class-Swap</w:t>
            </w:r>
          </w:p>
        </w:tc>
        <w:tc>
          <w:tcPr>
            <w:tcW w:w="2580" w:type="dxa"/>
            <w:gridSpan w:val="2"/>
            <w:tcBorders>
              <w:top w:val="single" w:sz="4" w:space="0" w:color="auto"/>
              <w:bottom w:val="single" w:sz="4" w:space="0" w:color="auto"/>
            </w:tcBorders>
            <w:vAlign w:val="center"/>
          </w:tcPr>
          <w:p w14:paraId="16E3549A" w14:textId="77777777" w:rsidR="00775F57" w:rsidRPr="00203EB0" w:rsidRDefault="00775F57" w:rsidP="00C17D6E">
            <w:pPr>
              <w:tabs>
                <w:tab w:val="left" w:pos="8148"/>
              </w:tabs>
              <w:jc w:val="center"/>
              <w:rPr>
                <w:rFonts w:cs="Times New Roman"/>
                <w:b/>
              </w:rPr>
            </w:pPr>
            <w:r w:rsidRPr="00203EB0">
              <w:rPr>
                <w:rFonts w:cs="Times New Roman"/>
                <w:b/>
              </w:rPr>
              <w:t>Base-Over</w:t>
            </w:r>
          </w:p>
        </w:tc>
        <w:tc>
          <w:tcPr>
            <w:tcW w:w="2580" w:type="dxa"/>
            <w:gridSpan w:val="2"/>
            <w:tcBorders>
              <w:top w:val="single" w:sz="4" w:space="0" w:color="auto"/>
              <w:bottom w:val="single" w:sz="4" w:space="0" w:color="auto"/>
            </w:tcBorders>
            <w:vAlign w:val="center"/>
          </w:tcPr>
          <w:p w14:paraId="2A314ECB" w14:textId="77777777" w:rsidR="00775F57" w:rsidRPr="00203EB0" w:rsidRDefault="00775F57" w:rsidP="00C17D6E">
            <w:pPr>
              <w:tabs>
                <w:tab w:val="left" w:pos="8148"/>
              </w:tabs>
              <w:jc w:val="center"/>
              <w:rPr>
                <w:rFonts w:cs="Times New Roman"/>
                <w:b/>
              </w:rPr>
            </w:pPr>
            <w:r w:rsidRPr="00203EB0">
              <w:rPr>
                <w:rFonts w:cs="Times New Roman"/>
                <w:b/>
              </w:rPr>
              <w:t>Class-Swap-Over</w:t>
            </w:r>
          </w:p>
        </w:tc>
      </w:tr>
      <w:tr w:rsidR="00775F57" w:rsidRPr="00203EB0" w14:paraId="02A8B7B0" w14:textId="77777777" w:rsidTr="00C17D6E">
        <w:tc>
          <w:tcPr>
            <w:tcW w:w="1403" w:type="dxa"/>
            <w:vMerge/>
            <w:tcBorders>
              <w:top w:val="single" w:sz="4" w:space="0" w:color="auto"/>
              <w:bottom w:val="single" w:sz="4" w:space="0" w:color="auto"/>
            </w:tcBorders>
          </w:tcPr>
          <w:p w14:paraId="1F2C1DC1" w14:textId="77777777" w:rsidR="00775F57" w:rsidRPr="00203EB0" w:rsidRDefault="00775F57" w:rsidP="00C17D6E">
            <w:pPr>
              <w:tabs>
                <w:tab w:val="left" w:pos="8148"/>
              </w:tabs>
              <w:rPr>
                <w:rFonts w:cs="Times New Roman"/>
              </w:rPr>
            </w:pPr>
          </w:p>
        </w:tc>
        <w:tc>
          <w:tcPr>
            <w:tcW w:w="1288" w:type="dxa"/>
            <w:tcBorders>
              <w:bottom w:val="single" w:sz="4" w:space="0" w:color="auto"/>
            </w:tcBorders>
            <w:vAlign w:val="center"/>
          </w:tcPr>
          <w:p w14:paraId="7A7E2DD5" w14:textId="77777777" w:rsidR="00775F57" w:rsidRPr="00203EB0" w:rsidRDefault="00775F57" w:rsidP="00C17D6E">
            <w:pPr>
              <w:tabs>
                <w:tab w:val="left" w:pos="8148"/>
              </w:tabs>
              <w:jc w:val="center"/>
              <w:rPr>
                <w:rFonts w:cs="Times New Roman"/>
                <w:b/>
              </w:rPr>
            </w:pPr>
            <w:r w:rsidRPr="00203EB0">
              <w:rPr>
                <w:rFonts w:cs="Times New Roman"/>
                <w:b/>
              </w:rPr>
              <w:t>Observed</w:t>
            </w:r>
          </w:p>
        </w:tc>
        <w:tc>
          <w:tcPr>
            <w:tcW w:w="1289" w:type="dxa"/>
            <w:tcBorders>
              <w:top w:val="single" w:sz="4" w:space="0" w:color="auto"/>
              <w:bottom w:val="single" w:sz="4" w:space="0" w:color="auto"/>
            </w:tcBorders>
            <w:vAlign w:val="center"/>
          </w:tcPr>
          <w:p w14:paraId="55B13179" w14:textId="77777777" w:rsidR="00775F57" w:rsidRPr="00203EB0" w:rsidRDefault="00775F57" w:rsidP="00C17D6E">
            <w:pPr>
              <w:tabs>
                <w:tab w:val="left" w:pos="8148"/>
              </w:tabs>
              <w:jc w:val="center"/>
              <w:rPr>
                <w:rFonts w:cs="Times New Roman"/>
                <w:b/>
              </w:rPr>
            </w:pPr>
            <w:r w:rsidRPr="00203EB0">
              <w:rPr>
                <w:rFonts w:cs="Times New Roman"/>
                <w:b/>
              </w:rPr>
              <w:t>Predicted</w:t>
            </w:r>
          </w:p>
        </w:tc>
        <w:tc>
          <w:tcPr>
            <w:tcW w:w="1289" w:type="dxa"/>
            <w:tcBorders>
              <w:top w:val="single" w:sz="4" w:space="0" w:color="auto"/>
              <w:bottom w:val="single" w:sz="4" w:space="0" w:color="auto"/>
            </w:tcBorders>
            <w:vAlign w:val="center"/>
          </w:tcPr>
          <w:p w14:paraId="09C3DAC8" w14:textId="77777777" w:rsidR="00775F57" w:rsidRPr="00203EB0" w:rsidRDefault="00775F57" w:rsidP="00C17D6E">
            <w:pPr>
              <w:tabs>
                <w:tab w:val="left" w:pos="8148"/>
              </w:tabs>
              <w:jc w:val="center"/>
              <w:rPr>
                <w:rFonts w:cs="Times New Roman"/>
                <w:b/>
              </w:rPr>
            </w:pPr>
            <w:r w:rsidRPr="00203EB0">
              <w:rPr>
                <w:rFonts w:cs="Times New Roman"/>
                <w:b/>
              </w:rPr>
              <w:t>MAPE</w:t>
            </w:r>
          </w:p>
        </w:tc>
        <w:tc>
          <w:tcPr>
            <w:tcW w:w="1289" w:type="dxa"/>
            <w:tcBorders>
              <w:top w:val="single" w:sz="4" w:space="0" w:color="auto"/>
              <w:bottom w:val="single" w:sz="4" w:space="0" w:color="auto"/>
            </w:tcBorders>
            <w:vAlign w:val="center"/>
          </w:tcPr>
          <w:p w14:paraId="39ACECBE" w14:textId="77777777" w:rsidR="00775F57" w:rsidRPr="00203EB0" w:rsidRDefault="00775F57" w:rsidP="00C17D6E">
            <w:pPr>
              <w:tabs>
                <w:tab w:val="left" w:pos="8148"/>
              </w:tabs>
              <w:jc w:val="center"/>
              <w:rPr>
                <w:rFonts w:cs="Times New Roman"/>
                <w:b/>
              </w:rPr>
            </w:pPr>
            <w:r w:rsidRPr="00203EB0">
              <w:rPr>
                <w:rFonts w:cs="Times New Roman"/>
                <w:b/>
              </w:rPr>
              <w:t>Predicted</w:t>
            </w:r>
          </w:p>
        </w:tc>
        <w:tc>
          <w:tcPr>
            <w:tcW w:w="1290" w:type="dxa"/>
            <w:tcBorders>
              <w:top w:val="single" w:sz="4" w:space="0" w:color="auto"/>
              <w:bottom w:val="single" w:sz="4" w:space="0" w:color="auto"/>
            </w:tcBorders>
            <w:vAlign w:val="center"/>
          </w:tcPr>
          <w:p w14:paraId="3A0316CE" w14:textId="77777777" w:rsidR="00775F57" w:rsidRPr="00203EB0" w:rsidRDefault="00775F57" w:rsidP="00C17D6E">
            <w:pPr>
              <w:tabs>
                <w:tab w:val="left" w:pos="8148"/>
              </w:tabs>
              <w:jc w:val="center"/>
              <w:rPr>
                <w:rFonts w:cs="Times New Roman"/>
                <w:b/>
              </w:rPr>
            </w:pPr>
            <w:r w:rsidRPr="00203EB0">
              <w:rPr>
                <w:rFonts w:cs="Times New Roman"/>
                <w:b/>
              </w:rPr>
              <w:t>MAPE</w:t>
            </w:r>
          </w:p>
        </w:tc>
        <w:tc>
          <w:tcPr>
            <w:tcW w:w="1290" w:type="dxa"/>
            <w:tcBorders>
              <w:top w:val="single" w:sz="4" w:space="0" w:color="auto"/>
              <w:bottom w:val="single" w:sz="4" w:space="0" w:color="auto"/>
            </w:tcBorders>
            <w:vAlign w:val="center"/>
          </w:tcPr>
          <w:p w14:paraId="238EB840" w14:textId="77777777" w:rsidR="00775F57" w:rsidRPr="00203EB0" w:rsidRDefault="00775F57" w:rsidP="00C17D6E">
            <w:pPr>
              <w:tabs>
                <w:tab w:val="left" w:pos="8148"/>
              </w:tabs>
              <w:jc w:val="center"/>
              <w:rPr>
                <w:rFonts w:cs="Times New Roman"/>
                <w:b/>
              </w:rPr>
            </w:pPr>
            <w:r w:rsidRPr="00203EB0">
              <w:rPr>
                <w:rFonts w:cs="Times New Roman"/>
                <w:b/>
              </w:rPr>
              <w:t>Predicted</w:t>
            </w:r>
          </w:p>
        </w:tc>
        <w:tc>
          <w:tcPr>
            <w:tcW w:w="1290" w:type="dxa"/>
            <w:tcBorders>
              <w:top w:val="single" w:sz="4" w:space="0" w:color="auto"/>
              <w:bottom w:val="single" w:sz="4" w:space="0" w:color="auto"/>
            </w:tcBorders>
            <w:vAlign w:val="center"/>
          </w:tcPr>
          <w:p w14:paraId="353F39CE" w14:textId="77777777" w:rsidR="00775F57" w:rsidRPr="00203EB0" w:rsidRDefault="00775F57" w:rsidP="00C17D6E">
            <w:pPr>
              <w:tabs>
                <w:tab w:val="left" w:pos="8148"/>
              </w:tabs>
              <w:jc w:val="center"/>
              <w:rPr>
                <w:rFonts w:cs="Times New Roman"/>
                <w:b/>
              </w:rPr>
            </w:pPr>
            <w:r w:rsidRPr="00203EB0">
              <w:rPr>
                <w:rFonts w:cs="Times New Roman"/>
                <w:b/>
              </w:rPr>
              <w:t>MAPE</w:t>
            </w:r>
          </w:p>
        </w:tc>
        <w:tc>
          <w:tcPr>
            <w:tcW w:w="1290" w:type="dxa"/>
            <w:tcBorders>
              <w:top w:val="single" w:sz="4" w:space="0" w:color="auto"/>
              <w:bottom w:val="single" w:sz="4" w:space="0" w:color="auto"/>
            </w:tcBorders>
            <w:vAlign w:val="center"/>
          </w:tcPr>
          <w:p w14:paraId="55996369" w14:textId="77777777" w:rsidR="00775F57" w:rsidRPr="00203EB0" w:rsidRDefault="00775F57" w:rsidP="00C17D6E">
            <w:pPr>
              <w:tabs>
                <w:tab w:val="left" w:pos="8148"/>
              </w:tabs>
              <w:jc w:val="center"/>
              <w:rPr>
                <w:rFonts w:cs="Times New Roman"/>
                <w:b/>
              </w:rPr>
            </w:pPr>
            <w:r w:rsidRPr="00203EB0">
              <w:rPr>
                <w:rFonts w:cs="Times New Roman"/>
                <w:b/>
              </w:rPr>
              <w:t>Predicted</w:t>
            </w:r>
          </w:p>
        </w:tc>
        <w:tc>
          <w:tcPr>
            <w:tcW w:w="1290" w:type="dxa"/>
            <w:tcBorders>
              <w:top w:val="single" w:sz="4" w:space="0" w:color="auto"/>
              <w:bottom w:val="single" w:sz="4" w:space="0" w:color="auto"/>
            </w:tcBorders>
            <w:vAlign w:val="center"/>
          </w:tcPr>
          <w:p w14:paraId="7887893C" w14:textId="77777777" w:rsidR="00775F57" w:rsidRPr="00203EB0" w:rsidRDefault="00775F57" w:rsidP="00C17D6E">
            <w:pPr>
              <w:tabs>
                <w:tab w:val="left" w:pos="8148"/>
              </w:tabs>
              <w:jc w:val="center"/>
              <w:rPr>
                <w:rFonts w:cs="Times New Roman"/>
                <w:b/>
              </w:rPr>
            </w:pPr>
            <w:r w:rsidRPr="00203EB0">
              <w:rPr>
                <w:rFonts w:cs="Times New Roman"/>
                <w:b/>
              </w:rPr>
              <w:t>MAPE</w:t>
            </w:r>
          </w:p>
        </w:tc>
      </w:tr>
      <w:tr w:rsidR="00775F57" w:rsidRPr="00203EB0" w14:paraId="3583FB87" w14:textId="77777777" w:rsidTr="00C17D6E">
        <w:tc>
          <w:tcPr>
            <w:tcW w:w="1403" w:type="dxa"/>
            <w:tcBorders>
              <w:top w:val="single" w:sz="4" w:space="0" w:color="auto"/>
            </w:tcBorders>
          </w:tcPr>
          <w:p w14:paraId="1D9B9C34" w14:textId="77777777" w:rsidR="00775F57" w:rsidRPr="00203EB0" w:rsidRDefault="00775F57" w:rsidP="00C17D6E">
            <w:pPr>
              <w:tabs>
                <w:tab w:val="left" w:pos="8148"/>
              </w:tabs>
              <w:rPr>
                <w:rFonts w:cs="Times New Roman"/>
              </w:rPr>
            </w:pPr>
            <w:r w:rsidRPr="00203EB0">
              <w:rPr>
                <w:rFonts w:cs="Times New Roman"/>
              </w:rPr>
              <w:t>CT-NC-0</w:t>
            </w:r>
          </w:p>
        </w:tc>
        <w:tc>
          <w:tcPr>
            <w:tcW w:w="1288" w:type="dxa"/>
            <w:tcBorders>
              <w:top w:val="single" w:sz="4" w:space="0" w:color="auto"/>
            </w:tcBorders>
            <w:vAlign w:val="center"/>
          </w:tcPr>
          <w:p w14:paraId="75C43262" w14:textId="77777777" w:rsidR="00775F57" w:rsidRPr="00203EB0" w:rsidRDefault="00775F57" w:rsidP="00C17D6E">
            <w:pPr>
              <w:tabs>
                <w:tab w:val="left" w:pos="8148"/>
              </w:tabs>
              <w:jc w:val="center"/>
              <w:rPr>
                <w:rFonts w:cs="Times New Roman"/>
              </w:rPr>
            </w:pPr>
            <w:r w:rsidRPr="00203EB0">
              <w:rPr>
                <w:rFonts w:cs="Times New Roman"/>
              </w:rPr>
              <w:t>194</w:t>
            </w:r>
          </w:p>
        </w:tc>
        <w:tc>
          <w:tcPr>
            <w:tcW w:w="1289" w:type="dxa"/>
            <w:tcBorders>
              <w:top w:val="single" w:sz="4" w:space="0" w:color="auto"/>
            </w:tcBorders>
            <w:vAlign w:val="center"/>
          </w:tcPr>
          <w:p w14:paraId="02CDD2FD" w14:textId="77777777" w:rsidR="00775F57" w:rsidRPr="00203EB0" w:rsidRDefault="00775F57" w:rsidP="00C17D6E">
            <w:pPr>
              <w:tabs>
                <w:tab w:val="left" w:pos="8148"/>
              </w:tabs>
              <w:jc w:val="center"/>
              <w:rPr>
                <w:rFonts w:cs="Times New Roman"/>
              </w:rPr>
            </w:pPr>
            <w:r w:rsidRPr="00203EB0">
              <w:rPr>
                <w:rFonts w:cs="Times New Roman"/>
              </w:rPr>
              <w:t>392</w:t>
            </w:r>
          </w:p>
        </w:tc>
        <w:tc>
          <w:tcPr>
            <w:tcW w:w="1289" w:type="dxa"/>
            <w:tcBorders>
              <w:top w:val="single" w:sz="4" w:space="0" w:color="auto"/>
            </w:tcBorders>
            <w:vAlign w:val="center"/>
          </w:tcPr>
          <w:p w14:paraId="2D23F147" w14:textId="77777777" w:rsidR="00775F57" w:rsidRPr="00203EB0" w:rsidRDefault="00775F57" w:rsidP="00C17D6E">
            <w:pPr>
              <w:tabs>
                <w:tab w:val="left" w:pos="8148"/>
              </w:tabs>
              <w:jc w:val="center"/>
              <w:rPr>
                <w:rFonts w:cs="Times New Roman"/>
              </w:rPr>
            </w:pPr>
            <w:r w:rsidRPr="00203EB0">
              <w:rPr>
                <w:rFonts w:cs="Times New Roman"/>
              </w:rPr>
              <w:t>102</w:t>
            </w:r>
          </w:p>
        </w:tc>
        <w:tc>
          <w:tcPr>
            <w:tcW w:w="1289" w:type="dxa"/>
            <w:tcBorders>
              <w:top w:val="single" w:sz="4" w:space="0" w:color="auto"/>
            </w:tcBorders>
            <w:vAlign w:val="center"/>
          </w:tcPr>
          <w:p w14:paraId="56EC0191" w14:textId="77777777" w:rsidR="00775F57" w:rsidRPr="00203EB0" w:rsidRDefault="00775F57" w:rsidP="00C17D6E">
            <w:pPr>
              <w:tabs>
                <w:tab w:val="left" w:pos="8148"/>
              </w:tabs>
              <w:jc w:val="center"/>
              <w:rPr>
                <w:rFonts w:cs="Times New Roman"/>
              </w:rPr>
            </w:pPr>
            <w:r w:rsidRPr="00203EB0">
              <w:rPr>
                <w:rFonts w:cs="Times New Roman"/>
              </w:rPr>
              <w:t>234</w:t>
            </w:r>
          </w:p>
        </w:tc>
        <w:tc>
          <w:tcPr>
            <w:tcW w:w="1290" w:type="dxa"/>
            <w:tcBorders>
              <w:top w:val="single" w:sz="4" w:space="0" w:color="auto"/>
            </w:tcBorders>
            <w:vAlign w:val="center"/>
          </w:tcPr>
          <w:p w14:paraId="3705012D" w14:textId="77777777" w:rsidR="00775F57" w:rsidRPr="00203EB0" w:rsidRDefault="00775F57" w:rsidP="00C17D6E">
            <w:pPr>
              <w:tabs>
                <w:tab w:val="left" w:pos="8148"/>
              </w:tabs>
              <w:jc w:val="center"/>
              <w:rPr>
                <w:rFonts w:cs="Times New Roman"/>
              </w:rPr>
            </w:pPr>
            <w:r w:rsidRPr="00203EB0">
              <w:rPr>
                <w:rFonts w:cs="Times New Roman"/>
              </w:rPr>
              <w:t>21</w:t>
            </w:r>
          </w:p>
        </w:tc>
        <w:tc>
          <w:tcPr>
            <w:tcW w:w="1290" w:type="dxa"/>
            <w:tcBorders>
              <w:top w:val="single" w:sz="4" w:space="0" w:color="auto"/>
            </w:tcBorders>
            <w:vAlign w:val="center"/>
          </w:tcPr>
          <w:p w14:paraId="560AEB98" w14:textId="77777777" w:rsidR="00775F57" w:rsidRPr="00203EB0" w:rsidRDefault="00775F57" w:rsidP="00C17D6E">
            <w:pPr>
              <w:tabs>
                <w:tab w:val="left" w:pos="8148"/>
              </w:tabs>
              <w:jc w:val="center"/>
              <w:rPr>
                <w:rFonts w:cs="Times New Roman"/>
              </w:rPr>
            </w:pPr>
            <w:r w:rsidRPr="00203EB0">
              <w:rPr>
                <w:rFonts w:cs="Times New Roman"/>
              </w:rPr>
              <w:t>553</w:t>
            </w:r>
          </w:p>
        </w:tc>
        <w:tc>
          <w:tcPr>
            <w:tcW w:w="1290" w:type="dxa"/>
            <w:tcBorders>
              <w:top w:val="single" w:sz="4" w:space="0" w:color="auto"/>
            </w:tcBorders>
            <w:vAlign w:val="center"/>
          </w:tcPr>
          <w:p w14:paraId="7BFD14A9" w14:textId="77777777" w:rsidR="00775F57" w:rsidRPr="00203EB0" w:rsidRDefault="00775F57" w:rsidP="00C17D6E">
            <w:pPr>
              <w:tabs>
                <w:tab w:val="left" w:pos="8148"/>
              </w:tabs>
              <w:jc w:val="center"/>
              <w:rPr>
                <w:rFonts w:cs="Times New Roman"/>
              </w:rPr>
            </w:pPr>
            <w:r w:rsidRPr="00203EB0">
              <w:rPr>
                <w:rFonts w:cs="Times New Roman"/>
              </w:rPr>
              <w:t>185</w:t>
            </w:r>
          </w:p>
        </w:tc>
        <w:tc>
          <w:tcPr>
            <w:tcW w:w="1290" w:type="dxa"/>
            <w:tcBorders>
              <w:top w:val="single" w:sz="4" w:space="0" w:color="auto"/>
            </w:tcBorders>
            <w:vAlign w:val="center"/>
          </w:tcPr>
          <w:p w14:paraId="370E8D8F" w14:textId="77777777" w:rsidR="00775F57" w:rsidRPr="00203EB0" w:rsidRDefault="00775F57" w:rsidP="00C17D6E">
            <w:pPr>
              <w:tabs>
                <w:tab w:val="left" w:pos="8148"/>
              </w:tabs>
              <w:jc w:val="center"/>
              <w:rPr>
                <w:rFonts w:cs="Times New Roman"/>
              </w:rPr>
            </w:pPr>
            <w:r w:rsidRPr="00203EB0">
              <w:rPr>
                <w:rFonts w:cs="Times New Roman"/>
              </w:rPr>
              <w:t>239</w:t>
            </w:r>
          </w:p>
        </w:tc>
        <w:tc>
          <w:tcPr>
            <w:tcW w:w="1290" w:type="dxa"/>
            <w:tcBorders>
              <w:top w:val="single" w:sz="4" w:space="0" w:color="auto"/>
            </w:tcBorders>
            <w:vAlign w:val="center"/>
          </w:tcPr>
          <w:p w14:paraId="44596BA9" w14:textId="77777777" w:rsidR="00775F57" w:rsidRPr="00203EB0" w:rsidRDefault="00775F57" w:rsidP="00C17D6E">
            <w:pPr>
              <w:tabs>
                <w:tab w:val="left" w:pos="8148"/>
              </w:tabs>
              <w:jc w:val="center"/>
              <w:rPr>
                <w:rFonts w:cs="Times New Roman"/>
              </w:rPr>
            </w:pPr>
            <w:r w:rsidRPr="00203EB0">
              <w:rPr>
                <w:rFonts w:cs="Times New Roman"/>
              </w:rPr>
              <w:t>23</w:t>
            </w:r>
          </w:p>
        </w:tc>
      </w:tr>
      <w:tr w:rsidR="00775F57" w:rsidRPr="00203EB0" w14:paraId="14D1F92E" w14:textId="77777777" w:rsidTr="00C17D6E">
        <w:tc>
          <w:tcPr>
            <w:tcW w:w="1403" w:type="dxa"/>
          </w:tcPr>
          <w:p w14:paraId="2355284F" w14:textId="77777777" w:rsidR="00775F57" w:rsidRPr="00203EB0" w:rsidRDefault="00775F57" w:rsidP="00C17D6E">
            <w:pPr>
              <w:tabs>
                <w:tab w:val="left" w:pos="8148"/>
              </w:tabs>
              <w:rPr>
                <w:rFonts w:cs="Times New Roman"/>
              </w:rPr>
            </w:pPr>
            <w:r w:rsidRPr="00203EB0">
              <w:rPr>
                <w:rFonts w:cs="Times New Roman"/>
              </w:rPr>
              <w:t>CT-NC-70</w:t>
            </w:r>
          </w:p>
        </w:tc>
        <w:tc>
          <w:tcPr>
            <w:tcW w:w="1288" w:type="dxa"/>
            <w:vAlign w:val="center"/>
          </w:tcPr>
          <w:p w14:paraId="14F8365E" w14:textId="77777777" w:rsidR="00775F57" w:rsidRPr="00203EB0" w:rsidRDefault="00775F57" w:rsidP="00C17D6E">
            <w:pPr>
              <w:tabs>
                <w:tab w:val="left" w:pos="8148"/>
              </w:tabs>
              <w:jc w:val="center"/>
              <w:rPr>
                <w:rFonts w:cs="Times New Roman"/>
              </w:rPr>
            </w:pPr>
            <w:r w:rsidRPr="00203EB0">
              <w:rPr>
                <w:rFonts w:cs="Times New Roman"/>
              </w:rPr>
              <w:t>534</w:t>
            </w:r>
          </w:p>
        </w:tc>
        <w:tc>
          <w:tcPr>
            <w:tcW w:w="1289" w:type="dxa"/>
            <w:vAlign w:val="center"/>
          </w:tcPr>
          <w:p w14:paraId="114A7B8F" w14:textId="77777777" w:rsidR="00775F57" w:rsidRPr="00203EB0" w:rsidRDefault="00775F57" w:rsidP="00C17D6E">
            <w:pPr>
              <w:tabs>
                <w:tab w:val="left" w:pos="8148"/>
              </w:tabs>
              <w:jc w:val="center"/>
              <w:rPr>
                <w:rFonts w:cs="Times New Roman"/>
              </w:rPr>
            </w:pPr>
            <w:r w:rsidRPr="00203EB0">
              <w:rPr>
                <w:rFonts w:cs="Times New Roman"/>
              </w:rPr>
              <w:t>330</w:t>
            </w:r>
          </w:p>
        </w:tc>
        <w:tc>
          <w:tcPr>
            <w:tcW w:w="1289" w:type="dxa"/>
            <w:vAlign w:val="center"/>
          </w:tcPr>
          <w:p w14:paraId="7172D465" w14:textId="77777777" w:rsidR="00775F57" w:rsidRPr="00203EB0" w:rsidRDefault="00775F57" w:rsidP="00C17D6E">
            <w:pPr>
              <w:tabs>
                <w:tab w:val="left" w:pos="8148"/>
              </w:tabs>
              <w:jc w:val="center"/>
              <w:rPr>
                <w:rFonts w:cs="Times New Roman"/>
              </w:rPr>
            </w:pPr>
            <w:r w:rsidRPr="00203EB0">
              <w:rPr>
                <w:rFonts w:cs="Times New Roman"/>
              </w:rPr>
              <w:t>38</w:t>
            </w:r>
          </w:p>
        </w:tc>
        <w:tc>
          <w:tcPr>
            <w:tcW w:w="1289" w:type="dxa"/>
            <w:vAlign w:val="center"/>
          </w:tcPr>
          <w:p w14:paraId="5D4B106A" w14:textId="77777777" w:rsidR="00775F57" w:rsidRPr="00203EB0" w:rsidRDefault="00775F57" w:rsidP="00C17D6E">
            <w:pPr>
              <w:tabs>
                <w:tab w:val="left" w:pos="8148"/>
              </w:tabs>
              <w:jc w:val="center"/>
              <w:rPr>
                <w:rFonts w:cs="Times New Roman"/>
              </w:rPr>
            </w:pPr>
            <w:r w:rsidRPr="00203EB0">
              <w:rPr>
                <w:rFonts w:cs="Times New Roman"/>
              </w:rPr>
              <w:t>421</w:t>
            </w:r>
          </w:p>
        </w:tc>
        <w:tc>
          <w:tcPr>
            <w:tcW w:w="1290" w:type="dxa"/>
            <w:vAlign w:val="center"/>
          </w:tcPr>
          <w:p w14:paraId="23C197BD" w14:textId="77777777" w:rsidR="00775F57" w:rsidRPr="00203EB0" w:rsidRDefault="00775F57" w:rsidP="00C17D6E">
            <w:pPr>
              <w:tabs>
                <w:tab w:val="left" w:pos="8148"/>
              </w:tabs>
              <w:jc w:val="center"/>
              <w:rPr>
                <w:rFonts w:cs="Times New Roman"/>
              </w:rPr>
            </w:pPr>
            <w:r w:rsidRPr="00203EB0">
              <w:rPr>
                <w:rFonts w:cs="Times New Roman"/>
              </w:rPr>
              <w:t>21</w:t>
            </w:r>
          </w:p>
        </w:tc>
        <w:tc>
          <w:tcPr>
            <w:tcW w:w="1290" w:type="dxa"/>
            <w:vAlign w:val="center"/>
          </w:tcPr>
          <w:p w14:paraId="54E6F058" w14:textId="77777777" w:rsidR="00775F57" w:rsidRPr="00203EB0" w:rsidRDefault="00775F57" w:rsidP="00C17D6E">
            <w:pPr>
              <w:tabs>
                <w:tab w:val="left" w:pos="8148"/>
              </w:tabs>
              <w:jc w:val="center"/>
              <w:rPr>
                <w:rFonts w:cs="Times New Roman"/>
              </w:rPr>
            </w:pPr>
            <w:r w:rsidRPr="00203EB0">
              <w:rPr>
                <w:rFonts w:cs="Times New Roman"/>
              </w:rPr>
              <w:t>477</w:t>
            </w:r>
          </w:p>
        </w:tc>
        <w:tc>
          <w:tcPr>
            <w:tcW w:w="1290" w:type="dxa"/>
            <w:vAlign w:val="center"/>
          </w:tcPr>
          <w:p w14:paraId="3A9F5322" w14:textId="77777777" w:rsidR="00775F57" w:rsidRPr="00203EB0" w:rsidRDefault="00775F57" w:rsidP="00C17D6E">
            <w:pPr>
              <w:tabs>
                <w:tab w:val="left" w:pos="8148"/>
              </w:tabs>
              <w:jc w:val="center"/>
              <w:rPr>
                <w:rFonts w:cs="Times New Roman"/>
              </w:rPr>
            </w:pPr>
            <w:r w:rsidRPr="00203EB0">
              <w:rPr>
                <w:rFonts w:cs="Times New Roman"/>
              </w:rPr>
              <w:t>11</w:t>
            </w:r>
          </w:p>
        </w:tc>
        <w:tc>
          <w:tcPr>
            <w:tcW w:w="1290" w:type="dxa"/>
            <w:vAlign w:val="center"/>
          </w:tcPr>
          <w:p w14:paraId="0D45202A" w14:textId="77777777" w:rsidR="00775F57" w:rsidRPr="00203EB0" w:rsidRDefault="00775F57" w:rsidP="00C17D6E">
            <w:pPr>
              <w:tabs>
                <w:tab w:val="left" w:pos="8148"/>
              </w:tabs>
              <w:jc w:val="center"/>
              <w:rPr>
                <w:rFonts w:cs="Times New Roman"/>
              </w:rPr>
            </w:pPr>
            <w:r w:rsidRPr="00203EB0">
              <w:rPr>
                <w:rFonts w:cs="Times New Roman"/>
              </w:rPr>
              <w:t>395</w:t>
            </w:r>
          </w:p>
        </w:tc>
        <w:tc>
          <w:tcPr>
            <w:tcW w:w="1290" w:type="dxa"/>
            <w:vAlign w:val="center"/>
          </w:tcPr>
          <w:p w14:paraId="2FEF9272" w14:textId="77777777" w:rsidR="00775F57" w:rsidRPr="00203EB0" w:rsidRDefault="00775F57" w:rsidP="00C17D6E">
            <w:pPr>
              <w:tabs>
                <w:tab w:val="left" w:pos="8148"/>
              </w:tabs>
              <w:jc w:val="center"/>
              <w:rPr>
                <w:rFonts w:cs="Times New Roman"/>
              </w:rPr>
            </w:pPr>
            <w:r w:rsidRPr="00203EB0">
              <w:rPr>
                <w:rFonts w:cs="Times New Roman"/>
              </w:rPr>
              <w:t>26</w:t>
            </w:r>
          </w:p>
        </w:tc>
      </w:tr>
      <w:tr w:rsidR="00775F57" w:rsidRPr="00203EB0" w14:paraId="70975236" w14:textId="77777777" w:rsidTr="00C17D6E">
        <w:tc>
          <w:tcPr>
            <w:tcW w:w="1403" w:type="dxa"/>
          </w:tcPr>
          <w:p w14:paraId="5651246A" w14:textId="77777777" w:rsidR="00775F57" w:rsidRPr="00203EB0" w:rsidRDefault="00775F57" w:rsidP="00C17D6E">
            <w:pPr>
              <w:tabs>
                <w:tab w:val="left" w:pos="8148"/>
              </w:tabs>
              <w:rPr>
                <w:rFonts w:cs="Times New Roman"/>
              </w:rPr>
            </w:pPr>
            <w:r w:rsidRPr="00203EB0">
              <w:rPr>
                <w:rFonts w:cs="Times New Roman"/>
              </w:rPr>
              <w:t>CT-HV-0</w:t>
            </w:r>
          </w:p>
        </w:tc>
        <w:tc>
          <w:tcPr>
            <w:tcW w:w="1288" w:type="dxa"/>
            <w:vAlign w:val="center"/>
          </w:tcPr>
          <w:p w14:paraId="01EED406" w14:textId="77777777" w:rsidR="00775F57" w:rsidRPr="00203EB0" w:rsidRDefault="00775F57" w:rsidP="00C17D6E">
            <w:pPr>
              <w:tabs>
                <w:tab w:val="left" w:pos="8148"/>
              </w:tabs>
              <w:jc w:val="center"/>
              <w:rPr>
                <w:rFonts w:cs="Times New Roman"/>
              </w:rPr>
            </w:pPr>
            <w:r w:rsidRPr="00203EB0">
              <w:rPr>
                <w:rFonts w:cs="Times New Roman"/>
              </w:rPr>
              <w:t>95</w:t>
            </w:r>
          </w:p>
        </w:tc>
        <w:tc>
          <w:tcPr>
            <w:tcW w:w="1289" w:type="dxa"/>
            <w:vAlign w:val="center"/>
          </w:tcPr>
          <w:p w14:paraId="424891AB" w14:textId="77777777" w:rsidR="00775F57" w:rsidRPr="00203EB0" w:rsidRDefault="00775F57" w:rsidP="00C17D6E">
            <w:pPr>
              <w:tabs>
                <w:tab w:val="left" w:pos="8148"/>
              </w:tabs>
              <w:jc w:val="center"/>
              <w:rPr>
                <w:rFonts w:cs="Times New Roman"/>
              </w:rPr>
            </w:pPr>
            <w:r w:rsidRPr="00203EB0">
              <w:rPr>
                <w:rFonts w:cs="Times New Roman"/>
              </w:rPr>
              <w:t>446</w:t>
            </w:r>
          </w:p>
        </w:tc>
        <w:tc>
          <w:tcPr>
            <w:tcW w:w="1289" w:type="dxa"/>
            <w:vAlign w:val="center"/>
          </w:tcPr>
          <w:p w14:paraId="75091C65" w14:textId="77777777" w:rsidR="00775F57" w:rsidRPr="00203EB0" w:rsidRDefault="00775F57" w:rsidP="00C17D6E">
            <w:pPr>
              <w:tabs>
                <w:tab w:val="left" w:pos="8148"/>
              </w:tabs>
              <w:jc w:val="center"/>
              <w:rPr>
                <w:rFonts w:cs="Times New Roman"/>
              </w:rPr>
            </w:pPr>
            <w:r w:rsidRPr="00203EB0">
              <w:rPr>
                <w:rFonts w:cs="Times New Roman"/>
              </w:rPr>
              <w:t>369</w:t>
            </w:r>
          </w:p>
        </w:tc>
        <w:tc>
          <w:tcPr>
            <w:tcW w:w="1289" w:type="dxa"/>
            <w:vAlign w:val="center"/>
          </w:tcPr>
          <w:p w14:paraId="79934646" w14:textId="77777777" w:rsidR="00775F57" w:rsidRPr="00203EB0" w:rsidRDefault="00775F57" w:rsidP="00C17D6E">
            <w:pPr>
              <w:tabs>
                <w:tab w:val="left" w:pos="8148"/>
              </w:tabs>
              <w:jc w:val="center"/>
              <w:rPr>
                <w:rFonts w:cs="Times New Roman"/>
              </w:rPr>
            </w:pPr>
            <w:r w:rsidRPr="00203EB0">
              <w:rPr>
                <w:rFonts w:cs="Times New Roman"/>
              </w:rPr>
              <w:t>270</w:t>
            </w:r>
          </w:p>
        </w:tc>
        <w:tc>
          <w:tcPr>
            <w:tcW w:w="1290" w:type="dxa"/>
            <w:vAlign w:val="center"/>
          </w:tcPr>
          <w:p w14:paraId="21FBE7BD" w14:textId="77777777" w:rsidR="00775F57" w:rsidRPr="00203EB0" w:rsidRDefault="00775F57" w:rsidP="00C17D6E">
            <w:pPr>
              <w:tabs>
                <w:tab w:val="left" w:pos="8148"/>
              </w:tabs>
              <w:jc w:val="center"/>
              <w:rPr>
                <w:rFonts w:cs="Times New Roman"/>
              </w:rPr>
            </w:pPr>
            <w:r w:rsidRPr="00203EB0">
              <w:rPr>
                <w:rFonts w:cs="Times New Roman"/>
              </w:rPr>
              <w:t>184</w:t>
            </w:r>
          </w:p>
        </w:tc>
        <w:tc>
          <w:tcPr>
            <w:tcW w:w="1290" w:type="dxa"/>
            <w:vAlign w:val="center"/>
          </w:tcPr>
          <w:p w14:paraId="57F5FE52" w14:textId="77777777" w:rsidR="00775F57" w:rsidRPr="00203EB0" w:rsidRDefault="00775F57" w:rsidP="00C17D6E">
            <w:pPr>
              <w:tabs>
                <w:tab w:val="left" w:pos="8148"/>
              </w:tabs>
              <w:jc w:val="center"/>
              <w:rPr>
                <w:rFonts w:cs="Times New Roman"/>
              </w:rPr>
            </w:pPr>
            <w:r w:rsidRPr="00203EB0">
              <w:rPr>
                <w:rFonts w:cs="Times New Roman"/>
              </w:rPr>
              <w:t>572</w:t>
            </w:r>
          </w:p>
        </w:tc>
        <w:tc>
          <w:tcPr>
            <w:tcW w:w="1290" w:type="dxa"/>
            <w:vAlign w:val="center"/>
          </w:tcPr>
          <w:p w14:paraId="132A86A1" w14:textId="77777777" w:rsidR="00775F57" w:rsidRPr="00203EB0" w:rsidRDefault="00775F57" w:rsidP="00C17D6E">
            <w:pPr>
              <w:tabs>
                <w:tab w:val="left" w:pos="8148"/>
              </w:tabs>
              <w:jc w:val="center"/>
              <w:rPr>
                <w:rFonts w:cs="Times New Roman"/>
              </w:rPr>
            </w:pPr>
            <w:r w:rsidRPr="00203EB0">
              <w:rPr>
                <w:rFonts w:cs="Times New Roman"/>
              </w:rPr>
              <w:t>502</w:t>
            </w:r>
          </w:p>
        </w:tc>
        <w:tc>
          <w:tcPr>
            <w:tcW w:w="1290" w:type="dxa"/>
            <w:vAlign w:val="center"/>
          </w:tcPr>
          <w:p w14:paraId="617B851C" w14:textId="77777777" w:rsidR="00775F57" w:rsidRPr="00203EB0" w:rsidRDefault="00775F57" w:rsidP="00C17D6E">
            <w:pPr>
              <w:tabs>
                <w:tab w:val="left" w:pos="8148"/>
              </w:tabs>
              <w:jc w:val="center"/>
              <w:rPr>
                <w:rFonts w:cs="Times New Roman"/>
              </w:rPr>
            </w:pPr>
            <w:r w:rsidRPr="00203EB0">
              <w:rPr>
                <w:rFonts w:cs="Times New Roman"/>
              </w:rPr>
              <w:t>258</w:t>
            </w:r>
          </w:p>
        </w:tc>
        <w:tc>
          <w:tcPr>
            <w:tcW w:w="1290" w:type="dxa"/>
            <w:vAlign w:val="center"/>
          </w:tcPr>
          <w:p w14:paraId="5AAE6CF8" w14:textId="77777777" w:rsidR="00775F57" w:rsidRPr="00203EB0" w:rsidRDefault="00775F57" w:rsidP="00C17D6E">
            <w:pPr>
              <w:tabs>
                <w:tab w:val="left" w:pos="8148"/>
              </w:tabs>
              <w:jc w:val="center"/>
              <w:rPr>
                <w:rFonts w:cs="Times New Roman"/>
              </w:rPr>
            </w:pPr>
            <w:r w:rsidRPr="00203EB0">
              <w:rPr>
                <w:rFonts w:cs="Times New Roman"/>
              </w:rPr>
              <w:t>172</w:t>
            </w:r>
          </w:p>
        </w:tc>
      </w:tr>
      <w:tr w:rsidR="00775F57" w:rsidRPr="00203EB0" w14:paraId="64F3E0B4" w14:textId="77777777" w:rsidTr="00C17D6E">
        <w:tc>
          <w:tcPr>
            <w:tcW w:w="1403" w:type="dxa"/>
          </w:tcPr>
          <w:p w14:paraId="7839E5F0" w14:textId="77777777" w:rsidR="00775F57" w:rsidRPr="00203EB0" w:rsidRDefault="00775F57" w:rsidP="00C17D6E">
            <w:pPr>
              <w:tabs>
                <w:tab w:val="left" w:pos="8148"/>
              </w:tabs>
              <w:rPr>
                <w:rFonts w:cs="Times New Roman"/>
              </w:rPr>
            </w:pPr>
            <w:r w:rsidRPr="00203EB0">
              <w:rPr>
                <w:rFonts w:cs="Times New Roman"/>
              </w:rPr>
              <w:t>CT-HV-70</w:t>
            </w:r>
          </w:p>
        </w:tc>
        <w:tc>
          <w:tcPr>
            <w:tcW w:w="1288" w:type="dxa"/>
            <w:vAlign w:val="center"/>
          </w:tcPr>
          <w:p w14:paraId="60371FFF" w14:textId="77777777" w:rsidR="00775F57" w:rsidRPr="00203EB0" w:rsidRDefault="00775F57" w:rsidP="00C17D6E">
            <w:pPr>
              <w:tabs>
                <w:tab w:val="left" w:pos="8148"/>
              </w:tabs>
              <w:jc w:val="center"/>
              <w:rPr>
                <w:rFonts w:cs="Times New Roman"/>
              </w:rPr>
            </w:pPr>
            <w:r w:rsidRPr="00203EB0">
              <w:rPr>
                <w:rFonts w:cs="Times New Roman"/>
              </w:rPr>
              <w:t>453</w:t>
            </w:r>
          </w:p>
        </w:tc>
        <w:tc>
          <w:tcPr>
            <w:tcW w:w="1289" w:type="dxa"/>
            <w:vAlign w:val="center"/>
          </w:tcPr>
          <w:p w14:paraId="3DD3648F" w14:textId="77777777" w:rsidR="00775F57" w:rsidRPr="00203EB0" w:rsidRDefault="00775F57" w:rsidP="00C17D6E">
            <w:pPr>
              <w:tabs>
                <w:tab w:val="left" w:pos="8148"/>
              </w:tabs>
              <w:jc w:val="center"/>
              <w:rPr>
                <w:rFonts w:cs="Times New Roman"/>
              </w:rPr>
            </w:pPr>
            <w:r w:rsidRPr="00203EB0">
              <w:rPr>
                <w:rFonts w:cs="Times New Roman"/>
              </w:rPr>
              <w:t>470</w:t>
            </w:r>
          </w:p>
        </w:tc>
        <w:tc>
          <w:tcPr>
            <w:tcW w:w="1289" w:type="dxa"/>
            <w:vAlign w:val="center"/>
          </w:tcPr>
          <w:p w14:paraId="71C5A381" w14:textId="77777777" w:rsidR="00775F57" w:rsidRPr="00203EB0" w:rsidRDefault="00775F57" w:rsidP="00C17D6E">
            <w:pPr>
              <w:tabs>
                <w:tab w:val="left" w:pos="8148"/>
              </w:tabs>
              <w:jc w:val="center"/>
              <w:rPr>
                <w:rFonts w:cs="Times New Roman"/>
              </w:rPr>
            </w:pPr>
            <w:r w:rsidRPr="00203EB0">
              <w:rPr>
                <w:rFonts w:cs="Times New Roman"/>
              </w:rPr>
              <w:t>4</w:t>
            </w:r>
          </w:p>
        </w:tc>
        <w:tc>
          <w:tcPr>
            <w:tcW w:w="1289" w:type="dxa"/>
            <w:vAlign w:val="center"/>
          </w:tcPr>
          <w:p w14:paraId="461E78BC" w14:textId="77777777" w:rsidR="00775F57" w:rsidRPr="00203EB0" w:rsidRDefault="00775F57" w:rsidP="00C17D6E">
            <w:pPr>
              <w:tabs>
                <w:tab w:val="left" w:pos="8148"/>
              </w:tabs>
              <w:jc w:val="center"/>
              <w:rPr>
                <w:rFonts w:cs="Times New Roman"/>
              </w:rPr>
            </w:pPr>
            <w:r w:rsidRPr="00203EB0">
              <w:rPr>
                <w:rFonts w:cs="Times New Roman"/>
              </w:rPr>
              <w:t>454</w:t>
            </w:r>
          </w:p>
        </w:tc>
        <w:tc>
          <w:tcPr>
            <w:tcW w:w="1290" w:type="dxa"/>
            <w:vAlign w:val="center"/>
          </w:tcPr>
          <w:p w14:paraId="1A0A9B4B" w14:textId="77777777" w:rsidR="00775F57" w:rsidRPr="00203EB0" w:rsidRDefault="00775F57" w:rsidP="00C17D6E">
            <w:pPr>
              <w:tabs>
                <w:tab w:val="left" w:pos="8148"/>
              </w:tabs>
              <w:jc w:val="center"/>
              <w:rPr>
                <w:rFonts w:cs="Times New Roman"/>
              </w:rPr>
            </w:pPr>
            <w:r w:rsidRPr="00203EB0">
              <w:rPr>
                <w:rFonts w:cs="Times New Roman"/>
              </w:rPr>
              <w:t>0</w:t>
            </w:r>
          </w:p>
        </w:tc>
        <w:tc>
          <w:tcPr>
            <w:tcW w:w="1290" w:type="dxa"/>
            <w:vAlign w:val="center"/>
          </w:tcPr>
          <w:p w14:paraId="23F43B4E" w14:textId="77777777" w:rsidR="00775F57" w:rsidRPr="00203EB0" w:rsidRDefault="00775F57" w:rsidP="00C17D6E">
            <w:pPr>
              <w:tabs>
                <w:tab w:val="left" w:pos="8148"/>
              </w:tabs>
              <w:jc w:val="center"/>
              <w:rPr>
                <w:rFonts w:cs="Times New Roman"/>
              </w:rPr>
            </w:pPr>
            <w:r w:rsidRPr="00203EB0">
              <w:rPr>
                <w:rFonts w:cs="Times New Roman"/>
              </w:rPr>
              <w:t>520</w:t>
            </w:r>
          </w:p>
        </w:tc>
        <w:tc>
          <w:tcPr>
            <w:tcW w:w="1290" w:type="dxa"/>
            <w:vAlign w:val="center"/>
          </w:tcPr>
          <w:p w14:paraId="6B93D582" w14:textId="77777777" w:rsidR="00775F57" w:rsidRPr="00203EB0" w:rsidRDefault="00775F57" w:rsidP="00C17D6E">
            <w:pPr>
              <w:tabs>
                <w:tab w:val="left" w:pos="8148"/>
              </w:tabs>
              <w:jc w:val="center"/>
              <w:rPr>
                <w:rFonts w:cs="Times New Roman"/>
              </w:rPr>
            </w:pPr>
            <w:r w:rsidRPr="00203EB0">
              <w:rPr>
                <w:rFonts w:cs="Times New Roman"/>
              </w:rPr>
              <w:t>15</w:t>
            </w:r>
          </w:p>
        </w:tc>
        <w:tc>
          <w:tcPr>
            <w:tcW w:w="1290" w:type="dxa"/>
            <w:vAlign w:val="center"/>
          </w:tcPr>
          <w:p w14:paraId="2172C295" w14:textId="77777777" w:rsidR="00775F57" w:rsidRPr="00203EB0" w:rsidRDefault="00775F57" w:rsidP="00C17D6E">
            <w:pPr>
              <w:tabs>
                <w:tab w:val="left" w:pos="8148"/>
              </w:tabs>
              <w:jc w:val="center"/>
              <w:rPr>
                <w:rFonts w:cs="Times New Roman"/>
              </w:rPr>
            </w:pPr>
            <w:r w:rsidRPr="00203EB0">
              <w:rPr>
                <w:rFonts w:cs="Times New Roman"/>
              </w:rPr>
              <w:t>430</w:t>
            </w:r>
          </w:p>
        </w:tc>
        <w:tc>
          <w:tcPr>
            <w:tcW w:w="1290" w:type="dxa"/>
            <w:vAlign w:val="center"/>
          </w:tcPr>
          <w:p w14:paraId="4A9F8666" w14:textId="77777777" w:rsidR="00775F57" w:rsidRPr="00203EB0" w:rsidRDefault="00775F57" w:rsidP="00C17D6E">
            <w:pPr>
              <w:tabs>
                <w:tab w:val="left" w:pos="8148"/>
              </w:tabs>
              <w:jc w:val="center"/>
              <w:rPr>
                <w:rFonts w:cs="Times New Roman"/>
              </w:rPr>
            </w:pPr>
            <w:r w:rsidRPr="00203EB0">
              <w:rPr>
                <w:rFonts w:cs="Times New Roman"/>
              </w:rPr>
              <w:t>5</w:t>
            </w:r>
          </w:p>
        </w:tc>
      </w:tr>
      <w:tr w:rsidR="00775F57" w:rsidRPr="00203EB0" w14:paraId="702CF9D9" w14:textId="77777777" w:rsidTr="00C17D6E">
        <w:tc>
          <w:tcPr>
            <w:tcW w:w="1403" w:type="dxa"/>
          </w:tcPr>
          <w:p w14:paraId="7B003792" w14:textId="77777777" w:rsidR="00775F57" w:rsidRPr="00203EB0" w:rsidRDefault="00775F57" w:rsidP="00C17D6E">
            <w:pPr>
              <w:tabs>
                <w:tab w:val="left" w:pos="8148"/>
              </w:tabs>
              <w:rPr>
                <w:rFonts w:cs="Times New Roman"/>
              </w:rPr>
            </w:pPr>
            <w:r w:rsidRPr="00203EB0">
              <w:rPr>
                <w:rFonts w:cs="Times New Roman"/>
              </w:rPr>
              <w:t>NT-NC-0</w:t>
            </w:r>
          </w:p>
        </w:tc>
        <w:tc>
          <w:tcPr>
            <w:tcW w:w="1288" w:type="dxa"/>
            <w:vAlign w:val="center"/>
          </w:tcPr>
          <w:p w14:paraId="5260E89B" w14:textId="77777777" w:rsidR="00775F57" w:rsidRPr="00203EB0" w:rsidRDefault="00775F57" w:rsidP="00C17D6E">
            <w:pPr>
              <w:tabs>
                <w:tab w:val="left" w:pos="8148"/>
              </w:tabs>
              <w:jc w:val="center"/>
              <w:rPr>
                <w:rFonts w:cs="Times New Roman"/>
              </w:rPr>
            </w:pPr>
            <w:r w:rsidRPr="00203EB0">
              <w:rPr>
                <w:rFonts w:cs="Times New Roman"/>
              </w:rPr>
              <w:t>193</w:t>
            </w:r>
          </w:p>
        </w:tc>
        <w:tc>
          <w:tcPr>
            <w:tcW w:w="1289" w:type="dxa"/>
            <w:vAlign w:val="center"/>
          </w:tcPr>
          <w:p w14:paraId="6AC852DB" w14:textId="77777777" w:rsidR="00775F57" w:rsidRPr="00203EB0" w:rsidRDefault="00775F57" w:rsidP="00C17D6E">
            <w:pPr>
              <w:tabs>
                <w:tab w:val="left" w:pos="8148"/>
              </w:tabs>
              <w:jc w:val="center"/>
              <w:rPr>
                <w:rFonts w:cs="Times New Roman"/>
              </w:rPr>
            </w:pPr>
            <w:r w:rsidRPr="00203EB0">
              <w:rPr>
                <w:rFonts w:cs="Times New Roman"/>
              </w:rPr>
              <w:t>388</w:t>
            </w:r>
          </w:p>
        </w:tc>
        <w:tc>
          <w:tcPr>
            <w:tcW w:w="1289" w:type="dxa"/>
            <w:vAlign w:val="center"/>
          </w:tcPr>
          <w:p w14:paraId="221F7F84" w14:textId="77777777" w:rsidR="00775F57" w:rsidRPr="00203EB0" w:rsidRDefault="00775F57" w:rsidP="00C17D6E">
            <w:pPr>
              <w:tabs>
                <w:tab w:val="left" w:pos="8148"/>
              </w:tabs>
              <w:jc w:val="center"/>
              <w:rPr>
                <w:rFonts w:cs="Times New Roman"/>
              </w:rPr>
            </w:pPr>
            <w:r w:rsidRPr="00203EB0">
              <w:rPr>
                <w:rFonts w:cs="Times New Roman"/>
              </w:rPr>
              <w:t>101</w:t>
            </w:r>
          </w:p>
        </w:tc>
        <w:tc>
          <w:tcPr>
            <w:tcW w:w="1289" w:type="dxa"/>
            <w:vAlign w:val="center"/>
          </w:tcPr>
          <w:p w14:paraId="2D6BAA6B" w14:textId="77777777" w:rsidR="00775F57" w:rsidRPr="00203EB0" w:rsidRDefault="00775F57" w:rsidP="00C17D6E">
            <w:pPr>
              <w:tabs>
                <w:tab w:val="left" w:pos="8148"/>
              </w:tabs>
              <w:jc w:val="center"/>
              <w:rPr>
                <w:rFonts w:cs="Times New Roman"/>
              </w:rPr>
            </w:pPr>
            <w:r w:rsidRPr="00203EB0">
              <w:rPr>
                <w:rFonts w:cs="Times New Roman"/>
              </w:rPr>
              <w:t>325</w:t>
            </w:r>
          </w:p>
        </w:tc>
        <w:tc>
          <w:tcPr>
            <w:tcW w:w="1290" w:type="dxa"/>
            <w:vAlign w:val="center"/>
          </w:tcPr>
          <w:p w14:paraId="16759EF2" w14:textId="77777777" w:rsidR="00775F57" w:rsidRPr="00203EB0" w:rsidRDefault="00775F57" w:rsidP="00C17D6E">
            <w:pPr>
              <w:tabs>
                <w:tab w:val="left" w:pos="8148"/>
              </w:tabs>
              <w:jc w:val="center"/>
              <w:rPr>
                <w:rFonts w:cs="Times New Roman"/>
              </w:rPr>
            </w:pPr>
            <w:r w:rsidRPr="00203EB0">
              <w:rPr>
                <w:rFonts w:cs="Times New Roman"/>
              </w:rPr>
              <w:t>68</w:t>
            </w:r>
          </w:p>
        </w:tc>
        <w:tc>
          <w:tcPr>
            <w:tcW w:w="1290" w:type="dxa"/>
            <w:vAlign w:val="center"/>
          </w:tcPr>
          <w:p w14:paraId="395F55BF" w14:textId="77777777" w:rsidR="00775F57" w:rsidRPr="00203EB0" w:rsidRDefault="00775F57" w:rsidP="00C17D6E">
            <w:pPr>
              <w:tabs>
                <w:tab w:val="left" w:pos="8148"/>
              </w:tabs>
              <w:jc w:val="center"/>
              <w:rPr>
                <w:rFonts w:cs="Times New Roman"/>
              </w:rPr>
            </w:pPr>
            <w:r w:rsidRPr="00203EB0">
              <w:rPr>
                <w:rFonts w:cs="Times New Roman"/>
              </w:rPr>
              <w:t>532</w:t>
            </w:r>
          </w:p>
        </w:tc>
        <w:tc>
          <w:tcPr>
            <w:tcW w:w="1290" w:type="dxa"/>
            <w:vAlign w:val="center"/>
          </w:tcPr>
          <w:p w14:paraId="19696432" w14:textId="77777777" w:rsidR="00775F57" w:rsidRPr="00203EB0" w:rsidRDefault="00775F57" w:rsidP="00C17D6E">
            <w:pPr>
              <w:tabs>
                <w:tab w:val="left" w:pos="8148"/>
              </w:tabs>
              <w:jc w:val="center"/>
              <w:rPr>
                <w:rFonts w:cs="Times New Roman"/>
              </w:rPr>
            </w:pPr>
            <w:r w:rsidRPr="00203EB0">
              <w:rPr>
                <w:rFonts w:cs="Times New Roman"/>
              </w:rPr>
              <w:t>176</w:t>
            </w:r>
          </w:p>
        </w:tc>
        <w:tc>
          <w:tcPr>
            <w:tcW w:w="1290" w:type="dxa"/>
            <w:vAlign w:val="center"/>
          </w:tcPr>
          <w:p w14:paraId="7B35838A" w14:textId="77777777" w:rsidR="00775F57" w:rsidRPr="00203EB0" w:rsidRDefault="00775F57" w:rsidP="00C17D6E">
            <w:pPr>
              <w:tabs>
                <w:tab w:val="left" w:pos="8148"/>
              </w:tabs>
              <w:jc w:val="center"/>
              <w:rPr>
                <w:rFonts w:cs="Times New Roman"/>
              </w:rPr>
            </w:pPr>
            <w:r w:rsidRPr="00203EB0">
              <w:rPr>
                <w:rFonts w:cs="Times New Roman"/>
              </w:rPr>
              <w:t>325</w:t>
            </w:r>
          </w:p>
        </w:tc>
        <w:tc>
          <w:tcPr>
            <w:tcW w:w="1290" w:type="dxa"/>
            <w:vAlign w:val="center"/>
          </w:tcPr>
          <w:p w14:paraId="4F0439DF" w14:textId="77777777" w:rsidR="00775F57" w:rsidRPr="00203EB0" w:rsidRDefault="00775F57" w:rsidP="00C17D6E">
            <w:pPr>
              <w:tabs>
                <w:tab w:val="left" w:pos="8148"/>
              </w:tabs>
              <w:jc w:val="center"/>
              <w:rPr>
                <w:rFonts w:cs="Times New Roman"/>
              </w:rPr>
            </w:pPr>
            <w:r w:rsidRPr="00203EB0">
              <w:rPr>
                <w:rFonts w:cs="Times New Roman"/>
              </w:rPr>
              <w:t>68</w:t>
            </w:r>
          </w:p>
        </w:tc>
      </w:tr>
      <w:tr w:rsidR="00775F57" w:rsidRPr="00203EB0" w14:paraId="20D4EE2E" w14:textId="77777777" w:rsidTr="00C17D6E">
        <w:tc>
          <w:tcPr>
            <w:tcW w:w="1403" w:type="dxa"/>
          </w:tcPr>
          <w:p w14:paraId="0879F1DF" w14:textId="77777777" w:rsidR="00775F57" w:rsidRPr="00203EB0" w:rsidRDefault="00775F57" w:rsidP="00C17D6E">
            <w:pPr>
              <w:tabs>
                <w:tab w:val="left" w:pos="8148"/>
              </w:tabs>
              <w:rPr>
                <w:rFonts w:cs="Times New Roman"/>
              </w:rPr>
            </w:pPr>
            <w:r w:rsidRPr="00203EB0">
              <w:rPr>
                <w:rFonts w:cs="Times New Roman"/>
              </w:rPr>
              <w:t>NT-NC-70</w:t>
            </w:r>
          </w:p>
        </w:tc>
        <w:tc>
          <w:tcPr>
            <w:tcW w:w="1288" w:type="dxa"/>
            <w:vAlign w:val="center"/>
          </w:tcPr>
          <w:p w14:paraId="4940AB30" w14:textId="77777777" w:rsidR="00775F57" w:rsidRPr="00203EB0" w:rsidRDefault="00775F57" w:rsidP="00C17D6E">
            <w:pPr>
              <w:tabs>
                <w:tab w:val="left" w:pos="8148"/>
              </w:tabs>
              <w:jc w:val="center"/>
              <w:rPr>
                <w:rFonts w:cs="Times New Roman"/>
              </w:rPr>
            </w:pPr>
            <w:r w:rsidRPr="00203EB0">
              <w:rPr>
                <w:rFonts w:cs="Times New Roman"/>
              </w:rPr>
              <w:t>574</w:t>
            </w:r>
          </w:p>
        </w:tc>
        <w:tc>
          <w:tcPr>
            <w:tcW w:w="1289" w:type="dxa"/>
            <w:vAlign w:val="center"/>
          </w:tcPr>
          <w:p w14:paraId="50F42C99" w14:textId="77777777" w:rsidR="00775F57" w:rsidRPr="00203EB0" w:rsidRDefault="00775F57" w:rsidP="00C17D6E">
            <w:pPr>
              <w:tabs>
                <w:tab w:val="left" w:pos="8148"/>
              </w:tabs>
              <w:jc w:val="center"/>
              <w:rPr>
                <w:rFonts w:cs="Times New Roman"/>
              </w:rPr>
            </w:pPr>
            <w:r w:rsidRPr="00203EB0">
              <w:rPr>
                <w:rFonts w:cs="Times New Roman"/>
              </w:rPr>
              <w:t>490</w:t>
            </w:r>
          </w:p>
        </w:tc>
        <w:tc>
          <w:tcPr>
            <w:tcW w:w="1289" w:type="dxa"/>
            <w:vAlign w:val="center"/>
          </w:tcPr>
          <w:p w14:paraId="425FD375" w14:textId="77777777" w:rsidR="00775F57" w:rsidRPr="00203EB0" w:rsidRDefault="00775F57" w:rsidP="00C17D6E">
            <w:pPr>
              <w:tabs>
                <w:tab w:val="left" w:pos="8148"/>
              </w:tabs>
              <w:jc w:val="center"/>
              <w:rPr>
                <w:rFonts w:cs="Times New Roman"/>
              </w:rPr>
            </w:pPr>
            <w:r w:rsidRPr="00203EB0">
              <w:rPr>
                <w:rFonts w:cs="Times New Roman"/>
              </w:rPr>
              <w:t>15</w:t>
            </w:r>
          </w:p>
        </w:tc>
        <w:tc>
          <w:tcPr>
            <w:tcW w:w="1289" w:type="dxa"/>
            <w:vAlign w:val="center"/>
          </w:tcPr>
          <w:p w14:paraId="713FFC3A" w14:textId="77777777" w:rsidR="00775F57" w:rsidRPr="00203EB0" w:rsidRDefault="00775F57" w:rsidP="00C17D6E">
            <w:pPr>
              <w:tabs>
                <w:tab w:val="left" w:pos="8148"/>
              </w:tabs>
              <w:jc w:val="center"/>
              <w:rPr>
                <w:rFonts w:cs="Times New Roman"/>
              </w:rPr>
            </w:pPr>
            <w:r w:rsidRPr="00203EB0">
              <w:rPr>
                <w:rFonts w:cs="Times New Roman"/>
              </w:rPr>
              <w:t>318</w:t>
            </w:r>
          </w:p>
        </w:tc>
        <w:tc>
          <w:tcPr>
            <w:tcW w:w="1290" w:type="dxa"/>
            <w:vAlign w:val="center"/>
          </w:tcPr>
          <w:p w14:paraId="3EBC3D46" w14:textId="77777777" w:rsidR="00775F57" w:rsidRPr="00203EB0" w:rsidRDefault="00775F57" w:rsidP="00C17D6E">
            <w:pPr>
              <w:tabs>
                <w:tab w:val="left" w:pos="8148"/>
              </w:tabs>
              <w:jc w:val="center"/>
              <w:rPr>
                <w:rFonts w:cs="Times New Roman"/>
              </w:rPr>
            </w:pPr>
            <w:r w:rsidRPr="00203EB0">
              <w:rPr>
                <w:rFonts w:cs="Times New Roman"/>
              </w:rPr>
              <w:t>45</w:t>
            </w:r>
          </w:p>
        </w:tc>
        <w:tc>
          <w:tcPr>
            <w:tcW w:w="1290" w:type="dxa"/>
            <w:vAlign w:val="center"/>
          </w:tcPr>
          <w:p w14:paraId="5687782D" w14:textId="77777777" w:rsidR="00775F57" w:rsidRPr="00203EB0" w:rsidRDefault="00775F57" w:rsidP="00C17D6E">
            <w:pPr>
              <w:tabs>
                <w:tab w:val="left" w:pos="8148"/>
              </w:tabs>
              <w:jc w:val="center"/>
              <w:rPr>
                <w:rFonts w:cs="Times New Roman"/>
              </w:rPr>
            </w:pPr>
            <w:r w:rsidRPr="00203EB0">
              <w:rPr>
                <w:rFonts w:cs="Times New Roman"/>
              </w:rPr>
              <w:t>605</w:t>
            </w:r>
          </w:p>
        </w:tc>
        <w:tc>
          <w:tcPr>
            <w:tcW w:w="1290" w:type="dxa"/>
            <w:vAlign w:val="center"/>
          </w:tcPr>
          <w:p w14:paraId="261A36B5" w14:textId="77777777" w:rsidR="00775F57" w:rsidRPr="00203EB0" w:rsidRDefault="00775F57" w:rsidP="00C17D6E">
            <w:pPr>
              <w:tabs>
                <w:tab w:val="left" w:pos="8148"/>
              </w:tabs>
              <w:jc w:val="center"/>
              <w:rPr>
                <w:rFonts w:cs="Times New Roman"/>
              </w:rPr>
            </w:pPr>
            <w:r w:rsidRPr="00203EB0">
              <w:rPr>
                <w:rFonts w:cs="Times New Roman"/>
              </w:rPr>
              <w:t>5</w:t>
            </w:r>
          </w:p>
        </w:tc>
        <w:tc>
          <w:tcPr>
            <w:tcW w:w="1290" w:type="dxa"/>
            <w:vAlign w:val="center"/>
          </w:tcPr>
          <w:p w14:paraId="56B187DB" w14:textId="77777777" w:rsidR="00775F57" w:rsidRPr="00203EB0" w:rsidRDefault="00775F57" w:rsidP="00C17D6E">
            <w:pPr>
              <w:tabs>
                <w:tab w:val="left" w:pos="8148"/>
              </w:tabs>
              <w:jc w:val="center"/>
              <w:rPr>
                <w:rFonts w:cs="Times New Roman"/>
              </w:rPr>
            </w:pPr>
            <w:r w:rsidRPr="00203EB0">
              <w:rPr>
                <w:rFonts w:cs="Times New Roman"/>
              </w:rPr>
              <w:t>314</w:t>
            </w:r>
          </w:p>
        </w:tc>
        <w:tc>
          <w:tcPr>
            <w:tcW w:w="1290" w:type="dxa"/>
            <w:vAlign w:val="center"/>
          </w:tcPr>
          <w:p w14:paraId="73B5CF0C" w14:textId="77777777" w:rsidR="00775F57" w:rsidRPr="00203EB0" w:rsidRDefault="00775F57" w:rsidP="00C17D6E">
            <w:pPr>
              <w:tabs>
                <w:tab w:val="left" w:pos="8148"/>
              </w:tabs>
              <w:jc w:val="center"/>
              <w:rPr>
                <w:rFonts w:cs="Times New Roman"/>
              </w:rPr>
            </w:pPr>
            <w:r w:rsidRPr="00203EB0">
              <w:rPr>
                <w:rFonts w:cs="Times New Roman"/>
              </w:rPr>
              <w:t>45</w:t>
            </w:r>
          </w:p>
        </w:tc>
      </w:tr>
      <w:tr w:rsidR="00775F57" w:rsidRPr="00203EB0" w14:paraId="4DCA1AB6" w14:textId="77777777" w:rsidTr="00C17D6E">
        <w:tc>
          <w:tcPr>
            <w:tcW w:w="1403" w:type="dxa"/>
          </w:tcPr>
          <w:p w14:paraId="23C22711" w14:textId="77777777" w:rsidR="00775F57" w:rsidRPr="00203EB0" w:rsidRDefault="00775F57" w:rsidP="00C17D6E">
            <w:pPr>
              <w:tabs>
                <w:tab w:val="left" w:pos="8148"/>
              </w:tabs>
              <w:rPr>
                <w:rFonts w:cs="Times New Roman"/>
              </w:rPr>
            </w:pPr>
            <w:r w:rsidRPr="00203EB0">
              <w:rPr>
                <w:rFonts w:cs="Times New Roman"/>
              </w:rPr>
              <w:t>NT-HV-0</w:t>
            </w:r>
          </w:p>
        </w:tc>
        <w:tc>
          <w:tcPr>
            <w:tcW w:w="1288" w:type="dxa"/>
            <w:vAlign w:val="center"/>
          </w:tcPr>
          <w:p w14:paraId="6A616E2C" w14:textId="77777777" w:rsidR="00775F57" w:rsidRPr="00203EB0" w:rsidRDefault="00775F57" w:rsidP="00C17D6E">
            <w:pPr>
              <w:tabs>
                <w:tab w:val="left" w:pos="8148"/>
              </w:tabs>
              <w:jc w:val="center"/>
              <w:rPr>
                <w:rFonts w:cs="Times New Roman"/>
              </w:rPr>
            </w:pPr>
            <w:r w:rsidRPr="00203EB0">
              <w:rPr>
                <w:rFonts w:cs="Times New Roman"/>
              </w:rPr>
              <w:t>251</w:t>
            </w:r>
          </w:p>
        </w:tc>
        <w:tc>
          <w:tcPr>
            <w:tcW w:w="1289" w:type="dxa"/>
            <w:vAlign w:val="center"/>
          </w:tcPr>
          <w:p w14:paraId="36CC7443" w14:textId="77777777" w:rsidR="00775F57" w:rsidRPr="00203EB0" w:rsidRDefault="00775F57" w:rsidP="00C17D6E">
            <w:pPr>
              <w:tabs>
                <w:tab w:val="left" w:pos="8148"/>
              </w:tabs>
              <w:jc w:val="center"/>
              <w:rPr>
                <w:rFonts w:cs="Times New Roman"/>
              </w:rPr>
            </w:pPr>
            <w:r w:rsidRPr="00203EB0">
              <w:rPr>
                <w:rFonts w:cs="Times New Roman"/>
              </w:rPr>
              <w:t>364</w:t>
            </w:r>
          </w:p>
        </w:tc>
        <w:tc>
          <w:tcPr>
            <w:tcW w:w="1289" w:type="dxa"/>
            <w:vAlign w:val="center"/>
          </w:tcPr>
          <w:p w14:paraId="5C9505DB" w14:textId="77777777" w:rsidR="00775F57" w:rsidRPr="00203EB0" w:rsidRDefault="00775F57" w:rsidP="00C17D6E">
            <w:pPr>
              <w:tabs>
                <w:tab w:val="left" w:pos="8148"/>
              </w:tabs>
              <w:jc w:val="center"/>
              <w:rPr>
                <w:rFonts w:cs="Times New Roman"/>
              </w:rPr>
            </w:pPr>
            <w:r w:rsidRPr="00203EB0">
              <w:rPr>
                <w:rFonts w:cs="Times New Roman"/>
              </w:rPr>
              <w:t>45</w:t>
            </w:r>
          </w:p>
        </w:tc>
        <w:tc>
          <w:tcPr>
            <w:tcW w:w="1289" w:type="dxa"/>
            <w:vAlign w:val="center"/>
          </w:tcPr>
          <w:p w14:paraId="5C0E8264" w14:textId="77777777" w:rsidR="00775F57" w:rsidRPr="00203EB0" w:rsidRDefault="00775F57" w:rsidP="00C17D6E">
            <w:pPr>
              <w:tabs>
                <w:tab w:val="left" w:pos="8148"/>
              </w:tabs>
              <w:jc w:val="center"/>
              <w:rPr>
                <w:rFonts w:cs="Times New Roman"/>
              </w:rPr>
            </w:pPr>
            <w:r w:rsidRPr="00203EB0">
              <w:rPr>
                <w:rFonts w:cs="Times New Roman"/>
              </w:rPr>
              <w:t>308</w:t>
            </w:r>
          </w:p>
        </w:tc>
        <w:tc>
          <w:tcPr>
            <w:tcW w:w="1290" w:type="dxa"/>
            <w:vAlign w:val="center"/>
          </w:tcPr>
          <w:p w14:paraId="33AD1C62" w14:textId="77777777" w:rsidR="00775F57" w:rsidRPr="00203EB0" w:rsidRDefault="00775F57" w:rsidP="00C17D6E">
            <w:pPr>
              <w:tabs>
                <w:tab w:val="left" w:pos="8148"/>
              </w:tabs>
              <w:jc w:val="center"/>
              <w:rPr>
                <w:rFonts w:cs="Times New Roman"/>
              </w:rPr>
            </w:pPr>
            <w:r w:rsidRPr="00203EB0">
              <w:rPr>
                <w:rFonts w:cs="Times New Roman"/>
              </w:rPr>
              <w:t>23</w:t>
            </w:r>
          </w:p>
        </w:tc>
        <w:tc>
          <w:tcPr>
            <w:tcW w:w="1290" w:type="dxa"/>
            <w:vAlign w:val="center"/>
          </w:tcPr>
          <w:p w14:paraId="13269E37" w14:textId="77777777" w:rsidR="00775F57" w:rsidRPr="00203EB0" w:rsidRDefault="00775F57" w:rsidP="00C17D6E">
            <w:pPr>
              <w:tabs>
                <w:tab w:val="left" w:pos="8148"/>
              </w:tabs>
              <w:jc w:val="center"/>
              <w:rPr>
                <w:rFonts w:cs="Times New Roman"/>
              </w:rPr>
            </w:pPr>
            <w:r w:rsidRPr="00203EB0">
              <w:rPr>
                <w:rFonts w:cs="Times New Roman"/>
              </w:rPr>
              <w:t>524</w:t>
            </w:r>
          </w:p>
        </w:tc>
        <w:tc>
          <w:tcPr>
            <w:tcW w:w="1290" w:type="dxa"/>
            <w:vAlign w:val="center"/>
          </w:tcPr>
          <w:p w14:paraId="4B9069D0" w14:textId="77777777" w:rsidR="00775F57" w:rsidRPr="00203EB0" w:rsidRDefault="00775F57" w:rsidP="00C17D6E">
            <w:pPr>
              <w:tabs>
                <w:tab w:val="left" w:pos="8148"/>
              </w:tabs>
              <w:jc w:val="center"/>
              <w:rPr>
                <w:rFonts w:cs="Times New Roman"/>
              </w:rPr>
            </w:pPr>
            <w:r w:rsidRPr="00203EB0">
              <w:rPr>
                <w:rFonts w:cs="Times New Roman"/>
              </w:rPr>
              <w:t>109</w:t>
            </w:r>
          </w:p>
        </w:tc>
        <w:tc>
          <w:tcPr>
            <w:tcW w:w="1290" w:type="dxa"/>
            <w:vAlign w:val="center"/>
          </w:tcPr>
          <w:p w14:paraId="7E38357D" w14:textId="77777777" w:rsidR="00775F57" w:rsidRPr="00203EB0" w:rsidRDefault="00775F57" w:rsidP="00C17D6E">
            <w:pPr>
              <w:tabs>
                <w:tab w:val="left" w:pos="8148"/>
              </w:tabs>
              <w:jc w:val="center"/>
              <w:rPr>
                <w:rFonts w:cs="Times New Roman"/>
              </w:rPr>
            </w:pPr>
            <w:r w:rsidRPr="00203EB0">
              <w:rPr>
                <w:rFonts w:cs="Times New Roman"/>
              </w:rPr>
              <w:t>303</w:t>
            </w:r>
          </w:p>
        </w:tc>
        <w:tc>
          <w:tcPr>
            <w:tcW w:w="1290" w:type="dxa"/>
            <w:vAlign w:val="center"/>
          </w:tcPr>
          <w:p w14:paraId="4D68EFF3" w14:textId="77777777" w:rsidR="00775F57" w:rsidRPr="00203EB0" w:rsidRDefault="00775F57" w:rsidP="00C17D6E">
            <w:pPr>
              <w:tabs>
                <w:tab w:val="left" w:pos="8148"/>
              </w:tabs>
              <w:jc w:val="center"/>
              <w:rPr>
                <w:rFonts w:cs="Times New Roman"/>
              </w:rPr>
            </w:pPr>
            <w:r w:rsidRPr="00203EB0">
              <w:rPr>
                <w:rFonts w:cs="Times New Roman"/>
              </w:rPr>
              <w:t>21</w:t>
            </w:r>
          </w:p>
        </w:tc>
      </w:tr>
      <w:tr w:rsidR="00775F57" w:rsidRPr="00203EB0" w14:paraId="23C7A9E1" w14:textId="77777777" w:rsidTr="00C17D6E">
        <w:tc>
          <w:tcPr>
            <w:tcW w:w="1403" w:type="dxa"/>
            <w:tcBorders>
              <w:bottom w:val="single" w:sz="4" w:space="0" w:color="auto"/>
            </w:tcBorders>
          </w:tcPr>
          <w:p w14:paraId="5D6FA55C" w14:textId="77777777" w:rsidR="00775F57" w:rsidRPr="00203EB0" w:rsidRDefault="00775F57" w:rsidP="00C17D6E">
            <w:pPr>
              <w:tabs>
                <w:tab w:val="left" w:pos="8148"/>
              </w:tabs>
              <w:rPr>
                <w:rFonts w:cs="Times New Roman"/>
              </w:rPr>
            </w:pPr>
            <w:r w:rsidRPr="00203EB0">
              <w:rPr>
                <w:rFonts w:cs="Times New Roman"/>
              </w:rPr>
              <w:t>NT-HV-70</w:t>
            </w:r>
          </w:p>
        </w:tc>
        <w:tc>
          <w:tcPr>
            <w:tcW w:w="1288" w:type="dxa"/>
            <w:tcBorders>
              <w:bottom w:val="single" w:sz="4" w:space="0" w:color="auto"/>
            </w:tcBorders>
            <w:vAlign w:val="center"/>
          </w:tcPr>
          <w:p w14:paraId="1F27B42F" w14:textId="77777777" w:rsidR="00775F57" w:rsidRPr="00203EB0" w:rsidRDefault="00775F57" w:rsidP="00C17D6E">
            <w:pPr>
              <w:tabs>
                <w:tab w:val="left" w:pos="8148"/>
              </w:tabs>
              <w:jc w:val="center"/>
              <w:rPr>
                <w:rFonts w:cs="Times New Roman"/>
              </w:rPr>
            </w:pPr>
            <w:r w:rsidRPr="00203EB0">
              <w:rPr>
                <w:rFonts w:cs="Times New Roman"/>
              </w:rPr>
              <w:t>533</w:t>
            </w:r>
          </w:p>
        </w:tc>
        <w:tc>
          <w:tcPr>
            <w:tcW w:w="1289" w:type="dxa"/>
            <w:tcBorders>
              <w:bottom w:val="single" w:sz="4" w:space="0" w:color="auto"/>
            </w:tcBorders>
            <w:vAlign w:val="center"/>
          </w:tcPr>
          <w:p w14:paraId="513828EB" w14:textId="77777777" w:rsidR="00775F57" w:rsidRPr="00203EB0" w:rsidRDefault="00775F57" w:rsidP="00C17D6E">
            <w:pPr>
              <w:tabs>
                <w:tab w:val="left" w:pos="8148"/>
              </w:tabs>
              <w:jc w:val="center"/>
              <w:rPr>
                <w:rFonts w:cs="Times New Roman"/>
              </w:rPr>
            </w:pPr>
            <w:r w:rsidRPr="00203EB0">
              <w:rPr>
                <w:rFonts w:cs="Times New Roman"/>
              </w:rPr>
              <w:t>474</w:t>
            </w:r>
          </w:p>
        </w:tc>
        <w:tc>
          <w:tcPr>
            <w:tcW w:w="1289" w:type="dxa"/>
            <w:tcBorders>
              <w:bottom w:val="single" w:sz="4" w:space="0" w:color="auto"/>
            </w:tcBorders>
            <w:vAlign w:val="center"/>
          </w:tcPr>
          <w:p w14:paraId="7286A1E6" w14:textId="77777777" w:rsidR="00775F57" w:rsidRPr="00203EB0" w:rsidRDefault="00775F57" w:rsidP="00C17D6E">
            <w:pPr>
              <w:tabs>
                <w:tab w:val="left" w:pos="8148"/>
              </w:tabs>
              <w:jc w:val="center"/>
              <w:rPr>
                <w:rFonts w:cs="Times New Roman"/>
              </w:rPr>
            </w:pPr>
            <w:r w:rsidRPr="00203EB0">
              <w:rPr>
                <w:rFonts w:cs="Times New Roman"/>
              </w:rPr>
              <w:t>11</w:t>
            </w:r>
          </w:p>
        </w:tc>
        <w:tc>
          <w:tcPr>
            <w:tcW w:w="1289" w:type="dxa"/>
            <w:tcBorders>
              <w:bottom w:val="single" w:sz="4" w:space="0" w:color="auto"/>
            </w:tcBorders>
            <w:vAlign w:val="center"/>
          </w:tcPr>
          <w:p w14:paraId="31FDEF4A" w14:textId="77777777" w:rsidR="00775F57" w:rsidRPr="00203EB0" w:rsidRDefault="00775F57" w:rsidP="00C17D6E">
            <w:pPr>
              <w:tabs>
                <w:tab w:val="left" w:pos="8148"/>
              </w:tabs>
              <w:jc w:val="center"/>
              <w:rPr>
                <w:rFonts w:cs="Times New Roman"/>
              </w:rPr>
            </w:pPr>
            <w:r w:rsidRPr="00203EB0">
              <w:rPr>
                <w:rFonts w:cs="Times New Roman"/>
              </w:rPr>
              <w:t>647</w:t>
            </w:r>
          </w:p>
        </w:tc>
        <w:tc>
          <w:tcPr>
            <w:tcW w:w="1290" w:type="dxa"/>
            <w:tcBorders>
              <w:bottom w:val="single" w:sz="4" w:space="0" w:color="auto"/>
            </w:tcBorders>
            <w:vAlign w:val="center"/>
          </w:tcPr>
          <w:p w14:paraId="75D1B1BC" w14:textId="77777777" w:rsidR="00775F57" w:rsidRPr="00203EB0" w:rsidRDefault="00775F57" w:rsidP="00C17D6E">
            <w:pPr>
              <w:tabs>
                <w:tab w:val="left" w:pos="8148"/>
              </w:tabs>
              <w:jc w:val="center"/>
              <w:rPr>
                <w:rFonts w:cs="Times New Roman"/>
              </w:rPr>
            </w:pPr>
            <w:r w:rsidRPr="00203EB0">
              <w:rPr>
                <w:rFonts w:cs="Times New Roman"/>
              </w:rPr>
              <w:t>21</w:t>
            </w:r>
          </w:p>
        </w:tc>
        <w:tc>
          <w:tcPr>
            <w:tcW w:w="1290" w:type="dxa"/>
            <w:tcBorders>
              <w:bottom w:val="single" w:sz="4" w:space="0" w:color="auto"/>
            </w:tcBorders>
            <w:vAlign w:val="center"/>
          </w:tcPr>
          <w:p w14:paraId="089C80EC" w14:textId="77777777" w:rsidR="00775F57" w:rsidRPr="00203EB0" w:rsidRDefault="00775F57" w:rsidP="00C17D6E">
            <w:pPr>
              <w:tabs>
                <w:tab w:val="left" w:pos="8148"/>
              </w:tabs>
              <w:jc w:val="center"/>
              <w:rPr>
                <w:rFonts w:cs="Times New Roman"/>
              </w:rPr>
            </w:pPr>
            <w:r w:rsidRPr="00203EB0">
              <w:rPr>
                <w:rFonts w:cs="Times New Roman"/>
              </w:rPr>
              <w:t>656</w:t>
            </w:r>
          </w:p>
        </w:tc>
        <w:tc>
          <w:tcPr>
            <w:tcW w:w="1290" w:type="dxa"/>
            <w:tcBorders>
              <w:bottom w:val="single" w:sz="4" w:space="0" w:color="auto"/>
            </w:tcBorders>
            <w:vAlign w:val="center"/>
          </w:tcPr>
          <w:p w14:paraId="770A8884" w14:textId="77777777" w:rsidR="00775F57" w:rsidRPr="00203EB0" w:rsidRDefault="00775F57" w:rsidP="00C17D6E">
            <w:pPr>
              <w:tabs>
                <w:tab w:val="left" w:pos="8148"/>
              </w:tabs>
              <w:jc w:val="center"/>
              <w:rPr>
                <w:rFonts w:cs="Times New Roman"/>
              </w:rPr>
            </w:pPr>
            <w:r w:rsidRPr="00203EB0">
              <w:rPr>
                <w:rFonts w:cs="Times New Roman"/>
              </w:rPr>
              <w:t>23</w:t>
            </w:r>
          </w:p>
        </w:tc>
        <w:tc>
          <w:tcPr>
            <w:tcW w:w="1290" w:type="dxa"/>
            <w:tcBorders>
              <w:bottom w:val="single" w:sz="4" w:space="0" w:color="auto"/>
            </w:tcBorders>
            <w:vAlign w:val="center"/>
          </w:tcPr>
          <w:p w14:paraId="6A24254A" w14:textId="77777777" w:rsidR="00775F57" w:rsidRPr="00203EB0" w:rsidRDefault="00775F57" w:rsidP="00C17D6E">
            <w:pPr>
              <w:tabs>
                <w:tab w:val="left" w:pos="8148"/>
              </w:tabs>
              <w:jc w:val="center"/>
              <w:rPr>
                <w:rFonts w:cs="Times New Roman"/>
              </w:rPr>
            </w:pPr>
            <w:r w:rsidRPr="00203EB0">
              <w:rPr>
                <w:rFonts w:cs="Times New Roman"/>
              </w:rPr>
              <w:t>673</w:t>
            </w:r>
          </w:p>
        </w:tc>
        <w:tc>
          <w:tcPr>
            <w:tcW w:w="1290" w:type="dxa"/>
            <w:tcBorders>
              <w:bottom w:val="single" w:sz="4" w:space="0" w:color="auto"/>
            </w:tcBorders>
            <w:vAlign w:val="center"/>
          </w:tcPr>
          <w:p w14:paraId="07B7731C" w14:textId="77777777" w:rsidR="00775F57" w:rsidRPr="00203EB0" w:rsidRDefault="00775F57" w:rsidP="00C17D6E">
            <w:pPr>
              <w:tabs>
                <w:tab w:val="left" w:pos="8148"/>
              </w:tabs>
              <w:jc w:val="center"/>
              <w:rPr>
                <w:rFonts w:cs="Times New Roman"/>
              </w:rPr>
            </w:pPr>
            <w:r w:rsidRPr="00203EB0">
              <w:rPr>
                <w:rFonts w:cs="Times New Roman"/>
              </w:rPr>
              <w:t>26</w:t>
            </w:r>
          </w:p>
        </w:tc>
      </w:tr>
      <w:tr w:rsidR="00775F57" w:rsidRPr="00203EB0" w14:paraId="7F18CF6A" w14:textId="77777777" w:rsidTr="00C17D6E">
        <w:tc>
          <w:tcPr>
            <w:tcW w:w="1403" w:type="dxa"/>
            <w:tcBorders>
              <w:top w:val="single" w:sz="4" w:space="0" w:color="auto"/>
              <w:bottom w:val="single" w:sz="4" w:space="0" w:color="auto"/>
            </w:tcBorders>
          </w:tcPr>
          <w:p w14:paraId="3DCCD2C3" w14:textId="77777777" w:rsidR="00775F57" w:rsidRPr="00203EB0" w:rsidRDefault="00775F57" w:rsidP="00C17D6E">
            <w:pPr>
              <w:tabs>
                <w:tab w:val="left" w:pos="8148"/>
              </w:tabs>
              <w:rPr>
                <w:rFonts w:cs="Times New Roman"/>
                <w:b/>
              </w:rPr>
            </w:pPr>
            <w:r w:rsidRPr="00203EB0">
              <w:rPr>
                <w:rFonts w:cs="Times New Roman"/>
                <w:b/>
              </w:rPr>
              <w:t>Average*</w:t>
            </w:r>
          </w:p>
        </w:tc>
        <w:tc>
          <w:tcPr>
            <w:tcW w:w="1288" w:type="dxa"/>
            <w:tcBorders>
              <w:top w:val="single" w:sz="4" w:space="0" w:color="auto"/>
              <w:bottom w:val="single" w:sz="4" w:space="0" w:color="auto"/>
            </w:tcBorders>
            <w:vAlign w:val="center"/>
          </w:tcPr>
          <w:p w14:paraId="75BE5B41" w14:textId="77777777" w:rsidR="00775F57" w:rsidRPr="00203EB0" w:rsidRDefault="00775F57" w:rsidP="00C17D6E">
            <w:pPr>
              <w:tabs>
                <w:tab w:val="left" w:pos="8148"/>
              </w:tabs>
              <w:jc w:val="center"/>
              <w:rPr>
                <w:rFonts w:cs="Times New Roman"/>
                <w:b/>
              </w:rPr>
            </w:pPr>
            <w:r w:rsidRPr="00203EB0">
              <w:rPr>
                <w:rFonts w:cs="Times New Roman"/>
                <w:b/>
              </w:rPr>
              <w:t>353</w:t>
            </w:r>
          </w:p>
        </w:tc>
        <w:tc>
          <w:tcPr>
            <w:tcW w:w="1289" w:type="dxa"/>
            <w:tcBorders>
              <w:top w:val="single" w:sz="4" w:space="0" w:color="auto"/>
              <w:bottom w:val="single" w:sz="4" w:space="0" w:color="auto"/>
            </w:tcBorders>
            <w:vAlign w:val="center"/>
          </w:tcPr>
          <w:p w14:paraId="22BFB358" w14:textId="77777777" w:rsidR="00775F57" w:rsidRPr="00203EB0" w:rsidRDefault="00775F57" w:rsidP="00C17D6E">
            <w:pPr>
              <w:tabs>
                <w:tab w:val="left" w:pos="8148"/>
              </w:tabs>
              <w:jc w:val="center"/>
              <w:rPr>
                <w:rFonts w:cs="Times New Roman"/>
                <w:b/>
              </w:rPr>
            </w:pPr>
            <w:r w:rsidRPr="00203EB0">
              <w:rPr>
                <w:rFonts w:cs="Times New Roman"/>
                <w:b/>
              </w:rPr>
              <w:t>419</w:t>
            </w:r>
          </w:p>
        </w:tc>
        <w:tc>
          <w:tcPr>
            <w:tcW w:w="1289" w:type="dxa"/>
            <w:tcBorders>
              <w:top w:val="single" w:sz="4" w:space="0" w:color="auto"/>
              <w:bottom w:val="single" w:sz="4" w:space="0" w:color="auto"/>
            </w:tcBorders>
            <w:vAlign w:val="center"/>
          </w:tcPr>
          <w:p w14:paraId="2F4FEBA5" w14:textId="77777777" w:rsidR="00775F57" w:rsidRPr="00203EB0" w:rsidRDefault="00775F57" w:rsidP="00C17D6E">
            <w:pPr>
              <w:tabs>
                <w:tab w:val="left" w:pos="8148"/>
              </w:tabs>
              <w:jc w:val="center"/>
              <w:rPr>
                <w:rFonts w:cs="Times New Roman"/>
                <w:b/>
              </w:rPr>
            </w:pPr>
            <w:r w:rsidRPr="00203EB0">
              <w:rPr>
                <w:rFonts w:cs="Times New Roman"/>
                <w:b/>
              </w:rPr>
              <w:t>86</w:t>
            </w:r>
          </w:p>
        </w:tc>
        <w:tc>
          <w:tcPr>
            <w:tcW w:w="1289" w:type="dxa"/>
            <w:tcBorders>
              <w:top w:val="single" w:sz="4" w:space="0" w:color="auto"/>
              <w:bottom w:val="single" w:sz="4" w:space="0" w:color="auto"/>
            </w:tcBorders>
            <w:vAlign w:val="center"/>
          </w:tcPr>
          <w:p w14:paraId="280FE705" w14:textId="77777777" w:rsidR="00775F57" w:rsidRPr="00203EB0" w:rsidRDefault="00775F57" w:rsidP="00C17D6E">
            <w:pPr>
              <w:tabs>
                <w:tab w:val="left" w:pos="8148"/>
              </w:tabs>
              <w:jc w:val="center"/>
              <w:rPr>
                <w:rFonts w:cs="Times New Roman"/>
                <w:b/>
              </w:rPr>
            </w:pPr>
            <w:r w:rsidRPr="00203EB0">
              <w:rPr>
                <w:rFonts w:cs="Times New Roman"/>
                <w:b/>
              </w:rPr>
              <w:t>372</w:t>
            </w:r>
          </w:p>
        </w:tc>
        <w:tc>
          <w:tcPr>
            <w:tcW w:w="1290" w:type="dxa"/>
            <w:tcBorders>
              <w:top w:val="single" w:sz="4" w:space="0" w:color="auto"/>
              <w:bottom w:val="single" w:sz="4" w:space="0" w:color="auto"/>
            </w:tcBorders>
            <w:vAlign w:val="center"/>
          </w:tcPr>
          <w:p w14:paraId="051E68A3" w14:textId="77777777" w:rsidR="00775F57" w:rsidRPr="00203EB0" w:rsidRDefault="00775F57" w:rsidP="00C17D6E">
            <w:pPr>
              <w:tabs>
                <w:tab w:val="left" w:pos="8148"/>
              </w:tabs>
              <w:jc w:val="center"/>
              <w:rPr>
                <w:rFonts w:cs="Times New Roman"/>
                <w:b/>
              </w:rPr>
            </w:pPr>
            <w:r w:rsidRPr="00203EB0">
              <w:rPr>
                <w:rFonts w:cs="Times New Roman"/>
                <w:b/>
              </w:rPr>
              <w:t>48</w:t>
            </w:r>
          </w:p>
        </w:tc>
        <w:tc>
          <w:tcPr>
            <w:tcW w:w="1290" w:type="dxa"/>
            <w:tcBorders>
              <w:top w:val="single" w:sz="4" w:space="0" w:color="auto"/>
              <w:bottom w:val="single" w:sz="4" w:space="0" w:color="auto"/>
            </w:tcBorders>
            <w:vAlign w:val="center"/>
          </w:tcPr>
          <w:p w14:paraId="7AA0E311" w14:textId="77777777" w:rsidR="00775F57" w:rsidRPr="00203EB0" w:rsidRDefault="00775F57" w:rsidP="00C17D6E">
            <w:pPr>
              <w:tabs>
                <w:tab w:val="left" w:pos="8148"/>
              </w:tabs>
              <w:jc w:val="center"/>
              <w:rPr>
                <w:rFonts w:cs="Times New Roman"/>
                <w:b/>
              </w:rPr>
            </w:pPr>
            <w:r w:rsidRPr="00203EB0">
              <w:rPr>
                <w:rFonts w:cs="Times New Roman"/>
                <w:b/>
              </w:rPr>
              <w:t>555</w:t>
            </w:r>
          </w:p>
        </w:tc>
        <w:tc>
          <w:tcPr>
            <w:tcW w:w="1290" w:type="dxa"/>
            <w:tcBorders>
              <w:top w:val="single" w:sz="4" w:space="0" w:color="auto"/>
              <w:bottom w:val="single" w:sz="4" w:space="0" w:color="auto"/>
            </w:tcBorders>
            <w:vAlign w:val="center"/>
          </w:tcPr>
          <w:p w14:paraId="093409AD" w14:textId="77777777" w:rsidR="00775F57" w:rsidRPr="00203EB0" w:rsidRDefault="00775F57" w:rsidP="00C17D6E">
            <w:pPr>
              <w:tabs>
                <w:tab w:val="left" w:pos="8148"/>
              </w:tabs>
              <w:jc w:val="center"/>
              <w:rPr>
                <w:rFonts w:cs="Times New Roman"/>
                <w:b/>
              </w:rPr>
            </w:pPr>
            <w:r w:rsidRPr="00203EB0">
              <w:rPr>
                <w:rFonts w:cs="Times New Roman"/>
                <w:b/>
              </w:rPr>
              <w:t>128</w:t>
            </w:r>
          </w:p>
        </w:tc>
        <w:tc>
          <w:tcPr>
            <w:tcW w:w="1290" w:type="dxa"/>
            <w:tcBorders>
              <w:top w:val="single" w:sz="4" w:space="0" w:color="auto"/>
              <w:bottom w:val="single" w:sz="4" w:space="0" w:color="auto"/>
            </w:tcBorders>
            <w:vAlign w:val="center"/>
          </w:tcPr>
          <w:p w14:paraId="2C63E720" w14:textId="77777777" w:rsidR="00775F57" w:rsidRPr="00203EB0" w:rsidRDefault="00775F57" w:rsidP="00C17D6E">
            <w:pPr>
              <w:tabs>
                <w:tab w:val="left" w:pos="8148"/>
              </w:tabs>
              <w:jc w:val="center"/>
              <w:rPr>
                <w:rFonts w:cs="Times New Roman"/>
                <w:b/>
              </w:rPr>
            </w:pPr>
            <w:r w:rsidRPr="00203EB0">
              <w:rPr>
                <w:rFonts w:cs="Times New Roman"/>
                <w:b/>
              </w:rPr>
              <w:t>367</w:t>
            </w:r>
          </w:p>
        </w:tc>
        <w:tc>
          <w:tcPr>
            <w:tcW w:w="1290" w:type="dxa"/>
            <w:tcBorders>
              <w:top w:val="single" w:sz="4" w:space="0" w:color="auto"/>
              <w:bottom w:val="single" w:sz="4" w:space="0" w:color="auto"/>
            </w:tcBorders>
            <w:vAlign w:val="center"/>
          </w:tcPr>
          <w:p w14:paraId="0FA66FB9" w14:textId="77777777" w:rsidR="00775F57" w:rsidRPr="00203EB0" w:rsidRDefault="00775F57" w:rsidP="00C17D6E">
            <w:pPr>
              <w:tabs>
                <w:tab w:val="left" w:pos="8148"/>
              </w:tabs>
              <w:jc w:val="center"/>
              <w:rPr>
                <w:rFonts w:cs="Times New Roman"/>
                <w:b/>
              </w:rPr>
            </w:pPr>
            <w:r w:rsidRPr="00203EB0">
              <w:rPr>
                <w:rFonts w:cs="Times New Roman"/>
                <w:b/>
              </w:rPr>
              <w:t>48</w:t>
            </w:r>
          </w:p>
        </w:tc>
      </w:tr>
    </w:tbl>
    <w:p w14:paraId="75DA1316" w14:textId="77777777" w:rsidR="00775F57" w:rsidRPr="00203EB0" w:rsidRDefault="00775F57" w:rsidP="00775F57">
      <w:pPr>
        <w:tabs>
          <w:tab w:val="left" w:pos="8148"/>
        </w:tabs>
        <w:rPr>
          <w:sz w:val="2"/>
          <w:szCs w:val="2"/>
        </w:rPr>
      </w:pPr>
      <w:r w:rsidRPr="00203EB0">
        <w:rPr>
          <w:rFonts w:cs="Times New Roman"/>
          <w:sz w:val="20"/>
          <w:szCs w:val="20"/>
        </w:rPr>
        <w:t xml:space="preserve">MAPE: </w:t>
      </w:r>
      <w:proofErr w:type="gramStart"/>
      <w:r w:rsidRPr="00203EB0">
        <w:rPr>
          <w:rFonts w:cs="Times New Roman"/>
          <w:sz w:val="20"/>
          <w:szCs w:val="20"/>
        </w:rPr>
        <w:t>mean</w:t>
      </w:r>
      <w:proofErr w:type="gramEnd"/>
      <w:r w:rsidRPr="00203EB0">
        <w:rPr>
          <w:rFonts w:cs="Times New Roman"/>
          <w:sz w:val="20"/>
          <w:szCs w:val="20"/>
        </w:rPr>
        <w:t xml:space="preserve"> absolute percentage error. *</w:t>
      </w:r>
      <w:proofErr w:type="gramStart"/>
      <w:r w:rsidRPr="00203EB0">
        <w:rPr>
          <w:rFonts w:cs="Times New Roman"/>
          <w:sz w:val="20"/>
          <w:szCs w:val="20"/>
        </w:rPr>
        <w:t>mean</w:t>
      </w:r>
      <w:proofErr w:type="gramEnd"/>
      <w:r w:rsidRPr="00203EB0">
        <w:rPr>
          <w:rFonts w:cs="Times New Roman"/>
          <w:sz w:val="20"/>
          <w:szCs w:val="20"/>
        </w:rPr>
        <w:t xml:space="preserve"> cumulative emissions across all treatments for each model</w:t>
      </w:r>
    </w:p>
    <w:p w14:paraId="73F741D1" w14:textId="77777777" w:rsidR="00775F57" w:rsidRPr="00203EB0" w:rsidRDefault="00775F57"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sectPr w:rsidR="00775F57" w:rsidRPr="00203EB0" w:rsidSect="003C3A05">
          <w:pgSz w:w="15840" w:h="12240" w:orient="landscape" w:code="1"/>
          <w:pgMar w:top="1800" w:right="1440" w:bottom="1800" w:left="1872" w:header="720" w:footer="1440" w:gutter="0"/>
          <w:pgNumType w:start="150"/>
          <w:cols w:space="720"/>
          <w:noEndnote/>
          <w:docGrid w:linePitch="360"/>
        </w:sectPr>
      </w:pPr>
    </w:p>
    <w:p w14:paraId="00761DA2" w14:textId="03136D49" w:rsidR="00775F57" w:rsidRPr="00203EB0" w:rsidRDefault="00775F57" w:rsidP="00001ABC">
      <w:pPr>
        <w:pStyle w:val="Caption"/>
        <w:rPr>
          <w:b/>
          <w:bCs/>
        </w:rPr>
      </w:pPr>
      <w:bookmarkStart w:id="144" w:name="_Toc206669234"/>
      <w:r w:rsidRPr="00203EB0">
        <w:rPr>
          <w:b/>
          <w:bCs/>
        </w:rPr>
        <w:lastRenderedPageBreak/>
        <w:t xml:space="preserve">Table </w:t>
      </w:r>
      <w:r w:rsidRPr="00203EB0">
        <w:rPr>
          <w:b/>
          <w:bCs/>
        </w:rPr>
        <w:fldChar w:fldCharType="begin"/>
      </w:r>
      <w:r w:rsidRPr="00203EB0">
        <w:rPr>
          <w:b/>
          <w:bCs/>
        </w:rPr>
        <w:instrText xml:space="preserve"> STYLEREF 1 \s </w:instrText>
      </w:r>
      <w:r w:rsidRPr="00203EB0">
        <w:rPr>
          <w:b/>
          <w:bCs/>
        </w:rPr>
        <w:fldChar w:fldCharType="separate"/>
      </w:r>
      <w:r w:rsidR="00D56363" w:rsidRPr="00203EB0">
        <w:rPr>
          <w:b/>
          <w:bCs/>
        </w:rPr>
        <w:t>6</w:t>
      </w:r>
      <w:r w:rsidRPr="00203EB0">
        <w:rPr>
          <w:b/>
          <w:bCs/>
        </w:rPr>
        <w:fldChar w:fldCharType="end"/>
      </w:r>
      <w:r w:rsidRPr="00203EB0">
        <w:rPr>
          <w:b/>
          <w:bCs/>
        </w:rPr>
        <w:t>.</w:t>
      </w:r>
      <w:r w:rsidRPr="00203EB0">
        <w:rPr>
          <w:b/>
          <w:bCs/>
        </w:rPr>
        <w:fldChar w:fldCharType="begin"/>
      </w:r>
      <w:r w:rsidRPr="00203EB0">
        <w:rPr>
          <w:b/>
          <w:bCs/>
        </w:rPr>
        <w:instrText xml:space="preserve"> SEQ Table \* ARABIC \s 1 </w:instrText>
      </w:r>
      <w:r w:rsidRPr="00203EB0">
        <w:rPr>
          <w:b/>
          <w:bCs/>
        </w:rPr>
        <w:fldChar w:fldCharType="separate"/>
      </w:r>
      <w:r w:rsidR="00D56363" w:rsidRPr="00203EB0">
        <w:rPr>
          <w:b/>
          <w:bCs/>
        </w:rPr>
        <w:t>6</w:t>
      </w:r>
      <w:r w:rsidRPr="00203EB0">
        <w:rPr>
          <w:b/>
          <w:bCs/>
        </w:rPr>
        <w:fldChar w:fldCharType="end"/>
      </w:r>
      <w:r w:rsidRPr="00203EB0">
        <w:rPr>
          <w:b/>
          <w:bCs/>
        </w:rPr>
        <w:t>:</w:t>
      </w:r>
      <w:r w:rsidRPr="00203EB0">
        <w:t xml:space="preserve"> Observed and predicted cumulative N</w:t>
      </w:r>
      <w:r w:rsidRPr="00203EB0">
        <w:rPr>
          <w:vertAlign w:val="subscript"/>
        </w:rPr>
        <w:t>2</w:t>
      </w:r>
      <w:r w:rsidRPr="00203EB0">
        <w:t>O emissions by treatment, based on the 2022 independent validation dataset.</w:t>
      </w:r>
      <w:bookmarkEnd w:id="144"/>
    </w:p>
    <w:tbl>
      <w:tblPr>
        <w:tblStyle w:val="TableGrid"/>
        <w:tblpPr w:leftFromText="180" w:rightFromText="180" w:horzAnchor="margin" w:tblpY="5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4"/>
        <w:gridCol w:w="1267"/>
        <w:gridCol w:w="1267"/>
        <w:gridCol w:w="1196"/>
        <w:gridCol w:w="1267"/>
        <w:gridCol w:w="1197"/>
        <w:gridCol w:w="1268"/>
        <w:gridCol w:w="1197"/>
        <w:gridCol w:w="1268"/>
        <w:gridCol w:w="1197"/>
      </w:tblGrid>
      <w:tr w:rsidR="00775F57" w:rsidRPr="00203EB0" w14:paraId="5B8727AC" w14:textId="77777777" w:rsidTr="00C17D6E">
        <w:tc>
          <w:tcPr>
            <w:tcW w:w="1403" w:type="dxa"/>
            <w:vMerge w:val="restart"/>
            <w:tcBorders>
              <w:top w:val="single" w:sz="4" w:space="0" w:color="auto"/>
            </w:tcBorders>
            <w:vAlign w:val="center"/>
          </w:tcPr>
          <w:p w14:paraId="73825482" w14:textId="77777777" w:rsidR="00775F57" w:rsidRPr="00203EB0" w:rsidRDefault="00775F57" w:rsidP="00C17D6E">
            <w:pPr>
              <w:tabs>
                <w:tab w:val="left" w:pos="8148"/>
              </w:tabs>
              <w:jc w:val="center"/>
              <w:rPr>
                <w:rFonts w:cs="Times New Roman"/>
                <w:b/>
              </w:rPr>
            </w:pPr>
            <w:r w:rsidRPr="00203EB0">
              <w:rPr>
                <w:rFonts w:cs="Times New Roman"/>
                <w:b/>
              </w:rPr>
              <w:t>Treatments</w:t>
            </w:r>
          </w:p>
        </w:tc>
        <w:tc>
          <w:tcPr>
            <w:tcW w:w="11605" w:type="dxa"/>
            <w:gridSpan w:val="9"/>
            <w:tcBorders>
              <w:top w:val="single" w:sz="4" w:space="0" w:color="auto"/>
              <w:bottom w:val="single" w:sz="4" w:space="0" w:color="auto"/>
            </w:tcBorders>
            <w:vAlign w:val="center"/>
          </w:tcPr>
          <w:p w14:paraId="69F0F22A" w14:textId="77777777" w:rsidR="00775F57" w:rsidRPr="00203EB0" w:rsidRDefault="00775F57" w:rsidP="00C17D6E">
            <w:pPr>
              <w:tabs>
                <w:tab w:val="left" w:pos="8148"/>
              </w:tabs>
              <w:jc w:val="center"/>
              <w:rPr>
                <w:rFonts w:cs="Times New Roman"/>
                <w:b/>
              </w:rPr>
            </w:pPr>
            <w:r w:rsidRPr="00203EB0">
              <w:rPr>
                <w:rFonts w:cs="Times New Roman"/>
                <w:b/>
              </w:rPr>
              <w:t>Models- Independent Dataset</w:t>
            </w:r>
          </w:p>
        </w:tc>
      </w:tr>
      <w:tr w:rsidR="00775F57" w:rsidRPr="005F34C8" w14:paraId="7AFDD1AB" w14:textId="77777777" w:rsidTr="00C17D6E">
        <w:tc>
          <w:tcPr>
            <w:tcW w:w="1403" w:type="dxa"/>
            <w:vMerge/>
          </w:tcPr>
          <w:p w14:paraId="6B09D955" w14:textId="77777777" w:rsidR="00775F57" w:rsidRPr="00203EB0" w:rsidRDefault="00775F57" w:rsidP="00C17D6E">
            <w:pPr>
              <w:tabs>
                <w:tab w:val="left" w:pos="8148"/>
              </w:tabs>
              <w:rPr>
                <w:rFonts w:cs="Times New Roman"/>
              </w:rPr>
            </w:pPr>
          </w:p>
        </w:tc>
        <w:tc>
          <w:tcPr>
            <w:tcW w:w="11605" w:type="dxa"/>
            <w:gridSpan w:val="9"/>
            <w:tcBorders>
              <w:top w:val="single" w:sz="4" w:space="0" w:color="auto"/>
              <w:bottom w:val="single" w:sz="4" w:space="0" w:color="auto"/>
            </w:tcBorders>
            <w:vAlign w:val="center"/>
          </w:tcPr>
          <w:p w14:paraId="73E388A3" w14:textId="70ED48B4" w:rsidR="00775F57" w:rsidRPr="00622616" w:rsidRDefault="00775F57" w:rsidP="00C17D6E">
            <w:pPr>
              <w:jc w:val="center"/>
              <w:rPr>
                <w:rFonts w:cs="Times New Roman"/>
                <w:b/>
                <w:color w:val="000000"/>
                <w:lang w:val="es-UY"/>
              </w:rPr>
            </w:pPr>
            <w:r w:rsidRPr="00622616">
              <w:rPr>
                <w:rFonts w:cs="Times New Roman"/>
                <w:b/>
                <w:color w:val="000000"/>
                <w:lang w:val="es-UY"/>
              </w:rPr>
              <w:t>Cumulative N</w:t>
            </w:r>
            <w:r w:rsidRPr="00622616">
              <w:rPr>
                <w:rFonts w:cs="Times New Roman"/>
                <w:b/>
                <w:color w:val="000000"/>
                <w:vertAlign w:val="subscript"/>
                <w:lang w:val="es-UY"/>
              </w:rPr>
              <w:t>2</w:t>
            </w:r>
            <w:r w:rsidRPr="00622616">
              <w:rPr>
                <w:rFonts w:cs="Times New Roman"/>
                <w:b/>
                <w:color w:val="000000"/>
                <w:lang w:val="es-UY"/>
              </w:rPr>
              <w:t xml:space="preserve">O </w:t>
            </w:r>
            <w:proofErr w:type="spellStart"/>
            <w:r w:rsidRPr="00622616">
              <w:rPr>
                <w:rFonts w:cs="Times New Roman"/>
                <w:b/>
                <w:color w:val="000000"/>
                <w:lang w:val="es-UY"/>
              </w:rPr>
              <w:t>emissions</w:t>
            </w:r>
            <w:proofErr w:type="spellEnd"/>
            <w:r w:rsidRPr="00622616">
              <w:rPr>
                <w:rFonts w:cs="Times New Roman"/>
                <w:b/>
                <w:color w:val="000000"/>
                <w:lang w:val="es-UY"/>
              </w:rPr>
              <w:t xml:space="preserve"> (g N</w:t>
            </w:r>
            <w:r w:rsidRPr="00622616">
              <w:rPr>
                <w:rFonts w:cs="Times New Roman"/>
                <w:b/>
                <w:color w:val="000000"/>
                <w:vertAlign w:val="subscript"/>
                <w:lang w:val="es-UY"/>
              </w:rPr>
              <w:t>2</w:t>
            </w:r>
            <w:r w:rsidRPr="00622616">
              <w:rPr>
                <w:rFonts w:cs="Times New Roman"/>
                <w:b/>
                <w:color w:val="000000"/>
                <w:lang w:val="es-UY"/>
              </w:rPr>
              <w:t>O-N ha</w:t>
            </w:r>
            <w:r w:rsidRPr="00622616">
              <w:rPr>
                <w:rFonts w:cs="Times New Roman"/>
                <w:b/>
                <w:color w:val="000000"/>
                <w:vertAlign w:val="superscript"/>
                <w:lang w:val="es-UY"/>
              </w:rPr>
              <w:t>-1</w:t>
            </w:r>
            <w:r w:rsidRPr="00622616">
              <w:rPr>
                <w:rFonts w:cs="Times New Roman"/>
                <w:b/>
                <w:color w:val="000000"/>
                <w:lang w:val="es-UY"/>
              </w:rPr>
              <w:t>)</w:t>
            </w:r>
          </w:p>
        </w:tc>
      </w:tr>
      <w:tr w:rsidR="00775F57" w:rsidRPr="00203EB0" w14:paraId="3F2AC875" w14:textId="77777777" w:rsidTr="00C17D6E">
        <w:tc>
          <w:tcPr>
            <w:tcW w:w="1403" w:type="dxa"/>
            <w:vMerge/>
          </w:tcPr>
          <w:p w14:paraId="76618215" w14:textId="77777777" w:rsidR="00775F57" w:rsidRPr="00622616" w:rsidRDefault="00775F57" w:rsidP="00C17D6E">
            <w:pPr>
              <w:tabs>
                <w:tab w:val="left" w:pos="8148"/>
              </w:tabs>
              <w:rPr>
                <w:rFonts w:cs="Times New Roman"/>
                <w:lang w:val="es-UY"/>
              </w:rPr>
            </w:pPr>
          </w:p>
        </w:tc>
        <w:tc>
          <w:tcPr>
            <w:tcW w:w="1288" w:type="dxa"/>
            <w:vAlign w:val="center"/>
          </w:tcPr>
          <w:p w14:paraId="15C84E4D" w14:textId="77777777" w:rsidR="00775F57" w:rsidRPr="00622616" w:rsidRDefault="00775F57" w:rsidP="00C17D6E">
            <w:pPr>
              <w:tabs>
                <w:tab w:val="left" w:pos="8148"/>
              </w:tabs>
              <w:rPr>
                <w:rFonts w:cs="Times New Roman"/>
                <w:b/>
                <w:lang w:val="es-UY"/>
              </w:rPr>
            </w:pPr>
          </w:p>
        </w:tc>
        <w:tc>
          <w:tcPr>
            <w:tcW w:w="2578" w:type="dxa"/>
            <w:gridSpan w:val="2"/>
            <w:tcBorders>
              <w:bottom w:val="single" w:sz="4" w:space="0" w:color="auto"/>
            </w:tcBorders>
            <w:vAlign w:val="center"/>
          </w:tcPr>
          <w:p w14:paraId="40709E63" w14:textId="77777777" w:rsidR="00775F57" w:rsidRPr="00203EB0" w:rsidRDefault="00775F57" w:rsidP="00C17D6E">
            <w:pPr>
              <w:tabs>
                <w:tab w:val="left" w:pos="8148"/>
              </w:tabs>
              <w:jc w:val="center"/>
              <w:rPr>
                <w:rFonts w:cs="Times New Roman"/>
                <w:b/>
              </w:rPr>
            </w:pPr>
            <w:r w:rsidRPr="00203EB0">
              <w:rPr>
                <w:rFonts w:cs="Times New Roman"/>
                <w:b/>
              </w:rPr>
              <w:t>Base</w:t>
            </w:r>
          </w:p>
        </w:tc>
        <w:tc>
          <w:tcPr>
            <w:tcW w:w="2579" w:type="dxa"/>
            <w:gridSpan w:val="2"/>
            <w:tcBorders>
              <w:top w:val="single" w:sz="4" w:space="0" w:color="auto"/>
              <w:bottom w:val="single" w:sz="4" w:space="0" w:color="auto"/>
            </w:tcBorders>
            <w:vAlign w:val="center"/>
          </w:tcPr>
          <w:p w14:paraId="3B792191" w14:textId="77777777" w:rsidR="00775F57" w:rsidRPr="00203EB0" w:rsidRDefault="00775F57" w:rsidP="00C17D6E">
            <w:pPr>
              <w:tabs>
                <w:tab w:val="left" w:pos="8148"/>
              </w:tabs>
              <w:jc w:val="center"/>
              <w:rPr>
                <w:rFonts w:cs="Times New Roman"/>
                <w:b/>
              </w:rPr>
            </w:pPr>
            <w:r w:rsidRPr="00203EB0">
              <w:rPr>
                <w:rFonts w:cs="Times New Roman"/>
                <w:b/>
              </w:rPr>
              <w:t>Class-Swap</w:t>
            </w:r>
          </w:p>
        </w:tc>
        <w:tc>
          <w:tcPr>
            <w:tcW w:w="2580" w:type="dxa"/>
            <w:gridSpan w:val="2"/>
            <w:tcBorders>
              <w:top w:val="single" w:sz="4" w:space="0" w:color="auto"/>
              <w:bottom w:val="single" w:sz="4" w:space="0" w:color="auto"/>
            </w:tcBorders>
            <w:vAlign w:val="center"/>
          </w:tcPr>
          <w:p w14:paraId="31099D34" w14:textId="77777777" w:rsidR="00775F57" w:rsidRPr="00203EB0" w:rsidRDefault="00775F57" w:rsidP="00C17D6E">
            <w:pPr>
              <w:tabs>
                <w:tab w:val="left" w:pos="8148"/>
              </w:tabs>
              <w:jc w:val="center"/>
              <w:rPr>
                <w:rFonts w:cs="Times New Roman"/>
                <w:b/>
              </w:rPr>
            </w:pPr>
            <w:r w:rsidRPr="00203EB0">
              <w:rPr>
                <w:rFonts w:cs="Times New Roman"/>
                <w:b/>
              </w:rPr>
              <w:t>Base-Over</w:t>
            </w:r>
          </w:p>
        </w:tc>
        <w:tc>
          <w:tcPr>
            <w:tcW w:w="2580" w:type="dxa"/>
            <w:gridSpan w:val="2"/>
            <w:tcBorders>
              <w:top w:val="single" w:sz="4" w:space="0" w:color="auto"/>
              <w:bottom w:val="single" w:sz="4" w:space="0" w:color="auto"/>
            </w:tcBorders>
            <w:vAlign w:val="center"/>
          </w:tcPr>
          <w:p w14:paraId="58E0B273" w14:textId="77777777" w:rsidR="00775F57" w:rsidRPr="00203EB0" w:rsidRDefault="00775F57" w:rsidP="00C17D6E">
            <w:pPr>
              <w:tabs>
                <w:tab w:val="left" w:pos="8148"/>
              </w:tabs>
              <w:jc w:val="center"/>
              <w:rPr>
                <w:rFonts w:cs="Times New Roman"/>
                <w:b/>
              </w:rPr>
            </w:pPr>
            <w:r w:rsidRPr="00203EB0">
              <w:rPr>
                <w:rFonts w:cs="Times New Roman"/>
                <w:b/>
              </w:rPr>
              <w:t>Class-Swap-Over</w:t>
            </w:r>
          </w:p>
        </w:tc>
      </w:tr>
      <w:tr w:rsidR="00775F57" w:rsidRPr="00203EB0" w14:paraId="021205EE" w14:textId="77777777" w:rsidTr="00C17D6E">
        <w:tc>
          <w:tcPr>
            <w:tcW w:w="1403" w:type="dxa"/>
            <w:vMerge/>
            <w:tcBorders>
              <w:top w:val="single" w:sz="4" w:space="0" w:color="auto"/>
              <w:bottom w:val="single" w:sz="4" w:space="0" w:color="auto"/>
            </w:tcBorders>
          </w:tcPr>
          <w:p w14:paraId="675912CF" w14:textId="77777777" w:rsidR="00775F57" w:rsidRPr="00203EB0" w:rsidRDefault="00775F57" w:rsidP="00C17D6E">
            <w:pPr>
              <w:tabs>
                <w:tab w:val="left" w:pos="8148"/>
              </w:tabs>
              <w:rPr>
                <w:rFonts w:cs="Times New Roman"/>
              </w:rPr>
            </w:pPr>
          </w:p>
        </w:tc>
        <w:tc>
          <w:tcPr>
            <w:tcW w:w="1288" w:type="dxa"/>
            <w:tcBorders>
              <w:bottom w:val="single" w:sz="4" w:space="0" w:color="auto"/>
            </w:tcBorders>
            <w:vAlign w:val="center"/>
          </w:tcPr>
          <w:p w14:paraId="5F337506" w14:textId="77777777" w:rsidR="00775F57" w:rsidRPr="00203EB0" w:rsidRDefault="00775F57" w:rsidP="00C17D6E">
            <w:pPr>
              <w:tabs>
                <w:tab w:val="left" w:pos="8148"/>
              </w:tabs>
              <w:jc w:val="center"/>
              <w:rPr>
                <w:rFonts w:cs="Times New Roman"/>
                <w:b/>
              </w:rPr>
            </w:pPr>
            <w:r w:rsidRPr="00203EB0">
              <w:rPr>
                <w:rFonts w:cs="Times New Roman"/>
                <w:b/>
              </w:rPr>
              <w:t>Observed</w:t>
            </w:r>
          </w:p>
        </w:tc>
        <w:tc>
          <w:tcPr>
            <w:tcW w:w="1289" w:type="dxa"/>
            <w:tcBorders>
              <w:top w:val="single" w:sz="4" w:space="0" w:color="auto"/>
              <w:bottom w:val="single" w:sz="4" w:space="0" w:color="auto"/>
            </w:tcBorders>
            <w:vAlign w:val="center"/>
          </w:tcPr>
          <w:p w14:paraId="541D619D" w14:textId="77777777" w:rsidR="00775F57" w:rsidRPr="00203EB0" w:rsidRDefault="00775F57" w:rsidP="00C17D6E">
            <w:pPr>
              <w:tabs>
                <w:tab w:val="left" w:pos="8148"/>
              </w:tabs>
              <w:jc w:val="center"/>
              <w:rPr>
                <w:rFonts w:cs="Times New Roman"/>
                <w:b/>
              </w:rPr>
            </w:pPr>
            <w:r w:rsidRPr="00203EB0">
              <w:rPr>
                <w:rFonts w:cs="Times New Roman"/>
                <w:b/>
              </w:rPr>
              <w:t>Predicted</w:t>
            </w:r>
          </w:p>
        </w:tc>
        <w:tc>
          <w:tcPr>
            <w:tcW w:w="1289" w:type="dxa"/>
            <w:tcBorders>
              <w:top w:val="single" w:sz="4" w:space="0" w:color="auto"/>
              <w:bottom w:val="single" w:sz="4" w:space="0" w:color="auto"/>
            </w:tcBorders>
            <w:vAlign w:val="center"/>
          </w:tcPr>
          <w:p w14:paraId="0636963C" w14:textId="77777777" w:rsidR="00775F57" w:rsidRPr="00203EB0" w:rsidRDefault="00775F57" w:rsidP="00C17D6E">
            <w:pPr>
              <w:tabs>
                <w:tab w:val="left" w:pos="8148"/>
              </w:tabs>
              <w:jc w:val="center"/>
              <w:rPr>
                <w:rFonts w:cs="Times New Roman"/>
                <w:b/>
              </w:rPr>
            </w:pPr>
            <w:r w:rsidRPr="00203EB0">
              <w:rPr>
                <w:rFonts w:cs="Times New Roman"/>
                <w:b/>
              </w:rPr>
              <w:t>MAPE</w:t>
            </w:r>
          </w:p>
        </w:tc>
        <w:tc>
          <w:tcPr>
            <w:tcW w:w="1289" w:type="dxa"/>
            <w:tcBorders>
              <w:top w:val="single" w:sz="4" w:space="0" w:color="auto"/>
              <w:bottom w:val="single" w:sz="4" w:space="0" w:color="auto"/>
            </w:tcBorders>
            <w:vAlign w:val="center"/>
          </w:tcPr>
          <w:p w14:paraId="772E393C" w14:textId="77777777" w:rsidR="00775F57" w:rsidRPr="00203EB0" w:rsidRDefault="00775F57" w:rsidP="00C17D6E">
            <w:pPr>
              <w:tabs>
                <w:tab w:val="left" w:pos="8148"/>
              </w:tabs>
              <w:jc w:val="center"/>
              <w:rPr>
                <w:rFonts w:cs="Times New Roman"/>
                <w:b/>
              </w:rPr>
            </w:pPr>
            <w:r w:rsidRPr="00203EB0">
              <w:rPr>
                <w:rFonts w:cs="Times New Roman"/>
                <w:b/>
              </w:rPr>
              <w:t>Predicted</w:t>
            </w:r>
          </w:p>
        </w:tc>
        <w:tc>
          <w:tcPr>
            <w:tcW w:w="1290" w:type="dxa"/>
            <w:tcBorders>
              <w:top w:val="single" w:sz="4" w:space="0" w:color="auto"/>
              <w:bottom w:val="single" w:sz="4" w:space="0" w:color="auto"/>
            </w:tcBorders>
            <w:vAlign w:val="center"/>
          </w:tcPr>
          <w:p w14:paraId="4356B0E7" w14:textId="77777777" w:rsidR="00775F57" w:rsidRPr="00203EB0" w:rsidRDefault="00775F57" w:rsidP="00C17D6E">
            <w:pPr>
              <w:tabs>
                <w:tab w:val="left" w:pos="8148"/>
              </w:tabs>
              <w:jc w:val="center"/>
              <w:rPr>
                <w:rFonts w:cs="Times New Roman"/>
                <w:b/>
              </w:rPr>
            </w:pPr>
            <w:r w:rsidRPr="00203EB0">
              <w:rPr>
                <w:rFonts w:cs="Times New Roman"/>
                <w:b/>
              </w:rPr>
              <w:t>MAPE</w:t>
            </w:r>
          </w:p>
        </w:tc>
        <w:tc>
          <w:tcPr>
            <w:tcW w:w="1290" w:type="dxa"/>
            <w:tcBorders>
              <w:top w:val="single" w:sz="4" w:space="0" w:color="auto"/>
              <w:bottom w:val="single" w:sz="4" w:space="0" w:color="auto"/>
            </w:tcBorders>
            <w:vAlign w:val="center"/>
          </w:tcPr>
          <w:p w14:paraId="6FCD5C5E" w14:textId="77777777" w:rsidR="00775F57" w:rsidRPr="00203EB0" w:rsidRDefault="00775F57" w:rsidP="00C17D6E">
            <w:pPr>
              <w:tabs>
                <w:tab w:val="left" w:pos="8148"/>
              </w:tabs>
              <w:jc w:val="center"/>
              <w:rPr>
                <w:rFonts w:cs="Times New Roman"/>
                <w:b/>
              </w:rPr>
            </w:pPr>
            <w:r w:rsidRPr="00203EB0">
              <w:rPr>
                <w:rFonts w:cs="Times New Roman"/>
                <w:b/>
              </w:rPr>
              <w:t>Predicted</w:t>
            </w:r>
          </w:p>
        </w:tc>
        <w:tc>
          <w:tcPr>
            <w:tcW w:w="1290" w:type="dxa"/>
            <w:tcBorders>
              <w:top w:val="single" w:sz="4" w:space="0" w:color="auto"/>
              <w:bottom w:val="single" w:sz="4" w:space="0" w:color="auto"/>
            </w:tcBorders>
            <w:vAlign w:val="center"/>
          </w:tcPr>
          <w:p w14:paraId="345D62CF" w14:textId="77777777" w:rsidR="00775F57" w:rsidRPr="00203EB0" w:rsidRDefault="00775F57" w:rsidP="00C17D6E">
            <w:pPr>
              <w:tabs>
                <w:tab w:val="left" w:pos="8148"/>
              </w:tabs>
              <w:jc w:val="center"/>
              <w:rPr>
                <w:rFonts w:cs="Times New Roman"/>
                <w:b/>
              </w:rPr>
            </w:pPr>
            <w:r w:rsidRPr="00203EB0">
              <w:rPr>
                <w:rFonts w:cs="Times New Roman"/>
                <w:b/>
              </w:rPr>
              <w:t>MAPE</w:t>
            </w:r>
          </w:p>
        </w:tc>
        <w:tc>
          <w:tcPr>
            <w:tcW w:w="1290" w:type="dxa"/>
            <w:tcBorders>
              <w:top w:val="single" w:sz="4" w:space="0" w:color="auto"/>
              <w:bottom w:val="single" w:sz="4" w:space="0" w:color="auto"/>
            </w:tcBorders>
            <w:vAlign w:val="center"/>
          </w:tcPr>
          <w:p w14:paraId="7DA45EF6" w14:textId="77777777" w:rsidR="00775F57" w:rsidRPr="00203EB0" w:rsidRDefault="00775F57" w:rsidP="00C17D6E">
            <w:pPr>
              <w:tabs>
                <w:tab w:val="left" w:pos="8148"/>
              </w:tabs>
              <w:jc w:val="center"/>
              <w:rPr>
                <w:rFonts w:cs="Times New Roman"/>
                <w:b/>
              </w:rPr>
            </w:pPr>
            <w:r w:rsidRPr="00203EB0">
              <w:rPr>
                <w:rFonts w:cs="Times New Roman"/>
                <w:b/>
              </w:rPr>
              <w:t>Predicted</w:t>
            </w:r>
          </w:p>
        </w:tc>
        <w:tc>
          <w:tcPr>
            <w:tcW w:w="1290" w:type="dxa"/>
            <w:tcBorders>
              <w:top w:val="single" w:sz="4" w:space="0" w:color="auto"/>
              <w:bottom w:val="single" w:sz="4" w:space="0" w:color="auto"/>
            </w:tcBorders>
            <w:vAlign w:val="center"/>
          </w:tcPr>
          <w:p w14:paraId="25DBF350" w14:textId="77777777" w:rsidR="00775F57" w:rsidRPr="00203EB0" w:rsidRDefault="00775F57" w:rsidP="00C17D6E">
            <w:pPr>
              <w:tabs>
                <w:tab w:val="left" w:pos="8148"/>
              </w:tabs>
              <w:jc w:val="center"/>
              <w:rPr>
                <w:rFonts w:cs="Times New Roman"/>
                <w:b/>
              </w:rPr>
            </w:pPr>
            <w:r w:rsidRPr="00203EB0">
              <w:rPr>
                <w:rFonts w:cs="Times New Roman"/>
                <w:b/>
              </w:rPr>
              <w:t>MAPE</w:t>
            </w:r>
          </w:p>
        </w:tc>
      </w:tr>
      <w:tr w:rsidR="00775F57" w:rsidRPr="00203EB0" w14:paraId="6A542B71" w14:textId="77777777" w:rsidTr="00C17D6E">
        <w:tc>
          <w:tcPr>
            <w:tcW w:w="1403" w:type="dxa"/>
            <w:tcBorders>
              <w:top w:val="single" w:sz="4" w:space="0" w:color="auto"/>
            </w:tcBorders>
          </w:tcPr>
          <w:p w14:paraId="087A21FA" w14:textId="77777777" w:rsidR="00775F57" w:rsidRPr="00203EB0" w:rsidRDefault="00775F57" w:rsidP="00C17D6E">
            <w:pPr>
              <w:tabs>
                <w:tab w:val="left" w:pos="8148"/>
              </w:tabs>
              <w:rPr>
                <w:rFonts w:cs="Times New Roman"/>
              </w:rPr>
            </w:pPr>
            <w:r w:rsidRPr="00203EB0">
              <w:rPr>
                <w:rFonts w:cs="Times New Roman"/>
              </w:rPr>
              <w:t>CT-NC-0</w:t>
            </w:r>
          </w:p>
        </w:tc>
        <w:tc>
          <w:tcPr>
            <w:tcW w:w="1288" w:type="dxa"/>
            <w:tcBorders>
              <w:top w:val="single" w:sz="4" w:space="0" w:color="auto"/>
            </w:tcBorders>
            <w:vAlign w:val="center"/>
          </w:tcPr>
          <w:p w14:paraId="5076353C" w14:textId="77777777" w:rsidR="00775F57" w:rsidRPr="00203EB0" w:rsidRDefault="00775F57" w:rsidP="00C17D6E">
            <w:pPr>
              <w:tabs>
                <w:tab w:val="left" w:pos="8148"/>
              </w:tabs>
              <w:jc w:val="center"/>
              <w:rPr>
                <w:rFonts w:cs="Times New Roman"/>
              </w:rPr>
            </w:pPr>
            <w:r w:rsidRPr="00203EB0">
              <w:rPr>
                <w:rFonts w:cs="Times New Roman"/>
              </w:rPr>
              <w:t>644</w:t>
            </w:r>
          </w:p>
        </w:tc>
        <w:tc>
          <w:tcPr>
            <w:tcW w:w="1289" w:type="dxa"/>
            <w:tcBorders>
              <w:top w:val="single" w:sz="4" w:space="0" w:color="auto"/>
            </w:tcBorders>
            <w:vAlign w:val="center"/>
          </w:tcPr>
          <w:p w14:paraId="61E51F38" w14:textId="77777777" w:rsidR="00775F57" w:rsidRPr="00203EB0" w:rsidRDefault="00775F57" w:rsidP="00C17D6E">
            <w:pPr>
              <w:tabs>
                <w:tab w:val="left" w:pos="8148"/>
              </w:tabs>
              <w:jc w:val="center"/>
              <w:rPr>
                <w:rFonts w:cs="Times New Roman"/>
              </w:rPr>
            </w:pPr>
            <w:r w:rsidRPr="00203EB0">
              <w:rPr>
                <w:rFonts w:cs="Times New Roman"/>
              </w:rPr>
              <w:t>495</w:t>
            </w:r>
          </w:p>
        </w:tc>
        <w:tc>
          <w:tcPr>
            <w:tcW w:w="1289" w:type="dxa"/>
            <w:tcBorders>
              <w:top w:val="single" w:sz="4" w:space="0" w:color="auto"/>
            </w:tcBorders>
            <w:vAlign w:val="center"/>
          </w:tcPr>
          <w:p w14:paraId="2DEB8F7F" w14:textId="77777777" w:rsidR="00775F57" w:rsidRPr="00203EB0" w:rsidRDefault="00775F57" w:rsidP="00C17D6E">
            <w:pPr>
              <w:tabs>
                <w:tab w:val="left" w:pos="8148"/>
              </w:tabs>
              <w:jc w:val="center"/>
              <w:rPr>
                <w:rFonts w:cs="Times New Roman"/>
              </w:rPr>
            </w:pPr>
            <w:r w:rsidRPr="00203EB0">
              <w:rPr>
                <w:rFonts w:cs="Times New Roman"/>
              </w:rPr>
              <w:t>23</w:t>
            </w:r>
          </w:p>
        </w:tc>
        <w:tc>
          <w:tcPr>
            <w:tcW w:w="1289" w:type="dxa"/>
            <w:tcBorders>
              <w:top w:val="single" w:sz="4" w:space="0" w:color="auto"/>
            </w:tcBorders>
            <w:vAlign w:val="center"/>
          </w:tcPr>
          <w:p w14:paraId="40ECC10C" w14:textId="77777777" w:rsidR="00775F57" w:rsidRPr="00203EB0" w:rsidRDefault="00775F57" w:rsidP="00C17D6E">
            <w:pPr>
              <w:tabs>
                <w:tab w:val="left" w:pos="8148"/>
              </w:tabs>
              <w:jc w:val="center"/>
              <w:rPr>
                <w:rFonts w:cs="Times New Roman"/>
              </w:rPr>
            </w:pPr>
            <w:r w:rsidRPr="00203EB0">
              <w:rPr>
                <w:rFonts w:cs="Times New Roman"/>
              </w:rPr>
              <w:t>457</w:t>
            </w:r>
          </w:p>
        </w:tc>
        <w:tc>
          <w:tcPr>
            <w:tcW w:w="1290" w:type="dxa"/>
            <w:tcBorders>
              <w:top w:val="single" w:sz="4" w:space="0" w:color="auto"/>
            </w:tcBorders>
            <w:vAlign w:val="center"/>
          </w:tcPr>
          <w:p w14:paraId="55B6AEE4" w14:textId="77777777" w:rsidR="00775F57" w:rsidRPr="00203EB0" w:rsidRDefault="00775F57" w:rsidP="00C17D6E">
            <w:pPr>
              <w:tabs>
                <w:tab w:val="left" w:pos="8148"/>
              </w:tabs>
              <w:jc w:val="center"/>
              <w:rPr>
                <w:rFonts w:cs="Times New Roman"/>
              </w:rPr>
            </w:pPr>
            <w:r w:rsidRPr="00203EB0">
              <w:rPr>
                <w:rFonts w:cs="Times New Roman"/>
              </w:rPr>
              <w:t>29</w:t>
            </w:r>
          </w:p>
        </w:tc>
        <w:tc>
          <w:tcPr>
            <w:tcW w:w="1290" w:type="dxa"/>
            <w:tcBorders>
              <w:top w:val="single" w:sz="4" w:space="0" w:color="auto"/>
            </w:tcBorders>
            <w:vAlign w:val="center"/>
          </w:tcPr>
          <w:p w14:paraId="5C60503F" w14:textId="77777777" w:rsidR="00775F57" w:rsidRPr="00203EB0" w:rsidRDefault="00775F57" w:rsidP="00C17D6E">
            <w:pPr>
              <w:tabs>
                <w:tab w:val="left" w:pos="8148"/>
              </w:tabs>
              <w:jc w:val="center"/>
              <w:rPr>
                <w:rFonts w:cs="Times New Roman"/>
              </w:rPr>
            </w:pPr>
            <w:r w:rsidRPr="00203EB0">
              <w:rPr>
                <w:rFonts w:cs="Times New Roman"/>
              </w:rPr>
              <w:t>1003</w:t>
            </w:r>
          </w:p>
        </w:tc>
        <w:tc>
          <w:tcPr>
            <w:tcW w:w="1290" w:type="dxa"/>
            <w:tcBorders>
              <w:top w:val="single" w:sz="4" w:space="0" w:color="auto"/>
            </w:tcBorders>
            <w:vAlign w:val="center"/>
          </w:tcPr>
          <w:p w14:paraId="75F35E8B" w14:textId="77777777" w:rsidR="00775F57" w:rsidRPr="00203EB0" w:rsidRDefault="00775F57" w:rsidP="00C17D6E">
            <w:pPr>
              <w:tabs>
                <w:tab w:val="left" w:pos="8148"/>
              </w:tabs>
              <w:jc w:val="center"/>
              <w:rPr>
                <w:rFonts w:cs="Times New Roman"/>
              </w:rPr>
            </w:pPr>
            <w:r w:rsidRPr="00203EB0">
              <w:rPr>
                <w:rFonts w:cs="Times New Roman"/>
              </w:rPr>
              <w:t>56</w:t>
            </w:r>
          </w:p>
        </w:tc>
        <w:tc>
          <w:tcPr>
            <w:tcW w:w="1290" w:type="dxa"/>
            <w:tcBorders>
              <w:top w:val="single" w:sz="4" w:space="0" w:color="auto"/>
            </w:tcBorders>
            <w:vAlign w:val="center"/>
          </w:tcPr>
          <w:p w14:paraId="147EFCA6" w14:textId="77777777" w:rsidR="00775F57" w:rsidRPr="00203EB0" w:rsidRDefault="00775F57" w:rsidP="00C17D6E">
            <w:pPr>
              <w:tabs>
                <w:tab w:val="left" w:pos="8148"/>
              </w:tabs>
              <w:jc w:val="center"/>
              <w:rPr>
                <w:rFonts w:cs="Times New Roman"/>
              </w:rPr>
            </w:pPr>
            <w:r w:rsidRPr="00203EB0">
              <w:rPr>
                <w:rFonts w:cs="Times New Roman"/>
              </w:rPr>
              <w:t>494</w:t>
            </w:r>
          </w:p>
        </w:tc>
        <w:tc>
          <w:tcPr>
            <w:tcW w:w="1290" w:type="dxa"/>
            <w:tcBorders>
              <w:top w:val="single" w:sz="4" w:space="0" w:color="auto"/>
            </w:tcBorders>
            <w:vAlign w:val="center"/>
          </w:tcPr>
          <w:p w14:paraId="66AF3369" w14:textId="77777777" w:rsidR="00775F57" w:rsidRPr="00203EB0" w:rsidRDefault="00775F57" w:rsidP="00C17D6E">
            <w:pPr>
              <w:tabs>
                <w:tab w:val="left" w:pos="8148"/>
              </w:tabs>
              <w:jc w:val="center"/>
              <w:rPr>
                <w:rFonts w:cs="Times New Roman"/>
              </w:rPr>
            </w:pPr>
            <w:r w:rsidRPr="00203EB0">
              <w:rPr>
                <w:rFonts w:cs="Times New Roman"/>
              </w:rPr>
              <w:t>23</w:t>
            </w:r>
          </w:p>
        </w:tc>
      </w:tr>
      <w:tr w:rsidR="00775F57" w:rsidRPr="00203EB0" w14:paraId="6C3C8601" w14:textId="77777777" w:rsidTr="00C17D6E">
        <w:tc>
          <w:tcPr>
            <w:tcW w:w="1403" w:type="dxa"/>
          </w:tcPr>
          <w:p w14:paraId="3A138842" w14:textId="77777777" w:rsidR="00775F57" w:rsidRPr="00203EB0" w:rsidRDefault="00775F57" w:rsidP="00C17D6E">
            <w:pPr>
              <w:tabs>
                <w:tab w:val="left" w:pos="8148"/>
              </w:tabs>
              <w:rPr>
                <w:rFonts w:cs="Times New Roman"/>
              </w:rPr>
            </w:pPr>
            <w:r w:rsidRPr="00203EB0">
              <w:rPr>
                <w:rFonts w:cs="Times New Roman"/>
              </w:rPr>
              <w:t>CT-NC-70</w:t>
            </w:r>
          </w:p>
        </w:tc>
        <w:tc>
          <w:tcPr>
            <w:tcW w:w="1288" w:type="dxa"/>
            <w:vAlign w:val="center"/>
          </w:tcPr>
          <w:p w14:paraId="1A5F2FA2" w14:textId="77777777" w:rsidR="00775F57" w:rsidRPr="00203EB0" w:rsidRDefault="00775F57" w:rsidP="00C17D6E">
            <w:pPr>
              <w:tabs>
                <w:tab w:val="left" w:pos="8148"/>
              </w:tabs>
              <w:jc w:val="center"/>
              <w:rPr>
                <w:rFonts w:cs="Times New Roman"/>
              </w:rPr>
            </w:pPr>
            <w:r w:rsidRPr="00203EB0">
              <w:rPr>
                <w:rFonts w:cs="Times New Roman"/>
              </w:rPr>
              <w:t>1025</w:t>
            </w:r>
          </w:p>
        </w:tc>
        <w:tc>
          <w:tcPr>
            <w:tcW w:w="1289" w:type="dxa"/>
            <w:vAlign w:val="center"/>
          </w:tcPr>
          <w:p w14:paraId="50B323A8" w14:textId="77777777" w:rsidR="00775F57" w:rsidRPr="00203EB0" w:rsidRDefault="00775F57" w:rsidP="00C17D6E">
            <w:pPr>
              <w:tabs>
                <w:tab w:val="left" w:pos="8148"/>
              </w:tabs>
              <w:jc w:val="center"/>
              <w:rPr>
                <w:rFonts w:cs="Times New Roman"/>
              </w:rPr>
            </w:pPr>
            <w:r w:rsidRPr="00203EB0">
              <w:rPr>
                <w:rFonts w:cs="Times New Roman"/>
              </w:rPr>
              <w:t>548</w:t>
            </w:r>
          </w:p>
        </w:tc>
        <w:tc>
          <w:tcPr>
            <w:tcW w:w="1289" w:type="dxa"/>
            <w:vAlign w:val="center"/>
          </w:tcPr>
          <w:p w14:paraId="036BBAA7" w14:textId="77777777" w:rsidR="00775F57" w:rsidRPr="00203EB0" w:rsidRDefault="00775F57" w:rsidP="00C17D6E">
            <w:pPr>
              <w:tabs>
                <w:tab w:val="left" w:pos="8148"/>
              </w:tabs>
              <w:jc w:val="center"/>
              <w:rPr>
                <w:rFonts w:cs="Times New Roman"/>
              </w:rPr>
            </w:pPr>
            <w:r w:rsidRPr="00203EB0">
              <w:rPr>
                <w:rFonts w:cs="Times New Roman"/>
              </w:rPr>
              <w:t>47</w:t>
            </w:r>
          </w:p>
        </w:tc>
        <w:tc>
          <w:tcPr>
            <w:tcW w:w="1289" w:type="dxa"/>
            <w:vAlign w:val="center"/>
          </w:tcPr>
          <w:p w14:paraId="56E44B3E" w14:textId="77777777" w:rsidR="00775F57" w:rsidRPr="00203EB0" w:rsidRDefault="00775F57" w:rsidP="00C17D6E">
            <w:pPr>
              <w:tabs>
                <w:tab w:val="left" w:pos="8148"/>
              </w:tabs>
              <w:jc w:val="center"/>
              <w:rPr>
                <w:rFonts w:cs="Times New Roman"/>
              </w:rPr>
            </w:pPr>
            <w:r w:rsidRPr="00203EB0">
              <w:rPr>
                <w:rFonts w:cs="Times New Roman"/>
              </w:rPr>
              <w:t>888</w:t>
            </w:r>
          </w:p>
        </w:tc>
        <w:tc>
          <w:tcPr>
            <w:tcW w:w="1290" w:type="dxa"/>
            <w:vAlign w:val="center"/>
          </w:tcPr>
          <w:p w14:paraId="0F277AAB" w14:textId="77777777" w:rsidR="00775F57" w:rsidRPr="00203EB0" w:rsidRDefault="00775F57" w:rsidP="00C17D6E">
            <w:pPr>
              <w:tabs>
                <w:tab w:val="left" w:pos="8148"/>
              </w:tabs>
              <w:jc w:val="center"/>
              <w:rPr>
                <w:rFonts w:cs="Times New Roman"/>
              </w:rPr>
            </w:pPr>
            <w:r w:rsidRPr="00203EB0">
              <w:rPr>
                <w:rFonts w:cs="Times New Roman"/>
              </w:rPr>
              <w:t>13</w:t>
            </w:r>
          </w:p>
        </w:tc>
        <w:tc>
          <w:tcPr>
            <w:tcW w:w="1290" w:type="dxa"/>
            <w:vAlign w:val="center"/>
          </w:tcPr>
          <w:p w14:paraId="7899B03C" w14:textId="77777777" w:rsidR="00775F57" w:rsidRPr="00203EB0" w:rsidRDefault="00775F57" w:rsidP="00C17D6E">
            <w:pPr>
              <w:tabs>
                <w:tab w:val="left" w:pos="8148"/>
              </w:tabs>
              <w:jc w:val="center"/>
              <w:rPr>
                <w:rFonts w:cs="Times New Roman"/>
              </w:rPr>
            </w:pPr>
            <w:r w:rsidRPr="00203EB0">
              <w:rPr>
                <w:rFonts w:cs="Times New Roman"/>
              </w:rPr>
              <w:t>1031</w:t>
            </w:r>
          </w:p>
        </w:tc>
        <w:tc>
          <w:tcPr>
            <w:tcW w:w="1290" w:type="dxa"/>
            <w:vAlign w:val="center"/>
          </w:tcPr>
          <w:p w14:paraId="3B0ADDE4" w14:textId="77777777" w:rsidR="00775F57" w:rsidRPr="00203EB0" w:rsidRDefault="00775F57" w:rsidP="00C17D6E">
            <w:pPr>
              <w:tabs>
                <w:tab w:val="left" w:pos="8148"/>
              </w:tabs>
              <w:jc w:val="center"/>
              <w:rPr>
                <w:rFonts w:cs="Times New Roman"/>
              </w:rPr>
            </w:pPr>
            <w:r w:rsidRPr="00203EB0">
              <w:rPr>
                <w:rFonts w:cs="Times New Roman"/>
              </w:rPr>
              <w:t>1</w:t>
            </w:r>
          </w:p>
        </w:tc>
        <w:tc>
          <w:tcPr>
            <w:tcW w:w="1290" w:type="dxa"/>
            <w:vAlign w:val="center"/>
          </w:tcPr>
          <w:p w14:paraId="2AEF437A" w14:textId="77777777" w:rsidR="00775F57" w:rsidRPr="00203EB0" w:rsidRDefault="00775F57" w:rsidP="00C17D6E">
            <w:pPr>
              <w:tabs>
                <w:tab w:val="left" w:pos="8148"/>
              </w:tabs>
              <w:jc w:val="center"/>
              <w:rPr>
                <w:rFonts w:cs="Times New Roman"/>
              </w:rPr>
            </w:pPr>
            <w:r w:rsidRPr="00203EB0">
              <w:rPr>
                <w:rFonts w:cs="Times New Roman"/>
              </w:rPr>
              <w:t>937</w:t>
            </w:r>
          </w:p>
        </w:tc>
        <w:tc>
          <w:tcPr>
            <w:tcW w:w="1290" w:type="dxa"/>
            <w:vAlign w:val="center"/>
          </w:tcPr>
          <w:p w14:paraId="37FC7C62" w14:textId="77777777" w:rsidR="00775F57" w:rsidRPr="00203EB0" w:rsidRDefault="00775F57" w:rsidP="00C17D6E">
            <w:pPr>
              <w:tabs>
                <w:tab w:val="left" w:pos="8148"/>
              </w:tabs>
              <w:jc w:val="center"/>
              <w:rPr>
                <w:rFonts w:cs="Times New Roman"/>
              </w:rPr>
            </w:pPr>
            <w:r w:rsidRPr="00203EB0">
              <w:rPr>
                <w:rFonts w:cs="Times New Roman"/>
              </w:rPr>
              <w:t>9</w:t>
            </w:r>
          </w:p>
        </w:tc>
      </w:tr>
      <w:tr w:rsidR="00775F57" w:rsidRPr="00203EB0" w14:paraId="0E43D054" w14:textId="77777777" w:rsidTr="00C17D6E">
        <w:tc>
          <w:tcPr>
            <w:tcW w:w="1403" w:type="dxa"/>
          </w:tcPr>
          <w:p w14:paraId="68EDBC5D" w14:textId="77777777" w:rsidR="00775F57" w:rsidRPr="00203EB0" w:rsidRDefault="00775F57" w:rsidP="00C17D6E">
            <w:pPr>
              <w:tabs>
                <w:tab w:val="left" w:pos="8148"/>
              </w:tabs>
              <w:rPr>
                <w:rFonts w:cs="Times New Roman"/>
              </w:rPr>
            </w:pPr>
            <w:r w:rsidRPr="00203EB0">
              <w:rPr>
                <w:rFonts w:cs="Times New Roman"/>
              </w:rPr>
              <w:t>CT-HV-0</w:t>
            </w:r>
          </w:p>
        </w:tc>
        <w:tc>
          <w:tcPr>
            <w:tcW w:w="1288" w:type="dxa"/>
            <w:vAlign w:val="center"/>
          </w:tcPr>
          <w:p w14:paraId="03601A20" w14:textId="77777777" w:rsidR="00775F57" w:rsidRPr="00203EB0" w:rsidRDefault="00775F57" w:rsidP="00C17D6E">
            <w:pPr>
              <w:tabs>
                <w:tab w:val="left" w:pos="8148"/>
              </w:tabs>
              <w:jc w:val="center"/>
              <w:rPr>
                <w:rFonts w:cs="Times New Roman"/>
              </w:rPr>
            </w:pPr>
            <w:r w:rsidRPr="00203EB0">
              <w:rPr>
                <w:rFonts w:cs="Times New Roman"/>
              </w:rPr>
              <w:t>717</w:t>
            </w:r>
          </w:p>
        </w:tc>
        <w:tc>
          <w:tcPr>
            <w:tcW w:w="1289" w:type="dxa"/>
            <w:vAlign w:val="center"/>
          </w:tcPr>
          <w:p w14:paraId="18D6E50A" w14:textId="77777777" w:rsidR="00775F57" w:rsidRPr="00203EB0" w:rsidRDefault="00775F57" w:rsidP="00C17D6E">
            <w:pPr>
              <w:tabs>
                <w:tab w:val="left" w:pos="8148"/>
              </w:tabs>
              <w:jc w:val="center"/>
              <w:rPr>
                <w:rFonts w:cs="Times New Roman"/>
              </w:rPr>
            </w:pPr>
            <w:r w:rsidRPr="00203EB0">
              <w:rPr>
                <w:rFonts w:cs="Times New Roman"/>
              </w:rPr>
              <w:t>567</w:t>
            </w:r>
          </w:p>
        </w:tc>
        <w:tc>
          <w:tcPr>
            <w:tcW w:w="1289" w:type="dxa"/>
            <w:vAlign w:val="center"/>
          </w:tcPr>
          <w:p w14:paraId="071D78F1" w14:textId="77777777" w:rsidR="00775F57" w:rsidRPr="00203EB0" w:rsidRDefault="00775F57" w:rsidP="00C17D6E">
            <w:pPr>
              <w:tabs>
                <w:tab w:val="left" w:pos="8148"/>
              </w:tabs>
              <w:jc w:val="center"/>
              <w:rPr>
                <w:rFonts w:cs="Times New Roman"/>
              </w:rPr>
            </w:pPr>
            <w:r w:rsidRPr="00203EB0">
              <w:rPr>
                <w:rFonts w:cs="Times New Roman"/>
              </w:rPr>
              <w:t>21</w:t>
            </w:r>
          </w:p>
        </w:tc>
        <w:tc>
          <w:tcPr>
            <w:tcW w:w="1289" w:type="dxa"/>
            <w:vAlign w:val="center"/>
          </w:tcPr>
          <w:p w14:paraId="10B573E5" w14:textId="77777777" w:rsidR="00775F57" w:rsidRPr="00203EB0" w:rsidRDefault="00775F57" w:rsidP="00C17D6E">
            <w:pPr>
              <w:tabs>
                <w:tab w:val="left" w:pos="8148"/>
              </w:tabs>
              <w:jc w:val="center"/>
              <w:rPr>
                <w:rFonts w:cs="Times New Roman"/>
              </w:rPr>
            </w:pPr>
            <w:r w:rsidRPr="00203EB0">
              <w:rPr>
                <w:rFonts w:cs="Times New Roman"/>
              </w:rPr>
              <w:t>906</w:t>
            </w:r>
          </w:p>
        </w:tc>
        <w:tc>
          <w:tcPr>
            <w:tcW w:w="1290" w:type="dxa"/>
            <w:vAlign w:val="center"/>
          </w:tcPr>
          <w:p w14:paraId="1C2BD077" w14:textId="77777777" w:rsidR="00775F57" w:rsidRPr="00203EB0" w:rsidRDefault="00775F57" w:rsidP="00C17D6E">
            <w:pPr>
              <w:tabs>
                <w:tab w:val="left" w:pos="8148"/>
              </w:tabs>
              <w:jc w:val="center"/>
              <w:rPr>
                <w:rFonts w:cs="Times New Roman"/>
              </w:rPr>
            </w:pPr>
            <w:r w:rsidRPr="00203EB0">
              <w:rPr>
                <w:rFonts w:cs="Times New Roman"/>
              </w:rPr>
              <w:t>26</w:t>
            </w:r>
          </w:p>
        </w:tc>
        <w:tc>
          <w:tcPr>
            <w:tcW w:w="1290" w:type="dxa"/>
            <w:vAlign w:val="center"/>
          </w:tcPr>
          <w:p w14:paraId="57E92884" w14:textId="77777777" w:rsidR="00775F57" w:rsidRPr="00203EB0" w:rsidRDefault="00775F57" w:rsidP="00C17D6E">
            <w:pPr>
              <w:tabs>
                <w:tab w:val="left" w:pos="8148"/>
              </w:tabs>
              <w:jc w:val="center"/>
              <w:rPr>
                <w:rFonts w:cs="Times New Roman"/>
              </w:rPr>
            </w:pPr>
            <w:r w:rsidRPr="00203EB0">
              <w:rPr>
                <w:rFonts w:cs="Times New Roman"/>
              </w:rPr>
              <w:t>1154</w:t>
            </w:r>
          </w:p>
        </w:tc>
        <w:tc>
          <w:tcPr>
            <w:tcW w:w="1290" w:type="dxa"/>
            <w:vAlign w:val="center"/>
          </w:tcPr>
          <w:p w14:paraId="26C42E24" w14:textId="77777777" w:rsidR="00775F57" w:rsidRPr="00203EB0" w:rsidRDefault="00775F57" w:rsidP="00C17D6E">
            <w:pPr>
              <w:tabs>
                <w:tab w:val="left" w:pos="8148"/>
              </w:tabs>
              <w:jc w:val="center"/>
              <w:rPr>
                <w:rFonts w:cs="Times New Roman"/>
              </w:rPr>
            </w:pPr>
            <w:r w:rsidRPr="00203EB0">
              <w:rPr>
                <w:rFonts w:cs="Times New Roman"/>
              </w:rPr>
              <w:t>61</w:t>
            </w:r>
          </w:p>
        </w:tc>
        <w:tc>
          <w:tcPr>
            <w:tcW w:w="1290" w:type="dxa"/>
            <w:vAlign w:val="center"/>
          </w:tcPr>
          <w:p w14:paraId="4F2ADAEB" w14:textId="77777777" w:rsidR="00775F57" w:rsidRPr="00203EB0" w:rsidRDefault="00775F57" w:rsidP="00C17D6E">
            <w:pPr>
              <w:tabs>
                <w:tab w:val="left" w:pos="8148"/>
              </w:tabs>
              <w:jc w:val="center"/>
              <w:rPr>
                <w:rFonts w:cs="Times New Roman"/>
              </w:rPr>
            </w:pPr>
            <w:r w:rsidRPr="00203EB0">
              <w:rPr>
                <w:rFonts w:cs="Times New Roman"/>
              </w:rPr>
              <w:t>972</w:t>
            </w:r>
          </w:p>
        </w:tc>
        <w:tc>
          <w:tcPr>
            <w:tcW w:w="1290" w:type="dxa"/>
            <w:vAlign w:val="center"/>
          </w:tcPr>
          <w:p w14:paraId="3A1D39EB" w14:textId="77777777" w:rsidR="00775F57" w:rsidRPr="00203EB0" w:rsidRDefault="00775F57" w:rsidP="00C17D6E">
            <w:pPr>
              <w:tabs>
                <w:tab w:val="left" w:pos="8148"/>
              </w:tabs>
              <w:jc w:val="center"/>
              <w:rPr>
                <w:rFonts w:cs="Times New Roman"/>
              </w:rPr>
            </w:pPr>
            <w:r w:rsidRPr="00203EB0">
              <w:rPr>
                <w:rFonts w:cs="Times New Roman"/>
              </w:rPr>
              <w:t>36</w:t>
            </w:r>
          </w:p>
        </w:tc>
      </w:tr>
      <w:tr w:rsidR="00775F57" w:rsidRPr="00203EB0" w14:paraId="7803D769" w14:textId="77777777" w:rsidTr="00C17D6E">
        <w:tc>
          <w:tcPr>
            <w:tcW w:w="1403" w:type="dxa"/>
          </w:tcPr>
          <w:p w14:paraId="5A9BE5D4" w14:textId="77777777" w:rsidR="00775F57" w:rsidRPr="00203EB0" w:rsidRDefault="00775F57" w:rsidP="00C17D6E">
            <w:pPr>
              <w:tabs>
                <w:tab w:val="left" w:pos="8148"/>
              </w:tabs>
              <w:rPr>
                <w:rFonts w:cs="Times New Roman"/>
              </w:rPr>
            </w:pPr>
            <w:r w:rsidRPr="00203EB0">
              <w:rPr>
                <w:rFonts w:cs="Times New Roman"/>
              </w:rPr>
              <w:t>CT-HV-70</w:t>
            </w:r>
          </w:p>
        </w:tc>
        <w:tc>
          <w:tcPr>
            <w:tcW w:w="1288" w:type="dxa"/>
            <w:vAlign w:val="center"/>
          </w:tcPr>
          <w:p w14:paraId="29CCE283" w14:textId="77777777" w:rsidR="00775F57" w:rsidRPr="00203EB0" w:rsidRDefault="00775F57" w:rsidP="00C17D6E">
            <w:pPr>
              <w:tabs>
                <w:tab w:val="left" w:pos="8148"/>
              </w:tabs>
              <w:jc w:val="center"/>
              <w:rPr>
                <w:rFonts w:cs="Times New Roman"/>
              </w:rPr>
            </w:pPr>
            <w:r w:rsidRPr="00203EB0">
              <w:rPr>
                <w:rFonts w:cs="Times New Roman"/>
              </w:rPr>
              <w:t>1488</w:t>
            </w:r>
          </w:p>
        </w:tc>
        <w:tc>
          <w:tcPr>
            <w:tcW w:w="1289" w:type="dxa"/>
            <w:vAlign w:val="center"/>
          </w:tcPr>
          <w:p w14:paraId="341A9608" w14:textId="77777777" w:rsidR="00775F57" w:rsidRPr="00203EB0" w:rsidRDefault="00775F57" w:rsidP="00C17D6E">
            <w:pPr>
              <w:tabs>
                <w:tab w:val="left" w:pos="8148"/>
              </w:tabs>
              <w:jc w:val="center"/>
              <w:rPr>
                <w:rFonts w:cs="Times New Roman"/>
              </w:rPr>
            </w:pPr>
            <w:r w:rsidRPr="00203EB0">
              <w:rPr>
                <w:rFonts w:cs="Times New Roman"/>
              </w:rPr>
              <w:t>600</w:t>
            </w:r>
          </w:p>
        </w:tc>
        <w:tc>
          <w:tcPr>
            <w:tcW w:w="1289" w:type="dxa"/>
            <w:vAlign w:val="center"/>
          </w:tcPr>
          <w:p w14:paraId="7AFA6D98" w14:textId="77777777" w:rsidR="00775F57" w:rsidRPr="00203EB0" w:rsidRDefault="00775F57" w:rsidP="00C17D6E">
            <w:pPr>
              <w:tabs>
                <w:tab w:val="left" w:pos="8148"/>
              </w:tabs>
              <w:jc w:val="center"/>
              <w:rPr>
                <w:rFonts w:cs="Times New Roman"/>
              </w:rPr>
            </w:pPr>
            <w:r w:rsidRPr="00203EB0">
              <w:rPr>
                <w:rFonts w:cs="Times New Roman"/>
              </w:rPr>
              <w:t>60</w:t>
            </w:r>
          </w:p>
        </w:tc>
        <w:tc>
          <w:tcPr>
            <w:tcW w:w="1289" w:type="dxa"/>
            <w:vAlign w:val="center"/>
          </w:tcPr>
          <w:p w14:paraId="744B655D" w14:textId="77777777" w:rsidR="00775F57" w:rsidRPr="00203EB0" w:rsidRDefault="00775F57" w:rsidP="00C17D6E">
            <w:pPr>
              <w:tabs>
                <w:tab w:val="left" w:pos="8148"/>
              </w:tabs>
              <w:jc w:val="center"/>
              <w:rPr>
                <w:rFonts w:cs="Times New Roman"/>
              </w:rPr>
            </w:pPr>
            <w:r w:rsidRPr="00203EB0">
              <w:rPr>
                <w:rFonts w:cs="Times New Roman"/>
              </w:rPr>
              <w:t>1364</w:t>
            </w:r>
          </w:p>
        </w:tc>
        <w:tc>
          <w:tcPr>
            <w:tcW w:w="1290" w:type="dxa"/>
            <w:vAlign w:val="center"/>
          </w:tcPr>
          <w:p w14:paraId="0B7C9873" w14:textId="77777777" w:rsidR="00775F57" w:rsidRPr="00203EB0" w:rsidRDefault="00775F57" w:rsidP="00C17D6E">
            <w:pPr>
              <w:tabs>
                <w:tab w:val="left" w:pos="8148"/>
              </w:tabs>
              <w:jc w:val="center"/>
              <w:rPr>
                <w:rFonts w:cs="Times New Roman"/>
              </w:rPr>
            </w:pPr>
            <w:r w:rsidRPr="00203EB0">
              <w:rPr>
                <w:rFonts w:cs="Times New Roman"/>
              </w:rPr>
              <w:t>8</w:t>
            </w:r>
          </w:p>
        </w:tc>
        <w:tc>
          <w:tcPr>
            <w:tcW w:w="1290" w:type="dxa"/>
            <w:vAlign w:val="center"/>
          </w:tcPr>
          <w:p w14:paraId="45F12A66" w14:textId="77777777" w:rsidR="00775F57" w:rsidRPr="00203EB0" w:rsidRDefault="00775F57" w:rsidP="00C17D6E">
            <w:pPr>
              <w:tabs>
                <w:tab w:val="left" w:pos="8148"/>
              </w:tabs>
              <w:jc w:val="center"/>
              <w:rPr>
                <w:rFonts w:cs="Times New Roman"/>
              </w:rPr>
            </w:pPr>
            <w:r w:rsidRPr="00203EB0">
              <w:rPr>
                <w:rFonts w:cs="Times New Roman"/>
              </w:rPr>
              <w:t>1178</w:t>
            </w:r>
          </w:p>
        </w:tc>
        <w:tc>
          <w:tcPr>
            <w:tcW w:w="1290" w:type="dxa"/>
            <w:vAlign w:val="center"/>
          </w:tcPr>
          <w:p w14:paraId="4FF474DA" w14:textId="77777777" w:rsidR="00775F57" w:rsidRPr="00203EB0" w:rsidRDefault="00775F57" w:rsidP="00C17D6E">
            <w:pPr>
              <w:tabs>
                <w:tab w:val="left" w:pos="8148"/>
              </w:tabs>
              <w:jc w:val="center"/>
              <w:rPr>
                <w:rFonts w:cs="Times New Roman"/>
              </w:rPr>
            </w:pPr>
            <w:r w:rsidRPr="00203EB0">
              <w:rPr>
                <w:rFonts w:cs="Times New Roman"/>
              </w:rPr>
              <w:t>21</w:t>
            </w:r>
          </w:p>
        </w:tc>
        <w:tc>
          <w:tcPr>
            <w:tcW w:w="1290" w:type="dxa"/>
            <w:vAlign w:val="center"/>
          </w:tcPr>
          <w:p w14:paraId="7033BB50" w14:textId="77777777" w:rsidR="00775F57" w:rsidRPr="00203EB0" w:rsidRDefault="00775F57" w:rsidP="00C17D6E">
            <w:pPr>
              <w:tabs>
                <w:tab w:val="left" w:pos="8148"/>
              </w:tabs>
              <w:jc w:val="center"/>
              <w:rPr>
                <w:rFonts w:cs="Times New Roman"/>
              </w:rPr>
            </w:pPr>
            <w:r w:rsidRPr="00203EB0">
              <w:rPr>
                <w:rFonts w:cs="Times New Roman"/>
              </w:rPr>
              <w:t>1376</w:t>
            </w:r>
          </w:p>
        </w:tc>
        <w:tc>
          <w:tcPr>
            <w:tcW w:w="1290" w:type="dxa"/>
            <w:vAlign w:val="center"/>
          </w:tcPr>
          <w:p w14:paraId="0BA5F064" w14:textId="77777777" w:rsidR="00775F57" w:rsidRPr="00203EB0" w:rsidRDefault="00775F57" w:rsidP="00C17D6E">
            <w:pPr>
              <w:tabs>
                <w:tab w:val="left" w:pos="8148"/>
              </w:tabs>
              <w:jc w:val="center"/>
              <w:rPr>
                <w:rFonts w:cs="Times New Roman"/>
              </w:rPr>
            </w:pPr>
            <w:r w:rsidRPr="00203EB0">
              <w:rPr>
                <w:rFonts w:cs="Times New Roman"/>
              </w:rPr>
              <w:t>8</w:t>
            </w:r>
          </w:p>
        </w:tc>
      </w:tr>
      <w:tr w:rsidR="00775F57" w:rsidRPr="00203EB0" w14:paraId="3F2013D7" w14:textId="77777777" w:rsidTr="00C17D6E">
        <w:tc>
          <w:tcPr>
            <w:tcW w:w="1403" w:type="dxa"/>
          </w:tcPr>
          <w:p w14:paraId="466BC1FE" w14:textId="77777777" w:rsidR="00775F57" w:rsidRPr="00203EB0" w:rsidRDefault="00775F57" w:rsidP="00C17D6E">
            <w:pPr>
              <w:tabs>
                <w:tab w:val="left" w:pos="8148"/>
              </w:tabs>
              <w:rPr>
                <w:rFonts w:cs="Times New Roman"/>
              </w:rPr>
            </w:pPr>
            <w:r w:rsidRPr="00203EB0">
              <w:rPr>
                <w:rFonts w:cs="Times New Roman"/>
              </w:rPr>
              <w:t>NT-NC-0</w:t>
            </w:r>
          </w:p>
        </w:tc>
        <w:tc>
          <w:tcPr>
            <w:tcW w:w="1288" w:type="dxa"/>
            <w:vAlign w:val="center"/>
          </w:tcPr>
          <w:p w14:paraId="2EFE0803" w14:textId="77777777" w:rsidR="00775F57" w:rsidRPr="00203EB0" w:rsidRDefault="00775F57" w:rsidP="00C17D6E">
            <w:pPr>
              <w:tabs>
                <w:tab w:val="left" w:pos="8148"/>
              </w:tabs>
              <w:jc w:val="center"/>
              <w:rPr>
                <w:rFonts w:cs="Times New Roman"/>
              </w:rPr>
            </w:pPr>
            <w:r w:rsidRPr="00203EB0">
              <w:rPr>
                <w:rFonts w:cs="Times New Roman"/>
              </w:rPr>
              <w:t>666</w:t>
            </w:r>
          </w:p>
        </w:tc>
        <w:tc>
          <w:tcPr>
            <w:tcW w:w="1289" w:type="dxa"/>
            <w:vAlign w:val="center"/>
          </w:tcPr>
          <w:p w14:paraId="628633A7" w14:textId="77777777" w:rsidR="00775F57" w:rsidRPr="00203EB0" w:rsidRDefault="00775F57" w:rsidP="00C17D6E">
            <w:pPr>
              <w:tabs>
                <w:tab w:val="left" w:pos="8148"/>
              </w:tabs>
              <w:jc w:val="center"/>
              <w:rPr>
                <w:rFonts w:cs="Times New Roman"/>
              </w:rPr>
            </w:pPr>
            <w:r w:rsidRPr="00203EB0">
              <w:rPr>
                <w:rFonts w:cs="Times New Roman"/>
              </w:rPr>
              <w:t>523</w:t>
            </w:r>
          </w:p>
        </w:tc>
        <w:tc>
          <w:tcPr>
            <w:tcW w:w="1289" w:type="dxa"/>
            <w:vAlign w:val="center"/>
          </w:tcPr>
          <w:p w14:paraId="51788255" w14:textId="77777777" w:rsidR="00775F57" w:rsidRPr="00203EB0" w:rsidRDefault="00775F57" w:rsidP="00C17D6E">
            <w:pPr>
              <w:tabs>
                <w:tab w:val="left" w:pos="8148"/>
              </w:tabs>
              <w:jc w:val="center"/>
              <w:rPr>
                <w:rFonts w:cs="Times New Roman"/>
              </w:rPr>
            </w:pPr>
            <w:r w:rsidRPr="00203EB0">
              <w:rPr>
                <w:rFonts w:cs="Times New Roman"/>
              </w:rPr>
              <w:t>21</w:t>
            </w:r>
          </w:p>
        </w:tc>
        <w:tc>
          <w:tcPr>
            <w:tcW w:w="1289" w:type="dxa"/>
            <w:vAlign w:val="center"/>
          </w:tcPr>
          <w:p w14:paraId="172CC99A" w14:textId="77777777" w:rsidR="00775F57" w:rsidRPr="00203EB0" w:rsidRDefault="00775F57" w:rsidP="00C17D6E">
            <w:pPr>
              <w:tabs>
                <w:tab w:val="left" w:pos="8148"/>
              </w:tabs>
              <w:jc w:val="center"/>
              <w:rPr>
                <w:rFonts w:cs="Times New Roman"/>
              </w:rPr>
            </w:pPr>
            <w:r w:rsidRPr="00203EB0">
              <w:rPr>
                <w:rFonts w:cs="Times New Roman"/>
              </w:rPr>
              <w:t>691</w:t>
            </w:r>
          </w:p>
        </w:tc>
        <w:tc>
          <w:tcPr>
            <w:tcW w:w="1290" w:type="dxa"/>
            <w:vAlign w:val="center"/>
          </w:tcPr>
          <w:p w14:paraId="2C3EE0CE" w14:textId="77777777" w:rsidR="00775F57" w:rsidRPr="00203EB0" w:rsidRDefault="00775F57" w:rsidP="00C17D6E">
            <w:pPr>
              <w:tabs>
                <w:tab w:val="left" w:pos="8148"/>
              </w:tabs>
              <w:jc w:val="center"/>
              <w:rPr>
                <w:rFonts w:cs="Times New Roman"/>
              </w:rPr>
            </w:pPr>
            <w:r w:rsidRPr="00203EB0">
              <w:rPr>
                <w:rFonts w:cs="Times New Roman"/>
              </w:rPr>
              <w:t>4</w:t>
            </w:r>
          </w:p>
        </w:tc>
        <w:tc>
          <w:tcPr>
            <w:tcW w:w="1290" w:type="dxa"/>
            <w:vAlign w:val="center"/>
          </w:tcPr>
          <w:p w14:paraId="0342F9BC" w14:textId="77777777" w:rsidR="00775F57" w:rsidRPr="00203EB0" w:rsidRDefault="00775F57" w:rsidP="00C17D6E">
            <w:pPr>
              <w:tabs>
                <w:tab w:val="left" w:pos="8148"/>
              </w:tabs>
              <w:jc w:val="center"/>
              <w:rPr>
                <w:rFonts w:cs="Times New Roman"/>
              </w:rPr>
            </w:pPr>
            <w:r w:rsidRPr="00203EB0">
              <w:rPr>
                <w:rFonts w:cs="Times New Roman"/>
              </w:rPr>
              <w:t>1021</w:t>
            </w:r>
          </w:p>
        </w:tc>
        <w:tc>
          <w:tcPr>
            <w:tcW w:w="1290" w:type="dxa"/>
            <w:vAlign w:val="center"/>
          </w:tcPr>
          <w:p w14:paraId="3B734BEF" w14:textId="77777777" w:rsidR="00775F57" w:rsidRPr="00203EB0" w:rsidRDefault="00775F57" w:rsidP="00C17D6E">
            <w:pPr>
              <w:tabs>
                <w:tab w:val="left" w:pos="8148"/>
              </w:tabs>
              <w:jc w:val="center"/>
              <w:rPr>
                <w:rFonts w:cs="Times New Roman"/>
              </w:rPr>
            </w:pPr>
            <w:r w:rsidRPr="00203EB0">
              <w:rPr>
                <w:rFonts w:cs="Times New Roman"/>
              </w:rPr>
              <w:t>53</w:t>
            </w:r>
          </w:p>
        </w:tc>
        <w:tc>
          <w:tcPr>
            <w:tcW w:w="1290" w:type="dxa"/>
            <w:vAlign w:val="center"/>
          </w:tcPr>
          <w:p w14:paraId="5134D0DD" w14:textId="77777777" w:rsidR="00775F57" w:rsidRPr="00203EB0" w:rsidRDefault="00775F57" w:rsidP="00C17D6E">
            <w:pPr>
              <w:tabs>
                <w:tab w:val="left" w:pos="8148"/>
              </w:tabs>
              <w:jc w:val="center"/>
              <w:rPr>
                <w:rFonts w:cs="Times New Roman"/>
              </w:rPr>
            </w:pPr>
            <w:r w:rsidRPr="00203EB0">
              <w:rPr>
                <w:rFonts w:cs="Times New Roman"/>
              </w:rPr>
              <w:t>716</w:t>
            </w:r>
          </w:p>
        </w:tc>
        <w:tc>
          <w:tcPr>
            <w:tcW w:w="1290" w:type="dxa"/>
            <w:vAlign w:val="center"/>
          </w:tcPr>
          <w:p w14:paraId="723D923D" w14:textId="77777777" w:rsidR="00775F57" w:rsidRPr="00203EB0" w:rsidRDefault="00775F57" w:rsidP="00C17D6E">
            <w:pPr>
              <w:tabs>
                <w:tab w:val="left" w:pos="8148"/>
              </w:tabs>
              <w:jc w:val="center"/>
              <w:rPr>
                <w:rFonts w:cs="Times New Roman"/>
              </w:rPr>
            </w:pPr>
            <w:r w:rsidRPr="00203EB0">
              <w:rPr>
                <w:rFonts w:cs="Times New Roman"/>
              </w:rPr>
              <w:t>8</w:t>
            </w:r>
          </w:p>
        </w:tc>
      </w:tr>
      <w:tr w:rsidR="00775F57" w:rsidRPr="00203EB0" w14:paraId="0727047D" w14:textId="77777777" w:rsidTr="00C17D6E">
        <w:tc>
          <w:tcPr>
            <w:tcW w:w="1403" w:type="dxa"/>
          </w:tcPr>
          <w:p w14:paraId="4CA5E550" w14:textId="77777777" w:rsidR="00775F57" w:rsidRPr="00203EB0" w:rsidRDefault="00775F57" w:rsidP="00C17D6E">
            <w:pPr>
              <w:tabs>
                <w:tab w:val="left" w:pos="8148"/>
              </w:tabs>
              <w:rPr>
                <w:rFonts w:cs="Times New Roman"/>
              </w:rPr>
            </w:pPr>
            <w:r w:rsidRPr="00203EB0">
              <w:rPr>
                <w:rFonts w:cs="Times New Roman"/>
              </w:rPr>
              <w:t>NT-NC-70</w:t>
            </w:r>
          </w:p>
        </w:tc>
        <w:tc>
          <w:tcPr>
            <w:tcW w:w="1288" w:type="dxa"/>
            <w:vAlign w:val="center"/>
          </w:tcPr>
          <w:p w14:paraId="135B0F79" w14:textId="77777777" w:rsidR="00775F57" w:rsidRPr="00203EB0" w:rsidRDefault="00775F57" w:rsidP="00C17D6E">
            <w:pPr>
              <w:tabs>
                <w:tab w:val="left" w:pos="8148"/>
              </w:tabs>
              <w:jc w:val="center"/>
              <w:rPr>
                <w:rFonts w:cs="Times New Roman"/>
              </w:rPr>
            </w:pPr>
            <w:r w:rsidRPr="00203EB0">
              <w:rPr>
                <w:rFonts w:cs="Times New Roman"/>
              </w:rPr>
              <w:t>931</w:t>
            </w:r>
          </w:p>
        </w:tc>
        <w:tc>
          <w:tcPr>
            <w:tcW w:w="1289" w:type="dxa"/>
            <w:vAlign w:val="center"/>
          </w:tcPr>
          <w:p w14:paraId="276D4D88" w14:textId="77777777" w:rsidR="00775F57" w:rsidRPr="00203EB0" w:rsidRDefault="00775F57" w:rsidP="00C17D6E">
            <w:pPr>
              <w:tabs>
                <w:tab w:val="left" w:pos="8148"/>
              </w:tabs>
              <w:jc w:val="center"/>
              <w:rPr>
                <w:rFonts w:cs="Times New Roman"/>
              </w:rPr>
            </w:pPr>
            <w:r w:rsidRPr="00203EB0">
              <w:rPr>
                <w:rFonts w:cs="Times New Roman"/>
              </w:rPr>
              <w:t>549</w:t>
            </w:r>
          </w:p>
        </w:tc>
        <w:tc>
          <w:tcPr>
            <w:tcW w:w="1289" w:type="dxa"/>
            <w:vAlign w:val="center"/>
          </w:tcPr>
          <w:p w14:paraId="27441334" w14:textId="77777777" w:rsidR="00775F57" w:rsidRPr="00203EB0" w:rsidRDefault="00775F57" w:rsidP="00C17D6E">
            <w:pPr>
              <w:tabs>
                <w:tab w:val="left" w:pos="8148"/>
              </w:tabs>
              <w:jc w:val="center"/>
              <w:rPr>
                <w:rFonts w:cs="Times New Roman"/>
              </w:rPr>
            </w:pPr>
            <w:r w:rsidRPr="00203EB0">
              <w:rPr>
                <w:rFonts w:cs="Times New Roman"/>
              </w:rPr>
              <w:t>41</w:t>
            </w:r>
          </w:p>
        </w:tc>
        <w:tc>
          <w:tcPr>
            <w:tcW w:w="1289" w:type="dxa"/>
            <w:vAlign w:val="center"/>
          </w:tcPr>
          <w:p w14:paraId="79A17F97" w14:textId="77777777" w:rsidR="00775F57" w:rsidRPr="00203EB0" w:rsidRDefault="00775F57" w:rsidP="00C17D6E">
            <w:pPr>
              <w:tabs>
                <w:tab w:val="left" w:pos="8148"/>
              </w:tabs>
              <w:jc w:val="center"/>
              <w:rPr>
                <w:rFonts w:cs="Times New Roman"/>
              </w:rPr>
            </w:pPr>
            <w:r w:rsidRPr="00203EB0">
              <w:rPr>
                <w:rFonts w:cs="Times New Roman"/>
              </w:rPr>
              <w:t>1147</w:t>
            </w:r>
          </w:p>
        </w:tc>
        <w:tc>
          <w:tcPr>
            <w:tcW w:w="1290" w:type="dxa"/>
            <w:vAlign w:val="center"/>
          </w:tcPr>
          <w:p w14:paraId="43A8AB8E" w14:textId="77777777" w:rsidR="00775F57" w:rsidRPr="00203EB0" w:rsidRDefault="00775F57" w:rsidP="00C17D6E">
            <w:pPr>
              <w:tabs>
                <w:tab w:val="left" w:pos="8148"/>
              </w:tabs>
              <w:jc w:val="center"/>
              <w:rPr>
                <w:rFonts w:cs="Times New Roman"/>
              </w:rPr>
            </w:pPr>
            <w:r w:rsidRPr="00203EB0">
              <w:rPr>
                <w:rFonts w:cs="Times New Roman"/>
              </w:rPr>
              <w:t>23</w:t>
            </w:r>
          </w:p>
        </w:tc>
        <w:tc>
          <w:tcPr>
            <w:tcW w:w="1290" w:type="dxa"/>
            <w:vAlign w:val="center"/>
          </w:tcPr>
          <w:p w14:paraId="38CA4F69" w14:textId="77777777" w:rsidR="00775F57" w:rsidRPr="00203EB0" w:rsidRDefault="00775F57" w:rsidP="00C17D6E">
            <w:pPr>
              <w:tabs>
                <w:tab w:val="left" w:pos="8148"/>
              </w:tabs>
              <w:jc w:val="center"/>
              <w:rPr>
                <w:rFonts w:cs="Times New Roman"/>
              </w:rPr>
            </w:pPr>
            <w:r w:rsidRPr="00203EB0">
              <w:rPr>
                <w:rFonts w:cs="Times New Roman"/>
              </w:rPr>
              <w:t>1075</w:t>
            </w:r>
          </w:p>
        </w:tc>
        <w:tc>
          <w:tcPr>
            <w:tcW w:w="1290" w:type="dxa"/>
            <w:vAlign w:val="center"/>
          </w:tcPr>
          <w:p w14:paraId="44554D68" w14:textId="77777777" w:rsidR="00775F57" w:rsidRPr="00203EB0" w:rsidRDefault="00775F57" w:rsidP="00C17D6E">
            <w:pPr>
              <w:tabs>
                <w:tab w:val="left" w:pos="8148"/>
              </w:tabs>
              <w:jc w:val="center"/>
              <w:rPr>
                <w:rFonts w:cs="Times New Roman"/>
              </w:rPr>
            </w:pPr>
            <w:r w:rsidRPr="00203EB0">
              <w:rPr>
                <w:rFonts w:cs="Times New Roman"/>
              </w:rPr>
              <w:t>15</w:t>
            </w:r>
          </w:p>
        </w:tc>
        <w:tc>
          <w:tcPr>
            <w:tcW w:w="1290" w:type="dxa"/>
            <w:vAlign w:val="center"/>
          </w:tcPr>
          <w:p w14:paraId="17875597" w14:textId="77777777" w:rsidR="00775F57" w:rsidRPr="00203EB0" w:rsidRDefault="00775F57" w:rsidP="00C17D6E">
            <w:pPr>
              <w:tabs>
                <w:tab w:val="left" w:pos="8148"/>
              </w:tabs>
              <w:jc w:val="center"/>
              <w:rPr>
                <w:rFonts w:cs="Times New Roman"/>
              </w:rPr>
            </w:pPr>
            <w:r w:rsidRPr="00203EB0">
              <w:rPr>
                <w:rFonts w:cs="Times New Roman"/>
              </w:rPr>
              <w:t>1168</w:t>
            </w:r>
          </w:p>
        </w:tc>
        <w:tc>
          <w:tcPr>
            <w:tcW w:w="1290" w:type="dxa"/>
            <w:vAlign w:val="center"/>
          </w:tcPr>
          <w:p w14:paraId="3DEB4E48" w14:textId="77777777" w:rsidR="00775F57" w:rsidRPr="00203EB0" w:rsidRDefault="00775F57" w:rsidP="00C17D6E">
            <w:pPr>
              <w:tabs>
                <w:tab w:val="left" w:pos="8148"/>
              </w:tabs>
              <w:jc w:val="center"/>
              <w:rPr>
                <w:rFonts w:cs="Times New Roman"/>
              </w:rPr>
            </w:pPr>
            <w:r w:rsidRPr="00203EB0">
              <w:rPr>
                <w:rFonts w:cs="Times New Roman"/>
              </w:rPr>
              <w:t>25</w:t>
            </w:r>
          </w:p>
        </w:tc>
      </w:tr>
      <w:tr w:rsidR="00775F57" w:rsidRPr="00203EB0" w14:paraId="1AE033D0" w14:textId="77777777" w:rsidTr="00C17D6E">
        <w:tc>
          <w:tcPr>
            <w:tcW w:w="1403" w:type="dxa"/>
          </w:tcPr>
          <w:p w14:paraId="7EE3EB33" w14:textId="77777777" w:rsidR="00775F57" w:rsidRPr="00203EB0" w:rsidRDefault="00775F57" w:rsidP="00C17D6E">
            <w:pPr>
              <w:tabs>
                <w:tab w:val="left" w:pos="8148"/>
              </w:tabs>
              <w:rPr>
                <w:rFonts w:cs="Times New Roman"/>
              </w:rPr>
            </w:pPr>
            <w:r w:rsidRPr="00203EB0">
              <w:rPr>
                <w:rFonts w:cs="Times New Roman"/>
              </w:rPr>
              <w:t>NT-HV-0</w:t>
            </w:r>
          </w:p>
        </w:tc>
        <w:tc>
          <w:tcPr>
            <w:tcW w:w="1288" w:type="dxa"/>
            <w:vAlign w:val="center"/>
          </w:tcPr>
          <w:p w14:paraId="08C301C9" w14:textId="77777777" w:rsidR="00775F57" w:rsidRPr="00203EB0" w:rsidRDefault="00775F57" w:rsidP="00C17D6E">
            <w:pPr>
              <w:tabs>
                <w:tab w:val="left" w:pos="8148"/>
              </w:tabs>
              <w:jc w:val="center"/>
              <w:rPr>
                <w:rFonts w:cs="Times New Roman"/>
              </w:rPr>
            </w:pPr>
            <w:r w:rsidRPr="00203EB0">
              <w:rPr>
                <w:rFonts w:cs="Times New Roman"/>
              </w:rPr>
              <w:t>665</w:t>
            </w:r>
          </w:p>
        </w:tc>
        <w:tc>
          <w:tcPr>
            <w:tcW w:w="1289" w:type="dxa"/>
            <w:vAlign w:val="center"/>
          </w:tcPr>
          <w:p w14:paraId="3C28320B" w14:textId="77777777" w:rsidR="00775F57" w:rsidRPr="00203EB0" w:rsidRDefault="00775F57" w:rsidP="00C17D6E">
            <w:pPr>
              <w:tabs>
                <w:tab w:val="left" w:pos="8148"/>
              </w:tabs>
              <w:jc w:val="center"/>
              <w:rPr>
                <w:rFonts w:cs="Times New Roman"/>
              </w:rPr>
            </w:pPr>
            <w:r w:rsidRPr="00203EB0">
              <w:rPr>
                <w:rFonts w:cs="Times New Roman"/>
              </w:rPr>
              <w:t>578</w:t>
            </w:r>
          </w:p>
        </w:tc>
        <w:tc>
          <w:tcPr>
            <w:tcW w:w="1289" w:type="dxa"/>
            <w:vAlign w:val="center"/>
          </w:tcPr>
          <w:p w14:paraId="6D14A869" w14:textId="77777777" w:rsidR="00775F57" w:rsidRPr="00203EB0" w:rsidRDefault="00775F57" w:rsidP="00C17D6E">
            <w:pPr>
              <w:tabs>
                <w:tab w:val="left" w:pos="8148"/>
              </w:tabs>
              <w:jc w:val="center"/>
              <w:rPr>
                <w:rFonts w:cs="Times New Roman"/>
              </w:rPr>
            </w:pPr>
            <w:r w:rsidRPr="00203EB0">
              <w:rPr>
                <w:rFonts w:cs="Times New Roman"/>
              </w:rPr>
              <w:t>12</w:t>
            </w:r>
          </w:p>
        </w:tc>
        <w:tc>
          <w:tcPr>
            <w:tcW w:w="1289" w:type="dxa"/>
            <w:vAlign w:val="center"/>
          </w:tcPr>
          <w:p w14:paraId="4C8DAADF" w14:textId="77777777" w:rsidR="00775F57" w:rsidRPr="00203EB0" w:rsidRDefault="00775F57" w:rsidP="00C17D6E">
            <w:pPr>
              <w:tabs>
                <w:tab w:val="left" w:pos="8148"/>
              </w:tabs>
              <w:jc w:val="center"/>
              <w:rPr>
                <w:rFonts w:cs="Times New Roman"/>
              </w:rPr>
            </w:pPr>
            <w:r w:rsidRPr="00203EB0">
              <w:rPr>
                <w:rFonts w:cs="Times New Roman"/>
              </w:rPr>
              <w:t>977</w:t>
            </w:r>
          </w:p>
        </w:tc>
        <w:tc>
          <w:tcPr>
            <w:tcW w:w="1290" w:type="dxa"/>
            <w:vAlign w:val="center"/>
          </w:tcPr>
          <w:p w14:paraId="71E1080C" w14:textId="77777777" w:rsidR="00775F57" w:rsidRPr="00203EB0" w:rsidRDefault="00775F57" w:rsidP="00C17D6E">
            <w:pPr>
              <w:tabs>
                <w:tab w:val="left" w:pos="8148"/>
              </w:tabs>
              <w:jc w:val="center"/>
              <w:rPr>
                <w:rFonts w:cs="Times New Roman"/>
              </w:rPr>
            </w:pPr>
            <w:r w:rsidRPr="00203EB0">
              <w:rPr>
                <w:rFonts w:cs="Times New Roman"/>
              </w:rPr>
              <w:t>47</w:t>
            </w:r>
          </w:p>
        </w:tc>
        <w:tc>
          <w:tcPr>
            <w:tcW w:w="1290" w:type="dxa"/>
            <w:vAlign w:val="center"/>
          </w:tcPr>
          <w:p w14:paraId="60FEA8CC" w14:textId="77777777" w:rsidR="00775F57" w:rsidRPr="00203EB0" w:rsidRDefault="00775F57" w:rsidP="00C17D6E">
            <w:pPr>
              <w:tabs>
                <w:tab w:val="left" w:pos="8148"/>
              </w:tabs>
              <w:jc w:val="center"/>
              <w:rPr>
                <w:rFonts w:cs="Times New Roman"/>
              </w:rPr>
            </w:pPr>
            <w:r w:rsidRPr="00203EB0">
              <w:rPr>
                <w:rFonts w:cs="Times New Roman"/>
              </w:rPr>
              <w:t>1135</w:t>
            </w:r>
          </w:p>
        </w:tc>
        <w:tc>
          <w:tcPr>
            <w:tcW w:w="1290" w:type="dxa"/>
            <w:vAlign w:val="center"/>
          </w:tcPr>
          <w:p w14:paraId="249E7E71" w14:textId="77777777" w:rsidR="00775F57" w:rsidRPr="00203EB0" w:rsidRDefault="00775F57" w:rsidP="00C17D6E">
            <w:pPr>
              <w:tabs>
                <w:tab w:val="left" w:pos="8148"/>
              </w:tabs>
              <w:jc w:val="center"/>
              <w:rPr>
                <w:rFonts w:cs="Times New Roman"/>
              </w:rPr>
            </w:pPr>
            <w:r w:rsidRPr="00203EB0">
              <w:rPr>
                <w:rFonts w:cs="Times New Roman"/>
              </w:rPr>
              <w:t>71</w:t>
            </w:r>
          </w:p>
        </w:tc>
        <w:tc>
          <w:tcPr>
            <w:tcW w:w="1290" w:type="dxa"/>
            <w:vAlign w:val="center"/>
          </w:tcPr>
          <w:p w14:paraId="6F6570D7" w14:textId="77777777" w:rsidR="00775F57" w:rsidRPr="00203EB0" w:rsidRDefault="00775F57" w:rsidP="00C17D6E">
            <w:pPr>
              <w:tabs>
                <w:tab w:val="left" w:pos="8148"/>
              </w:tabs>
              <w:jc w:val="center"/>
              <w:rPr>
                <w:rFonts w:cs="Times New Roman"/>
              </w:rPr>
            </w:pPr>
            <w:r w:rsidRPr="00203EB0">
              <w:rPr>
                <w:rFonts w:cs="Times New Roman"/>
              </w:rPr>
              <w:t>993</w:t>
            </w:r>
          </w:p>
        </w:tc>
        <w:tc>
          <w:tcPr>
            <w:tcW w:w="1290" w:type="dxa"/>
            <w:vAlign w:val="center"/>
          </w:tcPr>
          <w:p w14:paraId="21A6E65D" w14:textId="77777777" w:rsidR="00775F57" w:rsidRPr="00203EB0" w:rsidRDefault="00775F57" w:rsidP="00C17D6E">
            <w:pPr>
              <w:tabs>
                <w:tab w:val="left" w:pos="8148"/>
              </w:tabs>
              <w:jc w:val="center"/>
              <w:rPr>
                <w:rFonts w:cs="Times New Roman"/>
              </w:rPr>
            </w:pPr>
            <w:r w:rsidRPr="00203EB0">
              <w:rPr>
                <w:rFonts w:cs="Times New Roman"/>
              </w:rPr>
              <w:t>49</w:t>
            </w:r>
          </w:p>
        </w:tc>
      </w:tr>
      <w:tr w:rsidR="00775F57" w:rsidRPr="00203EB0" w14:paraId="511CBF0F" w14:textId="77777777" w:rsidTr="00C17D6E">
        <w:tc>
          <w:tcPr>
            <w:tcW w:w="1403" w:type="dxa"/>
            <w:tcBorders>
              <w:bottom w:val="single" w:sz="4" w:space="0" w:color="auto"/>
            </w:tcBorders>
          </w:tcPr>
          <w:p w14:paraId="2630649E" w14:textId="77777777" w:rsidR="00775F57" w:rsidRPr="00203EB0" w:rsidRDefault="00775F57" w:rsidP="00C17D6E">
            <w:pPr>
              <w:tabs>
                <w:tab w:val="left" w:pos="8148"/>
              </w:tabs>
              <w:rPr>
                <w:rFonts w:cs="Times New Roman"/>
              </w:rPr>
            </w:pPr>
            <w:r w:rsidRPr="00203EB0">
              <w:rPr>
                <w:rFonts w:cs="Times New Roman"/>
              </w:rPr>
              <w:t>NT-HV-70</w:t>
            </w:r>
          </w:p>
        </w:tc>
        <w:tc>
          <w:tcPr>
            <w:tcW w:w="1288" w:type="dxa"/>
            <w:tcBorders>
              <w:bottom w:val="single" w:sz="4" w:space="0" w:color="auto"/>
            </w:tcBorders>
            <w:vAlign w:val="center"/>
          </w:tcPr>
          <w:p w14:paraId="2990C1C3" w14:textId="77777777" w:rsidR="00775F57" w:rsidRPr="00203EB0" w:rsidRDefault="00775F57" w:rsidP="00C17D6E">
            <w:pPr>
              <w:tabs>
                <w:tab w:val="left" w:pos="8148"/>
              </w:tabs>
              <w:jc w:val="center"/>
              <w:rPr>
                <w:rFonts w:cs="Times New Roman"/>
              </w:rPr>
            </w:pPr>
            <w:r w:rsidRPr="00203EB0">
              <w:rPr>
                <w:rFonts w:cs="Times New Roman"/>
              </w:rPr>
              <w:t>1241</w:t>
            </w:r>
          </w:p>
        </w:tc>
        <w:tc>
          <w:tcPr>
            <w:tcW w:w="1289" w:type="dxa"/>
            <w:tcBorders>
              <w:bottom w:val="single" w:sz="4" w:space="0" w:color="auto"/>
            </w:tcBorders>
            <w:vAlign w:val="center"/>
          </w:tcPr>
          <w:p w14:paraId="316630CE" w14:textId="77777777" w:rsidR="00775F57" w:rsidRPr="00203EB0" w:rsidRDefault="00775F57" w:rsidP="00C17D6E">
            <w:pPr>
              <w:tabs>
                <w:tab w:val="left" w:pos="8148"/>
              </w:tabs>
              <w:jc w:val="center"/>
              <w:rPr>
                <w:rFonts w:cs="Times New Roman"/>
              </w:rPr>
            </w:pPr>
            <w:r w:rsidRPr="00203EB0">
              <w:rPr>
                <w:rFonts w:cs="Times New Roman"/>
              </w:rPr>
              <w:t>607</w:t>
            </w:r>
          </w:p>
        </w:tc>
        <w:tc>
          <w:tcPr>
            <w:tcW w:w="1289" w:type="dxa"/>
            <w:tcBorders>
              <w:bottom w:val="single" w:sz="4" w:space="0" w:color="auto"/>
            </w:tcBorders>
            <w:vAlign w:val="center"/>
          </w:tcPr>
          <w:p w14:paraId="386B15F2" w14:textId="77777777" w:rsidR="00775F57" w:rsidRPr="00203EB0" w:rsidRDefault="00775F57" w:rsidP="00C17D6E">
            <w:pPr>
              <w:tabs>
                <w:tab w:val="left" w:pos="8148"/>
              </w:tabs>
              <w:jc w:val="center"/>
              <w:rPr>
                <w:rFonts w:cs="Times New Roman"/>
              </w:rPr>
            </w:pPr>
            <w:r w:rsidRPr="00203EB0">
              <w:rPr>
                <w:rFonts w:cs="Times New Roman"/>
              </w:rPr>
              <w:t>51</w:t>
            </w:r>
          </w:p>
        </w:tc>
        <w:tc>
          <w:tcPr>
            <w:tcW w:w="1289" w:type="dxa"/>
            <w:tcBorders>
              <w:bottom w:val="single" w:sz="4" w:space="0" w:color="auto"/>
            </w:tcBorders>
            <w:vAlign w:val="center"/>
          </w:tcPr>
          <w:p w14:paraId="7F35A6D9" w14:textId="77777777" w:rsidR="00775F57" w:rsidRPr="00203EB0" w:rsidRDefault="00775F57" w:rsidP="00C17D6E">
            <w:pPr>
              <w:tabs>
                <w:tab w:val="left" w:pos="8148"/>
              </w:tabs>
              <w:jc w:val="center"/>
              <w:rPr>
                <w:rFonts w:cs="Times New Roman"/>
              </w:rPr>
            </w:pPr>
            <w:r w:rsidRPr="00203EB0">
              <w:rPr>
                <w:rFonts w:cs="Times New Roman"/>
              </w:rPr>
              <w:t>1423</w:t>
            </w:r>
          </w:p>
        </w:tc>
        <w:tc>
          <w:tcPr>
            <w:tcW w:w="1290" w:type="dxa"/>
            <w:tcBorders>
              <w:bottom w:val="single" w:sz="4" w:space="0" w:color="auto"/>
            </w:tcBorders>
            <w:vAlign w:val="center"/>
          </w:tcPr>
          <w:p w14:paraId="484ECD0A" w14:textId="77777777" w:rsidR="00775F57" w:rsidRPr="00203EB0" w:rsidRDefault="00775F57" w:rsidP="00C17D6E">
            <w:pPr>
              <w:tabs>
                <w:tab w:val="left" w:pos="8148"/>
              </w:tabs>
              <w:jc w:val="center"/>
              <w:rPr>
                <w:rFonts w:cs="Times New Roman"/>
              </w:rPr>
            </w:pPr>
            <w:r w:rsidRPr="00203EB0">
              <w:rPr>
                <w:rFonts w:cs="Times New Roman"/>
              </w:rPr>
              <w:t>9</w:t>
            </w:r>
          </w:p>
        </w:tc>
        <w:tc>
          <w:tcPr>
            <w:tcW w:w="1290" w:type="dxa"/>
            <w:tcBorders>
              <w:bottom w:val="single" w:sz="4" w:space="0" w:color="auto"/>
            </w:tcBorders>
            <w:vAlign w:val="center"/>
          </w:tcPr>
          <w:p w14:paraId="121CDC5E" w14:textId="77777777" w:rsidR="00775F57" w:rsidRPr="00203EB0" w:rsidRDefault="00775F57" w:rsidP="00C17D6E">
            <w:pPr>
              <w:tabs>
                <w:tab w:val="left" w:pos="8148"/>
              </w:tabs>
              <w:jc w:val="center"/>
              <w:rPr>
                <w:rFonts w:cs="Times New Roman"/>
              </w:rPr>
            </w:pPr>
            <w:r w:rsidRPr="00203EB0">
              <w:rPr>
                <w:rFonts w:cs="Times New Roman"/>
              </w:rPr>
              <w:t>1268</w:t>
            </w:r>
          </w:p>
        </w:tc>
        <w:tc>
          <w:tcPr>
            <w:tcW w:w="1290" w:type="dxa"/>
            <w:tcBorders>
              <w:bottom w:val="single" w:sz="4" w:space="0" w:color="auto"/>
            </w:tcBorders>
            <w:vAlign w:val="center"/>
          </w:tcPr>
          <w:p w14:paraId="783EAC8E" w14:textId="77777777" w:rsidR="00775F57" w:rsidRPr="00203EB0" w:rsidRDefault="00775F57" w:rsidP="00C17D6E">
            <w:pPr>
              <w:tabs>
                <w:tab w:val="left" w:pos="8148"/>
              </w:tabs>
              <w:jc w:val="center"/>
              <w:rPr>
                <w:rFonts w:cs="Times New Roman"/>
              </w:rPr>
            </w:pPr>
            <w:r w:rsidRPr="00203EB0">
              <w:rPr>
                <w:rFonts w:cs="Times New Roman"/>
              </w:rPr>
              <w:t>2</w:t>
            </w:r>
          </w:p>
        </w:tc>
        <w:tc>
          <w:tcPr>
            <w:tcW w:w="1290" w:type="dxa"/>
            <w:tcBorders>
              <w:bottom w:val="single" w:sz="4" w:space="0" w:color="auto"/>
            </w:tcBorders>
            <w:vAlign w:val="center"/>
          </w:tcPr>
          <w:p w14:paraId="176EBC73" w14:textId="77777777" w:rsidR="00775F57" w:rsidRPr="00203EB0" w:rsidRDefault="00775F57" w:rsidP="00C17D6E">
            <w:pPr>
              <w:tabs>
                <w:tab w:val="left" w:pos="8148"/>
              </w:tabs>
              <w:jc w:val="center"/>
              <w:rPr>
                <w:rFonts w:cs="Times New Roman"/>
              </w:rPr>
            </w:pPr>
            <w:r w:rsidRPr="00203EB0">
              <w:rPr>
                <w:rFonts w:cs="Times New Roman"/>
              </w:rPr>
              <w:t>1405</w:t>
            </w:r>
          </w:p>
        </w:tc>
        <w:tc>
          <w:tcPr>
            <w:tcW w:w="1290" w:type="dxa"/>
            <w:tcBorders>
              <w:bottom w:val="single" w:sz="4" w:space="0" w:color="auto"/>
            </w:tcBorders>
            <w:vAlign w:val="center"/>
          </w:tcPr>
          <w:p w14:paraId="0E403ACF" w14:textId="77777777" w:rsidR="00775F57" w:rsidRPr="00203EB0" w:rsidRDefault="00775F57" w:rsidP="00C17D6E">
            <w:pPr>
              <w:tabs>
                <w:tab w:val="left" w:pos="8148"/>
              </w:tabs>
              <w:jc w:val="center"/>
              <w:rPr>
                <w:rFonts w:cs="Times New Roman"/>
              </w:rPr>
            </w:pPr>
            <w:r w:rsidRPr="00203EB0">
              <w:rPr>
                <w:rFonts w:cs="Times New Roman"/>
              </w:rPr>
              <w:t>13</w:t>
            </w:r>
          </w:p>
        </w:tc>
      </w:tr>
      <w:tr w:rsidR="00775F57" w:rsidRPr="00203EB0" w14:paraId="18F5ABB3" w14:textId="77777777" w:rsidTr="00C17D6E">
        <w:tc>
          <w:tcPr>
            <w:tcW w:w="1403" w:type="dxa"/>
            <w:tcBorders>
              <w:top w:val="single" w:sz="4" w:space="0" w:color="auto"/>
              <w:bottom w:val="single" w:sz="4" w:space="0" w:color="auto"/>
            </w:tcBorders>
          </w:tcPr>
          <w:p w14:paraId="56DA9490" w14:textId="77777777" w:rsidR="00775F57" w:rsidRPr="00203EB0" w:rsidRDefault="00775F57" w:rsidP="00C17D6E">
            <w:pPr>
              <w:tabs>
                <w:tab w:val="left" w:pos="8148"/>
              </w:tabs>
              <w:rPr>
                <w:rFonts w:cs="Times New Roman"/>
                <w:b/>
              </w:rPr>
            </w:pPr>
            <w:r w:rsidRPr="00203EB0">
              <w:rPr>
                <w:rFonts w:cs="Times New Roman"/>
                <w:b/>
              </w:rPr>
              <w:t>Average*</w:t>
            </w:r>
          </w:p>
        </w:tc>
        <w:tc>
          <w:tcPr>
            <w:tcW w:w="1288" w:type="dxa"/>
            <w:tcBorders>
              <w:top w:val="single" w:sz="4" w:space="0" w:color="auto"/>
              <w:bottom w:val="single" w:sz="4" w:space="0" w:color="auto"/>
            </w:tcBorders>
            <w:vAlign w:val="center"/>
          </w:tcPr>
          <w:p w14:paraId="1A824AA8" w14:textId="77777777" w:rsidR="00775F57" w:rsidRPr="00203EB0" w:rsidRDefault="00775F57" w:rsidP="00C17D6E">
            <w:pPr>
              <w:tabs>
                <w:tab w:val="left" w:pos="8148"/>
              </w:tabs>
              <w:jc w:val="center"/>
              <w:rPr>
                <w:rFonts w:cs="Times New Roman"/>
                <w:b/>
              </w:rPr>
            </w:pPr>
            <w:r w:rsidRPr="00203EB0">
              <w:rPr>
                <w:rFonts w:cs="Times New Roman"/>
                <w:b/>
              </w:rPr>
              <w:t>922</w:t>
            </w:r>
          </w:p>
        </w:tc>
        <w:tc>
          <w:tcPr>
            <w:tcW w:w="1289" w:type="dxa"/>
            <w:tcBorders>
              <w:top w:val="single" w:sz="4" w:space="0" w:color="auto"/>
              <w:bottom w:val="single" w:sz="4" w:space="0" w:color="auto"/>
            </w:tcBorders>
            <w:vAlign w:val="center"/>
          </w:tcPr>
          <w:p w14:paraId="1376C98E" w14:textId="77777777" w:rsidR="00775F57" w:rsidRPr="00203EB0" w:rsidRDefault="00775F57" w:rsidP="00C17D6E">
            <w:pPr>
              <w:tabs>
                <w:tab w:val="left" w:pos="8148"/>
              </w:tabs>
              <w:jc w:val="center"/>
              <w:rPr>
                <w:rFonts w:cs="Times New Roman"/>
                <w:b/>
              </w:rPr>
            </w:pPr>
            <w:r w:rsidRPr="00203EB0">
              <w:rPr>
                <w:rFonts w:cs="Times New Roman"/>
                <w:b/>
              </w:rPr>
              <w:t>558</w:t>
            </w:r>
          </w:p>
        </w:tc>
        <w:tc>
          <w:tcPr>
            <w:tcW w:w="1289" w:type="dxa"/>
            <w:tcBorders>
              <w:top w:val="single" w:sz="4" w:space="0" w:color="auto"/>
              <w:bottom w:val="single" w:sz="4" w:space="0" w:color="auto"/>
            </w:tcBorders>
            <w:vAlign w:val="center"/>
          </w:tcPr>
          <w:p w14:paraId="4F1EFABE" w14:textId="77777777" w:rsidR="00775F57" w:rsidRPr="00203EB0" w:rsidRDefault="00775F57" w:rsidP="00C17D6E">
            <w:pPr>
              <w:tabs>
                <w:tab w:val="left" w:pos="8148"/>
              </w:tabs>
              <w:jc w:val="center"/>
              <w:rPr>
                <w:rFonts w:cs="Times New Roman"/>
                <w:b/>
              </w:rPr>
            </w:pPr>
            <w:r w:rsidRPr="00203EB0">
              <w:rPr>
                <w:rFonts w:cs="Times New Roman"/>
                <w:b/>
              </w:rPr>
              <w:t>34</w:t>
            </w:r>
          </w:p>
        </w:tc>
        <w:tc>
          <w:tcPr>
            <w:tcW w:w="1289" w:type="dxa"/>
            <w:tcBorders>
              <w:top w:val="single" w:sz="4" w:space="0" w:color="auto"/>
              <w:bottom w:val="single" w:sz="4" w:space="0" w:color="auto"/>
            </w:tcBorders>
            <w:vAlign w:val="center"/>
          </w:tcPr>
          <w:p w14:paraId="728620AA" w14:textId="77777777" w:rsidR="00775F57" w:rsidRPr="00203EB0" w:rsidRDefault="00775F57" w:rsidP="00C17D6E">
            <w:pPr>
              <w:tabs>
                <w:tab w:val="left" w:pos="8148"/>
              </w:tabs>
              <w:jc w:val="center"/>
              <w:rPr>
                <w:rFonts w:cs="Times New Roman"/>
                <w:b/>
              </w:rPr>
            </w:pPr>
            <w:r w:rsidRPr="00203EB0">
              <w:rPr>
                <w:rFonts w:cs="Times New Roman"/>
                <w:b/>
              </w:rPr>
              <w:t>982</w:t>
            </w:r>
          </w:p>
        </w:tc>
        <w:tc>
          <w:tcPr>
            <w:tcW w:w="1290" w:type="dxa"/>
            <w:tcBorders>
              <w:top w:val="single" w:sz="4" w:space="0" w:color="auto"/>
              <w:bottom w:val="single" w:sz="4" w:space="0" w:color="auto"/>
            </w:tcBorders>
            <w:vAlign w:val="center"/>
          </w:tcPr>
          <w:p w14:paraId="1EA00B34" w14:textId="77777777" w:rsidR="00775F57" w:rsidRPr="00203EB0" w:rsidRDefault="00775F57" w:rsidP="00C17D6E">
            <w:pPr>
              <w:tabs>
                <w:tab w:val="left" w:pos="8148"/>
              </w:tabs>
              <w:jc w:val="center"/>
              <w:rPr>
                <w:rFonts w:cs="Times New Roman"/>
                <w:b/>
              </w:rPr>
            </w:pPr>
            <w:r w:rsidRPr="00203EB0">
              <w:rPr>
                <w:rFonts w:cs="Times New Roman"/>
                <w:b/>
              </w:rPr>
              <w:t>20</w:t>
            </w:r>
          </w:p>
        </w:tc>
        <w:tc>
          <w:tcPr>
            <w:tcW w:w="1290" w:type="dxa"/>
            <w:tcBorders>
              <w:top w:val="single" w:sz="4" w:space="0" w:color="auto"/>
              <w:bottom w:val="single" w:sz="4" w:space="0" w:color="auto"/>
            </w:tcBorders>
            <w:vAlign w:val="center"/>
          </w:tcPr>
          <w:p w14:paraId="7CDA7DAA" w14:textId="77777777" w:rsidR="00775F57" w:rsidRPr="00203EB0" w:rsidRDefault="00775F57" w:rsidP="00C17D6E">
            <w:pPr>
              <w:tabs>
                <w:tab w:val="left" w:pos="8148"/>
              </w:tabs>
              <w:jc w:val="center"/>
              <w:rPr>
                <w:rFonts w:cs="Times New Roman"/>
                <w:b/>
              </w:rPr>
            </w:pPr>
            <w:r w:rsidRPr="00203EB0">
              <w:rPr>
                <w:rFonts w:cs="Times New Roman"/>
                <w:b/>
              </w:rPr>
              <w:t>1108</w:t>
            </w:r>
          </w:p>
        </w:tc>
        <w:tc>
          <w:tcPr>
            <w:tcW w:w="1290" w:type="dxa"/>
            <w:tcBorders>
              <w:top w:val="single" w:sz="4" w:space="0" w:color="auto"/>
              <w:bottom w:val="single" w:sz="4" w:space="0" w:color="auto"/>
            </w:tcBorders>
            <w:vAlign w:val="center"/>
          </w:tcPr>
          <w:p w14:paraId="6513D04D" w14:textId="77777777" w:rsidR="00775F57" w:rsidRPr="00203EB0" w:rsidRDefault="00775F57" w:rsidP="00C17D6E">
            <w:pPr>
              <w:tabs>
                <w:tab w:val="left" w:pos="8148"/>
              </w:tabs>
              <w:jc w:val="center"/>
              <w:rPr>
                <w:rFonts w:cs="Times New Roman"/>
                <w:b/>
              </w:rPr>
            </w:pPr>
            <w:r w:rsidRPr="00203EB0">
              <w:rPr>
                <w:rFonts w:cs="Times New Roman"/>
                <w:b/>
              </w:rPr>
              <w:t>35</w:t>
            </w:r>
          </w:p>
        </w:tc>
        <w:tc>
          <w:tcPr>
            <w:tcW w:w="1290" w:type="dxa"/>
            <w:tcBorders>
              <w:top w:val="single" w:sz="4" w:space="0" w:color="auto"/>
              <w:bottom w:val="single" w:sz="4" w:space="0" w:color="auto"/>
            </w:tcBorders>
            <w:vAlign w:val="center"/>
          </w:tcPr>
          <w:p w14:paraId="442B0964" w14:textId="77777777" w:rsidR="00775F57" w:rsidRPr="00203EB0" w:rsidRDefault="00775F57" w:rsidP="00C17D6E">
            <w:pPr>
              <w:tabs>
                <w:tab w:val="left" w:pos="8148"/>
              </w:tabs>
              <w:jc w:val="center"/>
              <w:rPr>
                <w:rFonts w:cs="Times New Roman"/>
                <w:b/>
              </w:rPr>
            </w:pPr>
            <w:r w:rsidRPr="00203EB0">
              <w:rPr>
                <w:rFonts w:cs="Times New Roman"/>
                <w:b/>
              </w:rPr>
              <w:t>1008</w:t>
            </w:r>
          </w:p>
        </w:tc>
        <w:tc>
          <w:tcPr>
            <w:tcW w:w="1290" w:type="dxa"/>
            <w:tcBorders>
              <w:top w:val="single" w:sz="4" w:space="0" w:color="auto"/>
              <w:bottom w:val="single" w:sz="4" w:space="0" w:color="auto"/>
            </w:tcBorders>
            <w:vAlign w:val="center"/>
          </w:tcPr>
          <w:p w14:paraId="42141EFD" w14:textId="77777777" w:rsidR="00775F57" w:rsidRPr="00203EB0" w:rsidRDefault="00775F57" w:rsidP="00C17D6E">
            <w:pPr>
              <w:tabs>
                <w:tab w:val="left" w:pos="8148"/>
              </w:tabs>
              <w:jc w:val="center"/>
              <w:rPr>
                <w:rFonts w:cs="Times New Roman"/>
                <w:b/>
              </w:rPr>
            </w:pPr>
            <w:r w:rsidRPr="00203EB0">
              <w:rPr>
                <w:rFonts w:cs="Times New Roman"/>
                <w:b/>
              </w:rPr>
              <w:t>21</w:t>
            </w:r>
          </w:p>
        </w:tc>
      </w:tr>
    </w:tbl>
    <w:p w14:paraId="1D167F9E" w14:textId="7B8EE3AD" w:rsidR="00775F57" w:rsidRPr="00203EB0" w:rsidRDefault="00775F57" w:rsidP="00775F57">
      <w:pPr>
        <w:rPr>
          <w:sz w:val="20"/>
          <w:szCs w:val="20"/>
        </w:rPr>
      </w:pPr>
      <w:r w:rsidRPr="00203EB0">
        <w:rPr>
          <w:sz w:val="20"/>
          <w:szCs w:val="20"/>
        </w:rPr>
        <w:t xml:space="preserve">MAPE: </w:t>
      </w:r>
      <w:proofErr w:type="gramStart"/>
      <w:r w:rsidRPr="00203EB0">
        <w:rPr>
          <w:sz w:val="20"/>
          <w:szCs w:val="20"/>
        </w:rPr>
        <w:t>mean</w:t>
      </w:r>
      <w:proofErr w:type="gramEnd"/>
      <w:r w:rsidRPr="00203EB0">
        <w:rPr>
          <w:sz w:val="20"/>
          <w:szCs w:val="20"/>
        </w:rPr>
        <w:t xml:space="preserve"> absolute percentage error.  *</w:t>
      </w:r>
      <w:proofErr w:type="gramStart"/>
      <w:r w:rsidRPr="00203EB0">
        <w:rPr>
          <w:sz w:val="20"/>
          <w:szCs w:val="20"/>
        </w:rPr>
        <w:t>mean</w:t>
      </w:r>
      <w:proofErr w:type="gramEnd"/>
      <w:r w:rsidRPr="00203EB0">
        <w:rPr>
          <w:sz w:val="20"/>
          <w:szCs w:val="20"/>
        </w:rPr>
        <w:t xml:space="preserve"> cumulative emissions across all treatments for each model</w:t>
      </w:r>
    </w:p>
    <w:p w14:paraId="32D5CA91" w14:textId="77777777" w:rsidR="00775F57" w:rsidRPr="00203EB0" w:rsidRDefault="00775F57" w:rsidP="00775F57">
      <w:pPr>
        <w:sectPr w:rsidR="00775F57" w:rsidRPr="00203EB0" w:rsidSect="003C3A05">
          <w:pgSz w:w="15840" w:h="12240" w:orient="landscape" w:code="1"/>
          <w:pgMar w:top="1800" w:right="1440" w:bottom="1800" w:left="1872" w:header="720" w:footer="1440" w:gutter="0"/>
          <w:pgNumType w:start="151"/>
          <w:cols w:space="720"/>
          <w:noEndnote/>
          <w:docGrid w:linePitch="360"/>
        </w:sectPr>
      </w:pPr>
    </w:p>
    <w:p w14:paraId="3205BDD3" w14:textId="77777777" w:rsidR="00775F57" w:rsidRPr="00203EB0" w:rsidRDefault="00775F57" w:rsidP="00775F57"/>
    <w:p w14:paraId="0A2EA75D" w14:textId="6D9866DF" w:rsidR="0055113B" w:rsidRPr="00203EB0" w:rsidRDefault="00D07F6D" w:rsidP="000354E8">
      <w:pPr>
        <w:pStyle w:val="Heading3"/>
        <w:spacing w:line="480" w:lineRule="auto"/>
      </w:pPr>
      <w:bookmarkStart w:id="145" w:name="_Toc206669175"/>
      <w:r w:rsidRPr="00203EB0">
        <w:t>Differential drivers of low and high N</w:t>
      </w:r>
      <w:r w:rsidRPr="00203EB0">
        <w:rPr>
          <w:vertAlign w:val="subscript"/>
        </w:rPr>
        <w:t>2</w:t>
      </w:r>
      <w:r w:rsidRPr="00203EB0">
        <w:t>O emission events as identified by the Class-Swap model</w:t>
      </w:r>
      <w:bookmarkEnd w:id="145"/>
    </w:p>
    <w:p w14:paraId="71F86A63" w14:textId="242C78A9" w:rsidR="00D07F6D" w:rsidRPr="00203EB0" w:rsidRDefault="00D07F6D" w:rsidP="000354E8">
      <w:pPr>
        <w:spacing w:line="480" w:lineRule="auto"/>
        <w:rPr>
          <w:rFonts w:cs="Times New Roman"/>
        </w:rPr>
      </w:pPr>
      <w:r w:rsidRPr="00203EB0">
        <w:rPr>
          <w:rFonts w:cs="Times New Roman"/>
        </w:rPr>
        <w:t>The most important variables influencing N</w:t>
      </w:r>
      <w:r w:rsidRPr="00203EB0">
        <w:rPr>
          <w:rFonts w:cs="Times New Roman"/>
          <w:vertAlign w:val="subscript"/>
        </w:rPr>
        <w:t>2</w:t>
      </w:r>
      <w:r w:rsidRPr="00203EB0">
        <w:rPr>
          <w:rFonts w:cs="Times New Roman"/>
        </w:rPr>
        <w:t>O fluxes in both the low (background emissions) and high (hot-moment) emissions models within the Class-Swap approach were precipitation (PP2) and soil moisture (WFPS), accounting for 55 and 99% of the total feature importance, respectively (</w:t>
      </w:r>
      <w:r w:rsidRPr="00203EB0">
        <w:rPr>
          <w:rFonts w:cs="Times New Roman"/>
          <w:b/>
          <w:bCs/>
        </w:rPr>
        <w:t>Figure 6.11</w:t>
      </w:r>
      <w:r w:rsidRPr="00203EB0">
        <w:rPr>
          <w:rFonts w:cs="Times New Roman"/>
        </w:rPr>
        <w:t>). However, PP2 was the single most important variable driving episodic hot moment emissions following rainfall and irrigation water inputs (</w:t>
      </w:r>
      <w:r w:rsidRPr="00203EB0">
        <w:rPr>
          <w:rFonts w:cs="Times New Roman"/>
          <w:b/>
          <w:bCs/>
        </w:rPr>
        <w:t>Figure 6.11b</w:t>
      </w:r>
      <w:r w:rsidRPr="00203EB0">
        <w:rPr>
          <w:rFonts w:cs="Times New Roman"/>
        </w:rPr>
        <w:t>). Whereas additional variables such as soil respiration rate (CO</w:t>
      </w:r>
      <w:r w:rsidRPr="00203EB0">
        <w:rPr>
          <w:rFonts w:cs="Times New Roman"/>
          <w:vertAlign w:val="subscript"/>
        </w:rPr>
        <w:t>2</w:t>
      </w:r>
      <w:r w:rsidRPr="00203EB0">
        <w:rPr>
          <w:rFonts w:cs="Times New Roman"/>
        </w:rPr>
        <w:t>) and ammonium availability (</w:t>
      </w:r>
      <m:oMath>
        <m:sSubSup>
          <m:sSubSupPr>
            <m:ctrlPr>
              <w:rPr>
                <w:rFonts w:ascii="Cambria Math" w:hAnsi="Cambria Math" w:cs="Times New Roman"/>
                <w:i/>
              </w:rPr>
            </m:ctrlPr>
          </m:sSubSupPr>
          <m:e>
            <m:r>
              <w:rPr>
                <w:rFonts w:ascii="Cambria Math" w:hAnsi="Cambria Math" w:cs="Times New Roman"/>
              </w:rPr>
              <m:t>NH</m:t>
            </m:r>
          </m:e>
          <m:sub>
            <m:r>
              <w:rPr>
                <w:rFonts w:ascii="Cambria Math" w:hAnsi="Cambria Math" w:cs="Times New Roman"/>
              </w:rPr>
              <m:t>4</m:t>
            </m:r>
          </m:sub>
          <m:sup>
            <m:r>
              <w:rPr>
                <w:rFonts w:ascii="Cambria Math" w:hAnsi="Cambria Math" w:cs="Times New Roman"/>
              </w:rPr>
              <m:t>+</m:t>
            </m:r>
          </m:sup>
        </m:sSubSup>
      </m:oMath>
      <w:r w:rsidRPr="00203EB0">
        <w:rPr>
          <w:rFonts w:cs="Times New Roman"/>
        </w:rPr>
        <w:t xml:space="preserve">) substantially (together </w:t>
      </w:r>
      <w:proofErr w:type="gramStart"/>
      <w:r w:rsidRPr="00203EB0">
        <w:rPr>
          <w:rFonts w:cs="Times New Roman"/>
        </w:rPr>
        <w:t>accounting</w:t>
      </w:r>
      <w:proofErr w:type="gramEnd"/>
      <w:r w:rsidRPr="00203EB0">
        <w:rPr>
          <w:rFonts w:cs="Times New Roman"/>
        </w:rPr>
        <w:t xml:space="preserve"> for 23% of the variable importance) contributed to the variability of background emission, bringing the collective contribution of the top four variables to approximately 80%. </w:t>
      </w:r>
    </w:p>
    <w:p w14:paraId="0651A12F" w14:textId="4BA91339" w:rsidR="00D07F6D" w:rsidRPr="00203EB0" w:rsidRDefault="00D07F6D" w:rsidP="00D07F6D">
      <w:r w:rsidRPr="00203EB0">
        <w:rPr>
          <w:rFonts w:cs="Times New Roman"/>
          <w:noProof/>
        </w:rPr>
        <w:drawing>
          <wp:inline distT="0" distB="0" distL="0" distR="0" wp14:anchorId="30533E0F" wp14:editId="131AE84F">
            <wp:extent cx="5486400" cy="2862732"/>
            <wp:effectExtent l="0" t="0" r="0" b="0"/>
            <wp:docPr id="24" name="Imagen 24"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Gráfico&#10;&#10;El contenido generado por IA puede ser incorrecto."/>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86400" cy="2862732"/>
                    </a:xfrm>
                    <a:prstGeom prst="rect">
                      <a:avLst/>
                    </a:prstGeom>
                    <a:noFill/>
                  </pic:spPr>
                </pic:pic>
              </a:graphicData>
            </a:graphic>
          </wp:inline>
        </w:drawing>
      </w:r>
    </w:p>
    <w:p w14:paraId="0E4C09BA" w14:textId="5B3F5FAD" w:rsidR="00D07F6D" w:rsidRPr="00203EB0" w:rsidRDefault="00D07F6D" w:rsidP="00001ABC">
      <w:pPr>
        <w:pStyle w:val="Caption"/>
        <w:rPr>
          <w:b/>
          <w:bCs/>
        </w:rPr>
      </w:pPr>
      <w:bookmarkStart w:id="146" w:name="_Toc206669291"/>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6</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11</w:t>
      </w:r>
      <w:r w:rsidR="00BD46F8" w:rsidRPr="00203EB0">
        <w:rPr>
          <w:b/>
          <w:bCs/>
        </w:rPr>
        <w:fldChar w:fldCharType="end"/>
      </w:r>
      <w:r w:rsidRPr="00203EB0">
        <w:rPr>
          <w:b/>
          <w:bCs/>
        </w:rPr>
        <w:t>:</w:t>
      </w:r>
      <w:r w:rsidRPr="00203EB0">
        <w:t xml:space="preserve"> Variable importance in the Class-Swap model for (a) low (background emissions) and (b) high (hot-moments) N</w:t>
      </w:r>
      <w:r w:rsidRPr="00203EB0">
        <w:rPr>
          <w:vertAlign w:val="subscript"/>
        </w:rPr>
        <w:t>2</w:t>
      </w:r>
      <w:r w:rsidRPr="00203EB0">
        <w:t>O emission scenarios.</w:t>
      </w:r>
      <w:bookmarkEnd w:id="146"/>
    </w:p>
    <w:p w14:paraId="58ADF2A8" w14:textId="77777777" w:rsidR="00D07F6D" w:rsidRPr="00203EB0" w:rsidRDefault="00D07F6D" w:rsidP="00D07F6D">
      <w:pPr>
        <w:spacing w:line="480" w:lineRule="auto"/>
      </w:pPr>
    </w:p>
    <w:p w14:paraId="5F09EAAE" w14:textId="3930B786" w:rsidR="00D07F6D" w:rsidRPr="00203EB0" w:rsidRDefault="00D07F6D" w:rsidP="00D07F6D">
      <w:pPr>
        <w:spacing w:line="480" w:lineRule="auto"/>
        <w:rPr>
          <w:rFonts w:cs="Times New Roman"/>
        </w:rPr>
      </w:pPr>
      <w:r w:rsidRPr="00203EB0">
        <w:rPr>
          <w:rFonts w:cs="Times New Roman"/>
        </w:rPr>
        <w:lastRenderedPageBreak/>
        <w:t>While both models identified PP2 and WFPS as the most important predictors, their influence on N</w:t>
      </w:r>
      <w:r w:rsidRPr="00203EB0">
        <w:rPr>
          <w:rFonts w:cs="Times New Roman"/>
          <w:vertAlign w:val="subscript"/>
        </w:rPr>
        <w:t>2</w:t>
      </w:r>
      <w:r w:rsidRPr="00203EB0">
        <w:rPr>
          <w:rFonts w:cs="Times New Roman"/>
        </w:rPr>
        <w:t>O fluxes differed markedly, as illustrated by the partial dependence plots (</w:t>
      </w:r>
      <w:r w:rsidRPr="00203EB0">
        <w:rPr>
          <w:rFonts w:cs="Times New Roman"/>
          <w:b/>
          <w:bCs/>
        </w:rPr>
        <w:t>Figure 6.12</w:t>
      </w:r>
      <w:r w:rsidRPr="00203EB0">
        <w:rPr>
          <w:rFonts w:cs="Times New Roman"/>
        </w:rPr>
        <w:t>). In the background emissions model, high rainfall (PP2) was associated with lower N</w:t>
      </w:r>
      <w:r w:rsidRPr="00203EB0">
        <w:rPr>
          <w:rFonts w:cs="Times New Roman"/>
          <w:vertAlign w:val="subscript"/>
        </w:rPr>
        <w:t>2</w:t>
      </w:r>
      <w:r w:rsidRPr="00203EB0">
        <w:rPr>
          <w:rFonts w:cs="Times New Roman"/>
        </w:rPr>
        <w:t>O fluxes, whereas in the hot-moment model, N</w:t>
      </w:r>
      <w:r w:rsidRPr="00203EB0">
        <w:rPr>
          <w:rFonts w:cs="Times New Roman"/>
          <w:vertAlign w:val="subscript"/>
        </w:rPr>
        <w:t>2</w:t>
      </w:r>
      <w:r w:rsidRPr="00203EB0">
        <w:rPr>
          <w:rFonts w:cs="Times New Roman"/>
        </w:rPr>
        <w:t>O emissions sharply increased during extreme precipitation events, which could arise from either the physical displacement of N</w:t>
      </w:r>
      <w:r w:rsidRPr="00203EB0">
        <w:rPr>
          <w:rFonts w:cs="Times New Roman"/>
          <w:vertAlign w:val="subscript"/>
        </w:rPr>
        <w:t>2</w:t>
      </w:r>
      <w:r w:rsidRPr="00203EB0">
        <w:rPr>
          <w:rFonts w:cs="Times New Roman"/>
        </w:rPr>
        <w:t>O stored in the soil or enhanced microbial production under saturated conditions. Additionally, moderate to high soil moisture levels (0.45 to 0.7 WFPS) positively influenced background emissions, while only very high moisture levels (&gt; 0.65 WFPS) triggered N</w:t>
      </w:r>
      <w:r w:rsidRPr="00203EB0">
        <w:rPr>
          <w:rFonts w:cs="Times New Roman"/>
          <w:vertAlign w:val="subscript"/>
        </w:rPr>
        <w:t>2</w:t>
      </w:r>
      <w:r w:rsidRPr="00203EB0">
        <w:rPr>
          <w:rFonts w:cs="Times New Roman"/>
        </w:rPr>
        <w:t>O hot moments. Moreover, increases in soil CO</w:t>
      </w:r>
      <w:r w:rsidRPr="00203EB0">
        <w:rPr>
          <w:rFonts w:cs="Times New Roman"/>
          <w:vertAlign w:val="subscript"/>
        </w:rPr>
        <w:t>2</w:t>
      </w:r>
      <w:r w:rsidRPr="00203EB0">
        <w:rPr>
          <w:rFonts w:cs="Times New Roman"/>
        </w:rPr>
        <w:t xml:space="preserve"> emissions and NH</w:t>
      </w:r>
      <w:r w:rsidRPr="00203EB0">
        <w:rPr>
          <w:rFonts w:cs="Times New Roman"/>
          <w:vertAlign w:val="subscript"/>
        </w:rPr>
        <w:t>4</w:t>
      </w:r>
      <w:r w:rsidRPr="00203EB0">
        <w:rPr>
          <w:rFonts w:cs="Times New Roman"/>
          <w:vertAlign w:val="superscript"/>
        </w:rPr>
        <w:t xml:space="preserve">+ </w:t>
      </w:r>
      <w:r w:rsidRPr="00203EB0">
        <w:rPr>
          <w:rFonts w:cs="Times New Roman"/>
        </w:rPr>
        <w:t>concentrations above 8 mg kg</w:t>
      </w:r>
      <w:r w:rsidRPr="00203EB0">
        <w:rPr>
          <w:rFonts w:cs="Times New Roman"/>
          <w:vertAlign w:val="superscript"/>
        </w:rPr>
        <w:t>-1</w:t>
      </w:r>
      <w:r w:rsidRPr="00203EB0">
        <w:rPr>
          <w:rFonts w:cs="Times New Roman"/>
        </w:rPr>
        <w:t xml:space="preserve"> were associated with higher N</w:t>
      </w:r>
      <w:r w:rsidRPr="00203EB0">
        <w:rPr>
          <w:rFonts w:cs="Times New Roman"/>
          <w:vertAlign w:val="subscript"/>
        </w:rPr>
        <w:t>2</w:t>
      </w:r>
      <w:r w:rsidRPr="00203EB0">
        <w:rPr>
          <w:rFonts w:cs="Times New Roman"/>
        </w:rPr>
        <w:t xml:space="preserve">O fluxes in the background emissions model. </w:t>
      </w:r>
    </w:p>
    <w:p w14:paraId="6BEF56E1" w14:textId="1A450BAA" w:rsidR="00D07F6D" w:rsidRPr="00203EB0" w:rsidRDefault="00D07F6D" w:rsidP="00D07F6D">
      <w:pPr>
        <w:jc w:val="center"/>
      </w:pPr>
      <w:r w:rsidRPr="00203EB0">
        <w:rPr>
          <w:rFonts w:cs="Times New Roman"/>
          <w:noProof/>
        </w:rPr>
        <w:lastRenderedPageBreak/>
        <w:drawing>
          <wp:inline distT="0" distB="0" distL="0" distR="0" wp14:anchorId="65DD2809" wp14:editId="358B638A">
            <wp:extent cx="4304030" cy="6193790"/>
            <wp:effectExtent l="0" t="0" r="1270" b="0"/>
            <wp:docPr id="784041768" name="Imagen 784041768" descr="Interfaz de usuario gráfica,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041768" name="Imagen 784041768" descr="Interfaz de usuario gráfica, Gráfico&#10;&#10;El contenido generado por IA puede ser incorrecto."/>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04030" cy="6193790"/>
                    </a:xfrm>
                    <a:prstGeom prst="rect">
                      <a:avLst/>
                    </a:prstGeom>
                    <a:noFill/>
                  </pic:spPr>
                </pic:pic>
              </a:graphicData>
            </a:graphic>
          </wp:inline>
        </w:drawing>
      </w:r>
    </w:p>
    <w:p w14:paraId="3CA7AE06" w14:textId="1103E948" w:rsidR="00D07F6D" w:rsidRPr="00203EB0" w:rsidRDefault="00D07F6D" w:rsidP="00001ABC">
      <w:pPr>
        <w:pStyle w:val="Caption"/>
      </w:pPr>
      <w:bookmarkStart w:id="147" w:name="_Toc206669292"/>
      <w:r w:rsidRPr="00203EB0">
        <w:rPr>
          <w:b/>
          <w:bCs/>
        </w:rPr>
        <w:t xml:space="preserve">Figure </w:t>
      </w:r>
      <w:r w:rsidR="00BD46F8" w:rsidRPr="00203EB0">
        <w:rPr>
          <w:b/>
          <w:bCs/>
        </w:rPr>
        <w:fldChar w:fldCharType="begin"/>
      </w:r>
      <w:r w:rsidR="00BD46F8" w:rsidRPr="00203EB0">
        <w:rPr>
          <w:b/>
          <w:bCs/>
        </w:rPr>
        <w:instrText xml:space="preserve"> STYLEREF 1 \s </w:instrText>
      </w:r>
      <w:r w:rsidR="00BD46F8" w:rsidRPr="00203EB0">
        <w:rPr>
          <w:b/>
          <w:bCs/>
        </w:rPr>
        <w:fldChar w:fldCharType="separate"/>
      </w:r>
      <w:r w:rsidR="00D56363" w:rsidRPr="00203EB0">
        <w:rPr>
          <w:b/>
          <w:bCs/>
        </w:rPr>
        <w:t>6</w:t>
      </w:r>
      <w:r w:rsidR="00BD46F8" w:rsidRPr="00203EB0">
        <w:rPr>
          <w:b/>
          <w:bCs/>
        </w:rPr>
        <w:fldChar w:fldCharType="end"/>
      </w:r>
      <w:r w:rsidR="00BD46F8" w:rsidRPr="00203EB0">
        <w:rPr>
          <w:b/>
          <w:bCs/>
        </w:rPr>
        <w:t>.</w:t>
      </w:r>
      <w:r w:rsidR="00BD46F8" w:rsidRPr="00203EB0">
        <w:rPr>
          <w:b/>
          <w:bCs/>
        </w:rPr>
        <w:fldChar w:fldCharType="begin"/>
      </w:r>
      <w:r w:rsidR="00BD46F8" w:rsidRPr="00203EB0">
        <w:rPr>
          <w:b/>
          <w:bCs/>
        </w:rPr>
        <w:instrText xml:space="preserve"> SEQ Figure \* ARABIC \s 1 </w:instrText>
      </w:r>
      <w:r w:rsidR="00BD46F8" w:rsidRPr="00203EB0">
        <w:rPr>
          <w:b/>
          <w:bCs/>
        </w:rPr>
        <w:fldChar w:fldCharType="separate"/>
      </w:r>
      <w:r w:rsidR="00D56363" w:rsidRPr="00203EB0">
        <w:rPr>
          <w:b/>
          <w:bCs/>
        </w:rPr>
        <w:t>12</w:t>
      </w:r>
      <w:r w:rsidR="00BD46F8" w:rsidRPr="00203EB0">
        <w:rPr>
          <w:b/>
          <w:bCs/>
        </w:rPr>
        <w:fldChar w:fldCharType="end"/>
      </w:r>
      <w:r w:rsidRPr="00203EB0">
        <w:rPr>
          <w:b/>
          <w:bCs/>
        </w:rPr>
        <w:t>:</w:t>
      </w:r>
      <w:r w:rsidRPr="00203EB0">
        <w:t xml:space="preserve"> Partial dependence plots for the most influential variables in the Class-Swap model under low (a-d) and high (e-f) N</w:t>
      </w:r>
      <w:r w:rsidRPr="00203EB0">
        <w:rPr>
          <w:vertAlign w:val="subscript"/>
        </w:rPr>
        <w:t>2</w:t>
      </w:r>
      <w:r w:rsidRPr="00203EB0">
        <w:t xml:space="preserve">O emission scenarios: </w:t>
      </w:r>
      <w:proofErr w:type="spellStart"/>
      <w:r w:rsidRPr="00203EB0">
        <w:t>a,e</w:t>
      </w:r>
      <w:proofErr w:type="spellEnd"/>
      <w:r w:rsidRPr="00203EB0">
        <w:t xml:space="preserve">) 48 hours cumulative precipitation, </w:t>
      </w:r>
      <w:proofErr w:type="spellStart"/>
      <w:r w:rsidRPr="00203EB0">
        <w:t>b,f</w:t>
      </w:r>
      <w:proofErr w:type="spellEnd"/>
      <w:r w:rsidRPr="00203EB0">
        <w:t>) WFPS, c) CO</w:t>
      </w:r>
      <w:r w:rsidRPr="00203EB0">
        <w:rPr>
          <w:vertAlign w:val="subscript"/>
        </w:rPr>
        <w:t>2</w:t>
      </w:r>
      <w:r w:rsidRPr="00203EB0">
        <w:t xml:space="preserve"> fluxes, and d) ammonium.</w:t>
      </w:r>
      <w:bookmarkEnd w:id="147"/>
    </w:p>
    <w:p w14:paraId="3AC4E141" w14:textId="77777777" w:rsidR="00775F57" w:rsidRPr="00203EB0" w:rsidRDefault="00775F57"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312B8CA" w14:textId="21349BEE" w:rsidR="0055113B" w:rsidRPr="00203EB0" w:rsidRDefault="00D07F6D" w:rsidP="00D07F6D">
      <w:pPr>
        <w:pStyle w:val="Heading2"/>
      </w:pPr>
      <w:bookmarkStart w:id="148" w:name="_Toc206669176"/>
      <w:r w:rsidRPr="00203EB0">
        <w:lastRenderedPageBreak/>
        <w:t>Discussion</w:t>
      </w:r>
      <w:bookmarkEnd w:id="148"/>
    </w:p>
    <w:p w14:paraId="7C6033C1" w14:textId="5AA736E7" w:rsidR="00D07F6D" w:rsidRPr="00203EB0" w:rsidRDefault="007C3117" w:rsidP="00D07F6D">
      <w:pPr>
        <w:spacing w:line="480" w:lineRule="auto"/>
        <w:rPr>
          <w:rFonts w:cs="Times New Roman"/>
        </w:rPr>
      </w:pPr>
      <w:r>
        <w:rPr>
          <w:rFonts w:cs="Times New Roman"/>
        </w:rPr>
        <w:t>This study presents the Class-Swap ML approach as a promising method demonstrating improved predictive performance over traditional ML modeling approaches in predicting agricultural soil N</w:t>
      </w:r>
      <w:r w:rsidRPr="00D05BE1">
        <w:rPr>
          <w:rFonts w:cs="Times New Roman"/>
          <w:vertAlign w:val="subscript"/>
        </w:rPr>
        <w:t>2</w:t>
      </w:r>
      <w:r>
        <w:rPr>
          <w:rFonts w:cs="Times New Roman"/>
        </w:rPr>
        <w:t xml:space="preserve">O emissions at both daily and seasonal scales. By </w:t>
      </w:r>
      <w:r w:rsidRPr="00E10013">
        <w:rPr>
          <w:rFonts w:cs="Times New Roman"/>
        </w:rPr>
        <w:t>objective</w:t>
      </w:r>
      <w:r>
        <w:rPr>
          <w:rFonts w:cs="Times New Roman"/>
        </w:rPr>
        <w:t>ly classifying</w:t>
      </w:r>
      <w:r w:rsidRPr="00E10013">
        <w:rPr>
          <w:rFonts w:cs="Times New Roman"/>
        </w:rPr>
        <w:t xml:space="preserve"> hot-moments and background emissions</w:t>
      </w:r>
      <w:r>
        <w:rPr>
          <w:rFonts w:cs="Times New Roman"/>
        </w:rPr>
        <w:t>, differential model training on the labeled data, and employing</w:t>
      </w:r>
      <w:r w:rsidRPr="00E10013">
        <w:rPr>
          <w:rFonts w:cs="Times New Roman"/>
        </w:rPr>
        <w:t xml:space="preserve"> </w:t>
      </w:r>
      <w:r>
        <w:rPr>
          <w:rFonts w:cs="Times New Roman"/>
        </w:rPr>
        <w:t>model</w:t>
      </w:r>
      <w:r w:rsidRPr="00E10013">
        <w:rPr>
          <w:rFonts w:cs="Times New Roman"/>
        </w:rPr>
        <w:t xml:space="preserve"> swapping</w:t>
      </w:r>
      <w:r>
        <w:rPr>
          <w:rFonts w:cs="Times New Roman"/>
        </w:rPr>
        <w:t>, we developed models that predict N</w:t>
      </w:r>
      <w:r w:rsidRPr="00E10013">
        <w:rPr>
          <w:rFonts w:cs="Times New Roman"/>
          <w:vertAlign w:val="subscript"/>
        </w:rPr>
        <w:t>2</w:t>
      </w:r>
      <w:r>
        <w:rPr>
          <w:rFonts w:cs="Times New Roman"/>
        </w:rPr>
        <w:t xml:space="preserve">O emissions </w:t>
      </w:r>
      <w:r w:rsidRPr="00E10013">
        <w:rPr>
          <w:rFonts w:cs="Times New Roman"/>
        </w:rPr>
        <w:t xml:space="preserve">based on </w:t>
      </w:r>
      <w:r>
        <w:rPr>
          <w:rFonts w:cs="Times New Roman"/>
        </w:rPr>
        <w:t xml:space="preserve">their distinct nature and </w:t>
      </w:r>
      <w:r w:rsidRPr="00E10013">
        <w:rPr>
          <w:rFonts w:cs="Times New Roman"/>
        </w:rPr>
        <w:t>driving factors</w:t>
      </w:r>
      <w:r>
        <w:rPr>
          <w:rFonts w:cs="Times New Roman"/>
        </w:rPr>
        <w:t>, leading to more robust and generalizable predictions. Consequently, Class-Swap ML model consistently outperformed traditional ML models, achieving higher R</w:t>
      </w:r>
      <w:r w:rsidRPr="00E96CB5">
        <w:rPr>
          <w:rFonts w:cs="Times New Roman"/>
          <w:vertAlign w:val="superscript"/>
        </w:rPr>
        <w:t>2</w:t>
      </w:r>
      <w:r>
        <w:rPr>
          <w:rFonts w:cs="Times New Roman"/>
        </w:rPr>
        <w:t xml:space="preserve"> values in both eight-fold cross-validation (R</w:t>
      </w:r>
      <w:r w:rsidRPr="00E10013">
        <w:rPr>
          <w:rFonts w:cs="Times New Roman"/>
          <w:vertAlign w:val="superscript"/>
        </w:rPr>
        <w:t>2</w:t>
      </w:r>
      <w:r>
        <w:rPr>
          <w:rFonts w:cs="Times New Roman"/>
        </w:rPr>
        <w:t>: 0.37-0.41 vs 0.14-0.24) and independent testing (R</w:t>
      </w:r>
      <w:r w:rsidRPr="00E10013">
        <w:rPr>
          <w:rFonts w:cs="Times New Roman"/>
          <w:vertAlign w:val="superscript"/>
        </w:rPr>
        <w:t>2</w:t>
      </w:r>
      <w:r>
        <w:rPr>
          <w:rFonts w:cs="Times New Roman"/>
        </w:rPr>
        <w:t>: 0.31-0.32 vs 0.07-0.23). Additionally, this approach effectively captured the temporal dynamics and magnitude of N</w:t>
      </w:r>
      <w:r w:rsidRPr="00E764E5">
        <w:rPr>
          <w:rFonts w:cs="Times New Roman"/>
          <w:vertAlign w:val="subscript"/>
        </w:rPr>
        <w:t>2</w:t>
      </w:r>
      <w:r>
        <w:rPr>
          <w:rFonts w:cs="Times New Roman"/>
        </w:rPr>
        <w:t xml:space="preserve">O emissions, closely replicating the observed </w:t>
      </w:r>
      <w:r w:rsidRPr="000E2ED9">
        <w:rPr>
          <w:rFonts w:cs="Times New Roman"/>
        </w:rPr>
        <w:t>N</w:t>
      </w:r>
      <w:r w:rsidRPr="000E2ED9">
        <w:rPr>
          <w:rFonts w:cs="Times New Roman"/>
          <w:vertAlign w:val="subscript"/>
        </w:rPr>
        <w:t>2</w:t>
      </w:r>
      <w:r>
        <w:rPr>
          <w:rFonts w:cs="Times New Roman"/>
        </w:rPr>
        <w:t xml:space="preserve">O emissions patterns during the 2022 cotton growing season, a pattern that traditional ML models could not accurately reproduce. </w:t>
      </w:r>
    </w:p>
    <w:p w14:paraId="49DAFB90" w14:textId="51E3206F" w:rsidR="00E3102D" w:rsidRPr="00203EB0" w:rsidRDefault="00E3102D" w:rsidP="00E3102D">
      <w:pPr>
        <w:pStyle w:val="Heading3"/>
        <w:spacing w:line="480" w:lineRule="auto"/>
      </w:pPr>
      <w:bookmarkStart w:id="149" w:name="_Toc206669177"/>
      <w:r w:rsidRPr="00203EB0">
        <w:t>Predictability and interpretability of Class-Swap ML models</w:t>
      </w:r>
      <w:bookmarkEnd w:id="149"/>
    </w:p>
    <w:p w14:paraId="5BF3EF65" w14:textId="7E4ABC20" w:rsidR="00E3102D" w:rsidRPr="00203EB0" w:rsidRDefault="00E3102D" w:rsidP="00E3102D">
      <w:pPr>
        <w:spacing w:line="480" w:lineRule="auto"/>
        <w:rPr>
          <w:rFonts w:cs="Times New Roman"/>
        </w:rPr>
      </w:pPr>
      <w:r w:rsidRPr="00203EB0">
        <w:rPr>
          <w:rFonts w:cs="Times New Roman"/>
        </w:rPr>
        <w:t>When tested on an independent dataset from a contrasting drier year (2022), the Class-Swap model explained 31 to 32% of the variability in daily N</w:t>
      </w:r>
      <w:r w:rsidRPr="00203EB0">
        <w:rPr>
          <w:rFonts w:cs="Times New Roman"/>
          <w:vertAlign w:val="subscript"/>
        </w:rPr>
        <w:t>2</w:t>
      </w:r>
      <w:r w:rsidRPr="00203EB0">
        <w:rPr>
          <w:rFonts w:cs="Times New Roman"/>
        </w:rPr>
        <w:t>O fluxes, with an RMSE of 9.7 to 9.8 g N</w:t>
      </w:r>
      <w:r w:rsidRPr="00203EB0">
        <w:rPr>
          <w:rFonts w:cs="Times New Roman"/>
          <w:vertAlign w:val="subscript"/>
        </w:rPr>
        <w:t>2</w:t>
      </w:r>
      <w:r w:rsidRPr="00203EB0">
        <w:rPr>
          <w:rFonts w:cs="Times New Roman"/>
        </w:rPr>
        <w:t>O-N ha</w:t>
      </w:r>
      <w:r w:rsidRPr="00203EB0">
        <w:rPr>
          <w:rFonts w:cs="Times New Roman"/>
          <w:vertAlign w:val="superscript"/>
        </w:rPr>
        <w:t>-1</w:t>
      </w:r>
      <w:r w:rsidRPr="00203EB0">
        <w:rPr>
          <w:rFonts w:cs="Times New Roman"/>
        </w:rPr>
        <w:t xml:space="preserve"> d</w:t>
      </w:r>
      <w:r w:rsidRPr="00203EB0">
        <w:rPr>
          <w:rFonts w:cs="Times New Roman"/>
          <w:vertAlign w:val="superscript"/>
        </w:rPr>
        <w:t>-1</w:t>
      </w:r>
      <w:r w:rsidRPr="00203EB0">
        <w:rPr>
          <w:rFonts w:cs="Times New Roman"/>
        </w:rPr>
        <w:t xml:space="preserve">. These results represent a 1.4 to 4-fold improvement in predictive accuracy over traditional RF models and </w:t>
      </w:r>
      <w:proofErr w:type="gramStart"/>
      <w:r w:rsidRPr="00203EB0">
        <w:rPr>
          <w:rFonts w:cs="Times New Roman"/>
        </w:rPr>
        <w:t>highlights</w:t>
      </w:r>
      <w:proofErr w:type="gramEnd"/>
      <w:r w:rsidRPr="00203EB0">
        <w:rPr>
          <w:rFonts w:cs="Times New Roman"/>
        </w:rPr>
        <w:t xml:space="preserve"> the Class-Swap model’s superior ability to generalize beyond its training dataset compared to conventional approaches. Notably, the performance of our model, despite being trained on a relatively small dataset (n = 672), is comparable to other studies using traditional RF models trained on much larger datasets. For instance, </w:t>
      </w:r>
      <w:r w:rsidRPr="00203EB0">
        <w:rPr>
          <w:rFonts w:cs="Times New Roman"/>
        </w:rPr>
        <w:fldChar w:fldCharType="begin" w:fldLock="1"/>
      </w:r>
      <w:r w:rsidRPr="00203EB0">
        <w:rPr>
          <w:rFonts w:cs="Times New Roman"/>
        </w:rPr>
        <w:instrText>ADDIN CSL_CITATION {"citationItems":[{"id":"ITEM-1","itemData":{"DOI":"10.1016/j.agrformet.2024.110085","ISSN":"01681923","abstract":"Nitrous oxide (N2O) emissions from agricultural soil were studied during 6 consecutive years on three plots of two real farms. We analyzed a total of 37 agricultural sequences: 20 sequences with crops including wheat, maize, and legumes and 17 fallow sequences with cover crops, volunteers or bare fallow soils. Controlling factors of N2O emissions were disentangled by using three approaches: (i) applying a random forest algorithm then extracting the most important predictors; (ii) analyzing all sequences separately as a function of the rain and soil mineral nitrate (SMN) content in soils; and (iii) experimentally, by watering soils with different SMN contents. The results showed that rainfall (and hence soil moisture) exerted the greatest control over N2O emissions, followed by daily maximum temperature and SMN. Regarding crop sequences, 6-year N2O cumulative emissions rates (g N2O[sbnd]N ha−1) ranked as follows: legumes (967) &lt; maize (1192) &lt; cereals (1375). Lowest cumulative N2O emissions at the Derrier conventional, no-till, farming plot (</w:instrText>
      </w:r>
      <w:r w:rsidRPr="00203EB0">
        <w:rPr>
          <w:rFonts w:ascii="Cambria Math" w:hAnsi="Cambria Math" w:cs="Cambria Math"/>
        </w:rPr>
        <w:instrText>∼</w:instrText>
      </w:r>
      <w:r w:rsidRPr="00203EB0">
        <w:rPr>
          <w:rFonts w:cs="Times New Roman"/>
        </w:rPr>
        <w:instrText xml:space="preserve"> 6000 kg N ha−1) was observed compared to </w:instrText>
      </w:r>
      <w:r w:rsidRPr="00203EB0">
        <w:rPr>
          <w:rFonts w:ascii="Cambria Math" w:hAnsi="Cambria Math" w:cs="Cambria Math"/>
        </w:rPr>
        <w:instrText>∼</w:instrText>
      </w:r>
      <w:r w:rsidRPr="00203EB0">
        <w:rPr>
          <w:rFonts w:cs="Times New Roman"/>
        </w:rPr>
        <w:instrText xml:space="preserve"> 15000 kg N2O[sbnd]N ha−1 measured at the tilled organic farming Chantemerle and Barrière plots. Further, cumulative N2O emissions were rather important during fallow periods with or without cover crops. This study thus supports that N2O emissions need to be measured all year round, including both cropping and fallow periods to grasp the full rotation cycles. This long-term study of N2O emissions gathered a large number of data on N2O emissions over a variety of crops and fallow management and helped to initiate a typology of N2O emissions by crop.","author":[{"dropping-particle":"","family":"Garnier","given":"Josette","non-dropping-particle":"","parse-names":false,"suffix":""},{"dropping-particle":"","family":"Casquin","given":"Antoine","non-dropping-particle":"","parse-names":false,"suffix":""},{"dropping-particle":"","family":"Mercier","given":"Benjamin","non-dropping-particle":"","parse-names":false,"suffix":""},{"dropping-particle":"","family":"Martinez","given":"Anun","non-dropping-particle":"","parse-names":false,"suffix":""},{"dropping-particle":"","family":"Gréhan","given":"Eric","non-dropping-particle":"","parse-names":false,"suffix":""},{"dropping-particle":"","family":"Azougui","given":"Abdel","non-dropping-particle":"","parse-names":false,"suffix":""},{"dropping-particle":"","family":"Bosc","given":"Sébastien","non-dropping-particle":"","parse-names":false,"suffix":""},{"dropping-particle":"","family":"Pomet","given":"Alexandre","non-dropping-particle":"","parse-names":false,"suffix":""},{"dropping-particle":"","family":"Billen","given":"Gilles","non-dropping-particle":"","parse-names":false,"suffix":""},{"dropping-particle":"","family":"Mary","given":"Bruno","non-dropping-particle":"","parse-names":false,"suffix":""}],"container-title":"Agricultural and Forest Meteorology","id":"ITEM-1","issue":"May","issued":{"date-parts":[["2024"]]},"title":"Six years of nitrous oxide emissions from temperate cropping systems under real-farm rotational management","type":"article-journal","volume":"354"},"uris":["http://www.mendeley.com/documents/?uuid=4011fca7-2a69-40ed-9cfc-99d2c2e5ee60"]}],"mendeley":{"formattedCitation":"(Garnier et al., 2024)","manualFormatting":"Garnier et al. (2024)","plainTextFormattedCitation":"(Garnier et al., 2024)","previouslyFormattedCitation":"(Garnier et al., 2024)"},"properties":{"noteIndex":0},"schema":"https://github.com/citation-style-language/schema/raw/master/csl-citation.json"}</w:instrText>
      </w:r>
      <w:r w:rsidRPr="00203EB0">
        <w:rPr>
          <w:rFonts w:cs="Times New Roman"/>
        </w:rPr>
        <w:fldChar w:fldCharType="separate"/>
      </w:r>
      <w:r w:rsidRPr="00203EB0">
        <w:rPr>
          <w:rFonts w:cs="Times New Roman"/>
          <w:noProof/>
        </w:rPr>
        <w:t>Garnier et al. (2024)</w:t>
      </w:r>
      <w:r w:rsidRPr="00203EB0">
        <w:rPr>
          <w:rFonts w:cs="Times New Roman"/>
        </w:rPr>
        <w:fldChar w:fldCharType="end"/>
      </w:r>
      <w:r w:rsidRPr="00203EB0">
        <w:rPr>
          <w:rFonts w:cs="Times New Roman"/>
        </w:rPr>
        <w:t xml:space="preserve"> reported an R</w:t>
      </w:r>
      <w:r w:rsidRPr="00203EB0">
        <w:rPr>
          <w:rFonts w:cs="Times New Roman"/>
          <w:vertAlign w:val="superscript"/>
        </w:rPr>
        <w:t>2</w:t>
      </w:r>
      <w:r w:rsidRPr="00203EB0">
        <w:rPr>
          <w:rFonts w:cs="Times New Roman"/>
        </w:rPr>
        <w:t xml:space="preserve"> value of 0.36 for </w:t>
      </w:r>
      <w:r w:rsidRPr="00203EB0">
        <w:rPr>
          <w:rFonts w:cs="Times New Roman"/>
        </w:rPr>
        <w:lastRenderedPageBreak/>
        <w:t>their validation dataset (30% of the training dataset, n = 1073), with an RMSE of 9.9 g N</w:t>
      </w:r>
      <w:r w:rsidRPr="00203EB0">
        <w:rPr>
          <w:rFonts w:cs="Times New Roman"/>
          <w:vertAlign w:val="subscript"/>
        </w:rPr>
        <w:t>2</w:t>
      </w:r>
      <w:r w:rsidRPr="00203EB0">
        <w:rPr>
          <w:rFonts w:cs="Times New Roman"/>
        </w:rPr>
        <w:t>O-N ha</w:t>
      </w:r>
      <w:r w:rsidRPr="00203EB0">
        <w:rPr>
          <w:rFonts w:cs="Times New Roman"/>
          <w:vertAlign w:val="superscript"/>
        </w:rPr>
        <w:t>-1</w:t>
      </w:r>
      <w:r w:rsidRPr="00203EB0">
        <w:rPr>
          <w:rFonts w:cs="Times New Roman"/>
        </w:rPr>
        <w:t xml:space="preserve"> d</w:t>
      </w:r>
      <w:r w:rsidRPr="00203EB0">
        <w:rPr>
          <w:rFonts w:cs="Times New Roman"/>
          <w:vertAlign w:val="superscript"/>
        </w:rPr>
        <w:t>-1</w:t>
      </w:r>
      <w:r w:rsidRPr="00203EB0">
        <w:rPr>
          <w:rFonts w:cs="Times New Roman"/>
        </w:rPr>
        <w:t>, using six years of N</w:t>
      </w:r>
      <w:r w:rsidRPr="00203EB0">
        <w:rPr>
          <w:rFonts w:cs="Times New Roman"/>
          <w:vertAlign w:val="subscript"/>
        </w:rPr>
        <w:t>2</w:t>
      </w:r>
      <w:r w:rsidRPr="00203EB0">
        <w:rPr>
          <w:rFonts w:cs="Times New Roman"/>
        </w:rPr>
        <w:t xml:space="preserve">O flux data across three different sites and crop rotations. Similarly, </w:t>
      </w:r>
      <w:r w:rsidRPr="00203EB0">
        <w:rPr>
          <w:rFonts w:cs="Times New Roman"/>
        </w:rPr>
        <w:fldChar w:fldCharType="begin" w:fldLock="1"/>
      </w:r>
      <w:r w:rsidR="00EB2F35" w:rsidRPr="00203EB0">
        <w:rPr>
          <w:rFonts w:cs="Times New Roman"/>
        </w:rPr>
        <w:instrText xml:space="preserve">ADDIN CSL_CITATION {"citationItems":[{"id":"ITEM-1","itemData":{"DOI":"10.1088/1748-9326/abd2f3","ISSN":"17489326","abstract":"The potent greenhouse gas nitrous oxide (N2O) is accumulating in the atmosphere at unprecedented rates largely due to agricultural intensification, and cultivated soils contribute </w:instrText>
      </w:r>
      <w:r w:rsidR="00EB2F35" w:rsidRPr="00203EB0">
        <w:rPr>
          <w:rFonts w:ascii="Cambria Math" w:hAnsi="Cambria Math" w:cs="Cambria Math"/>
        </w:rPr>
        <w:instrText>∼</w:instrText>
      </w:r>
      <w:r w:rsidR="00EB2F35" w:rsidRPr="00203EB0">
        <w:rPr>
          <w:rFonts w:cs="Times New Roman"/>
        </w:rPr>
        <w:instrText>60% of the agricultural flux. Empirical models of N2O fluxes for intensively managed cropping systems are confounded by highly variable fluxes and limited geographic coverage; process-based biogeochemical models are rarely able to predict daily to monthly emissions with &gt;20% accuracy even with site-specific calibration. Here we show the promise for machine learning (ML) to significantly improve field-level flux predictions, especially when coupled with a cropping systems model to simulate unmeasured soil parameters. We used sub-daily N2O flux data from six years of automated flux chambers installed in a continuous corn rotation at a site in the upper US Midwest (</w:instrText>
      </w:r>
      <w:r w:rsidR="00EB2F35" w:rsidRPr="00203EB0">
        <w:rPr>
          <w:rFonts w:ascii="Cambria Math" w:hAnsi="Cambria Math" w:cs="Cambria Math"/>
        </w:rPr>
        <w:instrText>∼</w:instrText>
      </w:r>
      <w:r w:rsidR="00EB2F35" w:rsidRPr="00203EB0">
        <w:rPr>
          <w:rFonts w:cs="Times New Roman"/>
        </w:rPr>
        <w:instrText>3000 sub-daily flux observations), supplemented with weekly to biweekly manual chamber measurements (</w:instrText>
      </w:r>
      <w:r w:rsidR="00EB2F35" w:rsidRPr="00203EB0">
        <w:rPr>
          <w:rFonts w:ascii="Cambria Math" w:hAnsi="Cambria Math" w:cs="Cambria Math"/>
        </w:rPr>
        <w:instrText>∼</w:instrText>
      </w:r>
      <w:r w:rsidR="00EB2F35" w:rsidRPr="00203EB0">
        <w:rPr>
          <w:rFonts w:cs="Times New Roman"/>
        </w:rPr>
        <w:instrText>1100 daily fluxes), to train an ML model that explained 65%–89% of daily flux variance with very few input variables—soil moisture, days after fertilization, soil texture, air temperature, soil carbon, precipitation, and nitrogen (N) fertilizer rate. When applied to a long-term test site not used to train the model, the model explained 38% of the variation observed in weekly to biweekly manual chamber measurements from corn, and 51% upon coupling the ML model with a cropping systems model that predicted daily soil N availability. This represents a two to three times improvement over conventional process-based models and with substantially fewer input requirements. This coupled approach offers promise for better predictions of agricultural N2O emissions and thus more precise global models and more effective agricultural mitigation interventions.","author":[{"dropping-particle":"","family":"Saha","given":"Debasish","non-dropping-particle":"","parse-names":false,"suffix":""},{"dropping-particle":"","family":"Basso","given":"Bruno","non-dropping-particle":"","parse-names":false,"suffix":""},{"dropping-particle":"","family":"Robertson","given":"G. Philip","non-dropping-particle":"","parse-names":false,"suffix":""}],"container-title":"Environmental Research Letters","id":"ITEM-1","issue":"2","issued":{"date-parts":[["2021"]]},"title":"Machine learning improves predictions of agricultural nitrous oxide (N2O) emissions from intensively managed cropping systems","type":"article-journal","volume":"16"},"uris":["http://www.mendeley.com/documents/?uuid=e5d104c5-fa03-4b6b-8a74-0abf69308886"]}],"mendeley":{"formattedCitation":"(Saha et al., 2021a)","manualFormatting":"Saha et al. (2021)","plainTextFormattedCitation":"(Saha et al., 2021a)","previouslyFormattedCitation":"(Saha et al., 2021a)"},"properties":{"noteIndex":0},"schema":"https://github.com/citation-style-language/schema/raw/master/csl-citation.json"}</w:instrText>
      </w:r>
      <w:r w:rsidRPr="00203EB0">
        <w:rPr>
          <w:rFonts w:cs="Times New Roman"/>
        </w:rPr>
        <w:fldChar w:fldCharType="separate"/>
      </w:r>
      <w:r w:rsidRPr="00203EB0">
        <w:rPr>
          <w:rFonts w:cs="Times New Roman"/>
          <w:noProof/>
        </w:rPr>
        <w:t>Saha et al. (2021)</w:t>
      </w:r>
      <w:r w:rsidRPr="00203EB0">
        <w:rPr>
          <w:rFonts w:cs="Times New Roman"/>
        </w:rPr>
        <w:fldChar w:fldCharType="end"/>
      </w:r>
      <w:r w:rsidRPr="00203EB0">
        <w:rPr>
          <w:rFonts w:cs="Times New Roman"/>
        </w:rPr>
        <w:t xml:space="preserve"> documented an R</w:t>
      </w:r>
      <w:r w:rsidRPr="00203EB0">
        <w:rPr>
          <w:rFonts w:cs="Times New Roman"/>
          <w:vertAlign w:val="superscript"/>
        </w:rPr>
        <w:t>2</w:t>
      </w:r>
      <w:r w:rsidRPr="00203EB0">
        <w:rPr>
          <w:rFonts w:cs="Times New Roman"/>
        </w:rPr>
        <w:t xml:space="preserve"> of 0.38 for average daily N</w:t>
      </w:r>
      <w:r w:rsidRPr="00203EB0">
        <w:rPr>
          <w:rFonts w:cs="Times New Roman"/>
          <w:vertAlign w:val="subscript"/>
        </w:rPr>
        <w:t>2</w:t>
      </w:r>
      <w:r w:rsidRPr="00203EB0">
        <w:rPr>
          <w:rFonts w:cs="Times New Roman"/>
        </w:rPr>
        <w:t>O emissions, with an RMSE 9.8 g N</w:t>
      </w:r>
      <w:r w:rsidRPr="00203EB0">
        <w:rPr>
          <w:rFonts w:cs="Times New Roman"/>
          <w:vertAlign w:val="subscript"/>
        </w:rPr>
        <w:t>2</w:t>
      </w:r>
      <w:r w:rsidRPr="00203EB0">
        <w:rPr>
          <w:rFonts w:cs="Times New Roman"/>
        </w:rPr>
        <w:t>O-N ha</w:t>
      </w:r>
      <w:r w:rsidRPr="00203EB0">
        <w:rPr>
          <w:rFonts w:cs="Times New Roman"/>
          <w:vertAlign w:val="superscript"/>
        </w:rPr>
        <w:t>-1</w:t>
      </w:r>
      <w:r w:rsidRPr="00203EB0">
        <w:rPr>
          <w:rFonts w:cs="Times New Roman"/>
        </w:rPr>
        <w:t xml:space="preserve"> d</w:t>
      </w:r>
      <w:r w:rsidRPr="00203EB0">
        <w:rPr>
          <w:rFonts w:cs="Times New Roman"/>
          <w:vertAlign w:val="superscript"/>
        </w:rPr>
        <w:t>-1</w:t>
      </w:r>
      <w:r w:rsidRPr="00203EB0">
        <w:rPr>
          <w:rFonts w:cs="Times New Roman"/>
        </w:rPr>
        <w:t xml:space="preserve"> in an independent test dataset from a long-term corn-soybean-wheat rotation in the upper US Midwest. In comparison, Class-Swap modeling approach in this study accounted for 55% of the variation observed in average daily N</w:t>
      </w:r>
      <w:r w:rsidRPr="00203EB0">
        <w:rPr>
          <w:rFonts w:cs="Times New Roman"/>
          <w:vertAlign w:val="subscript"/>
        </w:rPr>
        <w:t>2</w:t>
      </w:r>
      <w:r w:rsidRPr="00203EB0">
        <w:rPr>
          <w:rFonts w:cs="Times New Roman"/>
        </w:rPr>
        <w:t>O emissions during the 2022 growing season, which experienced a very different weather than 2023 used for model training. This suggests that even with fewer observations, Class-Swap approach aided better learning of dynamic controls of N</w:t>
      </w:r>
      <w:r w:rsidRPr="00203EB0">
        <w:rPr>
          <w:rFonts w:cs="Times New Roman"/>
          <w:vertAlign w:val="subscript"/>
        </w:rPr>
        <w:t>2</w:t>
      </w:r>
      <w:r w:rsidRPr="00203EB0">
        <w:rPr>
          <w:rFonts w:cs="Times New Roman"/>
        </w:rPr>
        <w:t xml:space="preserve">O emissions under different conditions to result predictive performance comparable to models built on much larger datasets. </w:t>
      </w:r>
    </w:p>
    <w:p w14:paraId="3833D1C7" w14:textId="77777777" w:rsidR="00E3102D" w:rsidRPr="00203EB0" w:rsidRDefault="00E3102D" w:rsidP="00E3102D">
      <w:pPr>
        <w:spacing w:line="480" w:lineRule="auto"/>
        <w:rPr>
          <w:rFonts w:cs="Times New Roman"/>
        </w:rPr>
      </w:pPr>
      <w:r w:rsidRPr="00203EB0">
        <w:rPr>
          <w:rFonts w:cs="Times New Roman"/>
        </w:rPr>
        <w:t xml:space="preserve">It is important, however, to acknowledge the inherent limitations in directly comparing model performance across studies, and even across contrasting years within the same site, as in the case of the present study. Data characteristics such as measurement frequency, environmental variability, and especially prevalence of </w:t>
      </w:r>
      <w:proofErr w:type="gramStart"/>
      <w:r w:rsidRPr="00203EB0">
        <w:rPr>
          <w:rFonts w:cs="Times New Roman"/>
        </w:rPr>
        <w:t>hot-moments</w:t>
      </w:r>
      <w:proofErr w:type="gramEnd"/>
      <w:r w:rsidRPr="00203EB0">
        <w:rPr>
          <w:rFonts w:cs="Times New Roman"/>
        </w:rPr>
        <w:t xml:space="preserve">, strongly influence perceptibility. Some datasets may be inherently more challenging to predict than others. Thus, these comparisons should not be viewed as definitive benchmarks but rather as useful context. The key point is that, even with relatively small training </w:t>
      </w:r>
      <w:proofErr w:type="gramStart"/>
      <w:r w:rsidRPr="00203EB0">
        <w:rPr>
          <w:rFonts w:cs="Times New Roman"/>
        </w:rPr>
        <w:t>dataset</w:t>
      </w:r>
      <w:proofErr w:type="gramEnd"/>
      <w:r w:rsidRPr="00203EB0">
        <w:rPr>
          <w:rFonts w:cs="Times New Roman"/>
        </w:rPr>
        <w:t xml:space="preserve">, the Class-Swap model produced reliable predictions on an independent dataset, an encouraging result given the data-intensive nature of ML approaches.  </w:t>
      </w:r>
    </w:p>
    <w:p w14:paraId="3703A233" w14:textId="18C457FB" w:rsidR="00E3102D" w:rsidRPr="00203EB0" w:rsidRDefault="00E3102D" w:rsidP="00E3102D">
      <w:pPr>
        <w:spacing w:line="480" w:lineRule="auto"/>
        <w:rPr>
          <w:rFonts w:cs="Times New Roman"/>
        </w:rPr>
      </w:pPr>
      <w:r w:rsidRPr="00203EB0">
        <w:rPr>
          <w:rFonts w:cs="Times New Roman"/>
        </w:rPr>
        <w:t>The effectiveness of the Class-Swap approach likely lies in its ability to distinctly categorize and predict N</w:t>
      </w:r>
      <w:r w:rsidRPr="00203EB0">
        <w:rPr>
          <w:rFonts w:cs="Times New Roman"/>
          <w:vertAlign w:val="subscript"/>
        </w:rPr>
        <w:t>2</w:t>
      </w:r>
      <w:r w:rsidRPr="00203EB0">
        <w:rPr>
          <w:rFonts w:cs="Times New Roman"/>
        </w:rPr>
        <w:t xml:space="preserve">O emissions based on their unique drivers under different </w:t>
      </w:r>
      <w:r w:rsidRPr="00203EB0">
        <w:rPr>
          <w:rFonts w:cs="Times New Roman"/>
        </w:rPr>
        <w:lastRenderedPageBreak/>
        <w:t>environmental contexts. By first classifying data into background and hot-moment emissions, and then tailoring prediction models to each class, this approach accounts for the fundamentally different biophysical mechanisms underlying these fluxes. For example, background emissions were best predicted by moderate soil moisture (WFPS 40-60%), elevated CO</w:t>
      </w:r>
      <w:r w:rsidRPr="00203EB0">
        <w:rPr>
          <w:rFonts w:cs="Times New Roman"/>
          <w:vertAlign w:val="subscript"/>
        </w:rPr>
        <w:t>2</w:t>
      </w:r>
      <w:r w:rsidRPr="00203EB0">
        <w:rPr>
          <w:rFonts w:cs="Times New Roman"/>
        </w:rPr>
        <w:t xml:space="preserve"> emissions, and high soil </w:t>
      </w:r>
      <m:oMath>
        <m:sSubSup>
          <m:sSubSupPr>
            <m:ctrlPr>
              <w:rPr>
                <w:rFonts w:ascii="Cambria Math" w:hAnsi="Cambria Math" w:cs="Times New Roman"/>
                <w:i/>
              </w:rPr>
            </m:ctrlPr>
          </m:sSubSupPr>
          <m:e>
            <m:r>
              <w:rPr>
                <w:rFonts w:ascii="Cambria Math" w:hAnsi="Cambria Math" w:cs="Times New Roman"/>
              </w:rPr>
              <m:t>NH</m:t>
            </m:r>
          </m:e>
          <m:sub>
            <m:r>
              <w:rPr>
                <w:rFonts w:ascii="Cambria Math" w:hAnsi="Cambria Math" w:cs="Times New Roman"/>
              </w:rPr>
              <m:t>4</m:t>
            </m:r>
          </m:sub>
          <m:sup>
            <m:r>
              <w:rPr>
                <w:rFonts w:ascii="Cambria Math" w:hAnsi="Cambria Math" w:cs="Times New Roman"/>
              </w:rPr>
              <m:t>+</m:t>
            </m:r>
          </m:sup>
        </m:sSubSup>
      </m:oMath>
      <w:r w:rsidRPr="00203EB0">
        <w:rPr>
          <w:rFonts w:cs="Times New Roman"/>
          <w:vertAlign w:val="superscript"/>
        </w:rPr>
        <w:t xml:space="preserve"> </w:t>
      </w:r>
      <w:r w:rsidRPr="00203EB0">
        <w:rPr>
          <w:rFonts w:cs="Times New Roman"/>
        </w:rPr>
        <w:t>levels, conditions consistent with nitrification driven N</w:t>
      </w:r>
      <w:r w:rsidRPr="00203EB0">
        <w:rPr>
          <w:rFonts w:cs="Times New Roman"/>
          <w:vertAlign w:val="subscript"/>
        </w:rPr>
        <w:t>2</w:t>
      </w:r>
      <w:r w:rsidRPr="00203EB0">
        <w:rPr>
          <w:rFonts w:cs="Times New Roman"/>
        </w:rPr>
        <w:t xml:space="preserve">O production </w:t>
      </w:r>
      <w:r w:rsidRPr="00203EB0">
        <w:rPr>
          <w:rFonts w:cs="Times New Roman"/>
        </w:rPr>
        <w:fldChar w:fldCharType="begin" w:fldLock="1"/>
      </w:r>
      <w:r w:rsidR="00EB2F35" w:rsidRPr="00203EB0">
        <w:rPr>
          <w:rFonts w:cs="Times New Roman"/>
        </w:rPr>
        <w:instrText>ADDIN CSL_CITATION {"citationItems":[{"id":"ITEM-1","itemData":{"DOI":"10.1098/rstb.2013.0122","ISSN":"09628436","PMID":"23713120","abstract":"Although it is well established that soils are the dominating source for atmospheric nitrous oxide (N2O), we are still struggling to fully understand the complexity of the underlying microbial production and consumption processes and the links to biotic (e.g. inter- and intraspecies competition, food webs, plant-microbe interaction) and abiotic (e.g. soil climate, physics and chemistry) factors. Recent work shows that a better understanding of the composition and diversity of the microbial community across a variety of soils in different climates and under different land use, as well as plant-microbe interactions in the rhizosphere, may provide a key to better understand the variability of N2O fluxes at the soil-atmosphere interface. Moreover, recent insights into the regulation of the reduction of N2O to dinitrogen (N2) have increased our understanding of N2O exchange. This improved process understanding, building on the increased use of isotope tracing techniques and metagenomics, needs to go along with improvements in measurement techniques for N2O (and N2) emission in order to obtain robust field and laboratory datasets for different ecosystem types. Advances in both fields are currently used to improve process descriptions in biogeochemical models, which may eventually be used not only to test our current process understanding from the microsite to the field level, but also used as tools for up-scaling emissions to landscapes and regions and to explore feedbacks of soil N2O emissions to changes in environmental conditions, land management and land use. © 2013 The Authors.","author":[{"dropping-particle":"","family":"Butterbach-Bahl","given":"Klaus","non-dropping-particle":"","parse-names":false,"suffix":""},{"dropping-particle":"","family":"Baggs","given":"Elizabeth M.","non-dropping-particle":"","parse-names":false,"suffix":""},{"dropping-particle":"","family":"Dannenmann","given":"Michael","non-dropping-particle":"","parse-names":false,"suffix":""},{"dropping-particle":"","family":"Kiese","given":"Ralf","non-dropping-particle":"","parse-names":false,"suffix":""},{"dropping-particle":"","family":"Zechmeister-Boltenstern","given":"Sophie","non-dropping-particle":"","parse-names":false,"suffix":""}],"container-title":"Philosophical Transactions of the Royal Society B: Biological Sciences","id":"ITEM-1","issue":"1621","issued":{"date-parts":[["2013"]]},"title":"Nitrous oxide emissions from soils: How well do we understand the processes and their controls?","type":"article-journal","volume":"368"},"uris":["http://www.mendeley.com/documents/?uuid=0db8131c-aaca-494e-b70f-d876b35147f7"]},{"id":"ITEM-2","itemData":{"DOI":"10.1641/0006-3568(2000)050[0667:TACMOS]2.0.CO;2","ISSN":"00063568","author":[{"dropping-particle":"","family":"Davidson","given":"E. A.","non-dropping-particle":"","parse-names":false,"suffix":""},{"dropping-particle":"","family":"Keller","given":"M.","non-dropping-particle":"","parse-names":false,"suffix":""},{"dropping-particle":"","family":"Erickson","given":"H. E.","non-dropping-particle":"","parse-names":false,"suffix":""},{"dropping-particle":"V.","family":"Verchot","given":"L.","non-dropping-particle":"","parse-names":false,"suffix":""},{"dropping-particle":"","family":"Veldkamp","given":"E.","non-dropping-particle":"","parse-names":false,"suffix":""}],"container-title":"BioScience","id":"ITEM-2","issue":"8","issued":{"date-parts":[["2000"]]},"page":"667-680","title":"Testing a conceptual model of soil emissions of nitrous and nitric oxides","type":"article-journal","volume":"50"},"uris":["http://www.mendeley.com/documents/?uuid=7184fb48-ed31-41c0-8af8-2d5a549c23da"]},{"id":"ITEM-3","itemData":{"DOI":"10.3389/fmicb.2022.1110151","ISSN":"1664302X","abstract":"Biogenic nitrous oxide (N2O) from nitrification and denitrification in agricultural soils is a major source of N2O in the atmosphere, and its flux changes significantly with soil moisture condition. However, the quantitative relationship between N2O production from different pathways (i.e., nitrification vs. denitrification) and soil moisture content remains elusive, limiting our ability of predicting future agricultural N2O emissions under changing environment. This study quantified N2O production rates from nitrification and denitrification under various soil moisture conditions using laboratory incubation combined with literature synthesis. 15N labeling approach was used to differentiate the N2O production from nitrification and denitrification under eight different soil moisture contents ranging from 40 to 120% water-filled pore space (WFPS) in the laboratory study, while 80 groups of data from 17 studies across global agricultural soils were collected in the literature synthesis. Results showed that as soil moisture increased, N2O production rates of nitrification and denitrification first increased and then decreased, with the peak rates occurring between 80 and 95% WFPS. By contrast, the dominant N2O production pathway switched from nitrification to denitrification between 60 and 70% WFPS. Furthermore, the synthetic data elucidated that moisture content was the major driver controlling the relative contributions of nitrification and denitrification to N2O production, while NH4+ and NO3− concentrations mainly determined the N2O production rates from each pathway. The moisture treatments with broad contents and narrow gradient were required to capture the comprehensive response of soil N2O production rate to moisture change, and the response is essential for accurately predicting N2O emission from agricultural soils under climate change scenarios.","author":[{"dropping-particle":"","family":"Wang","given":"Hui","non-dropping-particle":"","parse-names":false,"suffix":""},{"dropping-particle":"","family":"Yan","given":"Zhifeng","non-dropping-particle":"","parse-names":false,"suffix":""},{"dropping-particle":"","family":"Ju","given":"Xiaotang","non-dropping-particle":"","parse-names":false,"suffix":""},{"dropping-particle":"","family":"Song","given":"Xiaotong","non-dropping-particle":"","parse-names":false,"suffix":""},{"dropping-particle":"","family":"Zhang","given":"Jinbo","non-dropping-particle":"","parse-names":false,"suffix":""},{"dropping-particle":"","family":"Li","given":"Siliang","non-dropping-particle":"","parse-names":false,"suffix":""},{"dropping-particle":"","family":"Zhu-Barker","given":"Xia","non-dropping-particle":"","parse-names":false,"suffix":""}],"container-title":"Frontiers in Microbiology","id":"ITEM-3","issue":"January","issued":{"date-parts":[["2023"]]},"page":"1-10","title":"Quantifying nitrous oxide production rates from nitrification and denitrification under various moisture conditions in agricultural soils: Laboratory study and literature synthesis","type":"article-journal","volume":"13"},"uris":["http://www.mendeley.com/documents/?uuid=4013fdcf-c0a0-4eab-8fb5-1e4f420317a2"]}],"mendeley":{"formattedCitation":"(Davidson et al., 2000; Butterbach-Bahl et al., 2013; Wang et al., 2023)","plainTextFormattedCitation":"(Davidson et al., 2000; Butterbach-Bahl et al., 2013; Wang et al., 2023)","previouslyFormattedCitation":"(Davidson et al., 2000; Butterbach-Bahl et al., 2013; Wang et al., 2023)"},"properties":{"noteIndex":0},"schema":"https://github.com/citation-style-language/schema/raw/master/csl-citation.json"}</w:instrText>
      </w:r>
      <w:r w:rsidRPr="00203EB0">
        <w:rPr>
          <w:rFonts w:cs="Times New Roman"/>
        </w:rPr>
        <w:fldChar w:fldCharType="separate"/>
      </w:r>
      <w:r w:rsidR="00EB2F35" w:rsidRPr="00203EB0">
        <w:rPr>
          <w:rFonts w:cs="Times New Roman"/>
          <w:noProof/>
        </w:rPr>
        <w:t>(Davidson et al., 2000; Butterbach-Bahl et al., 2013; Wang et al., 2023)</w:t>
      </w:r>
      <w:r w:rsidRPr="00203EB0">
        <w:rPr>
          <w:rFonts w:cs="Times New Roman"/>
        </w:rPr>
        <w:fldChar w:fldCharType="end"/>
      </w:r>
      <w:r w:rsidRPr="00203EB0">
        <w:rPr>
          <w:rFonts w:cs="Times New Roman"/>
        </w:rPr>
        <w:t xml:space="preserve">. In contrast, hot-moment emissions were triggered by recent large precipitation and WFPS above 60%, reflecting oxygen-limiting conditions that favor denitrification </w:t>
      </w:r>
      <w:r w:rsidRPr="00203EB0">
        <w:rPr>
          <w:rFonts w:cs="Times New Roman"/>
        </w:rPr>
        <w:fldChar w:fldCharType="begin" w:fldLock="1"/>
      </w:r>
      <w:r w:rsidR="004179E3" w:rsidRPr="00203EB0">
        <w:rPr>
          <w:rFonts w:cs="Times New Roman"/>
        </w:rPr>
        <w:instrText>ADDIN CSL_CITATION {"citationItems":[{"id":"ITEM-1","itemData":{"DOI":"10.1007/s00374-005-0858-3","ISSN":"01782762","abstract":"A combination of stable isotope and acetylene (0.01% v/v) inhibition techniques were used for the first time to determine N2O production during denitrification, autotrophic nitrification and heterotrophic nitrification in a fertilised (200 kg N ha-1) silt loam soil at contrasting (20-70%) water-filled pore space (WFPS). 15N-N 2O emissions from 14NH415NO 3 replicates were attributed to denitrification and 15N-N2O from 15NH415NO3 minus that from 14NH415NO3 replicates was attributed to nitrification and heterotrophic nitrification in the presence of acetylene, as there was no dissimilatory nitrate reduction to ammonium or immobilisation and remineralisation of 15N-NO3-. All of the N2O emitted at 70% WFPS (31.6 mg N2O-N m-2 over 24 days; 1.12 μg N2O-N g dry soil-1; 0.16% of N applied) was produced during denitrification, but at 35-60% WFPS nitrification was the main process producing N2O, accounting for 81% of 15N-N2O emitted at 60% WFPS, and 7.9 μg 15N-N2O m-2 (0.28 ng 15N-N 2O g dry soil-1) was estimated to be emitted over 7 days during heterotrophic nitrification in the 50% WFPS treatment and accounted for 20% of 15N-N2O from this treatment. Denitrification was the predominant N2O-producing process at 20% WFPS (2.6 μg 15N-N2O m-2 over 7 days; 0.09 ng 15N-N2O g dry soil-1; 85% of 15N-N2O from this treatment) and may have been due to the occurrence of aerobic denitrification at this WFPS. Our results demonstrate the usefulness of a combined stable isotope and acetylene approach to quantify N2O emissions from different processes and to show that several processes may contribute to N2O emission from agricultural soils depending on soil WFPS. © Springer-Verlag 2005.","author":[{"dropping-particle":"","family":"Bateman","given":"E. J.","non-dropping-particle":"","parse-names":false,"suffix":""},{"dropping-particle":"","family":"Baggs","given":"E. M.","non-dropping-particle":"","parse-names":false,"suffix":""}],"container-title":"Biology and Fertility of Soils","id":"ITEM-1","issue":"6","issued":{"date-parts":[["2005"]]},"page":"379-388","title":"Contributions of nitrification and denitrification to N2O emissions from soils at different water-filled pore space","type":"article-journal","volume":"41"},"uris":["http://www.mendeley.com/documents/?uuid=a54a72b9-080b-4bf7-814c-5deb17066a12"]},{"id":"ITEM-2","itemData":{"DOI":"10.1016/j.envpol.2021.118345","ISSN":"18736424","PMID":"34648834","abstract":"Hot moments of nitrous oxide (N2O) emissions induced by interactions between weather and management make a major contribution to annual N2O budgets in agricultural soils. The causes of N2O production during hot moments are not well understood under field conditions, but emerging evidence suggests that short-term fluctuations in soil oxygen (O2) concentration can be critically important. We conducted high time-resolution field observations of O2 and N2O concentrations during hot moments in a dryland agricultural soil in Northern China. Three typical management and weather events, including irrigation (Irr.), fertilization coupled with irrigation (Fer.+Irr.) or with extreme precipitation (Fer.+Pre.), were observed. Soil O2 and N2O concentrations were measured hourly for 24 h immediately following events and measured daily for at least one week before and after the events. Soil moisture, temperature, and mineral N were simultaneously measured. Soil O2 concentrations decreased rapidly within 4 h following irrigation in both the Irr. and Fer.+Irr. events. In the Fer.+Pre. event, soil O2 depletion did not occur immediately following fertilization but began following subsequent continuous rainfall. The soil O2 concentration dropped to as low as 0.2% (with the highest soil N2O concentration of up to 180 ppmv) following the Fer.+Pre. event, but only fell to 11.7% and 13.6% after the Fer.+Irr. and Irr. events, which were associated with soil N2O concentrations of 27 ppmv and 3 ppmv, respectively. During the hot moments of all three events, soil N2O concentrations were negatively correlated with soil O2 concentrations (r = −0.5, P &lt; 0.01), showing a quadratic increase as soil O2 concentrations declined. Our results provide new understanding of the rapid short response of N2O production to O2 dynamics driven by changes in soil environmental factors during hot moments. Such understanding helps improve soil management to avoid transitory O2 depletion and reduce the risk of N2O production.","author":[{"dropping-particle":"","family":"Song","given":"Xiaotong","non-dropping-particle":"","parse-names":false,"suffix":""},{"dropping-particle":"","family":"Wei","given":"Huanhuan","non-dropping-particle":"","parse-names":false,"suffix":""},{"dropping-particle":"","family":"Rees","given":"Robert M.","non-dropping-particle":"","parse-names":false,"suffix":""},{"dropping-particle":"","family":"Ju","given":"Xiaotang","non-dropping-particle":"","parse-names":false,"suffix":""}],"container-title":"Environmental Pollution","id":"ITEM-2","issue":"PA","issued":{"date-parts":[["2022"]]},"page":"118345","publisher":"Elsevier Ltd","title":"Soil oxygen depletion and corresponding nitrous oxide production at hot moments in an agricultural soil","type":"article-journal","volume":"292"},"uris":["http://www.mendeley.com/documents/?uuid=73de8b3a-3363-4e24-a82f-42ce5ac396d5"]},{"id":"ITEM-3","itemData":{"DOI":"10.1021/acs.est.9b03089","ISSN":"15205851","PMID":"31596573","abstract":"Oxygen (O2) plays a critical and yet poorly understood role in regulating nitrous oxide (N2O) production in well-structured agricultural soils. We investigated the effects of in situ O2 dynamics on N2O production in a typical intensively managed Chinese cropping system under a range of environmental conditions (temperature, moisture, ammonium, nitrate, dissolved organic carbon, and so forth). Climate and management (fertilization, irrigation, precipitation, and temperature), and their interactions significantly affected soil O2 and N2O concentrations (P &lt; 0.05). Soil O2 concentration was the most significant factor correlating with soil N2O concentration (r = -0.71) when compared with temperature, water-filled pore space, and ammonium concentration (r = 0.30, 0.25, and 0.26, respectively). Soil N2O concentration increased exponentially with decreasing soil O2 concentrations. The exponential model of N treatments and fertilization with irrigation/precipitation events predicted 74-90% and 58% of the variance in soil N2O concentrations, respectively. Our results highlight that the soil O2 status is the proximal, direct, and the most decisive environmental trigger for N2O production, outweighing the effects of other factors and could be a key variable integrating the aggregated effects of various complex interacting variables. This study offers new opportunities for developing more sensitive approaches to predicting and through appropriate management interventions mitigating N2O emissions from agricultural soils.","author":[{"dropping-particle":"","family":"Song","given":"Xiaotong","non-dropping-particle":"","parse-names":false,"suffix":""},{"dropping-particle":"","family":"Ju","given":"Xiaotang","non-dropping-particle":"","parse-names":false,"suffix":""},{"dropping-particle":"","family":"Topp","given":"Cairistiona F.E.","non-dropping-particle":"","parse-names":false,"suffix":""},{"dropping-particle":"","family":"Rees","given":"Robert M.","non-dropping-particle":"","parse-names":false,"suffix":""}],"container-title":"Environmental Science and Technology","id":"ITEM-3","issue":"21","issued":{"date-parts":[["2019"]]},"page":"12539-12547","title":"Oxygen regulates nitrous oxide production directly in agricultural Soils","type":"article-journal","volume":"53"},"uris":["http://www.mendeley.com/documents/?uuid=eac98da4-ae0d-4811-9136-f0ea357f8c69"]},{"id":"ITEM-4","itemData":{"DOI":"10.5194/bg-18-1185-2021","ISSN":"17264189","abstract":"The prediction of nitrous oxide (N2O) and of dinitrogen (N2) emissions formed by biotic denitrification in soil is notoriously difficult due to challenges in capturing cooccurring processes at microscopic scales. N2O production and reduction depend on the spatial extent of anoxic conditions in soil, which in turn are a function of oxygen (O2) supply through diffusion and O2 demand by respiration in the presence of an alternative electron acceptor (e.g. nitrate). This study aimed to explore controlling factors of complete denitrification in terms of N2O and (N2OCN2) fluxes in repacked soils by taking micro-environmental conditions directly into account. This was achieved by measuring microscale oxygen saturation and estimating the anaerobic soil volume fraction (ansvf) based on internal air distribution measured with X-ray computed tomography (X-ray CT). O2 supply and demand were explored systemically in a full factorial design with soil organic matter (SOM; 1.2% and 4.5 %), aggregate size (2-4 and 4-8 mm), and water saturation (70 %, 83 %, and 95% water-holding capacity, WHC) as factors. CO2 and N2O emissions were monitored with gas chromatography. The 15N gas flux method was used to estimate the N2O reduction to N2. N gas emissions could only be predicted well when explanatory variables for O2 demand and O2 supply were considered jointly. Combining CO2 emission and ansvf as proxies for O2 demand and supply resulted in 83% explained variability in (N2OCN2) emissions and together with the denitrification product ratio [N2O= (N2OCN2)] (pr) 81%in N2O emissions. O2 concentration measured by microsensors was a poor predictor due to the variability in O2 over small distances combined with the small measurement volume of the microsensors. The substitution of predictors by independent, readily available proxies for O2 demand (SOM) and O2 supply (diffusivity) reduced the predictive power considerably (60% and 66% for N2O and (N2OCN2/ fluxes, respectively). The new approach of using X-ray CT imaging analysis to directly quantify soil structure in terms of ansvf in combination with N2O and (N2OCN2) flux measurements opens up new perspectives to estimate complete denitrification in soil. This will also contribute to improving N2O flux models and can help to develop mitigation strategies for N2O fluxes and improve N use efficiency.","author":[{"dropping-particle":"","family":"Rohe","given":"Lena","non-dropping-particle":"","parse-names":false,"suffix":""},{"dropping-particle":"","family":"Apelt","given":"Bernd","non-dropping-particle":"","parse-names":false,"suffix":""},{"dropping-particle":"","family":"Vogel","given":"Hans Jörg","non-dropping-particle":"","parse-names":false,"suffix":""},{"dropping-particle":"","family":"Well","given":"Reinhard","non-dropping-particle":"","parse-names":false,"suffix":""},{"dropping-particle":"","family":"Wu","given":"Gi Mick","non-dropping-particle":"","parse-names":false,"suffix":""},{"dropping-particle":"","family":"Schlüter","given":"Steffen","non-dropping-particle":"","parse-names":false,"suffix":""}],"container-title":"Biogeosciences","id":"ITEM-4","issue":"3","issued":{"date-parts":[["2021"]]},"page":"1185-1201","title":"Denitrification in soil as a function of oxygen availability at the microscale","type":"article-journal","volume":"18"},"uris":["http://www.mendeley.com/documents/?uuid=cdc4ed38-878e-4b10-b586-c9c4c1f63168"]},{"id":"ITEM-5","itemData":{"author":[{"dropping-particle":"","family":"Ryden","given":"J C","non-dropping-particle":"","parse-names":false,"suffix":""},{"dropping-particle":"","family":"Lund","given":"L J","non-dropping-particle":"","parse-names":false,"suffix":""}],"container-title":"Journal of Environmental Quality","id":"ITEM-5","issue":"3","issued":{"date-parts":[["1980"]]},"page":"387-393","title":"Nitrous Oxide Evolution from Irrigated Land","type":"article-journal","volume":"9"},"uris":["http://www.mendeley.com/documents/?uuid=3c817dae-0ca8-4b95-bb98-859fb427db39"]},{"id":"ITEM-6","itemData":{"DOI":"10.2134/jeq1981.00472425001000020009x","ISSN":"0047-2425","abstract":"From mid‐May to mid‐September 1978, nitrous oxide (N 2 O) emissions from an irrigated corn ( Zea mays L.) field in northern Colorado totaled only 2.5 kg N ha −1 , and even smaller losses were measured from a nearby sugarbeet ( Beta vulgaris L.) field. Fluxes measured by a simple soil cover method compared favorably with micrometeorological estimates of vertical N 2 O flux density. About 30% of the N 2 O lost from the corn field was emitted during the 2 weeks following fertilization while NH 3 was being rapidly nitrified, and 59% was evolved during the week following the field's first irrigation, when restricted oxygen diffusion favored denitrification. Other occurrences of irrigation or precipitation exceeding 0.7 cm were also followed by rapid, though much smaller, increases in N 2 O emissions. The flux of N 2 O was not significantly correlated with soil nitrate concentration but was strongly correlated with soil water content and N 2 O concentration in the soil atmosphere, which always exceeded the ambient atmospheric concentration. We found no evidence that either site ever behaved as a sink for tropospheric N 2 O. Total N 2 O emissions from the corn field amounted to only 1.3% of the 200 kg NH 3 ‐N ha −1 applied to the crop, a much smaller fraction than has been used in models predicting the effect of agricultural fertilizers upon stratospheric ozone depletion.","author":[{"dropping-particle":"","family":"Mosier","given":"A. R.","non-dropping-particle":"","parse-names":false,"suffix":""},{"dropping-particle":"","family":"Hutchinson","given":"G. L.","non-dropping-particle":"","parse-names":false,"suffix":""}],"container-title":"Journal of Environmental Quality","id":"ITEM-6","issue":"2","issued":{"date-parts":[["1981"]]},"page":"169-173","title":"Nitrous oxide emissions from cropped fields","type":"article-journal","volume":"10"},"uris":["http://www.mendeley.com/documents/?uuid=b10ff932-b84a-41f5-b1a6-a8af76d98093"]}],"mendeley":{"formattedCitation":"(Ryden and Lund, 1980; Mosier and Hutchinson, 1981; Bateman and Baggs, 2005; Song et al., 2019, 2022b; Rohe et al., 2021)","plainTextFormattedCitation":"(Ryden and Lund, 1980; Mosier and Hutchinson, 1981; Bateman and Baggs, 2005; Song et al., 2019, 2022b; Rohe et al., 2021)","previouslyFormattedCitation":"(Ryden and Lund, 1980; Mosier and Hutchinson, 1981; Bateman and Baggs, 2005; Song et al., 2019, 2022b; Rohe et al., 2021)"},"properties":{"noteIndex":0},"schema":"https://github.com/citation-style-language/schema/raw/master/csl-citation.json"}</w:instrText>
      </w:r>
      <w:r w:rsidRPr="00203EB0">
        <w:rPr>
          <w:rFonts w:cs="Times New Roman"/>
        </w:rPr>
        <w:fldChar w:fldCharType="separate"/>
      </w:r>
      <w:r w:rsidR="00EB2F35" w:rsidRPr="00203EB0">
        <w:rPr>
          <w:rFonts w:cs="Times New Roman"/>
          <w:noProof/>
        </w:rPr>
        <w:t>(Ryden and Lund, 1980; Mosier and Hutchinson, 1981; Bateman and Baggs, 2005; Song et al., 2019, 2022b; Rohe et al., 2021)</w:t>
      </w:r>
      <w:r w:rsidRPr="00203EB0">
        <w:rPr>
          <w:rFonts w:cs="Times New Roman"/>
        </w:rPr>
        <w:fldChar w:fldCharType="end"/>
      </w:r>
      <w:r w:rsidRPr="00203EB0">
        <w:rPr>
          <w:rFonts w:cs="Times New Roman"/>
        </w:rPr>
        <w:t xml:space="preserve">. Capturing these distinct pathways, indicated by differential variable importance under hot-moment and background emission scenarios, likely contributed to the superior performance of Class-Swap models. While ML models theoretically have the capacity to learn such complex, nonlinear relationships in one model, the class imbalance problem combined with the lack of available large, diverse datasets leads to insufficient learning from the minority class (hot moments) and a bias toward the majority class (background emissions). This dynamic was true in our </w:t>
      </w:r>
      <w:proofErr w:type="gramStart"/>
      <w:r w:rsidRPr="00203EB0">
        <w:rPr>
          <w:rFonts w:cs="Times New Roman"/>
        </w:rPr>
        <w:t>single-model</w:t>
      </w:r>
      <w:proofErr w:type="gramEnd"/>
      <w:r w:rsidRPr="00203EB0">
        <w:rPr>
          <w:rFonts w:cs="Times New Roman"/>
        </w:rPr>
        <w:t xml:space="preserve"> approaches even when employing oversampling, a traditional technique to address this problem. </w:t>
      </w:r>
    </w:p>
    <w:p w14:paraId="2F2DE88B" w14:textId="1609CB88" w:rsidR="00E3102D" w:rsidRPr="00203EB0" w:rsidRDefault="00E3102D" w:rsidP="00E3102D">
      <w:pPr>
        <w:spacing w:line="480" w:lineRule="auto"/>
        <w:rPr>
          <w:rFonts w:cs="Times New Roman"/>
        </w:rPr>
      </w:pPr>
      <w:r w:rsidRPr="00203EB0">
        <w:rPr>
          <w:rFonts w:cs="Times New Roman"/>
        </w:rPr>
        <w:t>Interestingly, both measured and oversampled versions of the Class-Swap model exhibited similar results, demonstrating that oversampling, while often used to balance skewed N</w:t>
      </w:r>
      <w:r w:rsidRPr="00203EB0">
        <w:rPr>
          <w:rFonts w:cs="Times New Roman"/>
          <w:vertAlign w:val="subscript"/>
        </w:rPr>
        <w:t>2</w:t>
      </w:r>
      <w:r w:rsidRPr="00203EB0">
        <w:rPr>
          <w:rFonts w:cs="Times New Roman"/>
        </w:rPr>
        <w:t xml:space="preserve">O datasets, provided no significant benefit in this case. This is likely true because our Class-Swap approach can be thought of as oversampling taken to the extreme, where the minority </w:t>
      </w:r>
      <w:r w:rsidRPr="00203EB0">
        <w:rPr>
          <w:rFonts w:cs="Times New Roman"/>
        </w:rPr>
        <w:lastRenderedPageBreak/>
        <w:t xml:space="preserve">class is not just overrepresented but becomes the exclusive training data of one model, forcing the model to learn from rare events. This finding is particularly valuable for two reasons. Firstly, this avoids the need for oversampling and prevents the introduction of artificial data points which may misrepresent actual biogeochemical dynamics, and can increase the risk of overfitting and fail to provide meaningful insights into minority classes </w:t>
      </w:r>
      <w:r w:rsidRPr="00203EB0">
        <w:rPr>
          <w:rFonts w:cs="Times New Roman"/>
        </w:rPr>
        <w:fldChar w:fldCharType="begin" w:fldLock="1"/>
      </w:r>
      <w:r w:rsidR="004179E3" w:rsidRPr="00203EB0">
        <w:rPr>
          <w:rFonts w:cs="Times New Roman"/>
        </w:rPr>
        <w:instrText>ADDIN CSL_CITATION {"citationItems":[{"id":"ITEM-1","itemData":{"author":[{"dropping-particle":"","family":"Azhar;","given":"N. A.","non-dropping-particle":"","parse-names":false,"suffix":""},{"dropping-particle":"","family":"Pozi;","given":"M. S. M.","non-dropping-particle":"","parse-names":false,"suffix":""},{"dropping-particle":"","family":"Din;","given":"A. M.","non-dropping-particle":"","parse-names":false,"suffix":""},{"dropping-particle":"","family":"Jatowt","given":"A.","non-dropping-particle":"","parse-names":false,"suffix":""}],"container-title":"IEEE Transactions on Knowledge and Data Engineering","id":"ITEM-1","issue":"7","issued":{"date-parts":[["2023"]]},"page":"6651-6672","title":"An investigation of SMOTE based methods for imbalanced datasets with data complexity analysis","type":"article-journal","volume":"35"},"uris":["http://www.mendeley.com/documents/?uuid=41dbfe19-f958-451a-be44-f6a17580e862"]},{"id":"ITEM-2","itemData":{"DOI":"10.2991/ijcis.d.191114.002","ISSN":"18756883","abstract":"Imbalance learning is a challenging task for most standard machine learning algorithms. The Synthetic Minority Oversampling Technique (SMOTE) is a well-known preprocessing approach for handling imbalanced datasets, where the minority class is over-sampled by producing synthetic examples in feature vector rather than data space. However, many recent works have shown that the imbalanced ratio in itself is not a problem and deterioration of the model performance is caused by other reasons linked to the minority class sample distribution. The blind oversampling by SMOTE leads to two major problems: noise and borderline examples. Noisy examples are those from one class located in the safe zone of the other. Borderline examples are those located in the neighborhood of the class boundary. These samples are associated with deteriorating performance of the models developed. Therefore, it is critical to concentrate on the minority class data structure and regulate the positioning of the newly introduced minority class samples for better performance of classifiers. Hence, this paper proposes the advanced SMOTE, denoted as A-SMOTE, to adjust the newly introduced minority class examples based on distance to the original minority class samples. To achieve this objective, we first employ the SMOTE algorithm to introduce new samples to the minority and eliminate those examples that are closer to the majority than the minority. We apply the proposed method to 44 datasets at various imbalance ratios. Ten widely used data sampling methods selected from the literature are employed for performance comparison. The C4.5 and Naive Bayes classifiers are utilized for experimental validation. The results confirm the advantage of the proposed method over the other methods in almost all the datasets and illustrate its suitability for data preprocessing in classification tasks.","author":[{"dropping-particle":"","family":"Hussein","given":"Ahmed Saad","non-dropping-particle":"","parse-names":false,"suffix":""},{"dropping-particle":"","family":"Li","given":"Tianrui","non-dropping-particle":"","parse-names":false,"suffix":""},{"dropping-particle":"","family":"Yohannese","given":"Chubato Wondaferaw","non-dropping-particle":"","parse-names":false,"suffix":""},{"dropping-particle":"","family":"Bashir","given":"Kamal","non-dropping-particle":"","parse-names":false,"suffix":""}],"container-title":"International Journal of Computational Intelligence Systems","id":"ITEM-2","issue":"2","issued":{"date-parts":[["2019"]]},"page":"1412-1422","title":"A-SMOTE: A new preprocessing approach for highly imbalanced datasets by improving SMOTE","type":"article-journal","volume":"12"},"uris":["http://www.mendeley.com/documents/?uuid=ba9fcd79-e985-48b0-93e0-8555c087a93f"]}],"mendeley":{"formattedCitation":"(Hussein et al., 2019; Azhar; et al., 2023)","plainTextFormattedCitation":"(Hussein et al., 2019; Azhar; et al., 2023)","previouslyFormattedCitation":"(Hussein et al., 2019; Azhar; et al., 2023)"},"properties":{"noteIndex":0},"schema":"https://github.com/citation-style-language/schema/raw/master/csl-citation.json"}</w:instrText>
      </w:r>
      <w:r w:rsidRPr="00203EB0">
        <w:rPr>
          <w:rFonts w:cs="Times New Roman"/>
        </w:rPr>
        <w:fldChar w:fldCharType="separate"/>
      </w:r>
      <w:r w:rsidR="00EB2F35" w:rsidRPr="00203EB0">
        <w:rPr>
          <w:rFonts w:cs="Times New Roman"/>
          <w:noProof/>
        </w:rPr>
        <w:t>(Hussein et al., 2019; Azhar; et al., 2023)</w:t>
      </w:r>
      <w:r w:rsidRPr="00203EB0">
        <w:rPr>
          <w:rFonts w:cs="Times New Roman"/>
        </w:rPr>
        <w:fldChar w:fldCharType="end"/>
      </w:r>
      <w:r w:rsidRPr="00203EB0">
        <w:rPr>
          <w:rFonts w:cs="Times New Roman"/>
        </w:rPr>
        <w:t>. Secondly, even without oversampling, our cross-validation process reduced bias compared to other techniques, as our models do not consider the entire range of the response variable in the training dataset at any given moment. Finally, the ability of the Class-Swap model to improve performance compared to traditional techniques with a small dataset highlights its practicality for studies where N</w:t>
      </w:r>
      <w:r w:rsidRPr="00203EB0">
        <w:rPr>
          <w:rFonts w:cs="Times New Roman"/>
          <w:vertAlign w:val="subscript"/>
        </w:rPr>
        <w:t>2</w:t>
      </w:r>
      <w:r w:rsidRPr="00203EB0">
        <w:rPr>
          <w:rFonts w:cs="Times New Roman"/>
        </w:rPr>
        <w:t>O flux data are limited, and hot-moments are rare yet critical to model. This characteristic makes the approach particularly promising for broader applications in ecosystems, where N</w:t>
      </w:r>
      <w:r w:rsidRPr="00203EB0">
        <w:rPr>
          <w:rFonts w:cs="Times New Roman"/>
          <w:vertAlign w:val="subscript"/>
        </w:rPr>
        <w:t>2</w:t>
      </w:r>
      <w:r w:rsidRPr="00203EB0">
        <w:rPr>
          <w:rFonts w:cs="Times New Roman"/>
        </w:rPr>
        <w:t xml:space="preserve">O data are typically limited and capturing a large number of hot-moments is challenging </w:t>
      </w:r>
      <w:r w:rsidRPr="00203EB0">
        <w:rPr>
          <w:rFonts w:cs="Times New Roman"/>
        </w:rPr>
        <w:fldChar w:fldCharType="begin" w:fldLock="1"/>
      </w:r>
      <w:r w:rsidRPr="00203EB0">
        <w:rPr>
          <w:rFonts w:cs="Times New Roman"/>
        </w:rPr>
        <w:instrText>ADDIN CSL_CITATION {"citationItems":[{"id":"ITEM-1","itemData":{"DOI":"10.5194/bg-9-1741-2012","ISSN":"17264170","abstract":"Besides agricultural soils, temperate forest soils have been identified as significant sources of or sinks for important atmospheric trace gases (N 2O, NO, CH4, and CO2). Although the number of studies for this ecosystem type increased more than tenfold during the last decade, studies covering an entire year and spanning more than 1-2 years remained scarce. This study reports the results of continuous measurements of soil-atmosphere C- and N-gas exchange with high temporal resolution carried out since 1994 at the Höglwald Forest spruce site, an experimental field station in Southern Germany. Annual soil N2O, NO and CO2 emissions and CH4uptake (1994-2010) varied in a range of 0.2-3.0 kg N2O-N ha-1 yr-1, 6.4-11.4 kg NO-N ha -1 yr-1, 7.0-9.2 t CO2-C ha-1 yr-1, and 0.9-3.5 kg CH4-C ha-1 yr -1, respectively. The observed high fluxes of N-trace gases are most likely a consequence of high rates of atmospheric nitrogen deposition (&gt;20 kg N ha-1 yr-1) of NH3 and NOx to our site. For N2O, cumulative annual emissions were ≥ 0.8 kg N 2O-N ha-1 yr-1 in years with freeze-thaw events (5 out 14 of years). This shows that long-term, multi-year measurements are needed to obtain reliable estimates of N2O fluxes for a given ecosystem. Cumulative values of soil respiratory CO2 fluxes tended to be highest in years with prolonged freezing periods, i.e. years with below average annual mean soil temperatures and high N2O emissions (e.g. the years 1996 and 2006). Furthermore, based on our unique database on trace gas fluxes we analyzed if soil temperature, soil moisture measurements can be used to approximate trace gas fluxes at daily, weekly, monthly, or annual scale. Our analysis shows that simple-to-measure environmental drivers such as soil temperature or soil moisture are suitable to approximate fluxes of NO and CO2 at weekly and monthly resolution reasonably well (accounting for up to 59 % of the variance). However, for CH4we so far failed to find meaningful correlations, and also for N2O the predictive power is rather low. This is most likely due to the complexity of involved processes and counteracting effects of soil moisture and temperature, specifically with regard to N2O production and consumption by denitrification and microbial community dynamics. At monthly scale, including information on gross primary production (CO2, NO), and N deposition (N2O), increased significantly the explanatory power of the obtained empirical regressions (CO2: r2 = 0.8; NO: r2 = 0.67; N2O…","author":[{"dropping-particle":"","family":"Luo","given":"G. J.","non-dropping-particle":"","parse-names":false,"suffix":""},{"dropping-particle":"","family":"Brüggemann","given":"N.","non-dropping-particle":"","parse-names":false,"suffix":""},{"dropping-particle":"","family":"Wolf","given":"B.","non-dropping-particle":"","parse-names":false,"suffix":""},{"dropping-particle":"","family":"Gasche","given":"R.","non-dropping-particle":"","parse-names":false,"suffix":""},{"dropping-particle":"","family":"Grote","given":"R.","non-dropping-particle":"","parse-names":false,"suffix":""},{"dropping-particle":"","family":"Butterbach-Bahl","given":"K.","non-dropping-particle":"","parse-names":false,"suffix":""}],"container-title":"Biogeosciences","id":"ITEM-1","issue":"5","issued":{"date-parts":[["2012"]]},"page":"1741-1763","title":"Decadal variability of soil CO2, NO, N2O, and CH 4fluxes at the Höglwald Forest, Germany","type":"article-journal","volume":"9"},"uris":["http://www.mendeley.com/documents/?uuid=1e1f1d01-95a0-4821-ba52-91c4b486189d"]},{"id":"ITEM-2","itemData":{"DOI":"10.1038/ngeo2907","ISSN":"17520908","abstract":"Seasonal freezing induces large thaw emissions of nitrous oxide, a trace gas that contributes to stratospheric ozone destruction and atmospheric warming. Cropland soils are by far the largest anthropogenic source of nitrous oxide. However, the global contribution of seasonal freezing to nitrous oxide emissions from croplands is poorly quantified, mostly due to the lack of year-round measurements and difficulty in capturing short-lived pulses of nitrous oxide with traditional measurement methods. Here we present measurements collected with half-hourly resolution at two contrasting cropland sites in Ontario and Manitoba, Canada, over 14 and 9 years, respectively. We find that the magnitude of freeze-thaw-induced nitrous oxide emissions is related to the number of days with soil temperatures below 0 °C, and we validate these findings with emissions data from 11 additional sites from cold climates around the globe. Based on an estimate of cropland area experiencing seasonal freezing, reanalysis model estimates of soil temperature, and the relationship between cumulative soil freezing days and emissions that we derived from the cropland sites, we estimate that seasonally frozen cropland contributes 1.07 ± 0.59 Tg of nitrogen as nitrous oxide annually. We conclude that neglecting freeze-thaw emissions would lead to an underestimation of global agricultural nitrous oxide emissions by 17 to 28%.","author":[{"dropping-particle":"","family":"Wagner-Riddle","given":"Claudia","non-dropping-particle":"","parse-names":false,"suffix":""},{"dropping-particle":"","family":"Congreves","given":"Katelyn A.","non-dropping-particle":"","parse-names":false,"suffix":""},{"dropping-particle":"","family":"Abalos","given":"Diego","non-dropping-particle":"","parse-names":false,"suffix":""},{"dropping-particle":"","family":"Berg","given":"Aaron A.","non-dropping-particle":"","parse-names":false,"suffix":""},{"dropping-particle":"","family":"Brown","given":"Shannon E.","non-dropping-particle":"","parse-names":false,"suffix":""},{"dropping-particle":"","family":"Ambadan","given":"Jaison Thomas","non-dropping-particle":"","parse-names":false,"suffix":""},{"dropping-particle":"","family":"Gao","given":"Xiaopeng","non-dropping-particle":"","parse-names":false,"suffix":""},{"dropping-particle":"","family":"Tenuta","given":"Mario","non-dropping-particle":"","parse-names":false,"suffix":""}],"container-title":"Nature Geoscience","id":"ITEM-2","issue":"4","issued":{"date-parts":[["2017"]]},"page":"279-283","title":"Globally important nitrous oxide emissions from croplands induced by freeze-thaw cycles","type":"article-journal","volume":"10"},"uris":["http://www.mendeley.com/documents/?uuid=6956934f-1e21-4425-ba75-19e3c5038638"]}],"mendeley":{"formattedCitation":"(Luo et al., 2012; Wagner-Riddle et al., 2017)","plainTextFormattedCitation":"(Luo et al., 2012; Wagner-Riddle et al., 2017)","previouslyFormattedCitation":"(Luo et al., 2012; Wagner-Riddle et al., 2017)"},"properties":{"noteIndex":0},"schema":"https://github.com/citation-style-language/schema/raw/master/csl-citation.json"}</w:instrText>
      </w:r>
      <w:r w:rsidRPr="00203EB0">
        <w:rPr>
          <w:rFonts w:cs="Times New Roman"/>
        </w:rPr>
        <w:fldChar w:fldCharType="separate"/>
      </w:r>
      <w:r w:rsidRPr="00203EB0">
        <w:rPr>
          <w:rFonts w:cs="Times New Roman"/>
          <w:noProof/>
        </w:rPr>
        <w:t>(Luo et al., 2012; Wagner-Riddle et al., 2017)</w:t>
      </w:r>
      <w:r w:rsidRPr="00203EB0">
        <w:rPr>
          <w:rFonts w:cs="Times New Roman"/>
        </w:rPr>
        <w:fldChar w:fldCharType="end"/>
      </w:r>
      <w:r w:rsidRPr="00203EB0">
        <w:rPr>
          <w:rFonts w:cs="Times New Roman"/>
        </w:rPr>
        <w:t xml:space="preserve">, warranting further investigation. By lowering the data requirements needed to develop robust predictive models, this approach also facilitates the creation of </w:t>
      </w:r>
      <w:proofErr w:type="gramStart"/>
      <w:r w:rsidRPr="00203EB0">
        <w:rPr>
          <w:rFonts w:cs="Times New Roman"/>
        </w:rPr>
        <w:t>site and region specific</w:t>
      </w:r>
      <w:proofErr w:type="gramEnd"/>
      <w:r w:rsidRPr="00203EB0">
        <w:rPr>
          <w:rFonts w:cs="Times New Roman"/>
        </w:rPr>
        <w:t xml:space="preserve"> models, offering a key advantage over process-based models, which require intensive tuning and parameterization, and remain a major barrier to wider adoption of Tier 3 emissions modeling outside the US.</w:t>
      </w:r>
    </w:p>
    <w:p w14:paraId="2A4D933B" w14:textId="069751E0" w:rsidR="00E3102D" w:rsidRPr="00203EB0" w:rsidRDefault="00E3102D" w:rsidP="00E3102D">
      <w:pPr>
        <w:pStyle w:val="Heading3"/>
        <w:spacing w:line="480" w:lineRule="auto"/>
      </w:pPr>
      <w:bookmarkStart w:id="150" w:name="_Toc206669178"/>
      <w:r w:rsidRPr="00203EB0">
        <w:t>Limitations and possible improvement</w:t>
      </w:r>
      <w:bookmarkEnd w:id="150"/>
    </w:p>
    <w:p w14:paraId="79A84EE2" w14:textId="684F93A6" w:rsidR="00E3102D" w:rsidRDefault="00E3102D" w:rsidP="00E3102D">
      <w:pPr>
        <w:spacing w:line="480" w:lineRule="auto"/>
        <w:rPr>
          <w:rFonts w:cs="Times New Roman"/>
        </w:rPr>
      </w:pPr>
      <w:r w:rsidRPr="00203EB0">
        <w:rPr>
          <w:rFonts w:cs="Times New Roman"/>
        </w:rPr>
        <w:t xml:space="preserve">This study serves as </w:t>
      </w:r>
      <w:proofErr w:type="gramStart"/>
      <w:r w:rsidRPr="00203EB0">
        <w:rPr>
          <w:rFonts w:cs="Times New Roman"/>
        </w:rPr>
        <w:t>a proof</w:t>
      </w:r>
      <w:proofErr w:type="gramEnd"/>
      <w:r w:rsidRPr="00203EB0">
        <w:rPr>
          <w:rFonts w:cs="Times New Roman"/>
        </w:rPr>
        <w:t xml:space="preserve"> of concept, demonstrating the potential of the Class-Swap ML modeling approach for predicting temporally dynamic N</w:t>
      </w:r>
      <w:r w:rsidRPr="00203EB0">
        <w:rPr>
          <w:rFonts w:cs="Times New Roman"/>
          <w:vertAlign w:val="subscript"/>
        </w:rPr>
        <w:t>2</w:t>
      </w:r>
      <w:r w:rsidRPr="00203EB0">
        <w:rPr>
          <w:rFonts w:cs="Times New Roman"/>
        </w:rPr>
        <w:t xml:space="preserve">O emissions under varying </w:t>
      </w:r>
      <w:r w:rsidRPr="00203EB0">
        <w:rPr>
          <w:rFonts w:cs="Times New Roman"/>
        </w:rPr>
        <w:lastRenderedPageBreak/>
        <w:t xml:space="preserve">management practices with limited data. While the analysis is based on a single site, improved model performance across a diversity of management practices including tillage, N fertilization, and cover cropping provides reasonable confidence that such performance improvements are replicable across other contexts. Although the Class-Swap models outperformed traditional RF models across eight distinct management treatments, their effectiveness across multiple sites, years, and agroecosystems remain necessary. Moreover, this modeling approach opens avenues for supervised adaptive modeling strategies, such as separate model training based on data labels (background vs hot-moment emissions). This insight was supported by the observed difficulties in predicting emissions in zero-N input systems, an inherent challenged observed in other studies </w:t>
      </w:r>
      <w:r w:rsidRPr="00203EB0">
        <w:rPr>
          <w:rFonts w:cs="Times New Roman"/>
        </w:rPr>
        <w:fldChar w:fldCharType="begin" w:fldLock="1"/>
      </w:r>
      <w:r w:rsidRPr="00203EB0">
        <w:rPr>
          <w:rFonts w:cs="Times New Roman"/>
        </w:rPr>
        <w:instrText>ADDIN CSL_CITATION {"citationItems":[{"id":"ITEM-1","itemData":{"DOI":"10.1016/j.scitotenv.2018.10.336","ISSN":"18791026","PMID":"30586814","abstract":"Process-based models are useful tools to integrate the effects of detailed agricultural practices, soil characteristics, mass balance, and climate change on soil N2O emissions from soil - plant ecosystems, whereas static, seasonal or annual models often exist to estimate cumulative N2O emissions under data-limited conditions. A study was carried out to compare the capability of four models to estimate seasonal cumulative N2O fluxes from 419 field measurements representing 65 studies across China's croplands. The models were 1) the DAYCENT model, 2) the DNDC model, 3) the linear regression model (YLRM) of Yue et al. (2018), and 4) IPCC Tier 1 emission factors. The DAYCENT and DNDC models estimated crop yields with R2 values of 0.60 and 0.66 respectively, but both models showed significant underestimation for all measurements. The estimated seasonal N2O emissions with R2 of 0.31, 0.30, 0.21 and 0.17 for DAYCENT, DNDC, YLRM, and IPCC, respectively. Based on RMSE, modelling efficiency and bias analysis, YLRM performed well on N2O emission prediction under no fertilization though bias still existed, while IPCC performed well for cotton and rapeseed and DNDC for soybean. The DAYCENT model accurately predicted the emissions with no bias across other crop and fertilization types whereas the DNDC model underestimated seasonal N2O emissions by 0.42 kg N2O-N ha−1 for all observed values. Model evaluation indicated that the DAYCENT and DNDC models simulated temporal patterns of daily N2O emissions effectively, but both models had difficulty in simulating the timing of the N2O fluxes following some events such as fertilization and water regime. According to this evaluation, algorithms for crop production and N2O emission should be improved to increase the accuracy in the prediction of unfertilized fields both for DAYCENT and DNDC. The effects of crop types and management modes such as fertilizations should also be further refined for YLRM.","author":[{"dropping-particle":"","family":"Yue","given":"Qian","non-dropping-particle":"","parse-names":false,"suffix":""},{"dropping-particle":"","family":"Cheng","given":"Kun","non-dropping-particle":"","parse-names":false,"suffix":""},{"dropping-particle":"","family":"Ogle","given":"Stephen","non-dropping-particle":"","parse-names":false,"suffix":""},{"dropping-particle":"","family":"Hillier","given":"Jonathan","non-dropping-particle":"","parse-names":false,"suffix":""},{"dropping-particle":"","family":"Smith","given":"Pete","non-dropping-particle":"","parse-names":false,"suffix":""},{"dropping-particle":"","family":"Abdalla","given":"Mohamed","non-dropping-particle":"","parse-names":false,"suffix":""},{"dropping-particle":"","family":"Ledo","given":"Alicia","non-dropping-particle":"","parse-names":false,"suffix":""},{"dropping-particle":"","family":"Sun","given":"Jianfei","non-dropping-particle":"","parse-names":false,"suffix":""},{"dropping-particle":"","family":"Pan","given":"Genxing","non-dropping-particle":"","parse-names":false,"suffix":""}],"container-title":"Science of the Total Environment","id":"ITEM-1","issued":{"date-parts":[["2019"]]},"page":"1279-1289","publisher":"Elsevier B.V.","title":"Evaluation of four modelling approaches to estimate nitrous oxide emissions in China's cropland","type":"article-journal","volume":"652"},"uris":["http://www.mendeley.com/documents/?uuid=769df4d4-88bf-4341-b55a-34d9d7110268"]},{"id":"ITEM-2","itemData":{"DOI":"10.1016/j.atmosenv.2010.05.018","ISSN":"13522310","abstract":"Simulation models are one of the approaches used to investigate greenhouse gas emissions and potential effects of global warming on terrestrial ecosystems. DayCent which is the daily time-step version of the CENTURY biogeochemical model, and DNDC (the DeNitrification-DeComposition model) were tested against observed nitrous oxide flux data from a field experiment on cut and extensively grazed pasture located at the Teagasc Oak Park Research Centre, Co. Carlow, Ireland. The soil was classified as a free draining sandy clay loam soil with a pH of 7.3 and a mean organic carbon and nitrogen content at 0-20 cm of 38 and 4.4 g kg-1 dry soil, respectively. The aims of this study were to validate DayCent and DNDC models for estimating N2O emissions from fertilized humid pasture, and to investigate the impacts of future climate change on N2O fluxes and biomass production. Measurements of N2O flux were carried out from November 2003 to November 2004 using static chambers. Three climate scenarios, a baseline of measured climatic data from the weather station at Carlow, and high and low temperature sensitivity scenarios predicted by the Community Climate Change Consortium For Ireland (C4I) based on the Hadley Centre Global Climate Model (HadCM3) and the Intergovernment Panel on Climate Change (IPCC) A1B emission scenario were investigated. DayCent predicted cumulative N2O flux and biomass production under fertilized grass with relative deviations of +38% and (-23%) from the measured, respectively. However, DayCent performs poorly under the control plots, with flux relative deviation of (-57%) from the measured. Comparison between simulated and measured flux suggests that both DayCent model's response to N fertilizer and simulated background flux need to be adjusted. DNDC overestimated the measured flux with relative deviations of +132 and +258% due to overestimation of the effects of SOC. DayCent, though requiring some calibration for Irish conditions, simulated N2O fluxes more consistently than did DNDC. We used DayCent to estimate future fluxes of N2O from this field. No significant differences were found between cumulative N2O flux under climate change and baseline conditions. However, above-ground grass biomass was significantly increased from the baseline of 33 t ha-1 to 45 (+34%) and 50 (+48%) t dry matter ha-1 for the low and high temperature sensitivity scenario respectively. The increase in above-ground grass biomass was mainly due to the overall effects o…","author":[{"dropping-particle":"","family":"Abdalla","given":"M.","non-dropping-particle":"","parse-names":false,"suffix":""},{"dropping-particle":"","family":"Jones","given":"M.","non-dropping-particle":"","parse-names":false,"suffix":""},{"dropping-particle":"","family":"Yeluripati","given":"J.","non-dropping-particle":"","parse-names":false,"suffix":""},{"dropping-particle":"","family":"Smith","given":"P.","non-dropping-particle":"","parse-names":false,"suffix":""},{"dropping-particle":"","family":"Burke","given":"J.","non-dropping-particle":"","parse-names":false,"suffix":""},{"dropping-particle":"","family":"Williams","given":"M.","non-dropping-particle":"","parse-names":false,"suffix":""}],"container-title":"Atmospheric Environment","id":"ITEM-2","issue":"25","issued":{"date-parts":[["2010"]]},"page":"2961-2970","publisher":"Elsevier Ltd","title":"Testing DayCent and DNDC model simulations of N2O fluxes and assessing the impacts of climate change on the gas flux and biomass production from a humid pasture","type":"article-journal","volume":"44"},"uris":["http://www.mendeley.com/documents/?uuid=2e029760-ba8a-47ff-b890-e2e70b21164d"]}],"mendeley":{"formattedCitation":"(Abdalla et al., 2010; Yue et al., 2019)","plainTextFormattedCitation":"(Abdalla et al., 2010; Yue et al., 2019)","previouslyFormattedCitation":"(Abdalla et al., 2010; Yue et al., 2019)"},"properties":{"noteIndex":0},"schema":"https://github.com/citation-style-language/schema/raw/master/csl-citation.json"}</w:instrText>
      </w:r>
      <w:r w:rsidRPr="00203EB0">
        <w:rPr>
          <w:rFonts w:cs="Times New Roman"/>
        </w:rPr>
        <w:fldChar w:fldCharType="separate"/>
      </w:r>
      <w:r w:rsidRPr="00203EB0">
        <w:rPr>
          <w:rFonts w:cs="Times New Roman"/>
          <w:noProof/>
        </w:rPr>
        <w:t>(Abdalla et al., 2010; Yue et al., 2019)</w:t>
      </w:r>
      <w:r w:rsidRPr="00203EB0">
        <w:rPr>
          <w:rFonts w:cs="Times New Roman"/>
        </w:rPr>
        <w:fldChar w:fldCharType="end"/>
      </w:r>
      <w:r w:rsidRPr="00203EB0">
        <w:rPr>
          <w:rFonts w:cs="Times New Roman"/>
        </w:rPr>
        <w:t xml:space="preserve">, likely due to the complexity of such predictions as the drivers of hot-moments and background emissions may differ substantially between these scenarios </w:t>
      </w:r>
      <w:r w:rsidRPr="00203EB0">
        <w:rPr>
          <w:rFonts w:cs="Times New Roman"/>
        </w:rPr>
        <w:fldChar w:fldCharType="begin" w:fldLock="1"/>
      </w:r>
      <w:r w:rsidRPr="00203EB0">
        <w:rPr>
          <w:rFonts w:cs="Times New Roman"/>
        </w:rPr>
        <w:instrText>ADDIN CSL_CITATION {"citationItems":[{"id":"ITEM-1","itemData":{"DOI":"10.1111/gcb.15860","ISSN":"13652486","PMID":"34473894","abstract":"Robust global simulation of soil background N2O emissions (BNEs) is a challenge due to the lack of a comprehensive system for quantification of the variations in their magnitude and location. We mapped global BNEs based on 1353 field observations from globally distributed sites and high-resolution climate and soil data. We then calculated global and national total BNE budgets and compared them to the IPCC-estimated values. The average BNE was 1.10, 0.92, and 0.84 kg N ha−1 year−1 with variations from 0.18 to 3.47 (5th–95th percentile, hereafter), 0.20 to 3.44, and −1.16 to 3.70 kg N ha−1 year−1 for cropland, forestland, and grassland, respectively. Soil pH, soil N mineralization, atmospheric N deposition, soil volumetric water content, and soil temperature were the principle significant drivers of BNEs. The total BNEs of three land use types was lower than IPCC-estimated total BNEs by 0.83 Tg (1012 g) N year−1, ranging from −47% to 94% across countries. The estimated BNE with cropland values were slightly higher than the IPCC estimates by 0.11 Tg N year−1, and forestland and grassland lower than the IPCC estimates by 0.4 and 0.54 Tg N year−1, respectively. Our study underlined the necessity for detailed estimation of the spatial distribution of BNEs to improve the estimates of global N2O emissions and enable the establishment of more realistic and effective mitigation measures.","author":[{"dropping-particle":"","family":"Yin","given":"Yulong","non-dropping-particle":"","parse-names":false,"suffix":""},{"dropping-particle":"","family":"Wang","given":"Zihan","non-dropping-particle":"","parse-names":false,"suffix":""},{"dropping-particle":"","family":"Tian","given":"Xingshuai","non-dropping-particle":"","parse-names":false,"suffix":""},{"dropping-particle":"","family":"Wang","given":"Yingcheng","non-dropping-particle":"","parse-names":false,"suffix":""},{"dropping-particle":"","family":"Cong","given":"Jiahui","non-dropping-particle":"","parse-names":false,"suffix":""},{"dropping-particle":"","family":"Cui","given":"Zhenling","non-dropping-particle":"","parse-names":false,"suffix":""}],"container-title":"Global Change Biology","id":"ITEM-1","issue":"2","issued":{"date-parts":[["2022"]]},"page":"480-492","title":"Evaluation of variation in background nitrous oxide emissions: A new global synthesis integrating the impacts of climate, soil, and management conditions","type":"article-journal","volume":"28"},"uris":["http://www.mendeley.com/documents/?uuid=9e33b0f1-038b-4e34-86b5-b015df91a526"]}],"mendeley":{"formattedCitation":"(Yin et al., 2022)","plainTextFormattedCitation":"(Yin et al., 2022)","previouslyFormattedCitation":"(Yin et al., 2022)"},"properties":{"noteIndex":0},"schema":"https://github.com/citation-style-language/schema/raw/master/csl-citation.json"}</w:instrText>
      </w:r>
      <w:r w:rsidRPr="00203EB0">
        <w:rPr>
          <w:rFonts w:cs="Times New Roman"/>
        </w:rPr>
        <w:fldChar w:fldCharType="separate"/>
      </w:r>
      <w:r w:rsidRPr="00203EB0">
        <w:rPr>
          <w:rFonts w:cs="Times New Roman"/>
          <w:noProof/>
        </w:rPr>
        <w:t>(Yin et al., 2022)</w:t>
      </w:r>
      <w:r w:rsidRPr="00203EB0">
        <w:rPr>
          <w:rFonts w:cs="Times New Roman"/>
        </w:rPr>
        <w:fldChar w:fldCharType="end"/>
      </w:r>
      <w:r w:rsidRPr="00203EB0">
        <w:rPr>
          <w:rFonts w:cs="Times New Roman"/>
        </w:rPr>
        <w:t xml:space="preserve">. </w:t>
      </w:r>
      <w:r w:rsidR="007C3117">
        <w:rPr>
          <w:rFonts w:cs="Times New Roman"/>
        </w:rPr>
        <w:t>While the Class-Swap approach currently relies on prior classification of hot-moment versus background emission events to dictate ML model selection for quantitative predictions, future development of robust ML-based classification models, using management and environmental variables, could automate this step in simultaneously classifying and predicting N</w:t>
      </w:r>
      <w:r w:rsidR="007C3117" w:rsidRPr="000602E9">
        <w:rPr>
          <w:rFonts w:cs="Times New Roman"/>
          <w:vertAlign w:val="subscript"/>
        </w:rPr>
        <w:t>2</w:t>
      </w:r>
      <w:r w:rsidR="007C3117">
        <w:rPr>
          <w:rFonts w:cs="Times New Roman"/>
        </w:rPr>
        <w:t xml:space="preserve">O fluxes. </w:t>
      </w:r>
      <w:r w:rsidRPr="00203EB0">
        <w:rPr>
          <w:rFonts w:cs="Times New Roman"/>
        </w:rPr>
        <w:t>This advancement would enable seamless integration of classification and prediction, enhancing the accuracy and scalability of temporal N</w:t>
      </w:r>
      <w:r w:rsidRPr="00203EB0">
        <w:rPr>
          <w:rFonts w:cs="Times New Roman"/>
          <w:vertAlign w:val="subscript"/>
        </w:rPr>
        <w:t>2</w:t>
      </w:r>
      <w:r w:rsidRPr="00203EB0">
        <w:rPr>
          <w:rFonts w:cs="Times New Roman"/>
        </w:rPr>
        <w:t xml:space="preserve">O flux modeling. </w:t>
      </w:r>
      <w:r w:rsidR="00B73BA2" w:rsidRPr="00B73BA2">
        <w:rPr>
          <w:rFonts w:cs="Times New Roman"/>
        </w:rPr>
        <w:t>Also, the</w:t>
      </w:r>
      <w:r w:rsidR="00B73BA2" w:rsidRPr="00B73BA2">
        <w:rPr>
          <w:rFonts w:cs="Times New Roman"/>
          <w:b/>
          <w:bCs/>
        </w:rPr>
        <w:t xml:space="preserve"> </w:t>
      </w:r>
      <w:r w:rsidR="00B73BA2" w:rsidRPr="00B73BA2">
        <w:rPr>
          <w:rStyle w:val="Strong"/>
          <w:rFonts w:ascii="Times New Roman" w:hAnsi="Times New Roman" w:cs="Times New Roman"/>
          <w:b w:val="0"/>
          <w:bCs w:val="0"/>
        </w:rPr>
        <w:t xml:space="preserve">dual-criterion method (HBOS + IQR) used in this study is based on our internal evaluation comparing different methods in the context of our dataset. </w:t>
      </w:r>
      <w:r w:rsidR="00B73BA2" w:rsidRPr="00B73BA2">
        <w:rPr>
          <w:rFonts w:cs="Times New Roman"/>
        </w:rPr>
        <w:t>Evaluating</w:t>
      </w:r>
      <w:r w:rsidR="00B73BA2" w:rsidRPr="001A72DF">
        <w:rPr>
          <w:rFonts w:cs="Times New Roman"/>
        </w:rPr>
        <w:t xml:space="preserve"> the bias introduced by different classification methods on quantitative predictions is an important consideration for future studies, especially when </w:t>
      </w:r>
      <w:r w:rsidR="00B73BA2" w:rsidRPr="001A72DF">
        <w:rPr>
          <w:rFonts w:cs="Times New Roman"/>
        </w:rPr>
        <w:lastRenderedPageBreak/>
        <w:t>comparing datasets from diverse soil–climate–management regimes that shape distinct temporal N₂O emission patterns. Since this aspect largely determines the appropriate approach for hot moment identification</w:t>
      </w:r>
      <w:r w:rsidR="00B73BA2">
        <w:rPr>
          <w:rFonts w:cs="Times New Roman"/>
        </w:rPr>
        <w:t xml:space="preserve"> </w:t>
      </w:r>
      <w:r w:rsidR="00B73BA2" w:rsidRPr="001A72DF">
        <w:rPr>
          <w:rFonts w:cs="Times New Roman"/>
        </w:rPr>
        <w:t>(</w:t>
      </w:r>
      <w:proofErr w:type="spellStart"/>
      <w:r w:rsidR="00B73BA2" w:rsidRPr="001A72DF">
        <w:rPr>
          <w:rFonts w:cs="Times New Roman"/>
        </w:rPr>
        <w:t>Ackett</w:t>
      </w:r>
      <w:proofErr w:type="spellEnd"/>
      <w:r w:rsidR="00B73BA2" w:rsidRPr="001A72DF">
        <w:rPr>
          <w:rFonts w:cs="Times New Roman"/>
        </w:rPr>
        <w:t xml:space="preserve"> et al., 2025), it falls beyond the scope of this study.  </w:t>
      </w:r>
      <w:r w:rsidR="00B73BA2">
        <w:rPr>
          <w:rFonts w:cs="Times New Roman"/>
        </w:rPr>
        <w:t>Furthermore, we recognize that access to intensive environmental and management data, as used in the present study, may be limited in many contexts. Therefore, identifying alternative variables that are more commonly available and broadly accessible will be essential to support the wider applicability of this approach. In addition, hybrid modeling strategies that leverage process-model outputs as inputs for ML could provide a valuable pathway, particularly since most process models perform well in simulating variables such as CO</w:t>
      </w:r>
      <w:r w:rsidR="00B73BA2" w:rsidRPr="00B33F13">
        <w:rPr>
          <w:rFonts w:cs="Times New Roman"/>
          <w:vertAlign w:val="subscript"/>
        </w:rPr>
        <w:t>2</w:t>
      </w:r>
      <w:r w:rsidR="00B73BA2">
        <w:rPr>
          <w:rFonts w:cs="Times New Roman"/>
        </w:rPr>
        <w:t xml:space="preserve">. Although limitations exist, this study points to a clear and actionable research agenda for scaling, refining, and deploying the Class-Swap approach in predicting soil greenhouse gas emissions from agroecosystems. </w:t>
      </w:r>
    </w:p>
    <w:p w14:paraId="272B6C42" w14:textId="77777777" w:rsidR="003C3A05" w:rsidRDefault="003C3A05" w:rsidP="00E3102D">
      <w:pPr>
        <w:spacing w:line="480" w:lineRule="auto"/>
        <w:rPr>
          <w:rFonts w:cs="Times New Roman"/>
        </w:rPr>
      </w:pPr>
    </w:p>
    <w:p w14:paraId="355C4397" w14:textId="77777777" w:rsidR="003C3A05" w:rsidRDefault="003C3A05" w:rsidP="00E3102D">
      <w:pPr>
        <w:spacing w:line="480" w:lineRule="auto"/>
        <w:rPr>
          <w:rFonts w:cs="Times New Roman"/>
        </w:rPr>
      </w:pPr>
    </w:p>
    <w:p w14:paraId="7A4CD384" w14:textId="77777777" w:rsidR="003C3A05" w:rsidRDefault="003C3A05" w:rsidP="00E3102D">
      <w:pPr>
        <w:spacing w:line="480" w:lineRule="auto"/>
        <w:rPr>
          <w:rFonts w:cs="Times New Roman"/>
        </w:rPr>
      </w:pPr>
    </w:p>
    <w:p w14:paraId="23890D17" w14:textId="77777777" w:rsidR="003C3A05" w:rsidRDefault="003C3A05" w:rsidP="00E3102D">
      <w:pPr>
        <w:spacing w:line="480" w:lineRule="auto"/>
        <w:rPr>
          <w:rFonts w:cs="Times New Roman"/>
        </w:rPr>
      </w:pPr>
    </w:p>
    <w:p w14:paraId="6381CC4C" w14:textId="77777777" w:rsidR="003C3A05" w:rsidRDefault="003C3A05" w:rsidP="00E3102D">
      <w:pPr>
        <w:spacing w:line="480" w:lineRule="auto"/>
        <w:rPr>
          <w:rFonts w:cs="Times New Roman"/>
        </w:rPr>
      </w:pPr>
    </w:p>
    <w:p w14:paraId="1722870C" w14:textId="77777777" w:rsidR="003C3A05" w:rsidRDefault="003C3A05" w:rsidP="00E3102D">
      <w:pPr>
        <w:spacing w:line="480" w:lineRule="auto"/>
        <w:rPr>
          <w:rFonts w:cs="Times New Roman"/>
        </w:rPr>
      </w:pPr>
    </w:p>
    <w:p w14:paraId="0E9F5391" w14:textId="77777777" w:rsidR="003C3A05" w:rsidRDefault="003C3A05" w:rsidP="00E3102D">
      <w:pPr>
        <w:spacing w:line="480" w:lineRule="auto"/>
        <w:rPr>
          <w:rFonts w:cs="Times New Roman"/>
        </w:rPr>
      </w:pPr>
    </w:p>
    <w:p w14:paraId="55DAB8CC" w14:textId="77777777" w:rsidR="003C3A05" w:rsidRPr="00203EB0" w:rsidRDefault="003C3A05" w:rsidP="00E3102D">
      <w:pPr>
        <w:spacing w:line="480" w:lineRule="auto"/>
        <w:rPr>
          <w:rFonts w:cs="Times New Roman"/>
        </w:rPr>
      </w:pPr>
    </w:p>
    <w:p w14:paraId="56A894B1" w14:textId="56F7476D" w:rsidR="00E3102D" w:rsidRPr="00203EB0" w:rsidRDefault="00E3102D" w:rsidP="00E3102D">
      <w:pPr>
        <w:pStyle w:val="Heading2"/>
      </w:pPr>
      <w:bookmarkStart w:id="151" w:name="_Toc206669179"/>
      <w:r w:rsidRPr="00203EB0">
        <w:lastRenderedPageBreak/>
        <w:t>Conclusions</w:t>
      </w:r>
      <w:bookmarkEnd w:id="151"/>
    </w:p>
    <w:p w14:paraId="5F67077A" w14:textId="7D81714B" w:rsidR="006B1556" w:rsidRPr="00203EB0" w:rsidRDefault="00E3102D" w:rsidP="00E3102D">
      <w:pPr>
        <w:spacing w:line="480" w:lineRule="auto"/>
        <w:rPr>
          <w:rFonts w:cs="Times New Roman"/>
        </w:rPr>
      </w:pPr>
      <w:r w:rsidRPr="00203EB0">
        <w:rPr>
          <w:rFonts w:cs="Times New Roman"/>
        </w:rPr>
        <w:t>This study introduced a novel Class-Swap approach to predict daily N</w:t>
      </w:r>
      <w:r w:rsidRPr="00203EB0">
        <w:rPr>
          <w:rFonts w:cs="Times New Roman"/>
          <w:vertAlign w:val="subscript"/>
        </w:rPr>
        <w:t>2</w:t>
      </w:r>
      <w:r w:rsidRPr="00203EB0">
        <w:rPr>
          <w:rFonts w:cs="Times New Roman"/>
        </w:rPr>
        <w:t xml:space="preserve">O fluxes in agricultural systems by first classifying emissions into hot-moments and background </w:t>
      </w:r>
      <w:proofErr w:type="gramStart"/>
      <w:r w:rsidRPr="00203EB0">
        <w:rPr>
          <w:rFonts w:cs="Times New Roman"/>
        </w:rPr>
        <w:t>fluxes, and</w:t>
      </w:r>
      <w:proofErr w:type="gramEnd"/>
      <w:r w:rsidRPr="00203EB0">
        <w:rPr>
          <w:rFonts w:cs="Times New Roman"/>
        </w:rPr>
        <w:t xml:space="preserve"> then leveraging RF algorithms to model each class separately. By explicitly accounting for the distinct drivers of these emission types, the Class-Swap approach significantly improved both daily and cumulative N</w:t>
      </w:r>
      <w:r w:rsidRPr="00203EB0">
        <w:rPr>
          <w:rFonts w:cs="Times New Roman"/>
          <w:vertAlign w:val="subscript"/>
        </w:rPr>
        <w:t>2</w:t>
      </w:r>
      <w:r w:rsidRPr="00203EB0">
        <w:rPr>
          <w:rFonts w:cs="Times New Roman"/>
        </w:rPr>
        <w:t xml:space="preserve">O predictions compared to traditional RF models. Our findings underscore the value of distinguishing between emission types in predictive modeling, particularly given the sporadic nature of </w:t>
      </w:r>
      <w:proofErr w:type="gramStart"/>
      <w:r w:rsidRPr="00203EB0">
        <w:rPr>
          <w:rFonts w:cs="Times New Roman"/>
        </w:rPr>
        <w:t>hot-moments</w:t>
      </w:r>
      <w:proofErr w:type="gramEnd"/>
      <w:r w:rsidRPr="00203EB0">
        <w:rPr>
          <w:rFonts w:cs="Times New Roman"/>
        </w:rPr>
        <w:t xml:space="preserve">. This </w:t>
      </w:r>
      <w:proofErr w:type="gramStart"/>
      <w:r w:rsidRPr="00203EB0">
        <w:rPr>
          <w:rFonts w:cs="Times New Roman"/>
        </w:rPr>
        <w:t>targeted</w:t>
      </w:r>
      <w:proofErr w:type="gramEnd"/>
      <w:r w:rsidRPr="00203EB0">
        <w:rPr>
          <w:rFonts w:cs="Times New Roman"/>
        </w:rPr>
        <w:t xml:space="preserve"> strategy not only enhanced predictive accuracy but also demonstrated greater generalization across varied management practices within a single site dataset. While the results highlight the promise of the Class-Swap approach, further evaluation across multiple sites, years, and agroecosystems in needed to validate its robustness and scalability.</w:t>
      </w:r>
    </w:p>
    <w:p w14:paraId="46FEFE3D" w14:textId="77777777" w:rsidR="006B1556" w:rsidRPr="00203EB0" w:rsidRDefault="006B1556" w:rsidP="00E3102D">
      <w:pPr>
        <w:spacing w:line="480" w:lineRule="auto"/>
        <w:rPr>
          <w:rFonts w:cs="Times New Roman"/>
        </w:rPr>
      </w:pPr>
    </w:p>
    <w:p w14:paraId="3523A093" w14:textId="77777777" w:rsidR="006B1556" w:rsidRPr="00203EB0" w:rsidRDefault="006B1556" w:rsidP="00E3102D">
      <w:pPr>
        <w:spacing w:line="480" w:lineRule="auto"/>
        <w:rPr>
          <w:rFonts w:cs="Times New Roman"/>
        </w:rPr>
      </w:pPr>
    </w:p>
    <w:p w14:paraId="0669656E" w14:textId="77777777" w:rsidR="006B1556" w:rsidRDefault="006B1556" w:rsidP="00E3102D">
      <w:pPr>
        <w:spacing w:line="480" w:lineRule="auto"/>
        <w:rPr>
          <w:rFonts w:cs="Times New Roman"/>
        </w:rPr>
      </w:pPr>
    </w:p>
    <w:p w14:paraId="6170BC5A" w14:textId="77777777" w:rsidR="00231C33" w:rsidRDefault="00231C33" w:rsidP="00E3102D">
      <w:pPr>
        <w:spacing w:line="480" w:lineRule="auto"/>
        <w:rPr>
          <w:rFonts w:cs="Times New Roman"/>
        </w:rPr>
      </w:pPr>
    </w:p>
    <w:p w14:paraId="5F7254A9" w14:textId="77777777" w:rsidR="00231C33" w:rsidRDefault="00231C33" w:rsidP="00E3102D">
      <w:pPr>
        <w:spacing w:line="480" w:lineRule="auto"/>
        <w:rPr>
          <w:rFonts w:cs="Times New Roman"/>
        </w:rPr>
      </w:pPr>
    </w:p>
    <w:p w14:paraId="29D70089" w14:textId="77777777" w:rsidR="00231C33" w:rsidRDefault="00231C33" w:rsidP="00E3102D">
      <w:pPr>
        <w:spacing w:line="480" w:lineRule="auto"/>
        <w:rPr>
          <w:rFonts w:cs="Times New Roman"/>
        </w:rPr>
      </w:pPr>
    </w:p>
    <w:p w14:paraId="7E3D3D91" w14:textId="77777777" w:rsidR="00231C33" w:rsidRDefault="00231C33" w:rsidP="00E3102D">
      <w:pPr>
        <w:spacing w:line="480" w:lineRule="auto"/>
        <w:rPr>
          <w:rFonts w:cs="Times New Roman"/>
        </w:rPr>
      </w:pPr>
    </w:p>
    <w:p w14:paraId="5D79DBBE" w14:textId="77777777" w:rsidR="00231C33" w:rsidRDefault="00231C33" w:rsidP="00E3102D">
      <w:pPr>
        <w:spacing w:line="480" w:lineRule="auto"/>
        <w:rPr>
          <w:rFonts w:cs="Times New Roman"/>
        </w:rPr>
      </w:pPr>
    </w:p>
    <w:p w14:paraId="2E86EE51" w14:textId="77777777" w:rsidR="003C3A05" w:rsidRPr="00203EB0" w:rsidRDefault="003C3A05" w:rsidP="00E3102D">
      <w:pPr>
        <w:spacing w:line="480" w:lineRule="auto"/>
        <w:rPr>
          <w:rFonts w:cs="Times New Roman"/>
        </w:rPr>
      </w:pPr>
    </w:p>
    <w:p w14:paraId="382F09E8" w14:textId="77777777" w:rsidR="000539F4" w:rsidRPr="00203EB0" w:rsidRDefault="000539F4" w:rsidP="000539F4"/>
    <w:p w14:paraId="137B34B2" w14:textId="40F5A213" w:rsidR="00050B5D" w:rsidRPr="00203EB0" w:rsidRDefault="003C3A05" w:rsidP="00050B5D">
      <w:pPr>
        <w:pStyle w:val="Heading1"/>
      </w:pPr>
      <w:bookmarkStart w:id="152" w:name="_Toc206669180"/>
      <w:r>
        <w:t xml:space="preserve">GENERAL </w:t>
      </w:r>
      <w:r w:rsidR="000539F4" w:rsidRPr="00203EB0">
        <w:t>Conclusions</w:t>
      </w:r>
      <w:bookmarkEnd w:id="152"/>
    </w:p>
    <w:p w14:paraId="75F2E3B0" w14:textId="60C749A4" w:rsidR="00050B5D" w:rsidRPr="00203EB0" w:rsidRDefault="00050B5D" w:rsidP="008D2092">
      <w:pPr>
        <w:pStyle w:val="NormalWeb"/>
        <w:spacing w:line="480" w:lineRule="auto"/>
        <w:contextualSpacing/>
      </w:pPr>
      <w:r w:rsidRPr="00203EB0">
        <w:t>This dissertation demonstrates how long-term soil health practices influence N dynamics, microbial communities, soil</w:t>
      </w:r>
      <w:r w:rsidR="00994665" w:rsidRPr="00203EB0">
        <w:t xml:space="preserve"> O</w:t>
      </w:r>
      <w:r w:rsidR="00994665" w:rsidRPr="00203EB0">
        <w:rPr>
          <w:vertAlign w:val="subscript"/>
        </w:rPr>
        <w:t>2</w:t>
      </w:r>
      <w:r w:rsidR="00994665" w:rsidRPr="00203EB0">
        <w:t>-water balance</w:t>
      </w:r>
      <w:r w:rsidRPr="00203EB0">
        <w:t>, and the predictability of N₂O emissions in continuous cotton cropping systems. Across five integrated studies, key insights emerged into the mechanisms and interactions by which management legacies shape agroecosystem functioning.</w:t>
      </w:r>
    </w:p>
    <w:p w14:paraId="0215CAC8" w14:textId="77777777" w:rsidR="00050B5D" w:rsidRPr="00203EB0" w:rsidRDefault="00050B5D" w:rsidP="008D2092">
      <w:pPr>
        <w:pStyle w:val="NormalWeb"/>
        <w:spacing w:line="480" w:lineRule="auto"/>
        <w:contextualSpacing/>
      </w:pPr>
      <w:r w:rsidRPr="00203EB0">
        <w:t>The long-term implementation of NT and diverse N fertilization regimes emerged as central strategies for improving soil fertility and sustaining legume CC performance. The legacy effects of tillage and N fertilization acted as key modulators of soil N supply capacity, which in turn influenced the balance between soil-derived N and atmospheric N fixed through BNF. While hairy vetch exhibited flexible N acquisition strategies, its N status remained closely tied to soil mineral N availability, especially under low-input conditions. These findings highlight the importance of integrating NT with context-specific fertilization to support resilient nutrient cycling and optimize the benefits of legume CCs.</w:t>
      </w:r>
    </w:p>
    <w:p w14:paraId="1911073E" w14:textId="77777777" w:rsidR="00050B5D" w:rsidRPr="00203EB0" w:rsidRDefault="00050B5D" w:rsidP="008D2092">
      <w:pPr>
        <w:pStyle w:val="NormalWeb"/>
        <w:spacing w:line="480" w:lineRule="auto"/>
        <w:contextualSpacing/>
      </w:pPr>
      <w:r w:rsidRPr="00203EB0">
        <w:t xml:space="preserve">The legacy effects of NT and CC extended beyond nutrient cycling, improving soil O₂ availability and resilience under environmental stress. Long-term adoption of these practices reduced the duration of hypoxic conditions following rainfall events, reinforcing their importance in enhancing soil physical function and supporting plant productivity. This feature becomes increasingly relevant under future climate scenarios where more frequent extreme precipitation events are expected. However, complementary laboratory incubation experiments revealed that decomposition of high-quality CC residues can </w:t>
      </w:r>
      <w:r w:rsidRPr="00203EB0">
        <w:lastRenderedPageBreak/>
        <w:t>rapidly deplete soil O₂, promoting N₂O emissions even under relatively aerobic conditions. This underscores the dual role of CCs as both mitigators and potential amplifiers of greenhouse gas emissions depending on their interaction with fertilizer and moisture dynamics. These findings provide crucial insights for improving future models and accurately predicting N₂O emissions in CC-based fertilized systems.</w:t>
      </w:r>
    </w:p>
    <w:p w14:paraId="3D4F8BED" w14:textId="27ABF932" w:rsidR="00050B5D" w:rsidRPr="00203EB0" w:rsidRDefault="00050B5D" w:rsidP="008D2092">
      <w:pPr>
        <w:pStyle w:val="NormalWeb"/>
        <w:spacing w:line="480" w:lineRule="auto"/>
        <w:contextualSpacing/>
      </w:pPr>
      <w:r w:rsidRPr="00203EB0">
        <w:t xml:space="preserve">The functional understanding of temporal N₂O fluxes was further advanced through high-resolution microbial analyses. </w:t>
      </w:r>
      <w:r w:rsidR="006E5150" w:rsidRPr="00203EB0">
        <w:t>Microbial</w:t>
      </w:r>
      <w:r w:rsidRPr="00203EB0">
        <w:t xml:space="preserve"> community composition, shaped by long-term N fertilization and tillage legacies, exhibited strong depth-dependent responses, with specific taxa associated with seasonal N₂O fluxes. Soil acidification under long-term N fertilization emerged as a key driver enhancing the abundance of N₂O-promoting taxa. These results emphasize the importance of improving nutrient management to mitigate emissions and highlight the key role of management practices in regulating microbially mediated N₂O production.</w:t>
      </w:r>
    </w:p>
    <w:p w14:paraId="2FB7C8A2" w14:textId="77777777" w:rsidR="00050B5D" w:rsidRPr="00203EB0" w:rsidRDefault="00050B5D" w:rsidP="008D2092">
      <w:pPr>
        <w:pStyle w:val="NormalWeb"/>
        <w:spacing w:line="480" w:lineRule="auto"/>
        <w:contextualSpacing/>
      </w:pPr>
      <w:r w:rsidRPr="00203EB0">
        <w:t>Finally, the development and application of a novel Class-Swap machine learning approach provided an encouraging proof of concept for improving daily N₂O flux predictions. By classifying emissions into background and episodic hot-moment events and modeling each class separately, this approach significantly improved predictive accuracy compared to traditional models. It captured the distinct drivers behind each emission type and offers a scalable and interpretable framework to support decision-making in climate-smart agriculture.</w:t>
      </w:r>
    </w:p>
    <w:p w14:paraId="3898B7E8" w14:textId="5DE55BEE" w:rsidR="00050B5D" w:rsidRDefault="00050B5D" w:rsidP="008D2092">
      <w:pPr>
        <w:pStyle w:val="NormalWeb"/>
        <w:spacing w:line="480" w:lineRule="auto"/>
        <w:contextualSpacing/>
      </w:pPr>
      <w:r w:rsidRPr="00203EB0">
        <w:t xml:space="preserve">Together, these findings illustrate the complex influence of long-term soil health practices on agroecosystem function, spanning from plant N acquisition and microbial dynamics to </w:t>
      </w:r>
      <w:r w:rsidRPr="00203EB0">
        <w:lastRenderedPageBreak/>
        <w:t xml:space="preserve">soil O₂ availability and greenhouse gas emissions. By integrating field and laboratory evidence with </w:t>
      </w:r>
      <w:r w:rsidR="000474ED" w:rsidRPr="00203EB0">
        <w:t xml:space="preserve">machine learning </w:t>
      </w:r>
      <w:r w:rsidRPr="00203EB0">
        <w:t>innovation</w:t>
      </w:r>
      <w:r w:rsidR="00EE64C7" w:rsidRPr="00203EB0">
        <w:t>s</w:t>
      </w:r>
      <w:r w:rsidRPr="00203EB0">
        <w:t>, this dissertation advances both scientific understanding and practical tools for building resilient, low-input cropping systems that improve soil function and mitigate environmental impacts.</w:t>
      </w:r>
    </w:p>
    <w:p w14:paraId="0B595B50" w14:textId="78C3D975" w:rsidR="00622616" w:rsidRPr="00622616" w:rsidRDefault="00622616" w:rsidP="008D2092">
      <w:pPr>
        <w:pStyle w:val="NormalWeb"/>
        <w:spacing w:line="480" w:lineRule="auto"/>
        <w:contextualSpacing/>
      </w:pPr>
      <w:r w:rsidRPr="00622616">
        <w:t xml:space="preserve">Looking forward, this work highlights several broader impacts and avenues for future research. First, the soil O₂ dynamics observed in relation to cover crop residues point to a mechanism </w:t>
      </w:r>
      <w:r w:rsidR="00FB32FF">
        <w:t>causing soil O</w:t>
      </w:r>
      <w:r w:rsidR="00FB32FF" w:rsidRPr="00FB32FF">
        <w:rPr>
          <w:vertAlign w:val="subscript"/>
        </w:rPr>
        <w:t>2</w:t>
      </w:r>
      <w:r w:rsidR="00FB32FF">
        <w:t xml:space="preserve"> depletion and thereby promoting N</w:t>
      </w:r>
      <w:r w:rsidR="00FB32FF" w:rsidRPr="00FB32FF">
        <w:rPr>
          <w:vertAlign w:val="subscript"/>
        </w:rPr>
        <w:t>2</w:t>
      </w:r>
      <w:r w:rsidR="00FB32FF">
        <w:t>O production</w:t>
      </w:r>
      <w:r w:rsidRPr="00622616">
        <w:t xml:space="preserve"> that is not solely dependent on soil water content. With cover crop adoption rapidly expanding </w:t>
      </w:r>
      <w:r w:rsidR="00FB32FF">
        <w:t>across the U.S.</w:t>
      </w:r>
      <w:r w:rsidRPr="00622616">
        <w:t xml:space="preserve"> as a cornerstone of soil health, the WFPS-independent O₂ consumption identified here could become increasingly relevant for predicting and mitigating N₂O emissions in residue-incorporated systems. Future studies should evaluate how cover crop species, residue </w:t>
      </w:r>
      <w:r w:rsidR="00FB32FF">
        <w:t xml:space="preserve">quantity and </w:t>
      </w:r>
      <w:r w:rsidRPr="00622616">
        <w:t xml:space="preserve">quality, and incorporation timing interact with </w:t>
      </w:r>
      <w:r w:rsidR="00FB32FF">
        <w:t>soil moisture content</w:t>
      </w:r>
      <w:r w:rsidRPr="00622616">
        <w:t xml:space="preserve"> to influence O₂ depletion and emissions.</w:t>
      </w:r>
    </w:p>
    <w:p w14:paraId="50835CF8" w14:textId="42989144" w:rsidR="00622616" w:rsidRDefault="00622616" w:rsidP="008D2092">
      <w:pPr>
        <w:pStyle w:val="NormalWeb"/>
        <w:spacing w:line="480" w:lineRule="auto"/>
        <w:contextualSpacing/>
      </w:pPr>
      <w:r w:rsidRPr="00622616">
        <w:t>Second, the Class-Swap modeling approach demonstrates the potential of data-driven tools to advance N₂O prediction, particularly as global soil greenhouse gas databases become more widely available. While many machine learning models struggle with episodic fluxes, the class-based framework developed here shows promise for disentangling emission drivers and improving accuracy at daily timescales. Future research should test this approach across diverse cropping systems</w:t>
      </w:r>
      <w:r w:rsidR="00DD523D">
        <w:t>, soil types,</w:t>
      </w:r>
      <w:r w:rsidRPr="00622616">
        <w:t xml:space="preserve"> climates, and explore hybrid frameworks where process-based model outputs (e.g., soil CO₂, mineral N dynamics) are integrated as predictors. </w:t>
      </w:r>
      <w:r w:rsidR="00DD523D" w:rsidRPr="00DD523D">
        <w:t xml:space="preserve">A further step would be to combine this framework with models capable of predicting hot-moment occurrence, enabling robust models trained on global </w:t>
      </w:r>
      <w:r w:rsidR="00DD523D" w:rsidRPr="00DD523D">
        <w:lastRenderedPageBreak/>
        <w:t>datasets to forecast both the timing and magnitude of episodic fluxes. Such predictive capacity could ultimately support farmers in making proactive management decisions to lower environmental impacts.</w:t>
      </w:r>
      <w:r w:rsidR="00DD523D">
        <w:t xml:space="preserve"> </w:t>
      </w:r>
      <w:r w:rsidRPr="00622616">
        <w:t>Such advances will be critical to build transferable, scalable models that support</w:t>
      </w:r>
      <w:r w:rsidR="00DD523D">
        <w:t xml:space="preserve"> </w:t>
      </w:r>
      <w:r w:rsidRPr="00622616">
        <w:t>mitigation targets.</w:t>
      </w:r>
    </w:p>
    <w:p w14:paraId="7C4E6495" w14:textId="76D28F94" w:rsidR="00DD523D" w:rsidRPr="00203EB0" w:rsidRDefault="00DD523D" w:rsidP="008D2092">
      <w:pPr>
        <w:pStyle w:val="NormalWeb"/>
        <w:spacing w:line="480" w:lineRule="auto"/>
        <w:contextualSpacing/>
      </w:pPr>
      <w:r w:rsidRPr="00DD523D">
        <w:t>More broadly, this dissertation underscores the importance of connecting long-term management legacies with emerging modeling frameworks. Future work should continue integrating field experiments, microbial ecology, and data-driven modeling to both refine mechanistic understanding and deliver predictive tools that are practical for farmers, policymakers, and climate assessments. In doing so, the research community can accelerate progress toward resilient agroecosystems that maintain productivity, improve soil function, and mitigate greenhouse gas emissions in the face of global change.</w:t>
      </w:r>
    </w:p>
    <w:p w14:paraId="37CE9F0A" w14:textId="77777777" w:rsidR="00D07F6D" w:rsidRPr="00203EB0" w:rsidRDefault="00D07F6D" w:rsidP="008D2092">
      <w:pPr>
        <w:spacing w:line="480" w:lineRule="auto"/>
        <w:contextualSpacing/>
      </w:pPr>
    </w:p>
    <w:p w14:paraId="59E03272" w14:textId="77777777" w:rsidR="0055113B" w:rsidRPr="00203EB0" w:rsidRDefault="0055113B" w:rsidP="00E3102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6196231B" w14:textId="77777777" w:rsidR="000539F4" w:rsidRDefault="000539F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5FD65982" w14:textId="77777777" w:rsidR="00DD523D" w:rsidRPr="00203EB0" w:rsidRDefault="00DD523D"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42F11B1" w14:textId="77777777" w:rsidR="000539F4" w:rsidRPr="00203EB0" w:rsidRDefault="000539F4"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4660EE0E" w14:textId="77777777" w:rsidR="00A13279" w:rsidRPr="00203EB0" w:rsidRDefault="00A13279" w:rsidP="0091764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cs="Times New Roman"/>
        </w:rPr>
      </w:pPr>
    </w:p>
    <w:p w14:paraId="3A0FEE97" w14:textId="77777777" w:rsidR="00AC6ED8" w:rsidRDefault="00AC6ED8"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7A2C6214" w14:textId="77777777" w:rsidR="008D2092" w:rsidRDefault="008D2092"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1EE18395" w14:textId="77777777" w:rsidR="008D2092" w:rsidRDefault="008D2092"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0BFF1F97" w14:textId="77777777" w:rsidR="008D2092" w:rsidRDefault="008D2092"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548E7B9C" w14:textId="77777777" w:rsidR="008D2092" w:rsidRPr="00203EB0" w:rsidRDefault="008D2092" w:rsidP="006A18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p>
    <w:p w14:paraId="1DF2C48E" w14:textId="66262FDA" w:rsidR="00C91B83" w:rsidRPr="00203EB0" w:rsidRDefault="00C91B83" w:rsidP="00134D00">
      <w:pPr>
        <w:pStyle w:val="AltHeading1"/>
      </w:pPr>
      <w:bookmarkStart w:id="153" w:name="_Toc206669181"/>
      <w:r w:rsidRPr="00203EB0">
        <w:lastRenderedPageBreak/>
        <w:t>REFERENCES</w:t>
      </w:r>
      <w:bookmarkEnd w:id="153"/>
    </w:p>
    <w:p w14:paraId="17353490" w14:textId="3250915F" w:rsidR="00256601" w:rsidRPr="00256601" w:rsidRDefault="004179E3" w:rsidP="00256601">
      <w:pPr>
        <w:widowControl w:val="0"/>
        <w:autoSpaceDE w:val="0"/>
        <w:autoSpaceDN w:val="0"/>
        <w:adjustRightInd w:val="0"/>
        <w:spacing w:line="480" w:lineRule="auto"/>
        <w:ind w:left="480" w:hanging="480"/>
        <w:jc w:val="left"/>
        <w:rPr>
          <w:rFonts w:cs="Times New Roman"/>
          <w:noProof/>
        </w:rPr>
      </w:pPr>
      <w:r w:rsidRPr="00203EB0">
        <w:rPr>
          <w:rFonts w:cs="Times New Roman"/>
        </w:rPr>
        <w:fldChar w:fldCharType="begin" w:fldLock="1"/>
      </w:r>
      <w:r w:rsidRPr="00203EB0">
        <w:rPr>
          <w:rFonts w:cs="Times New Roman"/>
        </w:rPr>
        <w:instrText xml:space="preserve">ADDIN Mendeley Bibliography CSL_BIBLIOGRAPHY </w:instrText>
      </w:r>
      <w:r w:rsidRPr="00203EB0">
        <w:rPr>
          <w:rFonts w:cs="Times New Roman"/>
        </w:rPr>
        <w:fldChar w:fldCharType="separate"/>
      </w:r>
      <w:r w:rsidR="00256601" w:rsidRPr="00256601">
        <w:rPr>
          <w:rFonts w:cs="Times New Roman"/>
          <w:noProof/>
        </w:rPr>
        <w:t>Abalos, D., S. Recous, K. Butterbach-Bahl, C. De Notaris, T.F. Rittl, et al. 2022. A review and meta-analysis of mitigation measures for nitrous oxide emissions from crop residues. Sci. Total Environ. 828. doi: 10.1016/j.scitotenv.2022.154388.</w:t>
      </w:r>
    </w:p>
    <w:p w14:paraId="6F2E267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Abdalla, M., M. Jones, J. Yeluripati, P. Smith, J. Burke, et al. 2010. Testing DayCent and DNDC model simulations of N</w:t>
      </w:r>
      <w:r w:rsidRPr="00256601">
        <w:rPr>
          <w:rFonts w:cs="Times New Roman"/>
          <w:noProof/>
          <w:vertAlign w:val="subscript"/>
        </w:rPr>
        <w:t>2</w:t>
      </w:r>
      <w:r w:rsidRPr="00256601">
        <w:rPr>
          <w:rFonts w:cs="Times New Roman"/>
          <w:noProof/>
        </w:rPr>
        <w:t>O fluxes and assessing the impacts of climate change on the gas flux and biomass production from a humid pasture. Atmos. Environ. 44(25): 2961–2970. doi: 10.1016/j.atmosenv.2010.05.018.</w:t>
      </w:r>
    </w:p>
    <w:p w14:paraId="58869F3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Abid, M., and R. Lal. 2009. Tillage and drainage impact on soil quality: II. Tensile strength of aggregates, moisture retention and water infiltration. Soil Tillage Res. 103(2): 364–372. doi: 10.1016/j.still.2008.11.004.</w:t>
      </w:r>
    </w:p>
    <w:p w14:paraId="3F97B25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Acharya, P., R. Ghimire, W.S. Paye, A.C. Ganguli, and S.J. Delgrosso. 2022. Net greenhouse gas balance with cover crops in semi ‑ arid irrigated cropping systems. Sci. Rep.: 1–13. doi: 10.1038/s41598-022-16719-w.</w:t>
      </w:r>
    </w:p>
    <w:p w14:paraId="39A0880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Ackett, R., H. Hilafu, I. Gelfand, and D. Saha. 2025. A novel statistical context to define and identify nitrous oxide hot moments and their significance across global agroecosystems. J. Geophys. Biogeosciences. doi: (accepted).</w:t>
      </w:r>
    </w:p>
    <w:p w14:paraId="5E8F034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Adler, P.R., H. Nguyen, B.M. Rau, and C.J. Dell. 2024. Modeling N</w:t>
      </w:r>
      <w:r w:rsidRPr="00256601">
        <w:rPr>
          <w:rFonts w:cs="Times New Roman"/>
          <w:noProof/>
          <w:vertAlign w:val="subscript"/>
        </w:rPr>
        <w:t>2</w:t>
      </w:r>
      <w:r w:rsidRPr="00256601">
        <w:rPr>
          <w:rFonts w:cs="Times New Roman"/>
          <w:noProof/>
        </w:rPr>
        <w:t>O emissions with remotely sensed variables using machine learning. Environ. Res. Commun. 6(9). doi: 10.1088/2515-7620/ad707c.</w:t>
      </w:r>
    </w:p>
    <w:p w14:paraId="2F7E98D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Alliaume, F., W.A.H. Rossing, P. Tittonell, G. Jorge, and S. Dogliotti. 2014. Reduced tillage and cover crops improve water capture and reduce erosion of fine textured </w:t>
      </w:r>
      <w:r w:rsidRPr="00256601">
        <w:rPr>
          <w:rFonts w:cs="Times New Roman"/>
          <w:noProof/>
        </w:rPr>
        <w:lastRenderedPageBreak/>
        <w:t>soils in raised bed tomato systems. Agric. Ecosyst. Environ. 183: 127–137. doi: 10.1016/j.agee.2013.11.001.</w:t>
      </w:r>
    </w:p>
    <w:p w14:paraId="26BAFB6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Anderson, M.J. 2017. Permutational multivariate analysis of variance (PERMANOVA). Wiley StatsRef Stat. Ref. Online: 1–15. doi: 10.1002/9781118445112.stat07841.</w:t>
      </w:r>
    </w:p>
    <w:p w14:paraId="6E4A685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Anthony, T.L., and W.L. Silver. 2024. Hot spots and hot moments of greenhouse gas emissions in agricultural peatlands. Biogeochemistry 167(4): 461–477. doi: 10.1007/s10533-023-01095-y.</w:t>
      </w:r>
    </w:p>
    <w:p w14:paraId="3791C2F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Apprill, A., S. Mcnally, R. Parsons, and L. Weber. 2015. Minor revision to V4 region SSU rRNA 806R gene primer greatly increases detection of SAR11 bacterioplankton. Aquat. Microb. Ecol. 75(2): 129–137. doi: 10.3354/ame01753.</w:t>
      </w:r>
    </w:p>
    <w:p w14:paraId="6DF19D8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Araya, S.N., J.P. Mitchell, J.W. Hopmans, and T.A. Ghezzehei. 2022. Long-term impact of cover crop and reduced disturbance tillage on soil pore size distribution and soil water storage. Soil 8(1): 177–198. doi: 10.5194/soil-8-177-2022.</w:t>
      </w:r>
    </w:p>
    <w:p w14:paraId="693614E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Arduini, I., C. Orlandi, S. Pampana, and A. Masoni. 2016. Waterlogging at tillering affects spike and spikelet formation in wheat. Crop Pasture Sci. 67(7): 703–711. doi: 10.1071/CP15417.</w:t>
      </w:r>
    </w:p>
    <w:p w14:paraId="5ACD6E6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Asaf, S., M. Numan, A.L. Khan, and A. Al-Harrasi. 2020. Sphingomonas: from diversity and genomics to functional role in environmental remediation and plant growth. Crit. Rev. Biotechnol. 40(2): 138–152. doi: 10.1080/07388551.2019.1709793.</w:t>
      </w:r>
    </w:p>
    <w:p w14:paraId="16109ED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Aulakh, M.S., J.W. Doran, D.T. Walters, and J.F. Power. 1991. Legume residue and soil water effects on denitrification in soil of different textures. Soil Biol. Biochem. 23(12).</w:t>
      </w:r>
    </w:p>
    <w:p w14:paraId="16AA4D8A"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lastRenderedPageBreak/>
        <w:t>Azhar;, N.A., M.S.M. Pozi;, A.M. Din;, and A. Jatowt. 2023. An investigation of SMOTE based methods for imbalanced datasets with data complexity analysis. IEEE Trans. Knowl. Data Eng. 35(7): 6651–6672.</w:t>
      </w:r>
    </w:p>
    <w:p w14:paraId="1E6D59C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Baggs, E., and L. Philippot. 2010. Microbial terrestrial pathways to nitrous oxide. Nitrous Oxide Clim. Chang.: 4–35.</w:t>
      </w:r>
    </w:p>
    <w:p w14:paraId="641A45C4"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Bakken, L.R., L. Bergaust, B. Liu, and Å. Frostegård. 2012. Regulation of denitrification at the cellular level: A clue to the understanding of N</w:t>
      </w:r>
      <w:r w:rsidRPr="00256601">
        <w:rPr>
          <w:rFonts w:cs="Times New Roman"/>
          <w:noProof/>
          <w:vertAlign w:val="subscript"/>
        </w:rPr>
        <w:t>2</w:t>
      </w:r>
      <w:r w:rsidRPr="00256601">
        <w:rPr>
          <w:rFonts w:cs="Times New Roman"/>
          <w:noProof/>
        </w:rPr>
        <w:t>O emissions from soils. Philos. Trans. R. Soc. B Biol. Sci. 367(1593): 1226–1234. doi: 10.1098/rstb.2011.0321.</w:t>
      </w:r>
    </w:p>
    <w:p w14:paraId="5EF3508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Balaine, N., T.J. Clough, M.H. Beare, S.M. Thomas, E.D. Meenken, et al. 2013. Changes in relative gas diffusivity explain soil nitrous oxide flux dynamics. Soil Sci. Soc. Am. J. 77(5): 1496–1505. doi: 10.2136/sssaj2013.04.0141.</w:t>
      </w:r>
    </w:p>
    <w:p w14:paraId="37666E6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Balaine, N., T.J. Clough, M.H. Beare, S.M. Thomas, and E.D. Meenken. 2016. Soil gas diffusivity controls N</w:t>
      </w:r>
      <w:r w:rsidRPr="00256601">
        <w:rPr>
          <w:rFonts w:cs="Times New Roman"/>
          <w:noProof/>
          <w:vertAlign w:val="subscript"/>
        </w:rPr>
        <w:t>2</w:t>
      </w:r>
      <w:r w:rsidRPr="00256601">
        <w:rPr>
          <w:rFonts w:cs="Times New Roman"/>
          <w:noProof/>
        </w:rPr>
        <w:t>O and N</w:t>
      </w:r>
      <w:r w:rsidRPr="00256601">
        <w:rPr>
          <w:rFonts w:cs="Times New Roman"/>
          <w:noProof/>
          <w:vertAlign w:val="subscript"/>
        </w:rPr>
        <w:t>2</w:t>
      </w:r>
      <w:r w:rsidRPr="00256601">
        <w:rPr>
          <w:rFonts w:cs="Times New Roman"/>
          <w:noProof/>
        </w:rPr>
        <w:t xml:space="preserve"> emissions and their ratio. Soil Sci. Soc. Am. J. 80(3): 529–540. doi: 10.2136/sssaj2015.09.0350.</w:t>
      </w:r>
    </w:p>
    <w:p w14:paraId="6FA6CAF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Bano, S., Q. Wu, S. Yu, X. Wang, and X. Zhang. 2024. Soil properties drive nitrous oxide accumulation patterns by shaping denitrifying bacteriomes. Environ. Microbiome 19(1). doi: 10.1186/s40793-024-00643-9.</w:t>
      </w:r>
    </w:p>
    <w:p w14:paraId="6CC68774"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Barabasz, W., D. Albińska, M. Jaśkowska, and J. Lipiec. 2002. Biological effects of mineral nitrogen fertilization on soil microorganisms. Polish J. Environ. Stud. 11(3): 193–198.</w:t>
      </w:r>
    </w:p>
    <w:p w14:paraId="17475FD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Barber, N.A., D.M. Klimek, J.K. Bell, and W.D. Swingley. 2023. Restoration age and </w:t>
      </w:r>
      <w:r w:rsidRPr="00256601">
        <w:rPr>
          <w:rFonts w:cs="Times New Roman"/>
          <w:noProof/>
        </w:rPr>
        <w:lastRenderedPageBreak/>
        <w:t>reintroduced bison may shape soil bacterial communities in restored tallgrass prairies. FEMS Microbiol. Ecol. 99(3): 1–12. doi: 10.1093/femsec/fiad007.</w:t>
      </w:r>
    </w:p>
    <w:p w14:paraId="283531F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Basche, A.D., T.C. Kaspar, S. V. Archontoulis, D.B. Jaynes, T.J. Sauer, et al. 2016. Soil water improvements with the long-term use of a winter rye cover crop. Agric. Water Manag. 172: 40–50. doi: 10.1016/j.agwat.2016.04.006.</w:t>
      </w:r>
    </w:p>
    <w:p w14:paraId="1BCBCA8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Basche, A.D., F.E. Miguez, T.C. Kaspar, and M.J. Castellano. 2014. Do cover crops increase or decrease nitrous oxide emissions? a meta-analysis. J. Soil Water Conserv. 69(6): 471–482. doi: 10.2489/jswc.69.6.471.</w:t>
      </w:r>
    </w:p>
    <w:p w14:paraId="742523B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Bateman, E.J., and E.M. Baggs. 2005. Contributions of nitrification and denitrification to N</w:t>
      </w:r>
      <w:r w:rsidRPr="00256601">
        <w:rPr>
          <w:rFonts w:cs="Times New Roman"/>
          <w:noProof/>
          <w:vertAlign w:val="subscript"/>
        </w:rPr>
        <w:t>2</w:t>
      </w:r>
      <w:r w:rsidRPr="00256601">
        <w:rPr>
          <w:rFonts w:cs="Times New Roman"/>
          <w:noProof/>
        </w:rPr>
        <w:t>O emissions from soils at different water-filled pore space. Biol. Fertil. Soils 41(6): 379–388. doi: 10.1007/s00374-005-0858-3.</w:t>
      </w:r>
    </w:p>
    <w:p w14:paraId="4FD7DD53"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Bates, D., M. Mächler, B. Bolker, and S. Walker. 2015. Fitting linear mixed-effects models using lme4. J. Stat. Softw. 67(1): 1–48. doi: doi:10.18637/jss.v067.i01.</w:t>
      </w:r>
    </w:p>
    <w:p w14:paraId="27529BA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Behnke, G.D., N. Kim, M.C. Zabaloy, C.W. Riggins, S. Rodriguez-Zas, et al. 2021. Soil microbial indicators within rotations and tillage systems. Microorganisms 9(6). doi: 10.3390/microorganisms9061244.</w:t>
      </w:r>
    </w:p>
    <w:p w14:paraId="272B5CF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Behrendt, U., T. Spanner, J. Augustin, D.H. Zak, M.A. Horn, et al. 2022. Consumption of N</w:t>
      </w:r>
      <w:r w:rsidRPr="00256601">
        <w:rPr>
          <w:rFonts w:cs="Times New Roman"/>
          <w:noProof/>
          <w:vertAlign w:val="subscript"/>
        </w:rPr>
        <w:t>2</w:t>
      </w:r>
      <w:r w:rsidRPr="00256601">
        <w:rPr>
          <w:rFonts w:cs="Times New Roman"/>
          <w:noProof/>
        </w:rPr>
        <w:t>O by Flavobacterium azooxidireducens sp. nov. isolated from decomposing leaf litter of Phragmites australis (Cav.). Microorganisms 10(11). doi: 10.3390/microorganisms10112304.</w:t>
      </w:r>
    </w:p>
    <w:p w14:paraId="4599779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Bernhardt, E.S., J.R. Blaszczak, C.D. Ficken, M.L. Fork, K.E. Kaiser, et al. 2017. Control points in ecosystems: moving beyond the hot spot hot moment concept. Ecosystems </w:t>
      </w:r>
      <w:r w:rsidRPr="00256601">
        <w:rPr>
          <w:rFonts w:cs="Times New Roman"/>
          <w:noProof/>
        </w:rPr>
        <w:lastRenderedPageBreak/>
        <w:t>20(4): 665–682. doi: 10.1007/s10021-016-0103-y.</w:t>
      </w:r>
    </w:p>
    <w:p w14:paraId="2B8EE21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Bevivino, A., and C. Dalmastri. 2017. Impact of agricultural land management on soil bacterial community: A case study in the Mediterranean area. Sustain. Plant Crop Prot.: 77–95. doi: doi.org/10.1007/978-3-319-63336-7_5.</w:t>
      </w:r>
    </w:p>
    <w:p w14:paraId="238418D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Blanco-Canqui, H., and R. Lal. 2008. No‐tillage and soil‐profile carbon sequestration: An on‐farm assessment. Soil Sci. Soc. Am. J. 72(3): 693–701. doi: 10.2136/sssaj2007.0233.</w:t>
      </w:r>
    </w:p>
    <w:p w14:paraId="1DBAE34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Blanco-Canqui, H., M.M. Mikha, D.R. Presley, and M.M. Claassen. 2011. Addition of cover crops enhances no-till potential for improving soil physical properties. Soil Sci. Soc. Am. J. 75(4): 1471–1482. doi: 10.2136/sssaj2010.0430.</w:t>
      </w:r>
    </w:p>
    <w:p w14:paraId="25AED4F8"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Blanco-Canqui, H., and S.J. Ruis. 2018. No-tillage and soil physical environment. Geoderma 326(April): 164–200. doi: 10.1016/j.geoderma.2018.03.011.</w:t>
      </w:r>
    </w:p>
    <w:p w14:paraId="3F2CF95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Blanco-Canqui, H., T.M. Shaver, J.L. Lindquist, C.A. Shapiro, R.W. Elmore, et al. 2015. Cover crops and ecosystem services: Insights from studies in temperate soils. Agron. J. 107(6): 2449–2474. doi: 10.2134/agronj15.0086.</w:t>
      </w:r>
    </w:p>
    <w:p w14:paraId="3B65A6B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Bolar, K. 2019. STAT: Interactive document for working with basic statistical analysis. doi: 10.32614/CRAN.package.STAT.</w:t>
      </w:r>
    </w:p>
    <w:p w14:paraId="45B991D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Breiman, L. 2001. Random Forests. Mach. Learn. 45(45): 5–32. doi: 10.1007/978-3-030-62008-0_35.</w:t>
      </w:r>
    </w:p>
    <w:p w14:paraId="7B1D03BA"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Brilli, L., L. Bechini, M. Bindi, M. Carozzi, D. Cavalli, et al. 2017. Review and analysis of strengths and weaknesses of agro-ecosystem models for simulating C and N fluxes. Sci. Total Environ. 598(April): 445–470. doi: </w:t>
      </w:r>
      <w:r w:rsidRPr="00256601">
        <w:rPr>
          <w:rFonts w:cs="Times New Roman"/>
          <w:noProof/>
        </w:rPr>
        <w:lastRenderedPageBreak/>
        <w:t>10.1016/j.scitotenv.2017.03.208.</w:t>
      </w:r>
    </w:p>
    <w:p w14:paraId="2324E4D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Brown, S.P., and A. Jumpponen. 2014. Contrasting primary successional trajectories of fungi and bacteria in retreating glacier soils. Mol. Ecol. 23(2): 481–497. doi: 10.1111/mec.12487.</w:t>
      </w:r>
    </w:p>
    <w:p w14:paraId="596CDA8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Brown, S.P., D.R. Leopold, and P.E. Busby. 2018. Protocols for investigating the leaf mycobiome using high-throughput DNA sequencing. In: Ma, W. and Wolpert, T., editors, Methods in Molecular Biology. Springer, New York, NY, USA. p. 39–51</w:t>
      </w:r>
    </w:p>
    <w:p w14:paraId="4007A07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Burgin, A.J., and P.M. Groffman. 2012. Soil O</w:t>
      </w:r>
      <w:r w:rsidRPr="00256601">
        <w:rPr>
          <w:rFonts w:cs="Times New Roman"/>
          <w:noProof/>
          <w:vertAlign w:val="subscript"/>
        </w:rPr>
        <w:t>2</w:t>
      </w:r>
      <w:r w:rsidRPr="00256601">
        <w:rPr>
          <w:rFonts w:cs="Times New Roman"/>
          <w:noProof/>
        </w:rPr>
        <w:t xml:space="preserve"> controls denitrification rates and N2O yield in a riparian wetland. J. Geophys. Res. Biogeosciences 117(1): 1–10. doi: 10.1029/2011JG001799.</w:t>
      </w:r>
    </w:p>
    <w:p w14:paraId="7FA3DD0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Butterbach-Bahl, K., E.M. Baggs, M. Dannenmann, R. Kiese, and S. Zechmeister-Boltenstern. 2013. Nitrous oxide emissions from soils: How well do we understand the processes and their controls? Philos. Trans. R. Soc. B Biol. Sci. 368(1621). doi: 10.1098/rstb.2013.0122.</w:t>
      </w:r>
    </w:p>
    <w:p w14:paraId="4C625F28"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Callahan, B.J., P.J. McMurdie, M.J. Rosen, A.W. Han, A.J.A. Johnson, et al. 2016. DADA2: High-resolution sample inference from Illumina amplicon data. Nat. Methods 13(7): 581–583. doi: 10.1038/nmeth.3869.</w:t>
      </w:r>
    </w:p>
    <w:p w14:paraId="74E95BAB" w14:textId="3105AA26"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Caporaso, J.G., C.L. Lauber, W.A. Walters, D. Berg-Lyons, C.A. Lozupone, et al. 2011. Global patterns of 16S rRNA diversity at a depth of millions of sequences per sample. Proc. Natl. Acad. Sci. U. S. A. 108: 4516–4522. doi: 10.1073/pnas.1000080107.</w:t>
      </w:r>
    </w:p>
    <w:p w14:paraId="376E9CAB" w14:textId="06F4A5B8"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Carrell, A.A., B.B. Hicks, E. Sidelinger, E.R. Johnston, S.S. Jawdy, et al. 2023. Nitrogen </w:t>
      </w:r>
      <w:r w:rsidRPr="00256601">
        <w:rPr>
          <w:rFonts w:cs="Times New Roman"/>
          <w:noProof/>
        </w:rPr>
        <w:lastRenderedPageBreak/>
        <w:t>addition alters soil fungal communities, but root fungal communities are resistant to change. Front. Microbiol. 13: 1–13. doi: 10.3389/fmicb.2022.1033631.</w:t>
      </w:r>
    </w:p>
    <w:p w14:paraId="297D152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Carvajal, A.M., R.A. Vargas, and M. Alfaro. 2016. Abundance of denitrifying genes and microbial community structure in volcanic soils. J. Soil Sci. Plant Nutr. 16(3): 677–688. doi: 10.4067/s0718-95162016005000049.</w:t>
      </w:r>
    </w:p>
    <w:p w14:paraId="3EA23D02" w14:textId="77777777" w:rsidR="00256601" w:rsidRPr="00024ABB" w:rsidRDefault="00256601" w:rsidP="00256601">
      <w:pPr>
        <w:widowControl w:val="0"/>
        <w:autoSpaceDE w:val="0"/>
        <w:autoSpaceDN w:val="0"/>
        <w:adjustRightInd w:val="0"/>
        <w:spacing w:line="480" w:lineRule="auto"/>
        <w:ind w:left="480" w:hanging="480"/>
        <w:jc w:val="left"/>
        <w:rPr>
          <w:rFonts w:cs="Times New Roman"/>
          <w:noProof/>
          <w:lang w:val="es-UY"/>
        </w:rPr>
      </w:pPr>
      <w:r w:rsidRPr="00256601">
        <w:rPr>
          <w:rFonts w:cs="Times New Roman"/>
          <w:noProof/>
        </w:rPr>
        <w:t xml:space="preserve">Cayuela, M.L., L. van Zwieten, B.P. Singh, S. Jeffery, A. Roig, et al. 2014. Biochar’s role in mitigating soil nitrous oxide emissions: A review and meta-analysis. </w:t>
      </w:r>
      <w:r w:rsidRPr="00024ABB">
        <w:rPr>
          <w:rFonts w:cs="Times New Roman"/>
          <w:noProof/>
          <w:lang w:val="es-UY"/>
        </w:rPr>
        <w:t>Agric. Ecosyst. Environ. 191: 5–16. doi: 10.1016/j.agee.2013.10.009.</w:t>
      </w:r>
    </w:p>
    <w:p w14:paraId="710B5183"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024ABB">
        <w:rPr>
          <w:rFonts w:cs="Times New Roman"/>
          <w:noProof/>
          <w:lang w:val="es-UY"/>
        </w:rPr>
        <w:t xml:space="preserve">Ceja-Navarro, J.A., F.N. Rivera-Orduña, L. Patiño-Zúñiga, A. Vila-Sanjurjo, J. Crossa, et al. 2010. </w:t>
      </w:r>
      <w:r w:rsidRPr="00256601">
        <w:rPr>
          <w:rFonts w:cs="Times New Roman"/>
          <w:noProof/>
        </w:rPr>
        <w:t>Phylogenetic and multivariate analyses to determine the effects of different tillage and residue management practices on soil bacterial communities. Appl. Environ. Microbiol. 76(11): 3685–3691. doi: 10.1128/AEM.02726-09.</w:t>
      </w:r>
    </w:p>
    <w:p w14:paraId="5A42FBF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Chaudhry, V., A. Rehman, A. Mishra, P.S. Chauhan, and C.S. Nautiyal. 2012. Changes in bacterial community structure of agricultural land due to long-term organic and chemical amendments. Microb. Ecol. 64(2): 450–460. doi: 10.1007/s00248-012-0025-y.</w:t>
      </w:r>
    </w:p>
    <w:p w14:paraId="56C9D3E1" w14:textId="4052B468"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Chawla, N. V., K.W. Bowyer, L.O. Hall, and W.P. Kegelmeyer. 2002. SMOTE: Synthetic minority over-sampling technique. J. Artif. Intell. Res. 16: 321–357.</w:t>
      </w:r>
    </w:p>
    <w:p w14:paraId="17D236B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Chen, H., X. Li, F. Hu, and W. Shi. 2013. Soil nitrous oxide emissions following crop residue addition: A meta-analysis. Glob. Chang. Biol. 19(10): 2956–2964. doi: 10.1111/gcb.12274.</w:t>
      </w:r>
    </w:p>
    <w:p w14:paraId="76897AA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Chen, S., Z. Qian, W. Siu, X. Hu, J. Li, et al. 2024. PyOD 2: A Python library for outlier </w:t>
      </w:r>
      <w:r w:rsidRPr="00256601">
        <w:rPr>
          <w:rFonts w:cs="Times New Roman"/>
          <w:noProof/>
        </w:rPr>
        <w:lastRenderedPageBreak/>
        <w:t>detection with LLM-powered model selection. : 3–6. http://arxiv.org/abs/2412.12154.</w:t>
      </w:r>
    </w:p>
    <w:p w14:paraId="1333E5D0" w14:textId="5267F382"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Chen, X., D. Xue, Y. Wang, Q. Qiu, L. Wu, et al. 2023. Variations in the archaeal community and associated methanogenesis in peat profiles of three typical peatland types in China. Environ. Microbiome 18: 1–18. doi: 10.1186/s40793-023-00503-y.</w:t>
      </w:r>
    </w:p>
    <w:p w14:paraId="4904216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Cheng, L., T. Yu, R. Yang, Y. Liu, H. Zang, et al. 2025. Diversified crop rotations exert a profound influence on the nosZI denitrifier community. Sci. Total Environ. 958(2). doi: 10.1016/j.scitotenv.2024.177871.</w:t>
      </w:r>
    </w:p>
    <w:p w14:paraId="3E83034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Chicco, D., M.J. Warrens, and G. Jurman. 2021. The coefficient of determination R-squared is more informative than SMAPE, MAE, MAPE, MSE and RMSE in regression analysis evaluation. PeerJ Comput. Sci. 7: 1–24. doi: 10.7717/PEERJ-CS.623.</w:t>
      </w:r>
    </w:p>
    <w:p w14:paraId="43227D5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Ciarlo, E., M. Conti, N. Bartoloni, and G. Rubio. 2007. The effect of moisture on nitrous oxide emissions from soil and the N</w:t>
      </w:r>
      <w:r w:rsidRPr="00C623D8">
        <w:rPr>
          <w:rFonts w:cs="Times New Roman"/>
          <w:noProof/>
          <w:vertAlign w:val="subscript"/>
        </w:rPr>
        <w:t>2</w:t>
      </w:r>
      <w:r w:rsidRPr="00256601">
        <w:rPr>
          <w:rFonts w:cs="Times New Roman"/>
          <w:noProof/>
        </w:rPr>
        <w:t>O /(N</w:t>
      </w:r>
      <w:r w:rsidRPr="00C623D8">
        <w:rPr>
          <w:rFonts w:cs="Times New Roman"/>
          <w:noProof/>
          <w:vertAlign w:val="subscript"/>
        </w:rPr>
        <w:t>2</w:t>
      </w:r>
      <w:r w:rsidRPr="00256601">
        <w:rPr>
          <w:rFonts w:cs="Times New Roman"/>
          <w:noProof/>
        </w:rPr>
        <w:t>O + N</w:t>
      </w:r>
      <w:r w:rsidRPr="00C623D8">
        <w:rPr>
          <w:rFonts w:cs="Times New Roman"/>
          <w:noProof/>
          <w:vertAlign w:val="subscript"/>
        </w:rPr>
        <w:t>2</w:t>
      </w:r>
      <w:r w:rsidRPr="00256601">
        <w:rPr>
          <w:rFonts w:cs="Times New Roman"/>
          <w:noProof/>
        </w:rPr>
        <w:t>) ratio under laboratory conditions. Biol. Fertil. Soils: 675–681. doi: 10.1007/s00374-006-0147-9.</w:t>
      </w:r>
    </w:p>
    <w:p w14:paraId="1D300AD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Claassen, R., M. Bowman, J. McFadden, D. Smith, and S. Wallander. 2018. Tillage intensity and conservation cropping in the United States. U.S. Dep. Agric. 197: 4–21.</w:t>
      </w:r>
    </w:p>
    <w:p w14:paraId="571C9A78"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Cohen, J. 1988. Statistical power analysis for the behavioral sciences. Second Edi. Lawrence erlbaum associates, New York, NY, USA.</w:t>
      </w:r>
    </w:p>
    <w:p w14:paraId="7F5EC88E" w14:textId="61BC2A5A"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Culman, S.W., T.T. Hurisso, and J. Wade. 2021. Permanganate Oxidizable Carbon: An Indicator of Biologically Active Soil Carbon. Lab. Methods Soil Heal. Anal.: 152–</w:t>
      </w:r>
      <w:r w:rsidRPr="00256601">
        <w:rPr>
          <w:rFonts w:cs="Times New Roman"/>
          <w:noProof/>
        </w:rPr>
        <w:lastRenderedPageBreak/>
        <w:t>175. doi: 10.1002/9780891189831.ch9.</w:t>
      </w:r>
    </w:p>
    <w:p w14:paraId="7240DD0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Cumming, G. 2013. Understanding the new statistics: effect sizes, confidence intervals, and meta-analysis. Taylor and Francis.</w:t>
      </w:r>
    </w:p>
    <w:p w14:paraId="3D6D4A76" w14:textId="57ADDB13"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Daryanto, S., B. Fu, L. Wang, P.A. Jacinthe, and W. Zhao. 2018. Quantitative synthesis on the ecosystem services of cover crops. Earth-Science Rev. 185: 357–373. doi: 10.1016/j.earscirev.2018.06.013.</w:t>
      </w:r>
    </w:p>
    <w:p w14:paraId="24CE6BC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Davidson, E.A., M. Keller, H.E. Erickson, L. V. Verchot, and E. Veldkamp. 2000. Testing a conceptual model of soil emissions of nitrous and nitric oxides. Bioscience 50(8): 667–680. doi: 10.1641/0006-3568(2000)050[0667:TACMOS]2.0.CO;2.</w:t>
      </w:r>
    </w:p>
    <w:p w14:paraId="1E08B19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Decker, A.M., A.J. Clark, J.J. Meisinger, F.R. Mulford, and M.S. McIntosh. 1994. Legume cover crop contributions to no-tillage corn production. Agron. J. 86(1): 126–135. doi: 10.2134/agronj1994.00021962008600010024x.</w:t>
      </w:r>
    </w:p>
    <w:p w14:paraId="4E92C075" w14:textId="6E7C8101"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Degrune, F., N. Theodorakopoulos, G. Colinet, M.P. Hiel, B. Bodson, et al. 2017. Temporal dynamics of soil microbial communities below the seedbed under two contrasting tillage regimes. Front. Microbiol. 8. doi: 10.3389/fmicb.2017.01127.</w:t>
      </w:r>
    </w:p>
    <w:p w14:paraId="6EEE1BF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Dhaliwal, J.K., S.H. Anderson, J. Lee, S. Jagadamma, and D. Saha. 2024a. Computed tomography scanning revealed macropore-controlled N</w:t>
      </w:r>
      <w:r w:rsidRPr="00C623D8">
        <w:rPr>
          <w:rFonts w:cs="Times New Roman"/>
          <w:noProof/>
          <w:vertAlign w:val="subscript"/>
        </w:rPr>
        <w:t>2</w:t>
      </w:r>
      <w:r w:rsidRPr="00256601">
        <w:rPr>
          <w:rFonts w:cs="Times New Roman"/>
          <w:noProof/>
        </w:rPr>
        <w:t>O emissions under long-term tillage and cover cropping practices. Sci. Total Environ. 926(March): 171782. doi: 10.1016/j.scitotenv.2024.171782.</w:t>
      </w:r>
    </w:p>
    <w:p w14:paraId="3FB406A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Dhaliwal, J.K., F. Lussich, S. Jagadamma, S.M.. Schaeffer, and D. Saha. 2024b. Long-term tillage and cover cropping differentially influenced soil nitrous oxide emissions from cotton cropping system. Agron. J.: 22.</w:t>
      </w:r>
    </w:p>
    <w:p w14:paraId="786F5355" w14:textId="4AB3AC1E"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lastRenderedPageBreak/>
        <w:t>Dhaliwal, J.K., D. Panday, G.P. Robertson, and D. Saha. 2024c. Machine learning reveals dynamic controls of soil nitrous oxide emissions from diverse long-term cropping systems. J. Environ. Qual.: 132–146. doi: 10.1002/jeq2.20637.</w:t>
      </w:r>
    </w:p>
    <w:p w14:paraId="61DCE5F4"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Dhaliwal, J.K., D. Panday, G.P. Robertson, and D. Saha. 2024d. Machine learning reveals dynamic controls of soil nitrous oxide emissions from diverse long-term cropping systems. J. Environ. Qual. 54(1): 132–146. doi: 10.1002/jeq2.20637.</w:t>
      </w:r>
    </w:p>
    <w:p w14:paraId="726EA81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Díaz-Zorita, M., J.H. Grove, L. Murdock, J. Herbeck, and E. Perfect. 2004. Soil structural disturbance effects on crop yields and soil properties in a no-till production system. Agron. J. 96(6): 1651–1659. doi: 10.2134/agronj2004.1651.</w:t>
      </w:r>
    </w:p>
    <w:p w14:paraId="1A3279A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Doane, T.A., and W.R. Horwáth. 2003. Spectrophotometric determination of nitrate with a single reagent. Anal. Lett. 36(12): 2713–2722. doi: 10.1081/AL-120024647.</w:t>
      </w:r>
    </w:p>
    <w:p w14:paraId="1D70ED3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Dobbie, K.E., I.P. McTaggart, and K.A. Smith. 1999. Nitrous oxide emissions from intensive agricultural systems: Variations between crops and seasons, key driving variables, and mean emission factors. J. Geophys. Res. Atmos. 104(D21): 26891–26899. doi: 10.1029/1999JD900378.</w:t>
      </w:r>
    </w:p>
    <w:p w14:paraId="1049BED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Dobbie, K.E., and K.A. Smith. 2003. Nitrous oxide emission factors for agricultural soils in Great Britain: The impact of soil water-filled pore space and other controlling variables. Glob. Chang. Biol. 9(2): 204–218. doi: 10.1046/j.1365-2486.2003.00563.x.</w:t>
      </w:r>
    </w:p>
    <w:p w14:paraId="7829E4E3"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Dong, W., E. Liu, C. Yan, J. Tian, H. Zhang, et al. 2017. Impact of no tillage vs. conventional tillage on the soil bacterial community structure in a winter wheat cropping succession in northern China. Eur. J. Soil Biol. 80: 35–42. doi: </w:t>
      </w:r>
      <w:r w:rsidRPr="00256601">
        <w:rPr>
          <w:rFonts w:cs="Times New Roman"/>
          <w:noProof/>
        </w:rPr>
        <w:lastRenderedPageBreak/>
        <w:t>10.1016/j.ejsobi.2017.03.001.</w:t>
      </w:r>
    </w:p>
    <w:p w14:paraId="7A3EC28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Dong, W., Z. Zhang, B. Chen, D. Sun, and E. Liu. 2024. Plastic mulch stimulates denitrification by interaction between soil environment and denitrifying bacteria. Plant Soil 499(1–2): 155–171. doi: 10.1007/s11104-022-05754-1.</w:t>
      </w:r>
    </w:p>
    <w:p w14:paraId="54BAEFF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Doughton, J.., I. Vallis, and P.. Saffigna. 1993. Nitrogen fixation in chickpea. I. Influence of prior cropping or fallow, nitrogen fertilizer and tillage. Aust. J. Agric. Res. 44(6): 1403–1413. doi: 10.1071/AR9931403.</w:t>
      </w:r>
    </w:p>
    <w:p w14:paraId="2293E478" w14:textId="501B81EB"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Duan, N., L. Li, X. Liang, A. Fine, J. Zhuang, et al. 2022. Variation in bacterial community structure under long-term fertilization, tillage, and cover cropping in continuous cotton production. Front. Microbiol. 13: 1–14. doi: 10.3389/fmicb.2022.847005.</w:t>
      </w:r>
    </w:p>
    <w:p w14:paraId="1EB082F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Ehrhardt, F., J.F. Soussana, G. Bellocchi, P. Grace, R. McAuliffe, et al. 2018. Assessing uncertainties in crop and pasture ensemble model simulations of productivity and N</w:t>
      </w:r>
      <w:r w:rsidRPr="007925E6">
        <w:rPr>
          <w:rFonts w:cs="Times New Roman"/>
          <w:noProof/>
          <w:vertAlign w:val="subscript"/>
        </w:rPr>
        <w:t>2</w:t>
      </w:r>
      <w:r w:rsidRPr="00256601">
        <w:rPr>
          <w:rFonts w:cs="Times New Roman"/>
          <w:noProof/>
        </w:rPr>
        <w:t>O emissions. Glob. Chang. Biol. 24(2): e603–e616. doi: 10.1111/gcb.13965.</w:t>
      </w:r>
    </w:p>
    <w:p w14:paraId="749E3B56"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EPA. 2023. Inventory of U.S. greenhouse gas emissions and sinks: 1990-2021. U.S. Environ. Prot. Agency, EPA: 205.</w:t>
      </w:r>
    </w:p>
    <w:p w14:paraId="7557561D" w14:textId="3072E398"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Feng, W., J. Ai, A.R. Sánchez-Rodríguez, S. Li, W. Zhang, et al. 2025. Depth-dependent patterns in soil organic C, enzymatic stochiometric ratio, and soil quality under conventional tillage and reduced tillage after 55-years. Agric. Ecosyst. Environ. 385. doi: 10.1016/j.agee.2025.109584.</w:t>
      </w:r>
    </w:p>
    <w:p w14:paraId="328F8AC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Feng, B., Qinggeer, J. Gao, X. Yu, S. Hu, et al. 2021. Effects of different tillage methods on soil enzyme activity, microbial biomass and community composition. J. North. </w:t>
      </w:r>
      <w:r w:rsidRPr="00256601">
        <w:rPr>
          <w:rFonts w:cs="Times New Roman"/>
          <w:noProof/>
        </w:rPr>
        <w:lastRenderedPageBreak/>
        <w:t>Agric. 49(3): 64–73. doi: 10.12190/j.issn.2096-1197.2021.0309.</w:t>
      </w:r>
    </w:p>
    <w:p w14:paraId="47CAB71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Fierer, N. 2017. Embracing the unknown: Disentangling the complexities of the soil microbiome. Nat. Rev. Microbiol. 15(10): 579–590. doi: 10.1038/nrmicro.2017.87.</w:t>
      </w:r>
    </w:p>
    <w:p w14:paraId="46DF21A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Fierer, N., J.P. Schimel, and P.A. Holden. 2003. Variations in microbial community composition through two soil depth profiles. Soil Biol. Biochem. 35(1): 167–176. doi: 10.1016/S0038-0717(02)00251-1.</w:t>
      </w:r>
    </w:p>
    <w:p w14:paraId="791A1EB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Fink, I., R.J. Abdill, R. Blekhman, and L. Grieneisen. 2022. BiomeHorizon: Visualizing microbiome time series data in R. mSystems 7(3). doi: 10.1128/msystems.01380-21.</w:t>
      </w:r>
    </w:p>
    <w:p w14:paraId="7A1A1F2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Finney, D.M., C.M. White, and J.P. Kaye. 2016. Biomass production and carbon/nitrogen ratio influence ecosystem services from cover crop mixtures. Agron. J. 108(1): 39–52. doi: 10.2134/agronj15.0182.</w:t>
      </w:r>
    </w:p>
    <w:p w14:paraId="572A545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Forster, J. 1995. Soil nitrogen. In: Alef, K. and Nannipieri, P., editors, Methods in Applied Soil Microbiology and Biochemistry. Academic Press, San Diego. p. 79–87</w:t>
      </w:r>
    </w:p>
    <w:p w14:paraId="0DF17AF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Franzluebbers, A.J. 2002. Water infiltration and soil structure related to organic matter and its stratification with depth. Soil Tillage Res. 66(2): 197–205. doi: 10.1016/S0167-1987(02)00027-2.</w:t>
      </w:r>
    </w:p>
    <w:p w14:paraId="04076A3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Franzluebbers, A.J. 2010. Achieving Soil Organic Carbon Sequestration with Conservation Agricultural Systems in the Southeastern United States. Soil Sci. Soc. Am. J. 74(2): 347–357. doi: 10.2136/sssaj2009.0079.</w:t>
      </w:r>
    </w:p>
    <w:p w14:paraId="2B838073"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Fuchs, K., L. Merbold, N. Buchmann, D. Bretscher, L. Brilli, et al. 2020. Multimodel evaluation of nitrous oxide emissions from an intensively managed grassland. J. Geophys. Res. Biogeosciences 125(1): 1–21. doi: 10.1029/2019JG005261.</w:t>
      </w:r>
    </w:p>
    <w:p w14:paraId="6EE390E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lastRenderedPageBreak/>
        <w:t>Gaillard, R.K., C.D. Jones, P. Ingraham, S. Collier, R.C. Izaurralde, et al. 2018. Underestimation of N</w:t>
      </w:r>
      <w:r w:rsidRPr="00FD64BD">
        <w:rPr>
          <w:rFonts w:cs="Times New Roman"/>
          <w:noProof/>
          <w:vertAlign w:val="subscript"/>
        </w:rPr>
        <w:t>2</w:t>
      </w:r>
      <w:r w:rsidRPr="00256601">
        <w:rPr>
          <w:rFonts w:cs="Times New Roman"/>
          <w:noProof/>
        </w:rPr>
        <w:t>O emissions in a comparison of the DayCent, DNDC, and EPIC models. Ecol. Appl. 28(3): 694–708. doi: 10.1002/eap.1674.</w:t>
      </w:r>
    </w:p>
    <w:p w14:paraId="2B3A8838"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Gangwar, K.S., K.K. Singh, S.K. Sharma, and O.K. Tomar. 2006. Alternative tillage and crop residue management in wheat after rice in sandy loam soils of Indo-Gangetic plains. Soil Tillage Res. 88(1–2): 242–252. doi: 10.1016/j.still.2005.06.015.</w:t>
      </w:r>
    </w:p>
    <w:p w14:paraId="7F889CE3" w14:textId="15B72961"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Garnier, J., A. Casquin, B. Mercier, A. Martinez, E. Gréhan, et al. 2024. Six years of nitrous oxide emissions from temperate cropping systems under real-farm rotational management. Agric. For. Meteorol. 354. doi: 10.1016/j.agrformet.2024.110085.</w:t>
      </w:r>
    </w:p>
    <w:p w14:paraId="36F7BAC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Geigenberger, P. 2003. Response of plant metabolism to too little oxygen. Curr. Opin. Plant Biol. 6(3): 247–256. doi: 10.1016/S1369-5266(03)00038-4.</w:t>
      </w:r>
    </w:p>
    <w:p w14:paraId="58C5707C" w14:textId="77777777" w:rsidR="00256601" w:rsidRPr="00024ABB" w:rsidRDefault="00256601" w:rsidP="00256601">
      <w:pPr>
        <w:widowControl w:val="0"/>
        <w:autoSpaceDE w:val="0"/>
        <w:autoSpaceDN w:val="0"/>
        <w:adjustRightInd w:val="0"/>
        <w:spacing w:line="480" w:lineRule="auto"/>
        <w:ind w:left="480" w:hanging="480"/>
        <w:jc w:val="left"/>
        <w:rPr>
          <w:rFonts w:cs="Times New Roman"/>
          <w:noProof/>
          <w:lang w:val="es-UY"/>
        </w:rPr>
      </w:pPr>
      <w:r w:rsidRPr="00256601">
        <w:rPr>
          <w:rFonts w:cs="Times New Roman"/>
          <w:noProof/>
        </w:rPr>
        <w:t xml:space="preserve">Goldstein, M., and A. Dengel. 2012. Histogram-based outlier score (hbos): A fast unsupervised anomaly detection algorithm. </w:t>
      </w:r>
      <w:r w:rsidRPr="00024ABB">
        <w:rPr>
          <w:rFonts w:cs="Times New Roman"/>
          <w:noProof/>
          <w:lang w:val="es-UY"/>
        </w:rPr>
        <w:t>KI-2012 poster demo track (1): 59–63.</w:t>
      </w:r>
    </w:p>
    <w:p w14:paraId="2979191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024ABB">
        <w:rPr>
          <w:rFonts w:cs="Times New Roman"/>
          <w:noProof/>
          <w:lang w:val="es-UY"/>
        </w:rPr>
        <w:t xml:space="preserve">Gomes, J., F. De Souza, M. De Cassia, A. Zanatta, F. Costa, et al. 2009. </w:t>
      </w:r>
      <w:r w:rsidRPr="00256601">
        <w:rPr>
          <w:rFonts w:cs="Times New Roman"/>
          <w:noProof/>
        </w:rPr>
        <w:t>Soil nitrous oxide emissions in long-term cover crops-based rotations under subtropical climate. Soil Tillage Res. 106: 36–44. doi: 10.1016/j.still.2009.10.001.</w:t>
      </w:r>
    </w:p>
    <w:p w14:paraId="25C5661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Govaerts, B., N. Verhulst, A. Castellanos-Navarrete, K.D. Sayre, J. Dixon, et al. 2009. Conservation agriculture and soil carbon sequestration: Between myth and farmer reality. CRC. Crit. Rev. Plant Sci. 28(3): 97–122. doi: 10.1080/07352680902776358.</w:t>
      </w:r>
    </w:p>
    <w:p w14:paraId="20EA8A8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Grados, D., K. Butterbach-Bahl, J. Chen, K. Jan van Groenigen, J.E. Olesen, et al. 2022. Synthesizing the evidence of nitrous oxide mitigation practices in agroecosystems. </w:t>
      </w:r>
      <w:r w:rsidRPr="00256601">
        <w:rPr>
          <w:rFonts w:cs="Times New Roman"/>
          <w:noProof/>
        </w:rPr>
        <w:lastRenderedPageBreak/>
        <w:t>Environ. Res. Lett. 17(11). doi: 10.1088/1748-9326/ac9b50.</w:t>
      </w:r>
    </w:p>
    <w:p w14:paraId="60D10E6B" w14:textId="28D73D6B"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Graham, E.B., J.E. Knelman, A. Schindlbacher, S. Siciliano, M. Breulmann, et al. 2016. Microbes as engines of ecosystem function: When does community structure enhance predictions of ecosystem processes? Front. Microbiol. 7: 1–10. doi: 10.3389/fmicb.2016.00214.</w:t>
      </w:r>
    </w:p>
    <w:p w14:paraId="4F23139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Grandy, A.S., T.D. Loecke, S. Parr, and G.P. Robertson. 2006. Long‐term trends in nitrous oxide emissions, soil nitrogen, and crop yields of till and no‐till cropping systems. J. Environ. Qual. 35(4): 1487–1495. doi: 10.2134/jeq2005.0166.</w:t>
      </w:r>
    </w:p>
    <w:p w14:paraId="0FB4215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Groffman, P.M., K. Butterbach-Bahl, R.W. Fulweiler, A.J. Gold, J.L. Morse, et al. 2009. Challenges to incorporating spatially and temporally explicit phenomena (hotspots and hot moments) in denitrification models. Biogeochemistry 93(1–2): 49–77. doi: 10.1007/s10533-008-9277-5.</w:t>
      </w:r>
    </w:p>
    <w:p w14:paraId="0C70B086" w14:textId="314EF64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Del Grosso, S., D. Ojima, W. Parton, A. Mosier, G. Peterson, et al. 2002. Simulated effects of dryland cropping intensification on soil organic matter and greenhouse gas exchanges using the DAYCENT ecosystem model. Environ. Pollut. 116: 75–83. doi: 10.1016/S0269-7491(01)00260-3.</w:t>
      </w:r>
    </w:p>
    <w:p w14:paraId="5A30BFF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Gu, Y.Z., C.J. Dong, S.Y. Chen, J.W. Jin, P.Z. Yang, et al. 2024. Effect of soil archaea on N</w:t>
      </w:r>
      <w:r w:rsidRPr="00FD64BD">
        <w:rPr>
          <w:rFonts w:cs="Times New Roman"/>
          <w:noProof/>
          <w:vertAlign w:val="subscript"/>
        </w:rPr>
        <w:t>2</w:t>
      </w:r>
      <w:r w:rsidRPr="00256601">
        <w:rPr>
          <w:rFonts w:cs="Times New Roman"/>
          <w:noProof/>
        </w:rPr>
        <w:t>O emission in alpine permafrost. Res. Cold Arid Reg. 16(2): 45–62. doi: 10.1016/j.rcar.2024.04.002.</w:t>
      </w:r>
    </w:p>
    <w:p w14:paraId="1B409AC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Gu, Y., Y. Wang, S. Lu, Q. Xiang, X. Yu, et al. 2017. Long-term fertilization structures bacterial and archaeal communities along soil depth gradient in a paddy soil. Front. Microbiol. 8(AUG): 1–15. doi: 10.3389/fmicb.2017.01516.</w:t>
      </w:r>
    </w:p>
    <w:p w14:paraId="187DB0E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lastRenderedPageBreak/>
        <w:t>Guenet, B., B. Gabrielle, C. Chenu, D. Arrouays, J. Balesdent, et al. 2021. Can N</w:t>
      </w:r>
      <w:r w:rsidRPr="00BD6AC8">
        <w:rPr>
          <w:rFonts w:cs="Times New Roman"/>
          <w:noProof/>
          <w:vertAlign w:val="subscript"/>
        </w:rPr>
        <w:t>2</w:t>
      </w:r>
      <w:r w:rsidRPr="00256601">
        <w:rPr>
          <w:rFonts w:cs="Times New Roman"/>
          <w:noProof/>
        </w:rPr>
        <w:t>O emissions offset the benefits from soil organic carbon storage? Glob. Chang. Biol. 27(2): 237–256. doi: 10.1111/gcb.15342.</w:t>
      </w:r>
    </w:p>
    <w:p w14:paraId="28F8A97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Hamrani, A., A. Akbarzadeh, and C.A. Madramootoo. 2020. Machine learning for predicting greenhouse gas emissions from agricultural soils. Sci. Total Environ. 741: 140338. doi: 10.1016/j.scitotenv.2020.140338.</w:t>
      </w:r>
    </w:p>
    <w:p w14:paraId="668A3DBA"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Hao, D.C., L. Wang, W. Gao, H. Xie, X. Bao, et al. 2021. Disentangling effects of moisture/gas regimes on microbial community, network configuration and nitrogen turnover of black soil. Eurasian Soil Sci. 54: S42–S61. doi: 10.1134/S1064229322030073.</w:t>
      </w:r>
    </w:p>
    <w:p w14:paraId="606F004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Harbison, A.B., L.E. Price, M.D. Flythe, and S.L. Bräuer. 2017. Micropepsis pineolensis gen. nov., sp. nov., a mildly acidophilic alphaproteobacterium isolated from a poor fen, and proposal of micropepsaceae fam. nov. within micropepsales ord. nov. Int. J. Syst. Evol. Microbiol. 67(4): 839–844. doi: 10.1099/ijsem.0.001681.</w:t>
      </w:r>
    </w:p>
    <w:p w14:paraId="1D6B9438"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Hill, R.L., R. Horton, and R.M. Cruse. 1985. Tillage effects on soil water retention and pore size distribution of two Mollisols. Soil Sci. Soc. Am. J. 49(5): 1264–1270. doi: 10.2136/sssaj1985.03615995004900050039x.</w:t>
      </w:r>
    </w:p>
    <w:p w14:paraId="4321E0B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Horn, R., and A. Smucker. 2005. Structure formation and its consequences for gas and water transport in unsaturated arable and forest soils. Soil Tillage Res. 82(1): 5–14. doi: 10.1016/j.still.2005.01.002.</w:t>
      </w:r>
    </w:p>
    <w:p w14:paraId="05B5B08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Hu, H.W., D. Chen, and J.Z. He. 2015. Microbial regulation of terrestrial nitrous oxide formation: Understanding the biological pathways for prediction of emission rates. </w:t>
      </w:r>
      <w:r w:rsidRPr="00256601">
        <w:rPr>
          <w:rFonts w:cs="Times New Roman"/>
          <w:noProof/>
        </w:rPr>
        <w:lastRenderedPageBreak/>
        <w:t>FEMS Microbiol. Rev. 39(5): 729–749. doi: 10.1093/femsre/fuv021.</w:t>
      </w:r>
    </w:p>
    <w:p w14:paraId="264311A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Hu, J., V.L. Jin, J.Y.M. Konkel, S.M. Schaeffer, L.G. Schneider, et al. 2021. Soil health management enhances microbial nitrogen cycling capacity and activity. mSphere 6(1): 1–19.</w:t>
      </w:r>
    </w:p>
    <w:p w14:paraId="7608F3E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Huang, C., Y. Gao, A. Qin, Z. Liu, B. Zhao, et al. 2022. Effects of waterlogging at different stages and durations on maize growth and grain yields. Agric. Water Manag. 261: 107334. doi: 10.1016/j.agwat.2021.107334.</w:t>
      </w:r>
    </w:p>
    <w:p w14:paraId="5080F22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Hussein, A.S., T. Li, C.W. Yohannese, and K. Bashir. 2019. A-SMOTE: A new preprocessing approach for highly imbalanced datasets by improving SMOTE. Int. J. Comput. Intell. Syst. 12(2): 1412–1422. doi: 10.2991/ijcis.d.191114.002.</w:t>
      </w:r>
    </w:p>
    <w:p w14:paraId="7DD5AB5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IPCC. 1996. Revised 1996 IPCC guidelines for national greenhouse gas inventories.</w:t>
      </w:r>
    </w:p>
    <w:p w14:paraId="091AE9C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IPCC. 2023. Climate Change 2023: Synthesis report. Contribution of working groups I, II and III to the sixth assessment report of the Intergovernmental Panel on Climate Change. In: Romero, H.L. and J., editor. IPCC. Geneva, Switzerland. p. 35–115</w:t>
      </w:r>
    </w:p>
    <w:p w14:paraId="6887EBC8" w14:textId="77777777" w:rsidR="00256601" w:rsidRPr="00024ABB" w:rsidRDefault="00256601" w:rsidP="00256601">
      <w:pPr>
        <w:widowControl w:val="0"/>
        <w:autoSpaceDE w:val="0"/>
        <w:autoSpaceDN w:val="0"/>
        <w:adjustRightInd w:val="0"/>
        <w:spacing w:line="480" w:lineRule="auto"/>
        <w:ind w:left="480" w:hanging="480"/>
        <w:jc w:val="left"/>
        <w:rPr>
          <w:rFonts w:cs="Times New Roman"/>
          <w:noProof/>
          <w:lang w:val="es-UY"/>
        </w:rPr>
      </w:pPr>
      <w:r w:rsidRPr="00256601">
        <w:rPr>
          <w:rFonts w:cs="Times New Roman"/>
          <w:noProof/>
        </w:rPr>
        <w:t xml:space="preserve">Jagadamma, S., M.E. Essington, S. Xu, and X. Yin. 2019. Total and active soil organic carbon from long‐term agricultural management practices in west Tennessee. </w:t>
      </w:r>
      <w:r w:rsidRPr="00024ABB">
        <w:rPr>
          <w:rFonts w:cs="Times New Roman"/>
          <w:noProof/>
          <w:lang w:val="es-UY"/>
        </w:rPr>
        <w:t>Agric. Environ. Lett. 4(1): 1–5. doi: 10.2134/ael2018.11.0062.</w:t>
      </w:r>
    </w:p>
    <w:p w14:paraId="416D4C18"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024ABB">
        <w:rPr>
          <w:rFonts w:cs="Times New Roman"/>
          <w:noProof/>
          <w:lang w:val="es-UY"/>
        </w:rPr>
        <w:t xml:space="preserve">Jiménez-Bueno, N.G., C. Valenzuela-Encinas, R. Marsch, D. Ortiz-Gutiérrez, N. Verhulst, et al. 2016. </w:t>
      </w:r>
      <w:r w:rsidRPr="00256601">
        <w:rPr>
          <w:rFonts w:cs="Times New Roman"/>
          <w:noProof/>
        </w:rPr>
        <w:t>Bacterial indicator taxa in soils under different long-term agricultural management. J. Appl. Microbiol. 120(4): 921–933. doi: 10.1111/jam.13072.</w:t>
      </w:r>
    </w:p>
    <w:p w14:paraId="190D18E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Jin, X., X. Yang, S. Peng, E. Ma, H. Zhang, et al. 2022. Cropping system has stronger </w:t>
      </w:r>
      <w:r w:rsidRPr="00256601">
        <w:rPr>
          <w:rFonts w:cs="Times New Roman"/>
          <w:noProof/>
        </w:rPr>
        <w:lastRenderedPageBreak/>
        <w:t>effect on Tobacco soil bacterial community than fertilization. SSRN: 1–31. doi: http://dx.doi.org/10.2139/ssrn.4295735.</w:t>
      </w:r>
    </w:p>
    <w:p w14:paraId="268103C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Joshi, D.R., D.E. Clay, S.A. Clay, J. Moriles-Miller, A.L.M. Daigh, et al. 2024. Quantification and machine learning based N</w:t>
      </w:r>
      <w:r w:rsidRPr="004D5976">
        <w:rPr>
          <w:rFonts w:cs="Times New Roman"/>
          <w:noProof/>
          <w:vertAlign w:val="subscript"/>
        </w:rPr>
        <w:t>2</w:t>
      </w:r>
      <w:r w:rsidRPr="00256601">
        <w:rPr>
          <w:rFonts w:cs="Times New Roman"/>
          <w:noProof/>
        </w:rPr>
        <w:t>O–N and CO</w:t>
      </w:r>
      <w:r w:rsidRPr="004D5976">
        <w:rPr>
          <w:rFonts w:cs="Times New Roman"/>
          <w:noProof/>
          <w:vertAlign w:val="subscript"/>
        </w:rPr>
        <w:t>2</w:t>
      </w:r>
      <w:r w:rsidRPr="00256601">
        <w:rPr>
          <w:rFonts w:cs="Times New Roman"/>
          <w:noProof/>
        </w:rPr>
        <w:t>–C emissions predictions from a decomposing rye cover crop. Agron. J. 116(3): 795–809. doi: 10.1002/agj2.21185.</w:t>
      </w:r>
    </w:p>
    <w:p w14:paraId="3E7AA31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Karl, T.R., J.M. Melillo, and T.C. Peterson. 2009. Global climate change impacts in the United States (C.U. Press, editor).</w:t>
      </w:r>
    </w:p>
    <w:p w14:paraId="01CE7861" w14:textId="55CE801A"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Keiluweit, M., K. Gee, A. Denney, and S. Fendorf. 2018. Anoxic microsites in upland soils dominantly controlled by clay content. Soil Biol. Biochem. 118: 42–50. doi: 10.1016/j.soilbio.2017.12.002.</w:t>
      </w:r>
    </w:p>
    <w:p w14:paraId="68ECD35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Kemmann, B., T. Ruf, A. Matson, and R. Well. 2023. Waterlogging effects on N</w:t>
      </w:r>
      <w:r w:rsidRPr="004D5976">
        <w:rPr>
          <w:rFonts w:cs="Times New Roman"/>
          <w:noProof/>
          <w:vertAlign w:val="subscript"/>
        </w:rPr>
        <w:t>2</w:t>
      </w:r>
      <w:r w:rsidRPr="00256601">
        <w:rPr>
          <w:rFonts w:cs="Times New Roman"/>
          <w:noProof/>
        </w:rPr>
        <w:t>O and N</w:t>
      </w:r>
      <w:r w:rsidRPr="004D5976">
        <w:rPr>
          <w:rFonts w:cs="Times New Roman"/>
          <w:noProof/>
          <w:vertAlign w:val="subscript"/>
        </w:rPr>
        <w:t>2</w:t>
      </w:r>
      <w:r w:rsidRPr="00256601">
        <w:rPr>
          <w:rFonts w:cs="Times New Roman"/>
          <w:noProof/>
        </w:rPr>
        <w:t xml:space="preserve"> emissions from a Stagnosol cultivated with Silphium perfoliatum and silage maize. Biol. Fertil. Soils 59(1): 53–71. doi: 10.1007/s00374-022-01673-6.</w:t>
      </w:r>
    </w:p>
    <w:p w14:paraId="6075847B" w14:textId="08045C93"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Khalil, M., A. AlSayed, Y. Liu, and P.A. Vanrolleghem. 2023. Machine learning for modeling N</w:t>
      </w:r>
      <w:r w:rsidRPr="004D5976">
        <w:rPr>
          <w:rFonts w:cs="Times New Roman"/>
          <w:noProof/>
          <w:vertAlign w:val="subscript"/>
        </w:rPr>
        <w:t>2</w:t>
      </w:r>
      <w:r w:rsidRPr="00256601">
        <w:rPr>
          <w:rFonts w:cs="Times New Roman"/>
          <w:noProof/>
        </w:rPr>
        <w:t>O emissions from wastewater treatment plants: Aligning model performance, complexity, and interpretability. Water Res. 245: 120667. doi: 10.1016/j.watres.2023.120667.</w:t>
      </w:r>
    </w:p>
    <w:p w14:paraId="17685088" w14:textId="1760640C"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Kim, N., M.C. Zabaloy, M.B. Villamil, C.W. Riggins, and S. Rodríguez-Zas. 2020. Microbial shifts following five years of cover cropping and tillage practices in fertile agroecosystems. Microorganisms 8(11): 1–21. doi:</w:t>
      </w:r>
      <w:r w:rsidR="00FD64BD">
        <w:rPr>
          <w:rFonts w:cs="Times New Roman"/>
          <w:noProof/>
        </w:rPr>
        <w:t xml:space="preserve"> </w:t>
      </w:r>
      <w:r w:rsidRPr="00256601">
        <w:rPr>
          <w:rFonts w:cs="Times New Roman"/>
          <w:noProof/>
        </w:rPr>
        <w:t>10.3390/microorganisms8111773.</w:t>
      </w:r>
    </w:p>
    <w:p w14:paraId="17E62FD3"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lastRenderedPageBreak/>
        <w:t>Kotlar, A.M., J. Singh, and S. Kumar. 2022. Prediction of greenhouse gas emissions from agricultural fields with and without cover crops. Soil Sci. Soc. Am. J. 86(5): 1227–1240. doi: 10.1002/saj2.20429.</w:t>
      </w:r>
    </w:p>
    <w:p w14:paraId="74C570E4" w14:textId="77777777" w:rsidR="00256601" w:rsidRPr="00024ABB" w:rsidRDefault="00256601" w:rsidP="00256601">
      <w:pPr>
        <w:widowControl w:val="0"/>
        <w:autoSpaceDE w:val="0"/>
        <w:autoSpaceDN w:val="0"/>
        <w:adjustRightInd w:val="0"/>
        <w:spacing w:line="480" w:lineRule="auto"/>
        <w:ind w:left="480" w:hanging="480"/>
        <w:jc w:val="left"/>
        <w:rPr>
          <w:rFonts w:cs="Times New Roman"/>
          <w:noProof/>
          <w:lang w:val="es-UY"/>
        </w:rPr>
      </w:pPr>
      <w:r w:rsidRPr="00256601">
        <w:rPr>
          <w:rFonts w:cs="Times New Roman"/>
          <w:noProof/>
        </w:rPr>
        <w:t>Kravchenko, A.N., E.R. Toosi, A.K. Guber, N.E. Ostrom, J. Yu, et al. 2017. Hotspots of soil N</w:t>
      </w:r>
      <w:r w:rsidRPr="004D5976">
        <w:rPr>
          <w:rFonts w:cs="Times New Roman"/>
          <w:noProof/>
          <w:vertAlign w:val="subscript"/>
        </w:rPr>
        <w:t>2</w:t>
      </w:r>
      <w:r w:rsidRPr="00256601">
        <w:rPr>
          <w:rFonts w:cs="Times New Roman"/>
          <w:noProof/>
        </w:rPr>
        <w:t xml:space="preserve">O emission enhanced through water absorption by plant residue. </w:t>
      </w:r>
      <w:r w:rsidRPr="00024ABB">
        <w:rPr>
          <w:rFonts w:cs="Times New Roman"/>
          <w:noProof/>
          <w:lang w:val="es-UY"/>
        </w:rPr>
        <w:t>Nat. Geosci. 10(7): 496–500. doi: 10.1038/ngeo2963.</w:t>
      </w:r>
    </w:p>
    <w:p w14:paraId="5588C05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024ABB">
        <w:rPr>
          <w:rFonts w:cs="Times New Roman"/>
          <w:noProof/>
          <w:lang w:val="es-UY"/>
        </w:rPr>
        <w:t xml:space="preserve">De la Cruz-Barrón, M., A. Cruz-Mendoza, Y.E. Navarro–Noya, V.M. Ruiz-Valdiviezo, D. Ortíz-Gutiérrez, et al. 2017. </w:t>
      </w:r>
      <w:r w:rsidRPr="00256601">
        <w:rPr>
          <w:rFonts w:cs="Times New Roman"/>
          <w:noProof/>
        </w:rPr>
        <w:t>The bacterial community structure and dynamics of carbon and nitrogen when Maize (Zea mays L.) and its neutral detergent fibre were added to soil from Zimbabwe with contrasting management practices. Microb. Ecol. 73(1): 135–152. doi: 10.1007/s00248-016-0807-8.</w:t>
      </w:r>
    </w:p>
    <w:p w14:paraId="7A4841B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Lal, R. 1995. The role of residues management in sustainable agricultural systems. J. Sustain. Agric. (May 2013).</w:t>
      </w:r>
    </w:p>
    <w:p w14:paraId="410D0CF3"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Lal, R. 2004. Soil carbon sequestration impacts on global climate change and food security. Science (80-. ). 304(5677): 1623–1627. doi: 10.1126/science.1097396.</w:t>
      </w:r>
    </w:p>
    <w:p w14:paraId="2CB6A49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Lal, R. 2005. World crop residues production and implications of its use as a biofuel. Environ. Int. 31(4): 575–584. doi: 10.1016/j.envint.2004.09.005.</w:t>
      </w:r>
    </w:p>
    <w:p w14:paraId="75D5E8CF" w14:textId="77777777" w:rsidR="00256601" w:rsidRPr="00024ABB" w:rsidRDefault="00256601" w:rsidP="00256601">
      <w:pPr>
        <w:widowControl w:val="0"/>
        <w:autoSpaceDE w:val="0"/>
        <w:autoSpaceDN w:val="0"/>
        <w:adjustRightInd w:val="0"/>
        <w:spacing w:line="480" w:lineRule="auto"/>
        <w:ind w:left="480" w:hanging="480"/>
        <w:jc w:val="left"/>
        <w:rPr>
          <w:rFonts w:cs="Times New Roman"/>
          <w:noProof/>
          <w:lang w:val="es-UY"/>
        </w:rPr>
      </w:pPr>
      <w:r w:rsidRPr="00256601">
        <w:rPr>
          <w:rFonts w:cs="Times New Roman"/>
          <w:noProof/>
        </w:rPr>
        <w:t xml:space="preserve">Larsen, M., S.M. Borisov, B. Grunwald, I. Klimant, and R.N. Glud. 2011. A simple and inexpensive high resolution color ratiometric planar optode imaging approach: Application to oxygen and pH sensing. </w:t>
      </w:r>
      <w:r w:rsidRPr="00024ABB">
        <w:rPr>
          <w:rFonts w:cs="Times New Roman"/>
          <w:noProof/>
          <w:lang w:val="es-UY"/>
        </w:rPr>
        <w:t>Limnol. Oceanogr. Methods 9(SEP): 348–360. doi: 10.4319/lom.2011.9.348.</w:t>
      </w:r>
    </w:p>
    <w:p w14:paraId="2A513BD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024ABB">
        <w:rPr>
          <w:rFonts w:cs="Times New Roman"/>
          <w:noProof/>
          <w:lang w:val="es-UY"/>
        </w:rPr>
        <w:t xml:space="preserve">Laudicina, V.A., E. Palazzolo, P. Catania, M. Vallone, A.D. García, et al. 2017. </w:t>
      </w:r>
      <w:r w:rsidRPr="00256601">
        <w:rPr>
          <w:rFonts w:cs="Times New Roman"/>
          <w:noProof/>
        </w:rPr>
        <w:t xml:space="preserve">Soil </w:t>
      </w:r>
      <w:r w:rsidRPr="00256601">
        <w:rPr>
          <w:rFonts w:cs="Times New Roman"/>
          <w:noProof/>
        </w:rPr>
        <w:lastRenderedPageBreak/>
        <w:t>quality indicators as affected by shallow tillage in a vineyard grown in a semiarid Mediterranean environment. L. Degrad. Dev. 28(3): 1038–1046. doi: 10.1002/ldr.2581.</w:t>
      </w:r>
    </w:p>
    <w:p w14:paraId="0972986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Lemaire, G. 1997. Diagnosis of the nitrogen status in crops (G. Lemaire, editor). Library of Congress Cataloging-in-Publication Data.</w:t>
      </w:r>
    </w:p>
    <w:p w14:paraId="0C4E7334"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Lemaire, G., P. Cruz, G. Gosse, and M. Chartier. </w:t>
      </w:r>
      <w:r w:rsidRPr="00024ABB">
        <w:rPr>
          <w:rFonts w:cs="Times New Roman"/>
          <w:noProof/>
          <w:lang w:val="es-UY"/>
        </w:rPr>
        <w:t xml:space="preserve">1985. Etude des relations entre la dynamique de prélèvement d’azote et la dynamique de croissance en matière sèche d’un peuplement de luzerne (Medicago sativa L.). </w:t>
      </w:r>
      <w:r w:rsidRPr="00256601">
        <w:rPr>
          <w:rFonts w:cs="Times New Roman"/>
          <w:noProof/>
        </w:rPr>
        <w:t>Agronomie 5(8): 685–692. doi: 10.1051/agro:19850803.</w:t>
      </w:r>
    </w:p>
    <w:p w14:paraId="38A6510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Lenth, R. 2025. emmeans: Estimated marginal means, aka least-squares means. https://rvlenth.github.io/emmeans/.</w:t>
      </w:r>
    </w:p>
    <w:p w14:paraId="5F8064A5" w14:textId="21D70A0D"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Li, C., S. Frolking, and T.A. Frolking. 1992. A model of nitrous oxide evolution from soil driven by rainfall events: 2. Model applications. J. Geophys. Res. 97: 9777–9783. doi: 10.1029/92jd00510.</w:t>
      </w:r>
    </w:p>
    <w:p w14:paraId="5BA1F09F" w14:textId="262E62DD"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Li, H., N. Hill, and J. Wallace. 2023a. A perennial living mulch system fosters a more diverse and balanced soil bacterial community. PLoS One 18</w:t>
      </w:r>
      <w:r w:rsidR="004D5976">
        <w:rPr>
          <w:rFonts w:cs="Times New Roman"/>
          <w:noProof/>
        </w:rPr>
        <w:t>:</w:t>
      </w:r>
      <w:r w:rsidRPr="00256601">
        <w:rPr>
          <w:rFonts w:cs="Times New Roman"/>
          <w:noProof/>
        </w:rPr>
        <w:t xml:space="preserve"> 1–20. doi: 10.1371/journal.pone.0290608.</w:t>
      </w:r>
    </w:p>
    <w:p w14:paraId="6E98E61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Li, Z., A.N. Kravchenko, A. Cupples, A.K. Guber, Y. Kuzyakov, et al. 2024. Composition and metabolism of microbial communities in soil pores. Nat. Commun. 15(1): 1–16. doi: 10.1038/s41467-024-47755-x.</w:t>
      </w:r>
    </w:p>
    <w:p w14:paraId="7ABF000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Li, Z. ren, S. quan Luo, Y. jun Peng, C. zhong Jin, and D. cai Liu. 2023b. Effect of long-term application of bioorganic fertilizer on the soil property and bacteria in rice </w:t>
      </w:r>
      <w:r w:rsidRPr="00256601">
        <w:rPr>
          <w:rFonts w:cs="Times New Roman"/>
          <w:noProof/>
        </w:rPr>
        <w:lastRenderedPageBreak/>
        <w:t>paddy. AMB Express 13(1). doi: 10.1186/s13568-023-01559-2.</w:t>
      </w:r>
    </w:p>
    <w:p w14:paraId="0C6FFA83"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Li, M., M. Shimizu, and R. Hatano. 2015. Evaluation of N</w:t>
      </w:r>
      <w:r w:rsidRPr="004D5976">
        <w:rPr>
          <w:rFonts w:cs="Times New Roman"/>
          <w:noProof/>
          <w:vertAlign w:val="subscript"/>
        </w:rPr>
        <w:t>2</w:t>
      </w:r>
      <w:r w:rsidRPr="00256601">
        <w:rPr>
          <w:rFonts w:cs="Times New Roman"/>
          <w:noProof/>
        </w:rPr>
        <w:t>O and CO</w:t>
      </w:r>
      <w:r w:rsidRPr="004D5976">
        <w:rPr>
          <w:rFonts w:cs="Times New Roman"/>
          <w:noProof/>
          <w:vertAlign w:val="subscript"/>
        </w:rPr>
        <w:t>2</w:t>
      </w:r>
      <w:r w:rsidRPr="00256601">
        <w:rPr>
          <w:rFonts w:cs="Times New Roman"/>
          <w:noProof/>
        </w:rPr>
        <w:t xml:space="preserve"> hot moments in managed grassland and cornfield, southern Hokkaido, Japan. Catena 133: 1–13. doi: 10.1016/j.catena.2015.04.014.</w:t>
      </w:r>
    </w:p>
    <w:p w14:paraId="3EEA2677" w14:textId="2253C1C1"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Li, X., P. Sørensen, J.E. Olesen, and S.O. Petersen. 2016. Evidence for denitrification as main source of N</w:t>
      </w:r>
      <w:r w:rsidRPr="004D5976">
        <w:rPr>
          <w:rFonts w:cs="Times New Roman"/>
          <w:noProof/>
          <w:vertAlign w:val="subscript"/>
        </w:rPr>
        <w:t>2</w:t>
      </w:r>
      <w:r w:rsidRPr="00256601">
        <w:rPr>
          <w:rFonts w:cs="Times New Roman"/>
          <w:noProof/>
        </w:rPr>
        <w:t>O emission from residue-amended soil. Soil Biol. Biochem. 92: 153–160. doi: 10.1016/j.soilbio.2015.10.008.</w:t>
      </w:r>
    </w:p>
    <w:p w14:paraId="37D289E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Li, Z., Z. Tang, Z. Song, W. Chen, D. Tian, et al. 2022. Variations and controlling factors of soil denitrification rate. Glob. Chang. Biol. 28(6): 2133–2145. doi: 10.1111/gcb.16066.</w:t>
      </w:r>
    </w:p>
    <w:p w14:paraId="2300771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Li, L., Y. Xi, E. Chen, L. He, L. Wang, et al. 2018. Effects of tillage and green manure crop on composition and diversity of soil microbial community. J. Ecol. Rural Environ. 34: 342–348.</w:t>
      </w:r>
    </w:p>
    <w:p w14:paraId="63E5C54F" w14:textId="4AB36AF5"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Liu, S., C. Hao, Z. Xie, Y. Wu, A. Liang, et al. 2024. Conservation tillage impacts on soil biodiversity: Additional insights from the Collembola-associated bacteria. Agric. Ecosyst. Environ. 362: 108827. doi: 10.1016/j.agee.2023.108827.</w:t>
      </w:r>
    </w:p>
    <w:p w14:paraId="00CF4FA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Liu, C., L. Li, J. Xie, J.A. Coulter, R. Zhang, et al. 2020. Soil bacterial diversity and potential functions are regulated by long-term conservation tillage and straw mulching. Microorganisms 8(6). doi: 10.3390/microorganisms8060836.</w:t>
      </w:r>
    </w:p>
    <w:p w14:paraId="2C2E847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Loecke, T.D., and G.P. Robertson. 2009. Soil resource heterogeneity in terms of litter aggregation promotes nitrous oxide fluxes and slows decomposition. Soil Biol. Biochem. 41(2): 228–235. doi: 10.1016/j.soilbio.2008.10.017.</w:t>
      </w:r>
    </w:p>
    <w:p w14:paraId="0F9DA7A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lastRenderedPageBreak/>
        <w:t>Louarn, G., L. Bedoussac, N. Gaudio, E.P. Journet, D. Moreau, et al. 2021. Plant nitrogen nutrition status in intercrops– a review of concepts and methods. Eur. J. Agron. 124. doi: 10.1016/j.eja.2021.126229.</w:t>
      </w:r>
    </w:p>
    <w:p w14:paraId="2E3644E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Louca, S., M.F. Polz, F. Mazel, M.B.N. Albright, J.A. Huber, et al. 2018. Function and functional redundancy in microbial systems. Nat. Ecol. Evol. 2(6): 936–943. doi: 10.1038/s41559-018-0519-1.</w:t>
      </w:r>
    </w:p>
    <w:p w14:paraId="72FEBBE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Lourenço, K.S., M.R. Dimitrov, A. Pijl, J.R. Soares, J.B. do Carmo, et al. 2018. Dominance of bacterial ammonium oxidizers and fungal denitrifiers in the complex nitrogen cycle pathways related to nitrous oxide emission. GCB Bioenergy 10(9): 645–660. doi: 10.1111/gcbb.12519.</w:t>
      </w:r>
    </w:p>
    <w:p w14:paraId="317A9A64"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Lu, J., Q. Zhang, A.D. Werner, Y. Li, S. Jiang, et al. 2020. Root-induced changes of soil hydraulic properties – A review. J. Hydrol. 589: 125203. doi: 10.1016/j.jhydrol.2020.125203.</w:t>
      </w:r>
    </w:p>
    <w:p w14:paraId="4781C2EC" w14:textId="5366F400"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Lucas, M., L.T.T. Nguyen, A. Guber, and A.N. Kravchenko. 2022. Cover crop influence on pore size distribution and biopore dynamics: Enumerating root and soil faunal effects. Front. Plant Sci. 13: 1–13. doi: 10.3389/fpls.2022.928569.</w:t>
      </w:r>
    </w:p>
    <w:p w14:paraId="581FB458" w14:textId="6124317B"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Luo, G.J., N. Brüggemann, B. Wolf, R. Gasche, R. Grote, et al. 2012. Decadal variability of soil CO</w:t>
      </w:r>
      <w:r w:rsidRPr="00AE5606">
        <w:rPr>
          <w:rFonts w:cs="Times New Roman"/>
          <w:noProof/>
          <w:vertAlign w:val="subscript"/>
        </w:rPr>
        <w:t>2</w:t>
      </w:r>
      <w:r w:rsidRPr="00256601">
        <w:rPr>
          <w:rFonts w:cs="Times New Roman"/>
          <w:noProof/>
        </w:rPr>
        <w:t>, NO, N</w:t>
      </w:r>
      <w:r w:rsidRPr="00AE5606">
        <w:rPr>
          <w:rFonts w:cs="Times New Roman"/>
          <w:noProof/>
          <w:vertAlign w:val="subscript"/>
        </w:rPr>
        <w:t>2</w:t>
      </w:r>
      <w:r w:rsidRPr="00256601">
        <w:rPr>
          <w:rFonts w:cs="Times New Roman"/>
          <w:noProof/>
        </w:rPr>
        <w:t>O, and CH</w:t>
      </w:r>
      <w:r w:rsidRPr="00AE5606">
        <w:rPr>
          <w:rFonts w:cs="Times New Roman"/>
          <w:noProof/>
          <w:vertAlign w:val="subscript"/>
        </w:rPr>
        <w:t>4</w:t>
      </w:r>
      <w:r w:rsidR="00AE5606">
        <w:rPr>
          <w:rFonts w:cs="Times New Roman"/>
          <w:noProof/>
        </w:rPr>
        <w:t xml:space="preserve"> </w:t>
      </w:r>
      <w:r w:rsidRPr="00256601">
        <w:rPr>
          <w:rFonts w:cs="Times New Roman"/>
          <w:noProof/>
        </w:rPr>
        <w:t>fluxes at the Höglwald Forest, Germany. Biogeosciences 9(5): 1741–1763. doi: 10.5194/bg-9-1741-2012.</w:t>
      </w:r>
    </w:p>
    <w:p w14:paraId="5356814A"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Luo, Z., E. Wang, and O.J. Sun. 2010. Can no-tillage stimulate carbon sequestration in agricultural soils? A meta-analysis of paired experiments. Agric. Ecosyst. Environ. 139(1–2): 224–231. doi: 10.1016/j.agee.2010.08.006.</w:t>
      </w:r>
    </w:p>
    <w:p w14:paraId="38AACE3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lastRenderedPageBreak/>
        <w:t>Lupwayi, N.Z., G.P. Lafond, N. Ziadi, and C.A. Grant. 2012. Soil microbial response to nitrogen fertilizer and tillage in barley and corn. Soil Tillage Res. 118: 139–146. doi: 10.1016/j.still.2011.11.006.</w:t>
      </w:r>
    </w:p>
    <w:p w14:paraId="0BB722FA"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Lussich, F., J.K. Dhaliwal, A.M. Faiia, S. Jagadamma, S.M. Schaeffer, et al. 2024a. Cover crop residue decomposition triggered soil oxygen depletion and promoted nitrous oxide emissions. Sci. Rep. 14(1): 1–14. doi: 10.1038/s41598-024-58942-7.</w:t>
      </w:r>
    </w:p>
    <w:p w14:paraId="0BC58D5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Lussich, F., J.K. Dhaliwal, W. Wright, and D. Saha. 2024b. Forty-two years of no-tillage and cover cropping improved soil oxygen availability and resilience. Agric. Environ. Lett. 9(1): 1–7. doi: 10.1002/ael2.20135.</w:t>
      </w:r>
    </w:p>
    <w:p w14:paraId="34CCF9A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Ma, M., J. Zhou, M. Ongena, W. Liu, D. Wei, et al. 2018. Effect of long-term fertilization strategies on bacterial community composition in a 35-year field experiment of Chinese Mollisols. AMB Express 8(1). doi: 10.1186/s13568-018-0549-8.</w:t>
      </w:r>
    </w:p>
    <w:p w14:paraId="3691955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Malik, A.I., T.D. Colmer, H. Lambers, T.L. Setter, and M. Schortemeyer. 2002. Short-term waterlogging has long-term effects on the growth and physiology of wheat. New Phytol. 153(2): 225–236. doi: 10.1046/j.0028-646X.2001.00318.x.</w:t>
      </w:r>
    </w:p>
    <w:p w14:paraId="0A1A199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Mao, H., G. Li, K. Leng, L. Sun, K. Liu, et al. 2024. Effects of core soil microbial taxa on soil carbon source utilization under different long-term fertilization treatments in Ultisol. Soil Ecol. Lett. 6(4). doi: 10.1007/s42832-024-0241-7.</w:t>
      </w:r>
    </w:p>
    <w:p w14:paraId="2655B06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Martin, M. 2011. Cutadapt removes adapter sequences from high-throughput sequencing reads. EMBnet.journal 17(17): 10–12.</w:t>
      </w:r>
    </w:p>
    <w:p w14:paraId="405CDF0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Martínez, E., J.P. Fuentes, P. Silva, S. Valle, and E. Acevedo. 2008. Soil physical </w:t>
      </w:r>
      <w:r w:rsidRPr="00256601">
        <w:rPr>
          <w:rFonts w:cs="Times New Roman"/>
          <w:noProof/>
        </w:rPr>
        <w:lastRenderedPageBreak/>
        <w:t>properties and wheat root growth as affected by no-tillage and conventional tillage systems in a Mediterranean environment of Chile. Soil Tillage Res. 99(2): 232–244. doi: 10.1016/j.still.2008.02.001.</w:t>
      </w:r>
    </w:p>
    <w:p w14:paraId="45E5865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Matus, A., D.A. Derksen, F.L. Walley, H.A. Loeppky, and C. Van Kessel. 1997. The influence of tillage and crop rotation on nitrogen fixation in lentil and pea. Can. J. Plant Sci. 77(2): 197–200. doi: 10.4141/P96-078.</w:t>
      </w:r>
    </w:p>
    <w:p w14:paraId="1160375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Mbuthia, L.W., V. Acosta-Martínez, J. DeBryun, S. Schaeffer, D. Tyler, et al. 2015. Long term tillage, cover crop, and fertilization effects on microbial community structure, activity: Implications for soil quality. Soil Biol. Biochem. 89: 24–34. doi: 10.1016/j.soilbio.2015.06.016.</w:t>
      </w:r>
    </w:p>
    <w:p w14:paraId="3337B5C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Megyes, M., A.K. Borsodi, T. Árendás, and K. Márialigeti. 2021. Variations in the diversity of soil bacterial and archaeal communities in response to different long-term fertilization regimes in maize fields. Appl. Soil Ecol. 168. doi: 10.1016/j.apsoil.2021.104120.</w:t>
      </w:r>
    </w:p>
    <w:p w14:paraId="7B44B34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Mitchell, D.C., M.J. Castellano, J.E. Sawyer, and J. Pantoja. 2013. Cover crop effects on nitrous oxide emissions: role of mineralizable carbon. Soil Sci. Soc. Am. J. 77(5): 1765–1773. doi: 10.2136/sssaj2013.02.0074.</w:t>
      </w:r>
    </w:p>
    <w:p w14:paraId="159FC3C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Moldrup, P., T. Olesen, J. Gamst, P. Schjønning, T. Yamaguchi, et al. 2000. Predicting the gas diffusion coefficient in repacked soil water-induced linear reduction model. Soil Sci. Soc. Am. J. 64(5): 1588–1594. doi: 10.2136/sssaj2000.6451588x.</w:t>
      </w:r>
    </w:p>
    <w:p w14:paraId="2D2585E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Molodovskaya, M., O. Singurindy, B.K. Richards, J. Warland, M.S. Johnson, et al. 2012. Temporal variability of nitrous oxide from fertilized croplands: Hot moment </w:t>
      </w:r>
      <w:r w:rsidRPr="00256601">
        <w:rPr>
          <w:rFonts w:cs="Times New Roman"/>
          <w:noProof/>
        </w:rPr>
        <w:lastRenderedPageBreak/>
        <w:t>analysis. Soil Sci. Soc. Am. J. 76(5): 1728–1740. doi: 10.2136/sssaj2012.0039.</w:t>
      </w:r>
    </w:p>
    <w:p w14:paraId="138DB626" w14:textId="3051E61B"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Mondal, S., and D. Chakraborty. 2022. Global meta-analysis suggests that no-tillage favourably changes soil structure and porosity. Geoderma 405: 115443. doi: 10.1016/j.geoderma.2021.115443.</w:t>
      </w:r>
    </w:p>
    <w:p w14:paraId="3E91862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Morley, N.J., D.J. Richardson, and E.M. Baggs. 2014. Substrate induced denitrification over or under estimates shifts in soil N</w:t>
      </w:r>
      <w:r w:rsidRPr="00AE5606">
        <w:rPr>
          <w:rFonts w:cs="Times New Roman"/>
          <w:noProof/>
          <w:vertAlign w:val="subscript"/>
        </w:rPr>
        <w:t>2</w:t>
      </w:r>
      <w:r w:rsidRPr="00256601">
        <w:rPr>
          <w:rFonts w:cs="Times New Roman"/>
          <w:noProof/>
        </w:rPr>
        <w:t>/N</w:t>
      </w:r>
      <w:r w:rsidRPr="00AE5606">
        <w:rPr>
          <w:rFonts w:cs="Times New Roman"/>
          <w:noProof/>
          <w:vertAlign w:val="subscript"/>
        </w:rPr>
        <w:t>2</w:t>
      </w:r>
      <w:r w:rsidRPr="00256601">
        <w:rPr>
          <w:rFonts w:cs="Times New Roman"/>
          <w:noProof/>
        </w:rPr>
        <w:t>O ratios. PLoS One 9(9): 1–6. doi: 10.1371/journal.pone.0108144.</w:t>
      </w:r>
    </w:p>
    <w:p w14:paraId="6FD36DE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Mosier, A.R., and G.L. Hutchinson. 1981. Nitrous oxide emissions from cropped fields. J. Environ. Qual. 10(2): 169–173. doi: 10.2134/jeq1981.00472425001000020009x.</w:t>
      </w:r>
    </w:p>
    <w:p w14:paraId="1D2C804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Mujakić, I., K. Piwosz, and M. Koblížek. 2022. Phylum Gemmatimonadota and its role in the environment. Microorganisms 10(1): 1–17. doi: 10.3390/microorganisms10010151.</w:t>
      </w:r>
    </w:p>
    <w:p w14:paraId="4F40F3C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Mullen, M.., C.. Melhorn, D.D. Tyler, and B.. Duck. 1998. Biological and biochemical soil properties in no-till corn with different cover crops. Soil Water Conserv. 53(3): 219–224.</w:t>
      </w:r>
    </w:p>
    <w:p w14:paraId="09D54C6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Najeeb, U., M.P. Bange, D.K.Y. Tan, and B.J. Atwell. 2015. Consequences of waterlogging in cotton and opportunities for mitigation of yield losses. AoB Plants 7. doi: 10.1093/aobpla/plv080.</w:t>
      </w:r>
    </w:p>
    <w:p w14:paraId="56DFB6F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NASS, U. 2017. United States Summary and State Data.</w:t>
      </w:r>
    </w:p>
    <w:p w14:paraId="5F7C3059" w14:textId="77777777" w:rsidR="00256601" w:rsidRPr="00024ABB" w:rsidRDefault="00256601" w:rsidP="00256601">
      <w:pPr>
        <w:widowControl w:val="0"/>
        <w:autoSpaceDE w:val="0"/>
        <w:autoSpaceDN w:val="0"/>
        <w:adjustRightInd w:val="0"/>
        <w:spacing w:line="480" w:lineRule="auto"/>
        <w:ind w:left="480" w:hanging="480"/>
        <w:jc w:val="left"/>
        <w:rPr>
          <w:rFonts w:cs="Times New Roman"/>
          <w:noProof/>
          <w:lang w:val="es-UY"/>
        </w:rPr>
      </w:pPr>
      <w:r w:rsidRPr="00256601">
        <w:rPr>
          <w:rFonts w:cs="Times New Roman"/>
          <w:noProof/>
        </w:rPr>
        <w:t xml:space="preserve">NASS, U. 2022. 2022 census of Agriculture. </w:t>
      </w:r>
      <w:r w:rsidRPr="00024ABB">
        <w:rPr>
          <w:rFonts w:cs="Times New Roman"/>
          <w:noProof/>
          <w:lang w:val="es-UY"/>
        </w:rPr>
        <w:t>2022 Census Agric. 1(51): 820.</w:t>
      </w:r>
    </w:p>
    <w:p w14:paraId="3A57ACC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024ABB">
        <w:rPr>
          <w:rFonts w:cs="Times New Roman"/>
          <w:noProof/>
          <w:lang w:val="es-UY"/>
        </w:rPr>
        <w:t xml:space="preserve">Navarro-Noya, Y.E., S. Gómez-Acata, N. Montoya-Ciriaco, A. Rojas-Valdez, M.C. Suárez-Arriaga, et al. 2013. </w:t>
      </w:r>
      <w:r w:rsidRPr="00256601">
        <w:rPr>
          <w:rFonts w:cs="Times New Roman"/>
          <w:noProof/>
        </w:rPr>
        <w:t xml:space="preserve">Relative impacts of tillage, residue management and </w:t>
      </w:r>
      <w:r w:rsidRPr="00256601">
        <w:rPr>
          <w:rFonts w:cs="Times New Roman"/>
          <w:noProof/>
        </w:rPr>
        <w:lastRenderedPageBreak/>
        <w:t>crop-rotation on soil bacterial communities in a semi-arid agroecosystem. Soil Biol. Biochem. 65: 86–95. doi: 10.1016/j.soilbio.2013.05.009.</w:t>
      </w:r>
    </w:p>
    <w:p w14:paraId="508B73E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Naylor, D., R. McClure, and J. Jansson. 2022. Trends in microbial community composition and function by soil depth. Microorganisms 10(3). doi: 10.3390/microorganisms10030540.</w:t>
      </w:r>
    </w:p>
    <w:p w14:paraId="10EB490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Nouri, A., J. Lee, X. Yin, D.D. Tyler, and A.M. Saxton. 2019. Thirty-four years of no-tillage and cover crops improve soil quality and increase cotton yield in Alfisols, Southeastern USA. Geoderma 337: 998–1008. doi: 10.1016/j.geoderma.2018.10.016.</w:t>
      </w:r>
    </w:p>
    <w:p w14:paraId="2D5E5E8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Nouri, A., J. Lee, D.C. Yoder, S. Jagadamma, F.R. Walker, et al. 2020. Management duration controls the synergistic effect of tillage, cover crop, and nitrogen rate on cotton yield and yield stability. Agric. Ecosyst. Environ. 301: 107007. doi: 10.1016/j.agee.2020.107007.</w:t>
      </w:r>
    </w:p>
    <w:p w14:paraId="185D1C9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Nouri, A., D.C. Yoder, M. Raji, S. Ceylan, S. Jagadamma, et al. 2021. Conservation agriculture increases the soil resilience and cotton yield stability in climate extremes of the southeast US. Commun. Earth Environ. 2(1). doi: 10.1038/s43247-021-00223-6.</w:t>
      </w:r>
    </w:p>
    <w:p w14:paraId="471F760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Nugroho, P.A., K. Juhos, N. Prettl, B. Madarász, and Z. Kotroczó. 2023. Long-term conservation tillage results in a more balanced soil microbiological activity and higher nutrient supply capacity. Int. Soil Water Conserv. Res. 11(3): 528–537. doi: 10.1016/j.iswcr.2023.03.003.</w:t>
      </w:r>
    </w:p>
    <w:p w14:paraId="1CFF867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O’Brien, P.L., B.D. Emmett, R.W. Malone, M.R. Nunes, J.L. Kovar, et al. 2022. Nitrate </w:t>
      </w:r>
      <w:r w:rsidRPr="00256601">
        <w:rPr>
          <w:rFonts w:cs="Times New Roman"/>
          <w:noProof/>
        </w:rPr>
        <w:lastRenderedPageBreak/>
        <w:t>losses and nitrous oxide emissions under contrasting tillage and cover crop management. J. Environ. Qual. 51(4): 683–695. doi: 10.1002/jeq2.20361.</w:t>
      </w:r>
    </w:p>
    <w:p w14:paraId="11D7601A"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Oh, S., K. Cho, S. Park, M.J. Kwon, J. Chung, et al. 2023. Denitrification dynamics in unsaturated soils with different porous structures and water saturation degrees: A focus on the shift in microbial community structures. J. Hazard. Mater. 445(November 2022): 130413. doi: 10.1016/j.jhazmat.2022.130413.</w:t>
      </w:r>
    </w:p>
    <w:p w14:paraId="0E8E6E2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Oksanen, J., G. Simpson, F. Blanchet, R. Kindt, P. Legendre, et al. 2025. vegan: Community ecology package. doi: 10.32614/CRAN.package.vegan.</w:t>
      </w:r>
    </w:p>
    <w:p w14:paraId="0923DA08" w14:textId="0840CE39"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Olesen, J.E., R.M. Rees, S. Recous, M.A. Bleken, D. Abalos, et al. 2023. Challenges of accounting nitrous oxide emissions from agricultural crop residues. Glob. Chang. Biol.: 6846–6855. doi: 10.1111/gcb.16962.</w:t>
      </w:r>
    </w:p>
    <w:p w14:paraId="3F7029EA"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Oliveira, D.M.S., L.G. Pimentel, M.S.C. Barreto, D.A. Weiler, and C. Bayer. 2022a. Greenhouse gas emissions and C costs of N release associated with cover crop decomposition are plant specific and depend on soil moisture: A microcosm study. J. Environ. Qual. 51(2): 193–204. doi: 10.1002/jeq2.20330.</w:t>
      </w:r>
    </w:p>
    <w:p w14:paraId="4D04DB03" w14:textId="77777777" w:rsidR="00256601" w:rsidRPr="00024ABB" w:rsidRDefault="00256601" w:rsidP="00256601">
      <w:pPr>
        <w:widowControl w:val="0"/>
        <w:autoSpaceDE w:val="0"/>
        <w:autoSpaceDN w:val="0"/>
        <w:adjustRightInd w:val="0"/>
        <w:spacing w:line="480" w:lineRule="auto"/>
        <w:ind w:left="480" w:hanging="480"/>
        <w:jc w:val="left"/>
        <w:rPr>
          <w:rFonts w:cs="Times New Roman"/>
          <w:noProof/>
          <w:lang w:val="es-UY"/>
        </w:rPr>
      </w:pPr>
      <w:r w:rsidRPr="00256601">
        <w:rPr>
          <w:rFonts w:cs="Times New Roman"/>
          <w:noProof/>
        </w:rPr>
        <w:t xml:space="preserve">Oliveira, D.M.S., L.G. Pimentel, M.S.C. Barreto, D.A. Weiler, and C. Bayer. 2022b. Greenhouse gas emissions and C costs of N release associated with cover crop decomposition are plant-specific and depend on soil moisture: A microcosm study. </w:t>
      </w:r>
      <w:r w:rsidRPr="00024ABB">
        <w:rPr>
          <w:rFonts w:cs="Times New Roman"/>
          <w:noProof/>
          <w:lang w:val="es-UY"/>
        </w:rPr>
        <w:t>21(1): 1–9. doi: 10.1002/jeq2.20330.This.</w:t>
      </w:r>
    </w:p>
    <w:p w14:paraId="4E52D63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024ABB">
        <w:rPr>
          <w:rFonts w:cs="Times New Roman"/>
          <w:noProof/>
          <w:lang w:val="es-UY"/>
        </w:rPr>
        <w:t xml:space="preserve">Oshiki, M., Y. Toyama, T. Suenaga, A. Terada, Y. Kasahara, et al. 2022. </w:t>
      </w:r>
      <w:r w:rsidRPr="00256601">
        <w:rPr>
          <w:rFonts w:cs="Times New Roman"/>
          <w:noProof/>
        </w:rPr>
        <w:t>N</w:t>
      </w:r>
      <w:r w:rsidRPr="00AE5606">
        <w:rPr>
          <w:rFonts w:cs="Times New Roman"/>
          <w:noProof/>
          <w:vertAlign w:val="subscript"/>
        </w:rPr>
        <w:t>2</w:t>
      </w:r>
      <w:r w:rsidRPr="00256601">
        <w:rPr>
          <w:rFonts w:cs="Times New Roman"/>
          <w:noProof/>
        </w:rPr>
        <w:t>O reduction by Gemmatimonas aurantiaca and potential involvement of Gemmatimonadetes bacteria in N</w:t>
      </w:r>
      <w:r w:rsidRPr="00AE5606">
        <w:rPr>
          <w:rFonts w:cs="Times New Roman"/>
          <w:noProof/>
          <w:vertAlign w:val="subscript"/>
        </w:rPr>
        <w:t>2</w:t>
      </w:r>
      <w:r w:rsidRPr="00256601">
        <w:rPr>
          <w:rFonts w:cs="Times New Roman"/>
          <w:noProof/>
        </w:rPr>
        <w:t xml:space="preserve">O reduction in agricultural soils. Microbes Environ. 37(2): 1–11. doi: </w:t>
      </w:r>
      <w:r w:rsidRPr="00256601">
        <w:rPr>
          <w:rFonts w:cs="Times New Roman"/>
          <w:noProof/>
        </w:rPr>
        <w:lastRenderedPageBreak/>
        <w:t>10.1264/JSME2.ME21090.</w:t>
      </w:r>
    </w:p>
    <w:p w14:paraId="5AF194F6"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Owens, J., T.J. Clough, J. Laubach, J.E. Hunt, and R.T. Venterea. 2017. Nitrous oxide fluxes and soil oxygen dynamics of soil treated with cow urine. Soil Sci. Soc. Am. J. 81(2): 289–298. doi: 10.2136/sssaj2016.09.0277.</w:t>
      </w:r>
    </w:p>
    <w:p w14:paraId="00EC810E" w14:textId="47FF6E5B"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Panday, D., D. Saha, J. Lee, S. Jagadamma, N. Adoptey, et al. 2022. Cover crop residue influence on soil N</w:t>
      </w:r>
      <w:r w:rsidRPr="00AE5606">
        <w:rPr>
          <w:rFonts w:cs="Times New Roman"/>
          <w:noProof/>
          <w:vertAlign w:val="subscript"/>
        </w:rPr>
        <w:t>2</w:t>
      </w:r>
      <w:r w:rsidRPr="00256601">
        <w:rPr>
          <w:rFonts w:cs="Times New Roman"/>
          <w:noProof/>
        </w:rPr>
        <w:t>O and CO</w:t>
      </w:r>
      <w:r w:rsidRPr="00AE5606">
        <w:rPr>
          <w:rFonts w:cs="Times New Roman"/>
          <w:noProof/>
          <w:vertAlign w:val="subscript"/>
        </w:rPr>
        <w:t>2</w:t>
      </w:r>
      <w:r w:rsidRPr="00256601">
        <w:rPr>
          <w:rFonts w:cs="Times New Roman"/>
          <w:noProof/>
        </w:rPr>
        <w:t xml:space="preserve"> emissions under wetting-drying intensities : An incubation study. Eur. J. Soil Sci.: 1–14. doi: 10.1111/ejss.13309.</w:t>
      </w:r>
    </w:p>
    <w:p w14:paraId="0C1FA7D8"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Parada, A.E., D.M. Needham, and J.A. Fuhrman. 2016. Every base matters: Assessing small subunit rRNA primers for marine microbiomes with mock communities, time series and global field samples. Environ. Microbiol. 18(5): 1403–1414. doi: 10.1111/1462-2920.13023.</w:t>
      </w:r>
    </w:p>
    <w:p w14:paraId="3576ADF6"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Parkin, T.B. 1987. Soil microsites as a source of denitrification variability. Soil Sci. Soc. Am. J. 51(5): 1194–1199. doi: 10.2136/sssaj1987.03615995005100050019x.</w:t>
      </w:r>
    </w:p>
    <w:p w14:paraId="24FC86F4"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Parr, M., J.M. Grossman, S.C. Reberg-Horton, C. Brinton, and C. Crozier. 2011. Nitrogen delivery from legume cover crops in no-till organic corn production. Agron. J. 103(6): 1578–1590. doi: 10.2134/agronj2011.0007.</w:t>
      </w:r>
    </w:p>
    <w:p w14:paraId="06D212D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Parton, W.J., M. Hartman, D. Ojima, and D. Schimel. 1998. Daycent and its land surface submodel: description and testing. Glob. Planet. Change: 35–48.</w:t>
      </w:r>
    </w:p>
    <w:p w14:paraId="442A620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Parton, W.J., A.R. Mosier, D.S. Ojima, D.W. Valentine, D.S. Schime, et al. 1996. Generalized model for N</w:t>
      </w:r>
      <w:r w:rsidRPr="00A05C27">
        <w:rPr>
          <w:rFonts w:cs="Times New Roman"/>
          <w:noProof/>
          <w:vertAlign w:val="subscript"/>
        </w:rPr>
        <w:t>2</w:t>
      </w:r>
      <w:r w:rsidRPr="00256601">
        <w:rPr>
          <w:rFonts w:cs="Times New Roman"/>
          <w:noProof/>
        </w:rPr>
        <w:t xml:space="preserve"> and N</w:t>
      </w:r>
      <w:r w:rsidRPr="00A05C27">
        <w:rPr>
          <w:rFonts w:cs="Times New Roman"/>
          <w:noProof/>
          <w:vertAlign w:val="subscript"/>
        </w:rPr>
        <w:t>2</w:t>
      </w:r>
      <w:r w:rsidRPr="00256601">
        <w:rPr>
          <w:rFonts w:cs="Times New Roman"/>
          <w:noProof/>
        </w:rPr>
        <w:t>O production from nitrification and denitrification. Global Biogeochem. Cycles 10(3): 401–412. doi: 10.1029/96GB01455.</w:t>
      </w:r>
    </w:p>
    <w:p w14:paraId="29008EA6"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Patra, R., D. Saha, and S. Jagadamma. 2022. Winter wheat cover crop increased subsoil </w:t>
      </w:r>
      <w:r w:rsidRPr="00256601">
        <w:rPr>
          <w:rFonts w:cs="Times New Roman"/>
          <w:noProof/>
        </w:rPr>
        <w:lastRenderedPageBreak/>
        <w:t>organic carbon in a long-term cotton cropping system in Tennessee. Soil Tillage Res. 224: 105521. doi: 10.1016/j.still.2022.105521.</w:t>
      </w:r>
    </w:p>
    <w:p w14:paraId="156D4EC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Paustian, K., J. Lehmann, S. Ogle, D. Reay, G.P. Robertson, et al. 2016. Climate-smart soils. Nature 532(7597): 49–57. doi: 10.1038/nature17174.</w:t>
      </w:r>
    </w:p>
    <w:p w14:paraId="1D74AF7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Paustian, K., J. Six, E.T. Elliott, and H.W. Hunt. 2000. Management options for reducing CO</w:t>
      </w:r>
      <w:r w:rsidRPr="00A05C27">
        <w:rPr>
          <w:rFonts w:cs="Times New Roman"/>
          <w:noProof/>
          <w:vertAlign w:val="subscript"/>
        </w:rPr>
        <w:t>2</w:t>
      </w:r>
      <w:r w:rsidRPr="00256601">
        <w:rPr>
          <w:rFonts w:cs="Times New Roman"/>
          <w:noProof/>
        </w:rPr>
        <w:t xml:space="preserve"> emissions from agricultural soils. Biogeochemistry 48(1): 147–163. doi: 10.1023/A:1006271331703.</w:t>
      </w:r>
    </w:p>
    <w:p w14:paraId="207B58E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Pedregosa, F., G. Varoquaux, A. Gramfort, V. Michel, and B. Thirion. 2011. Scikit-learn: Machine learning in Python. J. Mach. Learn. Res. 127(9): 2825–2830. doi: 10.1289/EHP4713.</w:t>
      </w:r>
    </w:p>
    <w:p w14:paraId="370E10A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Peoples, M.B., J.K. Ladha, and D.F. Herridge. 1995. Enhancing legume N</w:t>
      </w:r>
      <w:r w:rsidRPr="00A05C27">
        <w:rPr>
          <w:rFonts w:cs="Times New Roman"/>
          <w:noProof/>
          <w:vertAlign w:val="subscript"/>
        </w:rPr>
        <w:t>2</w:t>
      </w:r>
      <w:r w:rsidRPr="00256601">
        <w:rPr>
          <w:rFonts w:cs="Times New Roman"/>
          <w:noProof/>
        </w:rPr>
        <w:t xml:space="preserve"> fixation through plant and soil management. Plant Soil 174(1–2): 83–101. doi: 10.1007/BF00032242.</w:t>
      </w:r>
    </w:p>
    <w:p w14:paraId="31A27B44"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Pessi, I.S., S. Viitamäki, A.M. Virkkala, E. Eronen-Rasimus, T.O. Delmont, et al. 2022. In-depth characterization of denitrifier communities across different soil ecosystems in the tundra. Environ. Microbiomes 17(1): 1–17. doi: 10.1186/s40793-022-00424-2.</w:t>
      </w:r>
    </w:p>
    <w:p w14:paraId="415F9EF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Pett-Ridge, J., and M.K. Firestone. 2005. Redox fluctuation structures microbial communities in a wet tropical soil. Appl. Environ. Microbiol. 71(11): 6998–7007. doi: 10.1128/AEM.71.11.6998-7007.2005.</w:t>
      </w:r>
    </w:p>
    <w:p w14:paraId="0C61691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Philibert, A., C. Loyce, and D. Makowski. 2013. Prediction of N</w:t>
      </w:r>
      <w:r w:rsidRPr="00A05C27">
        <w:rPr>
          <w:rFonts w:cs="Times New Roman"/>
          <w:noProof/>
          <w:vertAlign w:val="subscript"/>
        </w:rPr>
        <w:t>2</w:t>
      </w:r>
      <w:r w:rsidRPr="00256601">
        <w:rPr>
          <w:rFonts w:cs="Times New Roman"/>
          <w:noProof/>
        </w:rPr>
        <w:t xml:space="preserve">O emission from local information with Random Forest. Environ. Pollut. 177: 156–163. doi: </w:t>
      </w:r>
      <w:r w:rsidRPr="00256601">
        <w:rPr>
          <w:rFonts w:cs="Times New Roman"/>
          <w:noProof/>
        </w:rPr>
        <w:lastRenderedPageBreak/>
        <w:t>10.1016/j.envpol.2013.02.019.</w:t>
      </w:r>
    </w:p>
    <w:p w14:paraId="100902D4" w14:textId="26D62DD5"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Piazza, G., L. Ercoli, M. Nuti, and E. Pellegrino. 2019. Interaction between conservation tillage and nitrogen fertilization shapes Prokaryotic and fungal diversity at different soil depths: Evidence from a 23-year field experiment in the Mediterranean area. Front. Microbiol. 10: 1–20. doi: 10.3389/fmicb.2019.02047.</w:t>
      </w:r>
    </w:p>
    <w:p w14:paraId="44BE3B5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Pimentel, L.G., D.A. Weiler, G.M. Pedroso, and C. Bayer. 2015. Soil N</w:t>
      </w:r>
      <w:r w:rsidRPr="00A05C27">
        <w:rPr>
          <w:rFonts w:cs="Times New Roman"/>
          <w:noProof/>
          <w:vertAlign w:val="subscript"/>
        </w:rPr>
        <w:t>2</w:t>
      </w:r>
      <w:r w:rsidRPr="00256601">
        <w:rPr>
          <w:rFonts w:cs="Times New Roman"/>
          <w:noProof/>
        </w:rPr>
        <w:t>O emissions following cover-crop residues application under two soil moisture conditions. J. Plant Nutr. Soil Sci. 178(4): 631–640. doi: 10.1002/jpln.201400392.</w:t>
      </w:r>
    </w:p>
    <w:p w14:paraId="50F70E2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Poeplau, C., and A. Don. 2015. Carbon sequestration in agricultural soils via cultivation of cover crops - A meta-analysis. Agric. Ecosyst. Environ. 200: 33–41. doi: 10.1016/j.agee.2014.10.024.</w:t>
      </w:r>
    </w:p>
    <w:p w14:paraId="30E806E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Poffenbarger, H.J., S.B. Mirsky, R.R. Weil, M. Kramer, J.T. Spargo, et al. 2015. Legume proportion, poultry litter, and tillage effects on cover crop decomposition. Agron. J. 107(6): 2083–2096. doi: 10.2134/agronj15.0065.</w:t>
      </w:r>
    </w:p>
    <w:p w14:paraId="505D9FF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Polain, K., O. Knox, B. Wilson, and L. Pereg. 2020. Subsoil microbial diversity and stability in rotational cotton systems. Soil Syst. 4(3): 1–18. doi: 10.3390/soilsystems4030044.</w:t>
      </w:r>
    </w:p>
    <w:p w14:paraId="32CF7F1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Preza-Fontes, G., L.E. Christianson, and C.M. Pittelkow. 2023. Investigating tradeoffs in nitrogen loss pathways using an environmental damage cost framework. Agric. Environ. Lett. 8(1): 2–7. doi: 10.1002/ael2.20103.</w:t>
      </w:r>
    </w:p>
    <w:p w14:paraId="5D4C129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Pu, J. 2019. Enrichment and characterisation of novel microorganisms involved in the nitrogen cycle Jiaoyang. Univ. Queensland, Aust. (1). </w:t>
      </w:r>
      <w:r w:rsidRPr="00256601">
        <w:rPr>
          <w:rFonts w:cs="Times New Roman"/>
          <w:noProof/>
        </w:rPr>
        <w:lastRenderedPageBreak/>
        <w:t>http://scioteca.caf.com/bitstream/handle/123456789/1091/RED2017-Eng-8ene.pdf?sequence=12&amp;isAllowed=y%0Ahttp://dx.doi.org/10.1016/j.regsciurbeco.2008.06.005%0Ahttps://www.researchgate.net/publication/305320484_SISTEM_PEMBETUNGAN_TERPUSAT_STRATEGI_MELESTARI.</w:t>
      </w:r>
    </w:p>
    <w:p w14:paraId="4A72E8C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R Core Team, R. 2013. R: A language and environment for statistical computing.</w:t>
      </w:r>
    </w:p>
    <w:p w14:paraId="3558E8A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Reiter, K., K. Schmidtke, and R. Rauber. 2002. The influence of long-term tillage systems on symbiotic N</w:t>
      </w:r>
      <w:r w:rsidRPr="00A05C27">
        <w:rPr>
          <w:rFonts w:cs="Times New Roman"/>
          <w:noProof/>
          <w:vertAlign w:val="subscript"/>
        </w:rPr>
        <w:t>2</w:t>
      </w:r>
      <w:r w:rsidRPr="00256601">
        <w:rPr>
          <w:rFonts w:cs="Times New Roman"/>
          <w:noProof/>
        </w:rPr>
        <w:t xml:space="preserve"> fixation of pea (Pisum sativum L.) and red clover (Trifolium pratense L.). Plant Soil 238(1): 41–55. doi: 10.1023/A:1014240311597.</w:t>
      </w:r>
    </w:p>
    <w:p w14:paraId="2EE2C1D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Rejesus, R.M., S. Aglasan, L.G. Knight, M.A. Cavigelli, C.J. Dell, et al. 2021. Economic dimensions of soil health practices that sequester carbon: Promising research directions. J. Soil Water Conserv. 76(3): 55A-60A. doi: 10.2489/jswc.2021.0324A.</w:t>
      </w:r>
    </w:p>
    <w:p w14:paraId="4C320C4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Ren, X., J. Tang, X. Liu, and Q. Liu. 2020. Effects of microplastics on greenhouse gas emissions and the microbial community in fertilized soil. Environ. Pollut. 256: 113347. doi: 10.1016/j.envpol.2019.113347.</w:t>
      </w:r>
    </w:p>
    <w:p w14:paraId="370EA13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Robertson, G.P. 2023. Denitrification and the challenge of scaling microsite knowledge to the globe. mLife 2(3): 229–238. doi: 10.1002/mlf2.12080.</w:t>
      </w:r>
    </w:p>
    <w:p w14:paraId="474C9500" w14:textId="77777777" w:rsidR="00256601" w:rsidRPr="00024ABB" w:rsidRDefault="00256601" w:rsidP="00256601">
      <w:pPr>
        <w:widowControl w:val="0"/>
        <w:autoSpaceDE w:val="0"/>
        <w:autoSpaceDN w:val="0"/>
        <w:adjustRightInd w:val="0"/>
        <w:spacing w:line="480" w:lineRule="auto"/>
        <w:ind w:left="480" w:hanging="480"/>
        <w:jc w:val="left"/>
        <w:rPr>
          <w:rFonts w:cs="Times New Roman"/>
          <w:noProof/>
          <w:lang w:val="es-UY"/>
        </w:rPr>
      </w:pPr>
      <w:r w:rsidRPr="00256601">
        <w:rPr>
          <w:rFonts w:cs="Times New Roman"/>
          <w:noProof/>
        </w:rPr>
        <w:t xml:space="preserve">Rocca, J.D., E.K. Hall, J.T. Lennon, S.E. Evans, M.P. Waldrop, et al. 2015. Relationships between protein-encoding gene abundance and corresponding process are commonly assumed yet rarely observed. </w:t>
      </w:r>
      <w:r w:rsidRPr="00024ABB">
        <w:rPr>
          <w:rFonts w:cs="Times New Roman"/>
          <w:noProof/>
          <w:lang w:val="es-UY"/>
        </w:rPr>
        <w:t>ISME J. 9(8): 1693–1699. doi: 10.1038/ismej.2014.252.</w:t>
      </w:r>
    </w:p>
    <w:p w14:paraId="5FFCF3C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024ABB">
        <w:rPr>
          <w:rFonts w:cs="Times New Roman"/>
          <w:noProof/>
          <w:lang w:val="es-UY"/>
        </w:rPr>
        <w:t xml:space="preserve">Rodríguez-Berbel, N., R. Ortega, M.E. Lucas-Borja, A. Solé-Benet, and I. Miralles. </w:t>
      </w:r>
      <w:r w:rsidRPr="00256601">
        <w:rPr>
          <w:rFonts w:cs="Times New Roman"/>
          <w:noProof/>
        </w:rPr>
        <w:t xml:space="preserve">2020. Long-term effects of two organic amendments on bacterial communities of </w:t>
      </w:r>
      <w:r w:rsidRPr="00256601">
        <w:rPr>
          <w:rFonts w:cs="Times New Roman"/>
          <w:noProof/>
        </w:rPr>
        <w:lastRenderedPageBreak/>
        <w:t>calcareous mediterranean soils degraded by mining. J. Environ. Manage. 271(February). doi: 10.1016/j.jenvman.2020.110920.</w:t>
      </w:r>
    </w:p>
    <w:p w14:paraId="0621A7F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Rohe, L., B. Apelt, H.J. Vogel, R. Well, G.M. Wu, et al. 2021. Denitrification in soil as a function of oxygen availability at the microscale. Biogeosciences 18(3): 1185–1201. doi: 10.5194/bg-18-1185-2021.</w:t>
      </w:r>
    </w:p>
    <w:p w14:paraId="543458F6"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Rubol, S., T. Dutta, and D. Rocchini. 2016. 2D visualization captures the local heterogeneity of oxidative metabolism across soils from diverse land-use. Sci. Total Environ. 572: 713–723. doi: 10.1016/j.scitotenv.2016.06.252.</w:t>
      </w:r>
    </w:p>
    <w:p w14:paraId="7745A6B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Russenes, A.L., A. Korsaeth, L.R. Bakken, and P. Dörsch. 2016. Spatial variation in soil pH controls off-season N</w:t>
      </w:r>
      <w:r w:rsidRPr="00A05C27">
        <w:rPr>
          <w:rFonts w:cs="Times New Roman"/>
          <w:noProof/>
          <w:vertAlign w:val="subscript"/>
        </w:rPr>
        <w:t>2</w:t>
      </w:r>
      <w:r w:rsidRPr="00256601">
        <w:rPr>
          <w:rFonts w:cs="Times New Roman"/>
          <w:noProof/>
        </w:rPr>
        <w:t>O emission in an agricultural soil. Soil Biol. Biochem. 99: 36–46. doi: 10.1016/j.soilbio.2016.04.019.</w:t>
      </w:r>
    </w:p>
    <w:p w14:paraId="461A848A"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Ryden, J.C., and L.J. Lund. 1980. Nitrous Oxide Evolution from Irrigated Land. J. Environ. Qual. 9(3): 387–393.</w:t>
      </w:r>
    </w:p>
    <w:p w14:paraId="025B80E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Sadras, V.O., and G. Lemaire. 2014. Quantifying crop nitrogen status for comparisons of agronomic practices and genotypes. F. Crop. Res. 164(1): 54–64. doi: 10.1016/j.fcr.2014.05.006.</w:t>
      </w:r>
    </w:p>
    <w:p w14:paraId="0B6D889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Saha, D., B. Basso, and G.P. Robertson. 2021a. Machine learning improves predictions of agricultural nitrous oxide (N</w:t>
      </w:r>
      <w:r w:rsidRPr="00A05C27">
        <w:rPr>
          <w:rFonts w:cs="Times New Roman"/>
          <w:noProof/>
          <w:vertAlign w:val="subscript"/>
        </w:rPr>
        <w:t>2</w:t>
      </w:r>
      <w:r w:rsidRPr="00256601">
        <w:rPr>
          <w:rFonts w:cs="Times New Roman"/>
          <w:noProof/>
        </w:rPr>
        <w:t>O) emissions from intensively managed cropping systems. Environ. Res. Lett. 16(2). doi: 10.1088/1748-9326/abd2f3.</w:t>
      </w:r>
    </w:p>
    <w:p w14:paraId="041E052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Saha, D., J.P.K. Kaye, A. Bhowmik, M.A. Bruns, J.M. Wallace, et al. 2021b. Organic fertility inputs synergistically increase denitri fi cation- derived nitrous oxide emissions in agroecosystems. Ecol. Appl. 31(7): 1–18. doi: 10.1002/eap.2403.</w:t>
      </w:r>
    </w:p>
    <w:p w14:paraId="0EB8F3D8"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lastRenderedPageBreak/>
        <w:t>Samad, M.D.S., A. Biswas, L.R. Bakken, T.J. Clough, C.A.M. De Klein, et al. 2016. Phylogenetic and functional potential links pH and N</w:t>
      </w:r>
      <w:r w:rsidRPr="00A05C27">
        <w:rPr>
          <w:rFonts w:cs="Times New Roman"/>
          <w:noProof/>
          <w:vertAlign w:val="subscript"/>
        </w:rPr>
        <w:t>2</w:t>
      </w:r>
      <w:r w:rsidRPr="00256601">
        <w:rPr>
          <w:rFonts w:cs="Times New Roman"/>
          <w:noProof/>
        </w:rPr>
        <w:t>O emissions in pasture soils. Sci. Rep. 6: 1–10. doi: 10.1038/srep35990.</w:t>
      </w:r>
    </w:p>
    <w:p w14:paraId="686F56A6"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Sant’Anna, G.S.L., L.A.L. de Carvalho, M.S.R. de A. da Silva, J.V. da S. Gonçalves, D.G. Pinheiro, et al. 2024. Short-term effects of poultry litter and cattle manure on soil’s chemical properties and bacterial community. Agronomy 14(7): 1–14. doi: 10.3390/agronomy14071382.</w:t>
      </w:r>
    </w:p>
    <w:p w14:paraId="125C058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Schaufler, G., B. Kitzler, A. Schindlbacher, U. Skiba, M.A. Sutton, et al. 2010. Greenhouse gas emissions from European soils under different land use: Effects of soil moisture and temperature. Eur. J. Soil Sci. 61(5): 683–696. doi: 10.1111/j.1365-2389.2010.01277.x.</w:t>
      </w:r>
    </w:p>
    <w:p w14:paraId="6F4DFDF6"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Seneviratne, S.I., X. Zhang, M. Adnan, W. Badi, C. Dereczynski, et al. 2021. Weather and climate extreme events in a changing climate. In climate change 2021: The physical science basis. Contribution of working group I to the sixth assessment report of the Intergovernmental Panel on Climate Change (V. Masson-Delmotte, P. Zhai, A. Pirani, S.L. Connors, C. Péan, et al., editors). Cambridge University Press, Cambridge, New York.</w:t>
      </w:r>
    </w:p>
    <w:p w14:paraId="1E14BD5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Sexstone, A.J., N.P. Revsbech, T.B. Parkin, and J.M. Tiedje. 1985. Direct measurement of oxygen profiles and denitrification rates in soil aggregates. Soil Sci. Soc. Am. J. 49(3): 645–651. doi: 10.2136/sssaj1985.03615995004900030024x.</w:t>
      </w:r>
    </w:p>
    <w:p w14:paraId="1CB1109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Shah, A., A. Weersink, and R. Vyn. 2022. Adoption of beneficial management practices to improve soil health. Can. J. Soil Sci. 102(4): 825–834. doi: 10.1139/cjss-2021-</w:t>
      </w:r>
      <w:r w:rsidRPr="00256601">
        <w:rPr>
          <w:rFonts w:cs="Times New Roman"/>
          <w:noProof/>
        </w:rPr>
        <w:lastRenderedPageBreak/>
        <w:t>0187.</w:t>
      </w:r>
    </w:p>
    <w:p w14:paraId="4FD75EF4"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Shahhosseini, M., R.A. Martinez-Feria, G. Hu, and S. V. Archontoulis. 2019. Maize yield and nitrate loss prediction with machine learning algorithms. Environ. Res. Lett. 14(12). doi: 10.1088/1748-9326/ab5268.</w:t>
      </w:r>
    </w:p>
    <w:p w14:paraId="1462A384"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Silver, W.L., A.E. Lugo, and M. Keller. 1999. Soil oxygen availability and biogeochemistry along rainfall and topographic gradients in upland wet tropical forest soils. Biogeochemistry 44(3): 301–328. doi: 10.1023/A:1006034126698.</w:t>
      </w:r>
    </w:p>
    <w:p w14:paraId="2727AF8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Singh, S., S. Singh, S.B. Lukas, S. Machado, A. Nouri, et al. 2023. Long-term agro-management strategies shape soil bacterial community structure in dryland wheat systems. Sci. Rep. 13(1): 1–14. doi: 10.1038/s41598-023-41216-z.</w:t>
      </w:r>
    </w:p>
    <w:p w14:paraId="3884DCA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Six, J., K. Paustian, E.T. Elliott, and C. Combrink. 2000. Soil structure and organic matter I. distribution of aggregate‐size classes and aggregate‐associated carbon. Soil Sci. Soc. Am. J. 64(2): 681–689. doi: 10.2136/sssaj2000.642681x.</w:t>
      </w:r>
    </w:p>
    <w:p w14:paraId="5C12B98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Smith, P. 2012. Soils and climate change. Curr. Opin. Environ. Sustain. 4(5): 539–544. doi: 10.1016/j.cosust.2012.06.005.</w:t>
      </w:r>
    </w:p>
    <w:p w14:paraId="55636FD7" w14:textId="6CFAE980"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Song, Y., X. Cheng, C. Song, M. Li, S. Gao, et al. 2022a. Soil CO</w:t>
      </w:r>
      <w:r w:rsidRPr="00A05C27">
        <w:rPr>
          <w:rFonts w:cs="Times New Roman"/>
          <w:noProof/>
          <w:vertAlign w:val="subscript"/>
        </w:rPr>
        <w:t>2</w:t>
      </w:r>
      <w:r w:rsidRPr="00256601">
        <w:rPr>
          <w:rFonts w:cs="Times New Roman"/>
          <w:noProof/>
        </w:rPr>
        <w:t xml:space="preserve"> and N</w:t>
      </w:r>
      <w:r w:rsidRPr="00A05C27">
        <w:rPr>
          <w:rFonts w:cs="Times New Roman"/>
          <w:noProof/>
          <w:vertAlign w:val="subscript"/>
        </w:rPr>
        <w:t>2</w:t>
      </w:r>
      <w:r w:rsidRPr="00256601">
        <w:rPr>
          <w:rFonts w:cs="Times New Roman"/>
          <w:noProof/>
        </w:rPr>
        <w:t>O emissions and microbial abundances altered by temperature rise and nitrogen addition in active-layer soils of permafrost peatland. Front. Microbiol. 13: 1–13. doi: 10.3389/fmicb.2022.1093487.</w:t>
      </w:r>
    </w:p>
    <w:p w14:paraId="62C66D1C"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Song, X., X. Ju, C.F.E. Topp, and R.M. Rees. 2019. Oxygen regulates nitrous oxide production directly in agricultural Soils. Environ. Sci. Technol. 53(21): 12539–12547. doi: 10.1021/acs.est.9b03089.</w:t>
      </w:r>
    </w:p>
    <w:p w14:paraId="7154BB7D" w14:textId="0895E1CC"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lastRenderedPageBreak/>
        <w:t>Song, X., H. Wei, R.M. Rees, and X. Ju. 2022b. Soil oxygen depletion and corresponding nitrous oxide production at hot moments in an agricultural soil. Environ. Pollut. 292: 118345. doi: 10.1016/j.envpol.2021.118345.</w:t>
      </w:r>
    </w:p>
    <w:p w14:paraId="5AA98EF6"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Strudley, M.W., T.R. Green, and J.C. Ascough. 2008. Tillage effects on soil hydraulic properties in space and time: State of the science. Soil Tillage Res. 99(1): 4–48. doi: 10.1016/j.still.2008.01.007.</w:t>
      </w:r>
    </w:p>
    <w:p w14:paraId="35DE6A94"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Stuchiner, E.R., J. Xu, W.C. Eddy, E.H. DeLucia, and W.H. Yang. 2025. Hot or not? An evaluation of methods for identifying hot moments of nitrous oxide emissions from soils. J. Geophys. Res. Biogeosciences 130(1). doi: 10.1029/2024JG008138.</w:t>
      </w:r>
    </w:p>
    <w:p w14:paraId="30AB893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Su, X., Y. Wang, Q. He, X. Hu, and Y. Chen. 2019. Biochar remediates denitrification process and N</w:t>
      </w:r>
      <w:r w:rsidRPr="00FD64BD">
        <w:rPr>
          <w:rFonts w:cs="Times New Roman"/>
          <w:noProof/>
          <w:vertAlign w:val="subscript"/>
        </w:rPr>
        <w:t>2</w:t>
      </w:r>
      <w:r w:rsidRPr="00256601">
        <w:rPr>
          <w:rFonts w:cs="Times New Roman"/>
          <w:noProof/>
        </w:rPr>
        <w:t>O emission in pesticide chlorothalonil-polluted soil: role of electron transport chain. Chem. Eng. J. 370(42): 587–594.</w:t>
      </w:r>
    </w:p>
    <w:p w14:paraId="3FBC71A1" w14:textId="310CC246"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Sun, D., V. Müllerová, M.M. Ardestani, and J. Frouz. 2019. Nitrogen fertilization and its legacy have inconsistent and often negative effect on plant growth in undeveloped post mining soils. Soil Tillage Res. 195. doi: 10.1016/j.still.2019.104380.</w:t>
      </w:r>
    </w:p>
    <w:p w14:paraId="3B5FF51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Tan, W., J. Wang, W. Bai, J. Qi, and W. Chen. 2020. Soil bacterial diversity correlates with precipitation and soil pH in long-term maize cropping systems. Sci. Rep. 10(1): 1–12. doi: 10.1038/s41598-020-62919-7.</w:t>
      </w:r>
    </w:p>
    <w:p w14:paraId="6B4B729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Tang, Y., G. Yu, X. Zhang, Q. Wang, D. Tian, et al. 2019. Environmental variables better explain changes in potential nitrification and denitrification activities than microbial properties in fertilized forest soils. Sci. Total Environ. 647: 653–662. doi: 10.1016/j.scitotenv.2018.07.437.</w:t>
      </w:r>
    </w:p>
    <w:p w14:paraId="4878CE6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lastRenderedPageBreak/>
        <w:t>Thompson, R.L., L. Lassaletta, P.K. Patra, C. Wilson, K.C. Wells, et al. 2019. Acceleration of global N</w:t>
      </w:r>
      <w:r w:rsidRPr="00A05C27">
        <w:rPr>
          <w:rFonts w:cs="Times New Roman"/>
          <w:noProof/>
          <w:vertAlign w:val="subscript"/>
        </w:rPr>
        <w:t>2</w:t>
      </w:r>
      <w:r w:rsidRPr="00256601">
        <w:rPr>
          <w:rFonts w:cs="Times New Roman"/>
          <w:noProof/>
        </w:rPr>
        <w:t>O emissions seen from two decades of atmospheric inversion. Nat. Clim. Chang. 9(12): 993–998. doi: 10.1038/s41558-019-0613-7.</w:t>
      </w:r>
    </w:p>
    <w:p w14:paraId="5D92DF1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Thorbjørn, A., P. Moldrup, H. Blendstrup, T. Komatsu, and D.E. Rolston. 2008. A gas diffusivity model based on air-, solid-, and water-phase resistance in variably saturated soil. Vadose Zo. J. 7(4): 1276–1286. doi: 10.2136/vzj2008.0023.</w:t>
      </w:r>
    </w:p>
    <w:p w14:paraId="6686675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Tian, H., R. Xu, J.G. Canadell, R.L. Thompson, W. Winiwarter, et al. 2020. A comprehensive quantification of global nitrous oxide sources and sinks. Nature 586(7828): 248–256. doi: 10.1038/s41586-020-2780-0.</w:t>
      </w:r>
    </w:p>
    <w:p w14:paraId="4D37BF4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Tian, H., J. Yang, R. Xu, C. Lu, J.G. Canadell, et al. 2018. Global soil nitrous oxide emissions since the preindustrial era estimated by an ensemble of terrestrial biosphere models: Magnitude, attribution, and uncertainty. Glob. Chang. Biol. 25(2): 640–659. doi: 10.1111/gcb.14514.</w:t>
      </w:r>
    </w:p>
    <w:p w14:paraId="6EB23A5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Torbert, H.A., D.W. Reeves, and R.L. Mulvaney. 1996. Winter legume cover crop benefits to corn: Rotation vs. fixed-nitrogen effects. Agron. J. 88(4): 527–535. doi: 10.2134/agronj1996.00021962008800040005x.</w:t>
      </w:r>
    </w:p>
    <w:p w14:paraId="46743DB8"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Torgo, L., R.P. Ribeiro, B. Pfahringer, and P. Branco. 2013. SMOTE for regression BT - progress in artificial intelligence.</w:t>
      </w:r>
    </w:p>
    <w:p w14:paraId="7470A544" w14:textId="3720BBB2"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Tosi, M., S. Brown, P.V. Ferrari Machado, C. Wagner-Riddle, and K. Dunfield. 2020. Short-term response of soil N-cycling genes and transcripts to fertilization with nitrification and urease inhibitors, and relationship with field-scale N</w:t>
      </w:r>
      <w:r w:rsidRPr="00A05C27">
        <w:rPr>
          <w:rFonts w:cs="Times New Roman"/>
          <w:noProof/>
          <w:vertAlign w:val="subscript"/>
        </w:rPr>
        <w:t>2</w:t>
      </w:r>
      <w:r w:rsidRPr="00256601">
        <w:rPr>
          <w:rFonts w:cs="Times New Roman"/>
          <w:noProof/>
        </w:rPr>
        <w:t>O emissions. Soil Biol. Biochem. 142: 107703. doi: 10.1016/j.soilbio.2019.107703.</w:t>
      </w:r>
    </w:p>
    <w:p w14:paraId="20811159" w14:textId="0F9D8339"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lastRenderedPageBreak/>
        <w:t>Truu, M., H. Nõlvak, I. Ostonen, K. Oopkaup, M. Maddison, et al. 2020. Soil bacterial and archaeal communities and their potential to perform N-cycling processes in soils of Boreal Forests growing on well-drained peat. Front. Microbiol. 11: 1–22. doi: 10.3389/fmicb.2020.591358.</w:t>
      </w:r>
    </w:p>
    <w:p w14:paraId="12834FB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Tschiersch, H., G. Liebsch, L. Borisjuk, A. Stangelmayer, and H. Rolletschek. 2012. An imaging method for oxygen distribution, respiration and photosynthesis at a microscopic level of resolution. New Phytol. 196: 926–936. doi: 10.1111/j.1469-8137.2012.04295.x.</w:t>
      </w:r>
    </w:p>
    <w:p w14:paraId="5294C9EF"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Turner, F.., and W.H. Patrick. 1968. Chemical changes in waterlogged soils as a result of oxygen depletion. Transactions. 9th int. Congr. Soil Sci. Adelaide. p. 53–65</w:t>
      </w:r>
    </w:p>
    <w:p w14:paraId="3113BC1A"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Unkovich, M. 2012. Nitrogen fixation in Australian dairy systems: Review and prospect. Crop Pasture Sci. 63(9): 787–804. doi: 10.1071/CP12180.</w:t>
      </w:r>
    </w:p>
    <w:p w14:paraId="5D2408F6"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Unkovich, M., D. Herridge, M. Peoples, G. Cadisch, B. Boddey, et al. 2008. Measuring plan-associated nitrogen fixation in agricultural systems.</w:t>
      </w:r>
    </w:p>
    <w:p w14:paraId="4A78A533"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Vargas Gil, S., J. Meriles, C. Conforto, M. Basanta, V. Radl, et al. 2011. Response of soil microbial communities to different management practices in surface soils of a soybean agroecosystem in Argentina. Eur. J. Soil Biol. 47(1): 55–60. doi: 10.1016/j.ejsobi.2010.11.006.</w:t>
      </w:r>
    </w:p>
    <w:p w14:paraId="11667B95"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de Vries, M., A. Schöler, J. Ertl, Z. Xu, and M. Schloter. 2015. Metagenomic analyses reveal no differences in genes involved in cellulose degradation under different tillage treatments. FEMS Microbiol. Ecol. 91(7): 1–10. doi: 10.1093/femsec/fiv069.</w:t>
      </w:r>
    </w:p>
    <w:p w14:paraId="239FC5B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Wagner-Riddle, C., E.M. Baggs, T.J. Clough, K. Fuchs, and S.O. Petersen. 2020. </w:t>
      </w:r>
      <w:r w:rsidRPr="00256601">
        <w:rPr>
          <w:rFonts w:cs="Times New Roman"/>
          <w:noProof/>
        </w:rPr>
        <w:lastRenderedPageBreak/>
        <w:t>Mitigation of nitrous oxide emissions in the context of nitrogen loss reduction from agroecosystems: managing hot spots and hot moments. Curr. Opin. Environ. Sustain. 47: 46–53. doi: 10.1016/j.cosust.2020.08.002.</w:t>
      </w:r>
    </w:p>
    <w:p w14:paraId="4371CFD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Wagner-Riddle, C., K.A. Congreves, D. Abalos, A.A. Berg, S.E. Brown, et al. 2017. Globally important nitrous oxide emissions from croplands induced by freeze-thaw cycles. Nat. Geosci. 10(4): 279–283. doi: 10.1038/ngeo2907.</w:t>
      </w:r>
    </w:p>
    <w:p w14:paraId="003FE97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Walfish, S. 2006. A review of statistical outlier methods. Pharm. Technol. 30(11): 82–86.</w:t>
      </w:r>
    </w:p>
    <w:p w14:paraId="2EED2D96"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Walne, C.H., and K.R. Reddy. 2021. Developing Functional Relationships between Soil Waterlogging and Corn Shoot and Root Growth and Development. Plants 10(2095): 2095.</w:t>
      </w:r>
    </w:p>
    <w:p w14:paraId="5BFAB0C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Wang, C., B. Amon, K. Schulz, and B. Mehdi. 2021a. Factors that influence nitrous oxide emissions from agricultural soils as well as their representation in simulation models: A review. Agronomy 11(4). doi: 10.3390/agronomy11040770.</w:t>
      </w:r>
    </w:p>
    <w:p w14:paraId="3B5CAFF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Wang, C., X. Ma, G. Wang, G. Li, and K. Zhu. 2021b. Implication of ­ O</w:t>
      </w:r>
      <w:r w:rsidRPr="00A05C27">
        <w:rPr>
          <w:rFonts w:cs="Times New Roman"/>
          <w:noProof/>
          <w:vertAlign w:val="subscript"/>
        </w:rPr>
        <w:t>2</w:t>
      </w:r>
      <w:r w:rsidRPr="00256601">
        <w:rPr>
          <w:rFonts w:cs="Times New Roman"/>
          <w:noProof/>
        </w:rPr>
        <w:t xml:space="preserve"> dynamics CH</w:t>
      </w:r>
      <w:r w:rsidRPr="00A05C27">
        <w:rPr>
          <w:rFonts w:cs="Times New Roman"/>
          <w:noProof/>
          <w:vertAlign w:val="subscript"/>
        </w:rPr>
        <w:t>4</w:t>
      </w:r>
      <w:r w:rsidRPr="00256601">
        <w:rPr>
          <w:rFonts w:cs="Times New Roman"/>
          <w:noProof/>
        </w:rPr>
        <w:t xml:space="preserve"> emissions for both ­ N</w:t>
      </w:r>
      <w:r w:rsidRPr="00A05C27">
        <w:rPr>
          <w:rFonts w:cs="Times New Roman"/>
          <w:noProof/>
          <w:vertAlign w:val="subscript"/>
        </w:rPr>
        <w:t>2</w:t>
      </w:r>
      <w:r w:rsidRPr="00256601">
        <w:rPr>
          <w:rFonts w:cs="Times New Roman"/>
          <w:noProof/>
        </w:rPr>
        <w:t>O and ­ from soil during biological soil disinfestation. Sci. Rep. (0123456789): 1–13. doi: 10.1038/s41598-021-86026-3.</w:t>
      </w:r>
    </w:p>
    <w:p w14:paraId="6DD853C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Wang, Q., Y. Ma, K. Zhao, and Y. Tian. 2020. A comprehensive survey of loss functions in machine learning. Ann. Data Sci. 9: 187–212. doi: doi.org/10.1007/s40745-020-00253-5.</w:t>
      </w:r>
    </w:p>
    <w:p w14:paraId="1F11DA9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Wang, Y., R. Wang, B. Lu, A. Guerin-Laguette, X. He, et al. 2021c. Mycorrhization of Quercus mongolica seedlings by Tuber melanosporum alters root carbon exudation and rhizosphere bacterial communities. Plant Soil 467(1–2): 391–403. doi: </w:t>
      </w:r>
      <w:r w:rsidRPr="00256601">
        <w:rPr>
          <w:rFonts w:cs="Times New Roman"/>
          <w:noProof/>
        </w:rPr>
        <w:lastRenderedPageBreak/>
        <w:t>10.1007/s11104-021-05112-7.</w:t>
      </w:r>
    </w:p>
    <w:p w14:paraId="0AFBDE27" w14:textId="04000EB1"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Wang, H., Z. Yan, X. Ju, X. Song, J. Zhang, et al. 2023. Quantifying nitrous oxide production rates from nitrification and denitrification under various moisture conditions in agricultural soils: Laboratory study and literature synthesis. Front. Microbiol. 13: 1–10. doi: 10.3389/fmicb.2022.1110151.</w:t>
      </w:r>
    </w:p>
    <w:p w14:paraId="7B8624FA"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Wang, C., X. Zhou, D. Guo, J. Zhao, L. Yan, et al. 2019. Soil pH is the primary factor driving the distribution and function of microorganisms in farmland soils in northeastern China. Ann. Microbiol. (69): 1461–1473. doi: 10.1007/s13213-019-01529-9.</w:t>
      </w:r>
    </w:p>
    <w:p w14:paraId="64458E78"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Waskom, M.L. 2021. seaborn: statistical data visualization. J. Open Source Softw. 6(60): 3021. doi: https://doi.org/10.21105/joss.03021.</w:t>
      </w:r>
    </w:p>
    <w:p w14:paraId="5B7770FA"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Weier, K.L., J.W. Doran, J.F. Power, and D.T. Walters. 1993. Denitrification and the dinitrogen/nitrous oxide ratio as affected by soil water, available carbon, and nitrate. Soil Sci. Soc. Am. J. 57(1): 66–72. doi: 10.2136/sssaj1993.03615995005700010013x.</w:t>
      </w:r>
    </w:p>
    <w:p w14:paraId="1036096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Weil, R.R., K.R. Islam, M.A. Stine, J.B. Gruver, and S.E. Samson-Liebig. 2003. Estimating active carbon for soil quality assessment: A simplified method for laboratory and field use. Am. J. Altern. Agric. 18(1): 1–17. https://www.ag.gov.au/tobaccoplainpackaging#_dapjo.</w:t>
      </w:r>
    </w:p>
    <w:p w14:paraId="041475F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Wertz, S., V. Degrange, J.I. Prosser, F. Poly, C. Commeaux, et al. 2007. Decline of soil microbial diversity does not influence the resistance and resilience of key soil microbial functional groups following a model disturbance. Environ. Microbiol. </w:t>
      </w:r>
      <w:r w:rsidRPr="00256601">
        <w:rPr>
          <w:rFonts w:cs="Times New Roman"/>
          <w:noProof/>
        </w:rPr>
        <w:lastRenderedPageBreak/>
        <w:t>9(9): 2211–2219. doi: 10.1111/j.1462-2920.2007.01335.x.</w:t>
      </w:r>
    </w:p>
    <w:p w14:paraId="1FFD3BC6"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Wessén, E., S. Hallin, and L. Philippot. 2010. Differential responses of bacterial and archaeal groups at high taxonomical ranks to soil management. Soil Biol. Biochem. 42(10): 1759–1765. doi: 10.1016/j.soilbio.2010.06.013.</w:t>
      </w:r>
    </w:p>
    <w:p w14:paraId="50EAEEA0"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Wijler, J., and C.C. Delwiche. 1954. Investigations on the denitrifying process in soil. Plant and Soil. p. 155–169</w:t>
      </w:r>
    </w:p>
    <w:p w14:paraId="5FD145D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Wilhelm, L., K. Besemer, C. Fasching, T. Urich, G.A. Singer, et al. 2014. Rare but active taxa contribute to community dynamics of benthic biofilms in glacier-fed streams. Environ. Microbiol. 16(8): 2514–2524. doi: 10.1111/1462-2920.12392.</w:t>
      </w:r>
    </w:p>
    <w:p w14:paraId="7A714183" w14:textId="67F17BB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Xiao, W., Q. Zhang, S. Zhao, D. Chen, Z. Zhao, et al. 2024. Combined metabolomic and microbial community analyses reveal that biochar and organic manure alter soil C-N metabolism and greenhouse gas emissions. Environ. Int. 192: 109028. doi: 10.1016/j.envint.2024.109028.</w:t>
      </w:r>
    </w:p>
    <w:p w14:paraId="65EB3AD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Xiong, R., X. He, N. Gao, Q. Li, Z. Qiu, et al. 2024. Soil pH amendment alters the abundance, diversity, and composition of microbial communities in two contrasting agricultural soils. Am. Soc. Microbiol. 12(8): 1–19.</w:t>
      </w:r>
    </w:p>
    <w:p w14:paraId="0C3C6A6D" w14:textId="5B643646"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Xu, S., Y. Yu, H. Fan, N. Bilyera, X. Meng, et al. 2024. Microbial communities overwhelm environmental controls in explaining nitrous oxide emission in acidic soils. Soil Biol. Biochem. 194: 109453. doi: 10.1016/j.soilbio.2024.109453.</w:t>
      </w:r>
    </w:p>
    <w:p w14:paraId="04CB8CC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Yang, Y., H. Liu, and J. Lv. 2022. Response of N</w:t>
      </w:r>
      <w:r w:rsidRPr="00702E31">
        <w:rPr>
          <w:rFonts w:cs="Times New Roman"/>
          <w:noProof/>
          <w:vertAlign w:val="subscript"/>
        </w:rPr>
        <w:t>2</w:t>
      </w:r>
      <w:r w:rsidRPr="00256601">
        <w:rPr>
          <w:rFonts w:cs="Times New Roman"/>
          <w:noProof/>
        </w:rPr>
        <w:t>O emission and denitrification genes to different inorganic and organic amendments. Sci. Rep. 12(1): 1–8. doi: 10.1038/s41598-022-07753-9.</w:t>
      </w:r>
    </w:p>
    <w:p w14:paraId="0FE5469A" w14:textId="355497D1"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lastRenderedPageBreak/>
        <w:t>Yang, L., X. Zhang, and X. Ju. 2017. Linkage between N</w:t>
      </w:r>
      <w:r w:rsidRPr="00702E31">
        <w:rPr>
          <w:rFonts w:cs="Times New Roman"/>
          <w:noProof/>
          <w:vertAlign w:val="subscript"/>
        </w:rPr>
        <w:t>2</w:t>
      </w:r>
      <w:r w:rsidRPr="00256601">
        <w:rPr>
          <w:rFonts w:cs="Times New Roman"/>
          <w:noProof/>
        </w:rPr>
        <w:t>O emission and functional gene abundance in an intensively managed calcareous fluvo-aquic soil. Sci. Rep. 7: 1–11. doi: 10.1038/srep43283.</w:t>
      </w:r>
    </w:p>
    <w:p w14:paraId="69D24946" w14:textId="7DEB76EC"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Yang, L., X. Zhang, X. Ju, and D. Wu. 2021. Oxygen-depletion by rapid ammonia oxidation regulates kinetics of N</w:t>
      </w:r>
      <w:r w:rsidRPr="00702E31">
        <w:rPr>
          <w:rFonts w:cs="Times New Roman"/>
          <w:noProof/>
          <w:vertAlign w:val="subscript"/>
        </w:rPr>
        <w:t>2</w:t>
      </w:r>
      <w:r w:rsidRPr="00256601">
        <w:rPr>
          <w:rFonts w:cs="Times New Roman"/>
          <w:noProof/>
        </w:rPr>
        <w:t>O, NO and N</w:t>
      </w:r>
      <w:r w:rsidRPr="00702E31">
        <w:rPr>
          <w:rFonts w:cs="Times New Roman"/>
          <w:noProof/>
          <w:vertAlign w:val="subscript"/>
        </w:rPr>
        <w:t>2</w:t>
      </w:r>
      <w:r w:rsidRPr="00256601">
        <w:rPr>
          <w:rFonts w:cs="Times New Roman"/>
          <w:noProof/>
        </w:rPr>
        <w:t xml:space="preserve"> production in an ammonium fertilised agricultural soil. Soil Biol. Biochem. 163. doi: 10.1016/j.soilbio.2021.108460.</w:t>
      </w:r>
    </w:p>
    <w:p w14:paraId="4351FFA3"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Ye, X., H. Ran, X. Wang, G. Li, P. Ambus, et al. 2023. Delayed nitrogen application after straw and charred straw addition altered the hot moment of soil N</w:t>
      </w:r>
      <w:r w:rsidRPr="00702E31">
        <w:rPr>
          <w:rFonts w:cs="Times New Roman"/>
          <w:noProof/>
          <w:vertAlign w:val="subscript"/>
        </w:rPr>
        <w:t>2</w:t>
      </w:r>
      <w:r w:rsidRPr="00256601">
        <w:rPr>
          <w:rFonts w:cs="Times New Roman"/>
          <w:noProof/>
        </w:rPr>
        <w:t>O emissions. Eur. J. Soil Sci. 74(1): 1–15. doi: 10.1111/ejss.13349.</w:t>
      </w:r>
    </w:p>
    <w:p w14:paraId="3BC8D7B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Yin, Y., Z. Wang, X. Tian, Y. Wang, J. Cong, et al. 2022. Evaluation of variation in background nitrous oxide emissions: A new global synthesis integrating the impacts of climate, soil, and management conditions. Glob. Chang. Biol. 28(2): 480–492. doi: 10.1111/gcb.15860.</w:t>
      </w:r>
    </w:p>
    <w:p w14:paraId="2307AC72"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Yoon, H., M.J. Song, D.D. Kim, F. Sabba, and S. Yoon. 2019. A serial biofiltration system for effective removal of low-concentration nitrous oxide in oxic gas streams: Mathematical modeling of reactor performance and experimental validation. Environ. Sci. Technol. 53(4): 2063–2074. doi: 10.1021/acs.est.8b05924.</w:t>
      </w:r>
    </w:p>
    <w:p w14:paraId="786F50A7"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Yoon, H., M.J. Song, and S. Yoon. 2017. Design and feasibility analysis of a self-sustaining biofiltration system for removal of low concentration N</w:t>
      </w:r>
      <w:r w:rsidRPr="00702E31">
        <w:rPr>
          <w:rFonts w:cs="Times New Roman"/>
          <w:noProof/>
          <w:vertAlign w:val="subscript"/>
        </w:rPr>
        <w:t>2</w:t>
      </w:r>
      <w:r w:rsidRPr="00256601">
        <w:rPr>
          <w:rFonts w:cs="Times New Roman"/>
          <w:noProof/>
        </w:rPr>
        <w:t>O emitted from wastewater treatment plants. Environ. Sci. Technol. 51(18): 10736–10745. doi: 10.1021/acs.est.7b02750.</w:t>
      </w:r>
    </w:p>
    <w:p w14:paraId="6175FC32" w14:textId="017BA37D"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lastRenderedPageBreak/>
        <w:t>Yu, N., S. Alam, B. Ren, B. Zhao, P. Liu, et al. 2024. Long-term integrated soil-crop system management promoted rhizosphere nitrogen cycling and reduced N</w:t>
      </w:r>
      <w:r w:rsidRPr="00702E31">
        <w:rPr>
          <w:rFonts w:cs="Times New Roman"/>
          <w:noProof/>
          <w:vertAlign w:val="subscript"/>
        </w:rPr>
        <w:t>2</w:t>
      </w:r>
      <w:r w:rsidRPr="00256601">
        <w:rPr>
          <w:rFonts w:cs="Times New Roman"/>
          <w:noProof/>
        </w:rPr>
        <w:t>O emission of maize. F. Crop. Res. 319: 109641. doi: 10.1016/j.fcr.2024.109641.</w:t>
      </w:r>
    </w:p>
    <w:p w14:paraId="0658E8C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Yue, Q., K. Cheng, S. Ogle, J. Hillier, P. Smith, et al. 2019. Evaluation of four modelling approaches to estimate nitrous oxide emissions in China’s cropland. Sci. Total Environ. 652: 1279–1289. doi: 10.1016/j.scitotenv.2018.10.336.</w:t>
      </w:r>
    </w:p>
    <w:p w14:paraId="1BE7C3C3"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Zakeri, H., G.P. Lafond, J.J. Schoenau, M. Hadi Pahlavani, A. Vandenberg, et al. 2012. Lentil performance in response to weather, no-till duration, and nitrogen in Saskatchewan. Agron. J. 104(6): 1501–1509. doi: 10.2134/agronj2011.0339.</w:t>
      </w:r>
    </w:p>
    <w:p w14:paraId="254DC7AA"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Zeng, J., X. Liu, L. Song, X. Lin, H. Zhang, et al. 2016. Nitrogen fertilization directly affects soil bacterial diversity and indirectly affects bacterial community composition. Soil Biol. Biochem. 92: 41–49. doi: 10.1016/j.soilbio.2015.09.018.</w:t>
      </w:r>
    </w:p>
    <w:p w14:paraId="33F18499"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Zhang, Y., Y. Li, T. Liang, Y. Yuan, Z. Li, et al. 2023. Field-grown cotton shows genotypic variation in agronomic and physiological responses to waterlogging. F. Crop. Res. 302: 109067. doi: 10.1016/j.fcr.2023.109067.</w:t>
      </w:r>
    </w:p>
    <w:p w14:paraId="5378B22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Zhang, Y., G. Liu, H. Dong, and C. Li. 2021. Waterlogging stress in cotton: Damage, adaptability, alleviation strategies, and mechanisms. Crop J. 9(2): 257–270. doi: 10.1016/j.cj.2020.08.005.</w:t>
      </w:r>
    </w:p>
    <w:p w14:paraId="58567FF1" w14:textId="606D02B3"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Zhang, Y., H. Shen, X. He, B.W. Thomas, N.Z. Lupwayi, et al. 2017. Fertilization shapes bacterial community structure by alteration of soil pH. Front. Microbiol. 8. doi: 10.3389/fmicb.2017.01325.</w:t>
      </w:r>
    </w:p>
    <w:p w14:paraId="0977263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 xml:space="preserve">Zhao, Y., Q. Liu, M.S. Kang, F. Jin, H. Yu, et al. 2015. Flavisolibacter ginsenosidimutans </w:t>
      </w:r>
      <w:r w:rsidRPr="00256601">
        <w:rPr>
          <w:rFonts w:cs="Times New Roman"/>
          <w:noProof/>
        </w:rPr>
        <w:lastRenderedPageBreak/>
        <w:t>sp. Nov., with ginsenoside-converting activity isolated from soil used for cultivating ginseng. Int. J. Syst. Evol. Microbiol. 65(12): 4868–4872. doi: 10.1099/ijsem.0.000660.</w:t>
      </w:r>
    </w:p>
    <w:p w14:paraId="3B026B91"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Zhao, Y., Z. Nasrullah, and Z. Li. 2019. PyOD: A python toolbox for scalable outlier detection. J. Mach. Learn. Res. 20: 1–7.</w:t>
      </w:r>
    </w:p>
    <w:p w14:paraId="66E5741D"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Zhu, K., S. Bruun, M. Larsen, R.N. Glud, and L.S. Jensen. 2015. Heterogeneity of O</w:t>
      </w:r>
      <w:r w:rsidRPr="00702E31">
        <w:rPr>
          <w:rFonts w:cs="Times New Roman"/>
          <w:noProof/>
          <w:vertAlign w:val="subscript"/>
        </w:rPr>
        <w:t>2</w:t>
      </w:r>
      <w:r w:rsidRPr="00256601">
        <w:rPr>
          <w:rFonts w:cs="Times New Roman"/>
          <w:noProof/>
        </w:rPr>
        <w:t xml:space="preserve"> dynamics in soil amended with animal manure and implications for greenhouse gas emissions. Soil Biol. Biochem. 84: 96–106. doi: 10.1016/j.soilbio.2015.02.012.</w:t>
      </w:r>
    </w:p>
    <w:p w14:paraId="0BA45F98"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Zhu, X., M. Burger, T.A. Doane, and W.R. Horwath. 2013a. Ammonia oxidation pathways and nitrifier denitrification are significant sources of N</w:t>
      </w:r>
      <w:r w:rsidRPr="00702E31">
        <w:rPr>
          <w:rFonts w:cs="Times New Roman"/>
          <w:noProof/>
          <w:vertAlign w:val="subscript"/>
        </w:rPr>
        <w:t>2</w:t>
      </w:r>
      <w:r w:rsidRPr="00256601">
        <w:rPr>
          <w:rFonts w:cs="Times New Roman"/>
          <w:noProof/>
        </w:rPr>
        <w:t>O and NO under low oxygen availability. Proc. Natl. Acad. Sci. U. S. A. 110(16): 6328–6333. doi: 10.1073/pnas.1219993110.</w:t>
      </w:r>
    </w:p>
    <w:p w14:paraId="3BF402A4"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Zhu, J., J. Mulder, L. Bakken, and P. Dörsch. 2013b. The importance of denitrification for N</w:t>
      </w:r>
      <w:r w:rsidRPr="00702E31">
        <w:rPr>
          <w:rFonts w:cs="Times New Roman"/>
          <w:noProof/>
          <w:vertAlign w:val="subscript"/>
        </w:rPr>
        <w:t>2</w:t>
      </w:r>
      <w:r w:rsidRPr="00256601">
        <w:rPr>
          <w:rFonts w:cs="Times New Roman"/>
          <w:noProof/>
        </w:rPr>
        <w:t xml:space="preserve">O emissions from an N-saturated forest in SW China: Results from in situ </w:t>
      </w:r>
      <w:r w:rsidRPr="00702E31">
        <w:rPr>
          <w:rFonts w:cs="Times New Roman"/>
          <w:noProof/>
          <w:vertAlign w:val="superscript"/>
        </w:rPr>
        <w:t>15</w:t>
      </w:r>
      <w:r w:rsidRPr="00256601">
        <w:rPr>
          <w:rFonts w:cs="Times New Roman"/>
          <w:noProof/>
        </w:rPr>
        <w:t>N labeling experiments. Biogeochemistry 116(1–3): 103–117. doi: 10.1007/s10533-013-9883-8.</w:t>
      </w:r>
    </w:p>
    <w:p w14:paraId="1B161ECE"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Zulauf, C., and B. Brown. 2019a. Cover crops, 2017 US census of agriculture. Farmdoc Dly. 9(141): 1–4. https://farmdocdaily.illinois.edu/2019/07/tillage-practices-2017-us-census-of-agriculture.html%0A.</w:t>
      </w:r>
    </w:p>
    <w:p w14:paraId="3AA8746B" w14:textId="77777777" w:rsidR="00256601" w:rsidRPr="00256601" w:rsidRDefault="00256601" w:rsidP="00256601">
      <w:pPr>
        <w:widowControl w:val="0"/>
        <w:autoSpaceDE w:val="0"/>
        <w:autoSpaceDN w:val="0"/>
        <w:adjustRightInd w:val="0"/>
        <w:spacing w:line="480" w:lineRule="auto"/>
        <w:ind w:left="480" w:hanging="480"/>
        <w:jc w:val="left"/>
        <w:rPr>
          <w:rFonts w:cs="Times New Roman"/>
          <w:noProof/>
        </w:rPr>
      </w:pPr>
      <w:r w:rsidRPr="00256601">
        <w:rPr>
          <w:rFonts w:cs="Times New Roman"/>
          <w:noProof/>
        </w:rPr>
        <w:t>Zulauf, C., and B. Brown. 2019b. Tillage practices, 2017 US census of agriculture. Farmdoc Dly. 9(136): 1–5. https://farmdocdaily.illinois.edu/2019/07/tillage-practices-2017-us-census-of-agriculture.html%0A.</w:t>
      </w:r>
    </w:p>
    <w:p w14:paraId="4FCE573B" w14:textId="1FC99549" w:rsidR="00134D00" w:rsidRPr="00134D00" w:rsidRDefault="004179E3" w:rsidP="00134D00">
      <w:pPr>
        <w:spacing w:line="480" w:lineRule="auto"/>
        <w:jc w:val="left"/>
        <w:rPr>
          <w:rFonts w:cs="Times New Roman"/>
        </w:rPr>
      </w:pPr>
      <w:r w:rsidRPr="00203EB0">
        <w:rPr>
          <w:rFonts w:cs="Times New Roman"/>
        </w:rPr>
        <w:lastRenderedPageBreak/>
        <w:fldChar w:fldCharType="end"/>
      </w:r>
    </w:p>
    <w:p w14:paraId="24F2DDF1" w14:textId="1FC99549" w:rsidR="00191DD7" w:rsidRPr="00203EB0" w:rsidRDefault="007D538B" w:rsidP="00134D00">
      <w:pPr>
        <w:pStyle w:val="AltHeading1"/>
      </w:pPr>
      <w:bookmarkStart w:id="154" w:name="_Toc420995913"/>
      <w:bookmarkStart w:id="155" w:name="_Toc422997500"/>
      <w:bookmarkStart w:id="156" w:name="_Toc427156485"/>
      <w:bookmarkStart w:id="157" w:name="_Toc206669182"/>
      <w:r w:rsidRPr="00203EB0">
        <w:t>V</w:t>
      </w:r>
      <w:r w:rsidR="00E91931" w:rsidRPr="00203EB0">
        <w:t>ita</w:t>
      </w:r>
      <w:bookmarkEnd w:id="154"/>
      <w:bookmarkEnd w:id="155"/>
      <w:bookmarkEnd w:id="156"/>
      <w:bookmarkEnd w:id="157"/>
    </w:p>
    <w:p w14:paraId="7F232946" w14:textId="34810248" w:rsidR="000906E3" w:rsidRPr="00203EB0" w:rsidRDefault="000906E3" w:rsidP="000906E3">
      <w:pPr>
        <w:spacing w:line="480" w:lineRule="auto"/>
        <w:rPr>
          <w:rFonts w:cs="Times New Roman"/>
        </w:rPr>
      </w:pPr>
      <w:r w:rsidRPr="00203EB0">
        <w:rPr>
          <w:rFonts w:cs="Times New Roman"/>
        </w:rPr>
        <w:t xml:space="preserve">Facundo Lussich Rachetti was born in Uruguay. He earned a </w:t>
      </w:r>
      <w:proofErr w:type="gramStart"/>
      <w:r w:rsidRPr="00203EB0">
        <w:rPr>
          <w:rFonts w:cs="Times New Roman"/>
        </w:rPr>
        <w:t>Bachelor’s</w:t>
      </w:r>
      <w:proofErr w:type="gramEnd"/>
      <w:r w:rsidRPr="00203EB0">
        <w:rPr>
          <w:rFonts w:cs="Times New Roman"/>
        </w:rPr>
        <w:t xml:space="preserve"> degree in Agricultural Engineering and a </w:t>
      </w:r>
      <w:proofErr w:type="gramStart"/>
      <w:r w:rsidRPr="00203EB0">
        <w:rPr>
          <w:rFonts w:cs="Times New Roman"/>
        </w:rPr>
        <w:t>Master’s degree in Plant Science</w:t>
      </w:r>
      <w:proofErr w:type="gramEnd"/>
      <w:r w:rsidRPr="00203EB0">
        <w:rPr>
          <w:rFonts w:cs="Times New Roman"/>
        </w:rPr>
        <w:t xml:space="preserve"> from the Universidad de la República, where his research focused on biological nitrogen fixation in forage legumes. He worked as a research assistant at the National Agricultural Research Institute (INIA), collaborating with farmers and industry partners on sustainable forage and soil management. In 2021, he began his doctoral studies in Environmental and Soil Science at The University of Tennessee, Knoxville, under the mentorship of Dr. Debasish Saha. His research has focused on soil health, nitrogen cycling, greenhouse gas emissions, and machine learning modeling of nitrous oxide emissions in long-term agricultural systems. During his PhD, he presented his work at national and international conferences, published peer-reviewed articles, and contributed to outreach and extension activities. He will complete his doctoral degree in December 2025.</w:t>
      </w:r>
    </w:p>
    <w:p w14:paraId="11A98571" w14:textId="02F368C8" w:rsidR="000906E3" w:rsidRPr="00203EB0" w:rsidRDefault="000906E3" w:rsidP="000906E3">
      <w:pPr>
        <w:rPr>
          <w:rFonts w:cs="Times New Roman"/>
        </w:rPr>
      </w:pPr>
    </w:p>
    <w:p w14:paraId="14392711" w14:textId="3911FB5B" w:rsidR="00AE125E" w:rsidRPr="009D2AA9" w:rsidRDefault="00AE125E" w:rsidP="003D63DF">
      <w:pPr>
        <w:rPr>
          <w:rFonts w:cs="Times New Roman"/>
        </w:rPr>
      </w:pPr>
    </w:p>
    <w:sectPr w:rsidR="00AE125E" w:rsidRPr="009D2AA9" w:rsidSect="00C42EB0">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1E14E" w14:textId="77777777" w:rsidR="00B431A9" w:rsidRPr="00203EB0" w:rsidRDefault="00B431A9">
      <w:r w:rsidRPr="00203EB0">
        <w:separator/>
      </w:r>
    </w:p>
  </w:endnote>
  <w:endnote w:type="continuationSeparator" w:id="0">
    <w:p w14:paraId="7F52CD3D" w14:textId="77777777" w:rsidR="00B431A9" w:rsidRPr="00203EB0" w:rsidRDefault="00B431A9">
      <w:r w:rsidRPr="00203E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950395"/>
      <w:docPartObj>
        <w:docPartGallery w:val="Page Numbers (Bottom of Page)"/>
        <w:docPartUnique/>
      </w:docPartObj>
    </w:sdtPr>
    <w:sdtContent>
      <w:p w14:paraId="2BA4E26E" w14:textId="38803EB0" w:rsidR="00AE1B19" w:rsidRPr="00203EB0" w:rsidRDefault="00AE1B19">
        <w:pPr>
          <w:pStyle w:val="Footer"/>
          <w:jc w:val="center"/>
        </w:pPr>
        <w:r w:rsidRPr="00203EB0">
          <w:fldChar w:fldCharType="begin"/>
        </w:r>
        <w:r w:rsidRPr="00203EB0">
          <w:instrText xml:space="preserve"> PAGE   \* MERGEFORMAT </w:instrText>
        </w:r>
        <w:r w:rsidRPr="00203EB0">
          <w:fldChar w:fldCharType="separate"/>
        </w:r>
        <w:r w:rsidRPr="00203EB0">
          <w:t>2</w:t>
        </w:r>
        <w:r w:rsidRPr="00203EB0">
          <w:fldChar w:fldCharType="end"/>
        </w:r>
      </w:p>
    </w:sdtContent>
  </w:sdt>
  <w:p w14:paraId="3B697F3C" w14:textId="77777777" w:rsidR="004C0222" w:rsidRPr="00203EB0" w:rsidRDefault="004C0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3610958"/>
      <w:docPartObj>
        <w:docPartGallery w:val="Page Numbers (Bottom of Page)"/>
        <w:docPartUnique/>
      </w:docPartObj>
    </w:sdtPr>
    <w:sdtContent>
      <w:p w14:paraId="2A26BEF3" w14:textId="77777777" w:rsidR="00B84704" w:rsidRPr="00203EB0" w:rsidRDefault="00B84704">
        <w:pPr>
          <w:pStyle w:val="Footer"/>
          <w:jc w:val="center"/>
        </w:pPr>
        <w:r w:rsidRPr="00203EB0">
          <w:fldChar w:fldCharType="begin"/>
        </w:r>
        <w:r w:rsidRPr="00203EB0">
          <w:instrText xml:space="preserve"> PAGE   \* MERGEFORMAT </w:instrText>
        </w:r>
        <w:r w:rsidRPr="00203EB0">
          <w:fldChar w:fldCharType="separate"/>
        </w:r>
        <w:r w:rsidRPr="00203EB0">
          <w:t>2</w:t>
        </w:r>
        <w:r w:rsidRPr="00203EB0">
          <w:fldChar w:fldCharType="end"/>
        </w:r>
      </w:p>
    </w:sdtContent>
  </w:sdt>
  <w:p w14:paraId="2B78471F" w14:textId="77777777" w:rsidR="00B84704" w:rsidRPr="00203EB0" w:rsidRDefault="00B84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BB3F7" w14:textId="77777777" w:rsidR="00B431A9" w:rsidRPr="00203EB0" w:rsidRDefault="00B431A9">
      <w:r w:rsidRPr="00203EB0">
        <w:separator/>
      </w:r>
    </w:p>
  </w:footnote>
  <w:footnote w:type="continuationSeparator" w:id="0">
    <w:p w14:paraId="124F9E9F" w14:textId="77777777" w:rsidR="00B431A9" w:rsidRPr="00203EB0" w:rsidRDefault="00B431A9">
      <w:r w:rsidRPr="00203E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974626" w:rsidRPr="00203EB0" w:rsidRDefault="00974626">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4308" w14:textId="77777777" w:rsidR="00974626" w:rsidRPr="00203EB0" w:rsidRDefault="00974626">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62FE414E"/>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08BEBFF8"/>
    <w:name w:val="Table3223"/>
    <w:lvl w:ilvl="0">
      <w:start w:val="1"/>
      <w:numFmt w:val="cardinalText"/>
      <w:suff w:val="space"/>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D9924B8"/>
    <w:multiLevelType w:val="hybridMultilevel"/>
    <w:tmpl w:val="ECF622C2"/>
    <w:lvl w:ilvl="0" w:tplc="F9028E08">
      <w:start w:val="1"/>
      <w:numFmt w:val="decimal"/>
      <w:pStyle w:val="Heading1"/>
      <w:lvlText w:val="%1."/>
      <w:lvlJc w:val="lef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1E008B"/>
    <w:multiLevelType w:val="multilevel"/>
    <w:tmpl w:val="DFBE1AF8"/>
    <w:lvl w:ilvl="0">
      <w:start w:val="1"/>
      <w:numFmt w:val="decimal"/>
      <w:pStyle w:val="Ttulo1"/>
      <w:suff w:val="space"/>
      <w:lvlText w:val="Chapeter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pStyle w:val="Ttulo5"/>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20"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749F4E87"/>
    <w:multiLevelType w:val="multilevel"/>
    <w:tmpl w:val="ECD0722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882479664">
    <w:abstractNumId w:val="0"/>
  </w:num>
  <w:num w:numId="2" w16cid:durableId="1679427004">
    <w:abstractNumId w:val="7"/>
  </w:num>
  <w:num w:numId="3" w16cid:durableId="1969585272">
    <w:abstractNumId w:val="3"/>
  </w:num>
  <w:num w:numId="4" w16cid:durableId="676468954">
    <w:abstractNumId w:val="13"/>
  </w:num>
  <w:num w:numId="5" w16cid:durableId="441339837">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3581502">
    <w:abstractNumId w:val="21"/>
  </w:num>
  <w:num w:numId="7" w16cid:durableId="1824084942">
    <w:abstractNumId w:val="9"/>
  </w:num>
  <w:num w:numId="8" w16cid:durableId="2081361392">
    <w:abstractNumId w:val="19"/>
  </w:num>
  <w:num w:numId="9" w16cid:durableId="924844750">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1ABC"/>
    <w:rsid w:val="0000559F"/>
    <w:rsid w:val="000061E6"/>
    <w:rsid w:val="00014A3E"/>
    <w:rsid w:val="000166A9"/>
    <w:rsid w:val="0002037F"/>
    <w:rsid w:val="00020D20"/>
    <w:rsid w:val="00024ABB"/>
    <w:rsid w:val="0002566F"/>
    <w:rsid w:val="00025EEA"/>
    <w:rsid w:val="000277E0"/>
    <w:rsid w:val="0003167E"/>
    <w:rsid w:val="00032057"/>
    <w:rsid w:val="0003269A"/>
    <w:rsid w:val="0003436E"/>
    <w:rsid w:val="000354E8"/>
    <w:rsid w:val="00037F03"/>
    <w:rsid w:val="00045E89"/>
    <w:rsid w:val="000474ED"/>
    <w:rsid w:val="00050B5D"/>
    <w:rsid w:val="000536AF"/>
    <w:rsid w:val="000539F4"/>
    <w:rsid w:val="00057004"/>
    <w:rsid w:val="000655E1"/>
    <w:rsid w:val="00067451"/>
    <w:rsid w:val="00070085"/>
    <w:rsid w:val="00071E0F"/>
    <w:rsid w:val="00071FB8"/>
    <w:rsid w:val="00075FB2"/>
    <w:rsid w:val="00076A95"/>
    <w:rsid w:val="000776C9"/>
    <w:rsid w:val="000831E1"/>
    <w:rsid w:val="00084368"/>
    <w:rsid w:val="000906E3"/>
    <w:rsid w:val="000925BB"/>
    <w:rsid w:val="00095103"/>
    <w:rsid w:val="00095727"/>
    <w:rsid w:val="000957C1"/>
    <w:rsid w:val="00097F13"/>
    <w:rsid w:val="000A72A4"/>
    <w:rsid w:val="000B004F"/>
    <w:rsid w:val="000B0A40"/>
    <w:rsid w:val="000B4441"/>
    <w:rsid w:val="000B5C42"/>
    <w:rsid w:val="000C5078"/>
    <w:rsid w:val="000C6796"/>
    <w:rsid w:val="000D47FC"/>
    <w:rsid w:val="000D6A27"/>
    <w:rsid w:val="000E0821"/>
    <w:rsid w:val="000F2508"/>
    <w:rsid w:val="000F7913"/>
    <w:rsid w:val="0010217F"/>
    <w:rsid w:val="0011273B"/>
    <w:rsid w:val="00112F00"/>
    <w:rsid w:val="001159F7"/>
    <w:rsid w:val="00116E51"/>
    <w:rsid w:val="0012408C"/>
    <w:rsid w:val="00125F60"/>
    <w:rsid w:val="00127853"/>
    <w:rsid w:val="001306A7"/>
    <w:rsid w:val="0013469A"/>
    <w:rsid w:val="00134D00"/>
    <w:rsid w:val="00136A44"/>
    <w:rsid w:val="00136F72"/>
    <w:rsid w:val="0013736B"/>
    <w:rsid w:val="001375D0"/>
    <w:rsid w:val="00141463"/>
    <w:rsid w:val="00141BF9"/>
    <w:rsid w:val="0014330A"/>
    <w:rsid w:val="00145844"/>
    <w:rsid w:val="00146CBD"/>
    <w:rsid w:val="00150930"/>
    <w:rsid w:val="00155C8F"/>
    <w:rsid w:val="00157546"/>
    <w:rsid w:val="001669A7"/>
    <w:rsid w:val="0016702C"/>
    <w:rsid w:val="00170208"/>
    <w:rsid w:val="00173751"/>
    <w:rsid w:val="00174177"/>
    <w:rsid w:val="00177D09"/>
    <w:rsid w:val="0018055A"/>
    <w:rsid w:val="001836E5"/>
    <w:rsid w:val="001854FB"/>
    <w:rsid w:val="00191DD7"/>
    <w:rsid w:val="001931C5"/>
    <w:rsid w:val="00193642"/>
    <w:rsid w:val="00197BEB"/>
    <w:rsid w:val="001A0D20"/>
    <w:rsid w:val="001A2627"/>
    <w:rsid w:val="001A5C38"/>
    <w:rsid w:val="001A755D"/>
    <w:rsid w:val="001B0E6D"/>
    <w:rsid w:val="001B14B9"/>
    <w:rsid w:val="001B6AE5"/>
    <w:rsid w:val="001C08B2"/>
    <w:rsid w:val="001C39F6"/>
    <w:rsid w:val="001C5C91"/>
    <w:rsid w:val="001C66FE"/>
    <w:rsid w:val="001D10CD"/>
    <w:rsid w:val="001D24F9"/>
    <w:rsid w:val="001D2EB6"/>
    <w:rsid w:val="001D3AC3"/>
    <w:rsid w:val="001D4823"/>
    <w:rsid w:val="001D4908"/>
    <w:rsid w:val="001D4E4A"/>
    <w:rsid w:val="001D5565"/>
    <w:rsid w:val="001D6904"/>
    <w:rsid w:val="001E07A6"/>
    <w:rsid w:val="001E50F2"/>
    <w:rsid w:val="001F39BF"/>
    <w:rsid w:val="001F522F"/>
    <w:rsid w:val="001F7B4D"/>
    <w:rsid w:val="002003E6"/>
    <w:rsid w:val="00203EB0"/>
    <w:rsid w:val="00206090"/>
    <w:rsid w:val="00207219"/>
    <w:rsid w:val="00210E35"/>
    <w:rsid w:val="002167E3"/>
    <w:rsid w:val="002206E5"/>
    <w:rsid w:val="00224475"/>
    <w:rsid w:val="0022524C"/>
    <w:rsid w:val="00227CE0"/>
    <w:rsid w:val="00230F96"/>
    <w:rsid w:val="00231C33"/>
    <w:rsid w:val="0023261F"/>
    <w:rsid w:val="00236E6D"/>
    <w:rsid w:val="002377CF"/>
    <w:rsid w:val="002429E5"/>
    <w:rsid w:val="0024653C"/>
    <w:rsid w:val="00250919"/>
    <w:rsid w:val="002550B8"/>
    <w:rsid w:val="0025580C"/>
    <w:rsid w:val="00256601"/>
    <w:rsid w:val="0026501C"/>
    <w:rsid w:val="0026519B"/>
    <w:rsid w:val="00267A08"/>
    <w:rsid w:val="00271DB6"/>
    <w:rsid w:val="002742F6"/>
    <w:rsid w:val="00280CEF"/>
    <w:rsid w:val="00284ADA"/>
    <w:rsid w:val="00284FAE"/>
    <w:rsid w:val="00285087"/>
    <w:rsid w:val="0028757A"/>
    <w:rsid w:val="00290A0D"/>
    <w:rsid w:val="002A03F6"/>
    <w:rsid w:val="002B12B0"/>
    <w:rsid w:val="002B3951"/>
    <w:rsid w:val="002C1284"/>
    <w:rsid w:val="002C339C"/>
    <w:rsid w:val="002C44FB"/>
    <w:rsid w:val="002C4D2C"/>
    <w:rsid w:val="002D1346"/>
    <w:rsid w:val="002D1F73"/>
    <w:rsid w:val="002D1FE4"/>
    <w:rsid w:val="002D470F"/>
    <w:rsid w:val="002E2183"/>
    <w:rsid w:val="002E2492"/>
    <w:rsid w:val="002E4684"/>
    <w:rsid w:val="002E4A49"/>
    <w:rsid w:val="002E4E52"/>
    <w:rsid w:val="002F15D8"/>
    <w:rsid w:val="002F3DE4"/>
    <w:rsid w:val="003004F0"/>
    <w:rsid w:val="0030082C"/>
    <w:rsid w:val="00304BD0"/>
    <w:rsid w:val="00307D77"/>
    <w:rsid w:val="00311F1A"/>
    <w:rsid w:val="00313E9E"/>
    <w:rsid w:val="003150D5"/>
    <w:rsid w:val="00320F78"/>
    <w:rsid w:val="00321636"/>
    <w:rsid w:val="003218A9"/>
    <w:rsid w:val="00326B34"/>
    <w:rsid w:val="0033090A"/>
    <w:rsid w:val="00331F5E"/>
    <w:rsid w:val="00335B5E"/>
    <w:rsid w:val="00340003"/>
    <w:rsid w:val="003402E1"/>
    <w:rsid w:val="00340C83"/>
    <w:rsid w:val="00341180"/>
    <w:rsid w:val="00341AB1"/>
    <w:rsid w:val="003452F4"/>
    <w:rsid w:val="00345D2C"/>
    <w:rsid w:val="00345F87"/>
    <w:rsid w:val="0035155B"/>
    <w:rsid w:val="00354000"/>
    <w:rsid w:val="003555BA"/>
    <w:rsid w:val="003555C0"/>
    <w:rsid w:val="0035768F"/>
    <w:rsid w:val="00360831"/>
    <w:rsid w:val="00360CC8"/>
    <w:rsid w:val="00362D50"/>
    <w:rsid w:val="00365DEB"/>
    <w:rsid w:val="003665C7"/>
    <w:rsid w:val="00372078"/>
    <w:rsid w:val="0037234F"/>
    <w:rsid w:val="0037581B"/>
    <w:rsid w:val="003812B3"/>
    <w:rsid w:val="0038177C"/>
    <w:rsid w:val="003836EB"/>
    <w:rsid w:val="00387024"/>
    <w:rsid w:val="0039365D"/>
    <w:rsid w:val="00394E5C"/>
    <w:rsid w:val="003963D3"/>
    <w:rsid w:val="003A165E"/>
    <w:rsid w:val="003A1983"/>
    <w:rsid w:val="003A582F"/>
    <w:rsid w:val="003B1E83"/>
    <w:rsid w:val="003B42F1"/>
    <w:rsid w:val="003B5CF0"/>
    <w:rsid w:val="003C1575"/>
    <w:rsid w:val="003C3A05"/>
    <w:rsid w:val="003C5132"/>
    <w:rsid w:val="003C653A"/>
    <w:rsid w:val="003D07F7"/>
    <w:rsid w:val="003D184C"/>
    <w:rsid w:val="003D51A5"/>
    <w:rsid w:val="003D5275"/>
    <w:rsid w:val="003D63DF"/>
    <w:rsid w:val="003D737F"/>
    <w:rsid w:val="003E179F"/>
    <w:rsid w:val="003E2944"/>
    <w:rsid w:val="003E381C"/>
    <w:rsid w:val="003E5EA7"/>
    <w:rsid w:val="003E786C"/>
    <w:rsid w:val="003E7C0C"/>
    <w:rsid w:val="003F0BE7"/>
    <w:rsid w:val="003F62BE"/>
    <w:rsid w:val="003F6F30"/>
    <w:rsid w:val="003F6FA1"/>
    <w:rsid w:val="003F7474"/>
    <w:rsid w:val="003F7FED"/>
    <w:rsid w:val="00403EDE"/>
    <w:rsid w:val="0040423A"/>
    <w:rsid w:val="00404616"/>
    <w:rsid w:val="00407B6A"/>
    <w:rsid w:val="00414400"/>
    <w:rsid w:val="00414BFD"/>
    <w:rsid w:val="00415A4F"/>
    <w:rsid w:val="004169AD"/>
    <w:rsid w:val="004179E3"/>
    <w:rsid w:val="00420795"/>
    <w:rsid w:val="00420910"/>
    <w:rsid w:val="00421CD4"/>
    <w:rsid w:val="0042446F"/>
    <w:rsid w:val="00427078"/>
    <w:rsid w:val="00427833"/>
    <w:rsid w:val="00433BF8"/>
    <w:rsid w:val="004358D8"/>
    <w:rsid w:val="00436F2D"/>
    <w:rsid w:val="0044196E"/>
    <w:rsid w:val="00441DFB"/>
    <w:rsid w:val="00442EA4"/>
    <w:rsid w:val="00442F1C"/>
    <w:rsid w:val="00446949"/>
    <w:rsid w:val="00446B3A"/>
    <w:rsid w:val="00447161"/>
    <w:rsid w:val="00451273"/>
    <w:rsid w:val="00454E65"/>
    <w:rsid w:val="004568C6"/>
    <w:rsid w:val="00461A39"/>
    <w:rsid w:val="0046749D"/>
    <w:rsid w:val="00472CFA"/>
    <w:rsid w:val="00474210"/>
    <w:rsid w:val="00474630"/>
    <w:rsid w:val="00474A90"/>
    <w:rsid w:val="00475944"/>
    <w:rsid w:val="00475CE8"/>
    <w:rsid w:val="00477D91"/>
    <w:rsid w:val="00480B96"/>
    <w:rsid w:val="00481A48"/>
    <w:rsid w:val="0048303E"/>
    <w:rsid w:val="0048482B"/>
    <w:rsid w:val="0048523B"/>
    <w:rsid w:val="0048535B"/>
    <w:rsid w:val="00487962"/>
    <w:rsid w:val="00490714"/>
    <w:rsid w:val="004920F6"/>
    <w:rsid w:val="00493289"/>
    <w:rsid w:val="00494ECE"/>
    <w:rsid w:val="00495186"/>
    <w:rsid w:val="004A1833"/>
    <w:rsid w:val="004A1B3F"/>
    <w:rsid w:val="004A4209"/>
    <w:rsid w:val="004A477E"/>
    <w:rsid w:val="004A67E8"/>
    <w:rsid w:val="004B1336"/>
    <w:rsid w:val="004B6165"/>
    <w:rsid w:val="004B6B80"/>
    <w:rsid w:val="004C0222"/>
    <w:rsid w:val="004C0744"/>
    <w:rsid w:val="004C1A5E"/>
    <w:rsid w:val="004C3D65"/>
    <w:rsid w:val="004D0379"/>
    <w:rsid w:val="004D05F5"/>
    <w:rsid w:val="004D2011"/>
    <w:rsid w:val="004D5528"/>
    <w:rsid w:val="004D5976"/>
    <w:rsid w:val="004D6472"/>
    <w:rsid w:val="004D6A00"/>
    <w:rsid w:val="004E3A50"/>
    <w:rsid w:val="004E633A"/>
    <w:rsid w:val="004E6C39"/>
    <w:rsid w:val="004E7294"/>
    <w:rsid w:val="004E7D25"/>
    <w:rsid w:val="004F08CE"/>
    <w:rsid w:val="004F3D25"/>
    <w:rsid w:val="00501858"/>
    <w:rsid w:val="00504FF7"/>
    <w:rsid w:val="0050556C"/>
    <w:rsid w:val="005062EE"/>
    <w:rsid w:val="00510E31"/>
    <w:rsid w:val="00513BB6"/>
    <w:rsid w:val="005205E3"/>
    <w:rsid w:val="00521DA9"/>
    <w:rsid w:val="0052475C"/>
    <w:rsid w:val="005262C6"/>
    <w:rsid w:val="00527612"/>
    <w:rsid w:val="005316EC"/>
    <w:rsid w:val="005401DE"/>
    <w:rsid w:val="00540B2B"/>
    <w:rsid w:val="00545753"/>
    <w:rsid w:val="00546691"/>
    <w:rsid w:val="00546D9D"/>
    <w:rsid w:val="005510B1"/>
    <w:rsid w:val="0055113B"/>
    <w:rsid w:val="00551D88"/>
    <w:rsid w:val="005533B9"/>
    <w:rsid w:val="005537FF"/>
    <w:rsid w:val="005615B3"/>
    <w:rsid w:val="00562250"/>
    <w:rsid w:val="00562C5B"/>
    <w:rsid w:val="00562EB1"/>
    <w:rsid w:val="00567EAD"/>
    <w:rsid w:val="00570B1D"/>
    <w:rsid w:val="005749B5"/>
    <w:rsid w:val="00575004"/>
    <w:rsid w:val="005751D4"/>
    <w:rsid w:val="00575760"/>
    <w:rsid w:val="00577E60"/>
    <w:rsid w:val="005825E7"/>
    <w:rsid w:val="00585B16"/>
    <w:rsid w:val="00593CBB"/>
    <w:rsid w:val="00595001"/>
    <w:rsid w:val="00595662"/>
    <w:rsid w:val="00597D3F"/>
    <w:rsid w:val="005A0ABE"/>
    <w:rsid w:val="005A0EB0"/>
    <w:rsid w:val="005A16EE"/>
    <w:rsid w:val="005B54E8"/>
    <w:rsid w:val="005B79E9"/>
    <w:rsid w:val="005B7AB7"/>
    <w:rsid w:val="005C2FD8"/>
    <w:rsid w:val="005C41C9"/>
    <w:rsid w:val="005C4FF1"/>
    <w:rsid w:val="005C7C93"/>
    <w:rsid w:val="005D0811"/>
    <w:rsid w:val="005D0926"/>
    <w:rsid w:val="005D375C"/>
    <w:rsid w:val="005D6435"/>
    <w:rsid w:val="005E1C76"/>
    <w:rsid w:val="005E4912"/>
    <w:rsid w:val="005E6F1F"/>
    <w:rsid w:val="005F2B0B"/>
    <w:rsid w:val="005F2FD3"/>
    <w:rsid w:val="005F34C8"/>
    <w:rsid w:val="005F3627"/>
    <w:rsid w:val="005F44D1"/>
    <w:rsid w:val="005F5FCE"/>
    <w:rsid w:val="005F6DEA"/>
    <w:rsid w:val="006059DA"/>
    <w:rsid w:val="00610998"/>
    <w:rsid w:val="00611451"/>
    <w:rsid w:val="00611B4C"/>
    <w:rsid w:val="006120D1"/>
    <w:rsid w:val="00612813"/>
    <w:rsid w:val="00621129"/>
    <w:rsid w:val="006220D1"/>
    <w:rsid w:val="00622616"/>
    <w:rsid w:val="00623EDB"/>
    <w:rsid w:val="00624DF8"/>
    <w:rsid w:val="006256A9"/>
    <w:rsid w:val="006265C1"/>
    <w:rsid w:val="006266F0"/>
    <w:rsid w:val="00627302"/>
    <w:rsid w:val="0063011A"/>
    <w:rsid w:val="00633916"/>
    <w:rsid w:val="0063501A"/>
    <w:rsid w:val="006374CC"/>
    <w:rsid w:val="0064049A"/>
    <w:rsid w:val="00640A14"/>
    <w:rsid w:val="00641D2B"/>
    <w:rsid w:val="00646C9A"/>
    <w:rsid w:val="0065123B"/>
    <w:rsid w:val="00651691"/>
    <w:rsid w:val="00652800"/>
    <w:rsid w:val="006551A2"/>
    <w:rsid w:val="00657AAC"/>
    <w:rsid w:val="00661DC6"/>
    <w:rsid w:val="00662D3E"/>
    <w:rsid w:val="006642B6"/>
    <w:rsid w:val="00665C7E"/>
    <w:rsid w:val="00667348"/>
    <w:rsid w:val="00670317"/>
    <w:rsid w:val="00672DDD"/>
    <w:rsid w:val="00674CDC"/>
    <w:rsid w:val="006769AF"/>
    <w:rsid w:val="00676C91"/>
    <w:rsid w:val="00677881"/>
    <w:rsid w:val="00680982"/>
    <w:rsid w:val="00683F5B"/>
    <w:rsid w:val="006846EA"/>
    <w:rsid w:val="00687C4A"/>
    <w:rsid w:val="00690171"/>
    <w:rsid w:val="006908E1"/>
    <w:rsid w:val="00690B77"/>
    <w:rsid w:val="00690E6F"/>
    <w:rsid w:val="00693334"/>
    <w:rsid w:val="00693FFB"/>
    <w:rsid w:val="006966E2"/>
    <w:rsid w:val="00697BBF"/>
    <w:rsid w:val="006A189D"/>
    <w:rsid w:val="006B1556"/>
    <w:rsid w:val="006B3769"/>
    <w:rsid w:val="006B621E"/>
    <w:rsid w:val="006C0B60"/>
    <w:rsid w:val="006C258C"/>
    <w:rsid w:val="006C4000"/>
    <w:rsid w:val="006D098C"/>
    <w:rsid w:val="006D303C"/>
    <w:rsid w:val="006D3758"/>
    <w:rsid w:val="006D472F"/>
    <w:rsid w:val="006D474B"/>
    <w:rsid w:val="006D5784"/>
    <w:rsid w:val="006D7DF7"/>
    <w:rsid w:val="006E0FB4"/>
    <w:rsid w:val="006E17C3"/>
    <w:rsid w:val="006E1E6D"/>
    <w:rsid w:val="006E4BDD"/>
    <w:rsid w:val="006E5150"/>
    <w:rsid w:val="006E56E8"/>
    <w:rsid w:val="00702E31"/>
    <w:rsid w:val="00711200"/>
    <w:rsid w:val="00716893"/>
    <w:rsid w:val="00721BEA"/>
    <w:rsid w:val="0072397F"/>
    <w:rsid w:val="00731922"/>
    <w:rsid w:val="00731ACB"/>
    <w:rsid w:val="00732B3F"/>
    <w:rsid w:val="0073352B"/>
    <w:rsid w:val="007336F3"/>
    <w:rsid w:val="007368AD"/>
    <w:rsid w:val="007374BB"/>
    <w:rsid w:val="007378CE"/>
    <w:rsid w:val="00737F54"/>
    <w:rsid w:val="0074133D"/>
    <w:rsid w:val="0074293C"/>
    <w:rsid w:val="00746EF3"/>
    <w:rsid w:val="0075196D"/>
    <w:rsid w:val="007539E4"/>
    <w:rsid w:val="00753EAD"/>
    <w:rsid w:val="0075558C"/>
    <w:rsid w:val="00761CCC"/>
    <w:rsid w:val="00761EFA"/>
    <w:rsid w:val="00762874"/>
    <w:rsid w:val="00764873"/>
    <w:rsid w:val="00770223"/>
    <w:rsid w:val="00775223"/>
    <w:rsid w:val="00775E98"/>
    <w:rsid w:val="00775F57"/>
    <w:rsid w:val="007778DD"/>
    <w:rsid w:val="00781C25"/>
    <w:rsid w:val="00782E44"/>
    <w:rsid w:val="00783C54"/>
    <w:rsid w:val="00790B6C"/>
    <w:rsid w:val="007925E6"/>
    <w:rsid w:val="00795D03"/>
    <w:rsid w:val="007961A6"/>
    <w:rsid w:val="00796693"/>
    <w:rsid w:val="00797021"/>
    <w:rsid w:val="0079731A"/>
    <w:rsid w:val="007A255A"/>
    <w:rsid w:val="007A290F"/>
    <w:rsid w:val="007A6E0A"/>
    <w:rsid w:val="007A7DAC"/>
    <w:rsid w:val="007B0390"/>
    <w:rsid w:val="007B2FF0"/>
    <w:rsid w:val="007C1A13"/>
    <w:rsid w:val="007C3117"/>
    <w:rsid w:val="007C3AEB"/>
    <w:rsid w:val="007C3B04"/>
    <w:rsid w:val="007C7591"/>
    <w:rsid w:val="007D0546"/>
    <w:rsid w:val="007D2A18"/>
    <w:rsid w:val="007D4FC4"/>
    <w:rsid w:val="007D538B"/>
    <w:rsid w:val="007D5CD5"/>
    <w:rsid w:val="007D7C33"/>
    <w:rsid w:val="007E2516"/>
    <w:rsid w:val="007E5F6E"/>
    <w:rsid w:val="007E64AC"/>
    <w:rsid w:val="007F6AE9"/>
    <w:rsid w:val="007F76F6"/>
    <w:rsid w:val="007F7A99"/>
    <w:rsid w:val="00800CF4"/>
    <w:rsid w:val="008060CA"/>
    <w:rsid w:val="008116EA"/>
    <w:rsid w:val="00816C97"/>
    <w:rsid w:val="00820050"/>
    <w:rsid w:val="00826D3B"/>
    <w:rsid w:val="00826D54"/>
    <w:rsid w:val="008302DA"/>
    <w:rsid w:val="00830462"/>
    <w:rsid w:val="00832A7A"/>
    <w:rsid w:val="008349B3"/>
    <w:rsid w:val="00834CBF"/>
    <w:rsid w:val="0083520E"/>
    <w:rsid w:val="00836F89"/>
    <w:rsid w:val="00840586"/>
    <w:rsid w:val="00842756"/>
    <w:rsid w:val="00843561"/>
    <w:rsid w:val="0084379E"/>
    <w:rsid w:val="00843D8E"/>
    <w:rsid w:val="008455A5"/>
    <w:rsid w:val="00846459"/>
    <w:rsid w:val="008502AA"/>
    <w:rsid w:val="00852266"/>
    <w:rsid w:val="00852395"/>
    <w:rsid w:val="008546E8"/>
    <w:rsid w:val="0086064E"/>
    <w:rsid w:val="00861CAB"/>
    <w:rsid w:val="00863435"/>
    <w:rsid w:val="00865280"/>
    <w:rsid w:val="008723DC"/>
    <w:rsid w:val="00872827"/>
    <w:rsid w:val="0087349A"/>
    <w:rsid w:val="0087395A"/>
    <w:rsid w:val="00881C2B"/>
    <w:rsid w:val="008865B6"/>
    <w:rsid w:val="00886BB0"/>
    <w:rsid w:val="008949A8"/>
    <w:rsid w:val="00895DF4"/>
    <w:rsid w:val="008A3476"/>
    <w:rsid w:val="008A3818"/>
    <w:rsid w:val="008A4E30"/>
    <w:rsid w:val="008B1A4D"/>
    <w:rsid w:val="008B1F2C"/>
    <w:rsid w:val="008B29C1"/>
    <w:rsid w:val="008B2E88"/>
    <w:rsid w:val="008B63D1"/>
    <w:rsid w:val="008B7BF7"/>
    <w:rsid w:val="008C40E5"/>
    <w:rsid w:val="008D01AC"/>
    <w:rsid w:val="008D0B4C"/>
    <w:rsid w:val="008D2092"/>
    <w:rsid w:val="008D5332"/>
    <w:rsid w:val="008D589C"/>
    <w:rsid w:val="008E2C38"/>
    <w:rsid w:val="008E51F8"/>
    <w:rsid w:val="008E7085"/>
    <w:rsid w:val="008F2A6C"/>
    <w:rsid w:val="008F3E53"/>
    <w:rsid w:val="008F5940"/>
    <w:rsid w:val="008F60C3"/>
    <w:rsid w:val="008F6F82"/>
    <w:rsid w:val="00900B73"/>
    <w:rsid w:val="009016D1"/>
    <w:rsid w:val="009024EF"/>
    <w:rsid w:val="00902928"/>
    <w:rsid w:val="00902F2E"/>
    <w:rsid w:val="00903B74"/>
    <w:rsid w:val="00911133"/>
    <w:rsid w:val="00912284"/>
    <w:rsid w:val="00917649"/>
    <w:rsid w:val="00920CBF"/>
    <w:rsid w:val="009254D6"/>
    <w:rsid w:val="0092669B"/>
    <w:rsid w:val="0093052F"/>
    <w:rsid w:val="0093163E"/>
    <w:rsid w:val="00931D55"/>
    <w:rsid w:val="00932EDE"/>
    <w:rsid w:val="00936436"/>
    <w:rsid w:val="00940343"/>
    <w:rsid w:val="0094406E"/>
    <w:rsid w:val="0094721A"/>
    <w:rsid w:val="00965FBD"/>
    <w:rsid w:val="00966BAC"/>
    <w:rsid w:val="00970B19"/>
    <w:rsid w:val="00974626"/>
    <w:rsid w:val="00975E65"/>
    <w:rsid w:val="00977E06"/>
    <w:rsid w:val="00977E39"/>
    <w:rsid w:val="00985068"/>
    <w:rsid w:val="009875A8"/>
    <w:rsid w:val="00992EBD"/>
    <w:rsid w:val="00993BE3"/>
    <w:rsid w:val="00994665"/>
    <w:rsid w:val="009A2ABE"/>
    <w:rsid w:val="009A6A2F"/>
    <w:rsid w:val="009A6C14"/>
    <w:rsid w:val="009A7606"/>
    <w:rsid w:val="009B7E2C"/>
    <w:rsid w:val="009C40C0"/>
    <w:rsid w:val="009C755C"/>
    <w:rsid w:val="009C780F"/>
    <w:rsid w:val="009D052B"/>
    <w:rsid w:val="009D0BAC"/>
    <w:rsid w:val="009D0FC4"/>
    <w:rsid w:val="009D2408"/>
    <w:rsid w:val="009D2AA9"/>
    <w:rsid w:val="009E0FEA"/>
    <w:rsid w:val="009E1E2E"/>
    <w:rsid w:val="009E4F4C"/>
    <w:rsid w:val="009E73AF"/>
    <w:rsid w:val="009F6F30"/>
    <w:rsid w:val="00A011D9"/>
    <w:rsid w:val="00A03E6A"/>
    <w:rsid w:val="00A03FFA"/>
    <w:rsid w:val="00A05C27"/>
    <w:rsid w:val="00A125C5"/>
    <w:rsid w:val="00A13279"/>
    <w:rsid w:val="00A153D2"/>
    <w:rsid w:val="00A20357"/>
    <w:rsid w:val="00A23FC4"/>
    <w:rsid w:val="00A25353"/>
    <w:rsid w:val="00A32D5B"/>
    <w:rsid w:val="00A34ABE"/>
    <w:rsid w:val="00A34F5F"/>
    <w:rsid w:val="00A4049E"/>
    <w:rsid w:val="00A46A68"/>
    <w:rsid w:val="00A50EE9"/>
    <w:rsid w:val="00A5188E"/>
    <w:rsid w:val="00A5367F"/>
    <w:rsid w:val="00A56B44"/>
    <w:rsid w:val="00A616DF"/>
    <w:rsid w:val="00A61CF4"/>
    <w:rsid w:val="00A6504B"/>
    <w:rsid w:val="00A70400"/>
    <w:rsid w:val="00A7049E"/>
    <w:rsid w:val="00A72F1C"/>
    <w:rsid w:val="00A86F48"/>
    <w:rsid w:val="00A87B96"/>
    <w:rsid w:val="00A9086C"/>
    <w:rsid w:val="00A92119"/>
    <w:rsid w:val="00A929AA"/>
    <w:rsid w:val="00A958E1"/>
    <w:rsid w:val="00A969A5"/>
    <w:rsid w:val="00AA7240"/>
    <w:rsid w:val="00AB33AD"/>
    <w:rsid w:val="00AB631B"/>
    <w:rsid w:val="00AB656A"/>
    <w:rsid w:val="00AC0AEE"/>
    <w:rsid w:val="00AC6ED8"/>
    <w:rsid w:val="00AD0A33"/>
    <w:rsid w:val="00AD0C70"/>
    <w:rsid w:val="00AD4CB3"/>
    <w:rsid w:val="00AD71BB"/>
    <w:rsid w:val="00AE0982"/>
    <w:rsid w:val="00AE125E"/>
    <w:rsid w:val="00AE1B19"/>
    <w:rsid w:val="00AE5606"/>
    <w:rsid w:val="00AE6AEC"/>
    <w:rsid w:val="00AE7AD1"/>
    <w:rsid w:val="00AF25EB"/>
    <w:rsid w:val="00AF3355"/>
    <w:rsid w:val="00AF3B99"/>
    <w:rsid w:val="00AF4AD0"/>
    <w:rsid w:val="00B07524"/>
    <w:rsid w:val="00B10387"/>
    <w:rsid w:val="00B111AD"/>
    <w:rsid w:val="00B113E7"/>
    <w:rsid w:val="00B13104"/>
    <w:rsid w:val="00B16451"/>
    <w:rsid w:val="00B16BED"/>
    <w:rsid w:val="00B2079D"/>
    <w:rsid w:val="00B214FC"/>
    <w:rsid w:val="00B24457"/>
    <w:rsid w:val="00B27160"/>
    <w:rsid w:val="00B31D9B"/>
    <w:rsid w:val="00B323AF"/>
    <w:rsid w:val="00B3272F"/>
    <w:rsid w:val="00B32FFF"/>
    <w:rsid w:val="00B35119"/>
    <w:rsid w:val="00B35B7C"/>
    <w:rsid w:val="00B431A9"/>
    <w:rsid w:val="00B45B3E"/>
    <w:rsid w:val="00B505F8"/>
    <w:rsid w:val="00B52054"/>
    <w:rsid w:val="00B533CB"/>
    <w:rsid w:val="00B53C15"/>
    <w:rsid w:val="00B61113"/>
    <w:rsid w:val="00B61183"/>
    <w:rsid w:val="00B63E18"/>
    <w:rsid w:val="00B64F12"/>
    <w:rsid w:val="00B655AE"/>
    <w:rsid w:val="00B73BA2"/>
    <w:rsid w:val="00B742E8"/>
    <w:rsid w:val="00B75573"/>
    <w:rsid w:val="00B76E7C"/>
    <w:rsid w:val="00B77434"/>
    <w:rsid w:val="00B809B0"/>
    <w:rsid w:val="00B81543"/>
    <w:rsid w:val="00B84704"/>
    <w:rsid w:val="00B85847"/>
    <w:rsid w:val="00B90095"/>
    <w:rsid w:val="00B902C8"/>
    <w:rsid w:val="00B910DB"/>
    <w:rsid w:val="00B94DFC"/>
    <w:rsid w:val="00B955BD"/>
    <w:rsid w:val="00B973C7"/>
    <w:rsid w:val="00BA45A7"/>
    <w:rsid w:val="00BA56F6"/>
    <w:rsid w:val="00BB3219"/>
    <w:rsid w:val="00BB48EA"/>
    <w:rsid w:val="00BC1CDA"/>
    <w:rsid w:val="00BC249C"/>
    <w:rsid w:val="00BC4787"/>
    <w:rsid w:val="00BC5993"/>
    <w:rsid w:val="00BD07A1"/>
    <w:rsid w:val="00BD2F32"/>
    <w:rsid w:val="00BD3522"/>
    <w:rsid w:val="00BD43E6"/>
    <w:rsid w:val="00BD46F8"/>
    <w:rsid w:val="00BD4DE3"/>
    <w:rsid w:val="00BD665F"/>
    <w:rsid w:val="00BD6AC8"/>
    <w:rsid w:val="00BE0243"/>
    <w:rsid w:val="00BE089A"/>
    <w:rsid w:val="00BE5369"/>
    <w:rsid w:val="00BE586E"/>
    <w:rsid w:val="00BE5DEB"/>
    <w:rsid w:val="00BE7E5E"/>
    <w:rsid w:val="00BF3882"/>
    <w:rsid w:val="00BF4F9E"/>
    <w:rsid w:val="00BF55A6"/>
    <w:rsid w:val="00C00F1E"/>
    <w:rsid w:val="00C03275"/>
    <w:rsid w:val="00C067FC"/>
    <w:rsid w:val="00C0799A"/>
    <w:rsid w:val="00C1071B"/>
    <w:rsid w:val="00C11D0D"/>
    <w:rsid w:val="00C12FE7"/>
    <w:rsid w:val="00C17CD4"/>
    <w:rsid w:val="00C21EC0"/>
    <w:rsid w:val="00C30951"/>
    <w:rsid w:val="00C30D60"/>
    <w:rsid w:val="00C30FD2"/>
    <w:rsid w:val="00C317E9"/>
    <w:rsid w:val="00C3279B"/>
    <w:rsid w:val="00C37674"/>
    <w:rsid w:val="00C376AE"/>
    <w:rsid w:val="00C377C9"/>
    <w:rsid w:val="00C4245C"/>
    <w:rsid w:val="00C42EB0"/>
    <w:rsid w:val="00C46DEB"/>
    <w:rsid w:val="00C509C3"/>
    <w:rsid w:val="00C50A17"/>
    <w:rsid w:val="00C55F6B"/>
    <w:rsid w:val="00C5721C"/>
    <w:rsid w:val="00C57A35"/>
    <w:rsid w:val="00C602E0"/>
    <w:rsid w:val="00C623D8"/>
    <w:rsid w:val="00C65186"/>
    <w:rsid w:val="00C7095A"/>
    <w:rsid w:val="00C70EAE"/>
    <w:rsid w:val="00C72D98"/>
    <w:rsid w:val="00C75094"/>
    <w:rsid w:val="00C81A70"/>
    <w:rsid w:val="00C81AF8"/>
    <w:rsid w:val="00C823C0"/>
    <w:rsid w:val="00C83B65"/>
    <w:rsid w:val="00C84153"/>
    <w:rsid w:val="00C84CC9"/>
    <w:rsid w:val="00C84D75"/>
    <w:rsid w:val="00C91B83"/>
    <w:rsid w:val="00C95581"/>
    <w:rsid w:val="00C96F1F"/>
    <w:rsid w:val="00CA0AE5"/>
    <w:rsid w:val="00CA0C39"/>
    <w:rsid w:val="00CA1A26"/>
    <w:rsid w:val="00CA48D8"/>
    <w:rsid w:val="00CA6170"/>
    <w:rsid w:val="00CA719F"/>
    <w:rsid w:val="00CB5140"/>
    <w:rsid w:val="00CB749A"/>
    <w:rsid w:val="00CB75D6"/>
    <w:rsid w:val="00CB77EA"/>
    <w:rsid w:val="00CB7948"/>
    <w:rsid w:val="00CD4EB3"/>
    <w:rsid w:val="00CD50B5"/>
    <w:rsid w:val="00CD6564"/>
    <w:rsid w:val="00CD73A9"/>
    <w:rsid w:val="00CE1A16"/>
    <w:rsid w:val="00CE3305"/>
    <w:rsid w:val="00CE429A"/>
    <w:rsid w:val="00CE60E8"/>
    <w:rsid w:val="00CF5073"/>
    <w:rsid w:val="00CF6870"/>
    <w:rsid w:val="00D04874"/>
    <w:rsid w:val="00D059EC"/>
    <w:rsid w:val="00D06F12"/>
    <w:rsid w:val="00D076F3"/>
    <w:rsid w:val="00D07F6D"/>
    <w:rsid w:val="00D1024D"/>
    <w:rsid w:val="00D124AD"/>
    <w:rsid w:val="00D21EF3"/>
    <w:rsid w:val="00D22D54"/>
    <w:rsid w:val="00D23D4D"/>
    <w:rsid w:val="00D2685D"/>
    <w:rsid w:val="00D27580"/>
    <w:rsid w:val="00D34A0E"/>
    <w:rsid w:val="00D37F70"/>
    <w:rsid w:val="00D43655"/>
    <w:rsid w:val="00D440DB"/>
    <w:rsid w:val="00D44CC6"/>
    <w:rsid w:val="00D46253"/>
    <w:rsid w:val="00D46790"/>
    <w:rsid w:val="00D46E31"/>
    <w:rsid w:val="00D55510"/>
    <w:rsid w:val="00D56363"/>
    <w:rsid w:val="00D6337E"/>
    <w:rsid w:val="00D66887"/>
    <w:rsid w:val="00D6786C"/>
    <w:rsid w:val="00D6797E"/>
    <w:rsid w:val="00D67C6B"/>
    <w:rsid w:val="00D7121D"/>
    <w:rsid w:val="00D71247"/>
    <w:rsid w:val="00D71C35"/>
    <w:rsid w:val="00D74519"/>
    <w:rsid w:val="00D81B0C"/>
    <w:rsid w:val="00D821BE"/>
    <w:rsid w:val="00D82CF0"/>
    <w:rsid w:val="00D831A4"/>
    <w:rsid w:val="00D83B30"/>
    <w:rsid w:val="00D84990"/>
    <w:rsid w:val="00D87140"/>
    <w:rsid w:val="00D91C27"/>
    <w:rsid w:val="00D95FA5"/>
    <w:rsid w:val="00DA3A53"/>
    <w:rsid w:val="00DA5A71"/>
    <w:rsid w:val="00DB0D92"/>
    <w:rsid w:val="00DB2190"/>
    <w:rsid w:val="00DB3CF8"/>
    <w:rsid w:val="00DB79B6"/>
    <w:rsid w:val="00DC3504"/>
    <w:rsid w:val="00DC5925"/>
    <w:rsid w:val="00DC60FA"/>
    <w:rsid w:val="00DC678E"/>
    <w:rsid w:val="00DD51FA"/>
    <w:rsid w:val="00DD523D"/>
    <w:rsid w:val="00DE23AF"/>
    <w:rsid w:val="00DE5031"/>
    <w:rsid w:val="00DE564D"/>
    <w:rsid w:val="00DF3B9A"/>
    <w:rsid w:val="00DF4F95"/>
    <w:rsid w:val="00DF5267"/>
    <w:rsid w:val="00DF6E2D"/>
    <w:rsid w:val="00E00072"/>
    <w:rsid w:val="00E06075"/>
    <w:rsid w:val="00E0715E"/>
    <w:rsid w:val="00E07AE8"/>
    <w:rsid w:val="00E07D6A"/>
    <w:rsid w:val="00E11089"/>
    <w:rsid w:val="00E12865"/>
    <w:rsid w:val="00E1509E"/>
    <w:rsid w:val="00E17598"/>
    <w:rsid w:val="00E17B15"/>
    <w:rsid w:val="00E30D02"/>
    <w:rsid w:val="00E3102D"/>
    <w:rsid w:val="00E3667C"/>
    <w:rsid w:val="00E3726E"/>
    <w:rsid w:val="00E37A1C"/>
    <w:rsid w:val="00E42A55"/>
    <w:rsid w:val="00E451B5"/>
    <w:rsid w:val="00E52844"/>
    <w:rsid w:val="00E52EC8"/>
    <w:rsid w:val="00E53B50"/>
    <w:rsid w:val="00E611A7"/>
    <w:rsid w:val="00E7048F"/>
    <w:rsid w:val="00E74008"/>
    <w:rsid w:val="00E74C0E"/>
    <w:rsid w:val="00E7658C"/>
    <w:rsid w:val="00E80354"/>
    <w:rsid w:val="00E814D7"/>
    <w:rsid w:val="00E8352A"/>
    <w:rsid w:val="00E90D52"/>
    <w:rsid w:val="00E90E3A"/>
    <w:rsid w:val="00E91931"/>
    <w:rsid w:val="00E9317F"/>
    <w:rsid w:val="00E95AE0"/>
    <w:rsid w:val="00E97FDB"/>
    <w:rsid w:val="00EA0405"/>
    <w:rsid w:val="00EA05A2"/>
    <w:rsid w:val="00EA1720"/>
    <w:rsid w:val="00EA5199"/>
    <w:rsid w:val="00EA5479"/>
    <w:rsid w:val="00EB2F35"/>
    <w:rsid w:val="00EB677C"/>
    <w:rsid w:val="00EB7F86"/>
    <w:rsid w:val="00EC0E5C"/>
    <w:rsid w:val="00EC2DD3"/>
    <w:rsid w:val="00EC3C5B"/>
    <w:rsid w:val="00ED1D13"/>
    <w:rsid w:val="00ED1E27"/>
    <w:rsid w:val="00ED2B98"/>
    <w:rsid w:val="00ED5D03"/>
    <w:rsid w:val="00ED7A05"/>
    <w:rsid w:val="00EE334C"/>
    <w:rsid w:val="00EE397A"/>
    <w:rsid w:val="00EE3A02"/>
    <w:rsid w:val="00EE64C7"/>
    <w:rsid w:val="00EE7604"/>
    <w:rsid w:val="00EF11A4"/>
    <w:rsid w:val="00EF388D"/>
    <w:rsid w:val="00F02011"/>
    <w:rsid w:val="00F02153"/>
    <w:rsid w:val="00F04365"/>
    <w:rsid w:val="00F058DF"/>
    <w:rsid w:val="00F15675"/>
    <w:rsid w:val="00F21250"/>
    <w:rsid w:val="00F22D7D"/>
    <w:rsid w:val="00F2398D"/>
    <w:rsid w:val="00F27329"/>
    <w:rsid w:val="00F30FC6"/>
    <w:rsid w:val="00F32F41"/>
    <w:rsid w:val="00F34D66"/>
    <w:rsid w:val="00F43EF4"/>
    <w:rsid w:val="00F444E4"/>
    <w:rsid w:val="00F47D30"/>
    <w:rsid w:val="00F5064D"/>
    <w:rsid w:val="00F50C0B"/>
    <w:rsid w:val="00F57719"/>
    <w:rsid w:val="00F57D6F"/>
    <w:rsid w:val="00F57FFE"/>
    <w:rsid w:val="00F634A3"/>
    <w:rsid w:val="00F64578"/>
    <w:rsid w:val="00F710F9"/>
    <w:rsid w:val="00F7620F"/>
    <w:rsid w:val="00F830A8"/>
    <w:rsid w:val="00F83A5F"/>
    <w:rsid w:val="00F83C07"/>
    <w:rsid w:val="00F8462C"/>
    <w:rsid w:val="00F85D28"/>
    <w:rsid w:val="00F87F40"/>
    <w:rsid w:val="00F91A70"/>
    <w:rsid w:val="00F926EC"/>
    <w:rsid w:val="00F95737"/>
    <w:rsid w:val="00F95810"/>
    <w:rsid w:val="00F970B3"/>
    <w:rsid w:val="00FA0AE4"/>
    <w:rsid w:val="00FA26B3"/>
    <w:rsid w:val="00FB32FF"/>
    <w:rsid w:val="00FB3EF0"/>
    <w:rsid w:val="00FB4DBA"/>
    <w:rsid w:val="00FB5B85"/>
    <w:rsid w:val="00FB667E"/>
    <w:rsid w:val="00FB682B"/>
    <w:rsid w:val="00FC02B2"/>
    <w:rsid w:val="00FC25F9"/>
    <w:rsid w:val="00FC2939"/>
    <w:rsid w:val="00FC3620"/>
    <w:rsid w:val="00FC3881"/>
    <w:rsid w:val="00FD093E"/>
    <w:rsid w:val="00FD10B3"/>
    <w:rsid w:val="00FD64BD"/>
    <w:rsid w:val="00FE1B34"/>
    <w:rsid w:val="00FE3615"/>
    <w:rsid w:val="00FE552D"/>
    <w:rsid w:val="00FE5A11"/>
    <w:rsid w:val="00FE5A68"/>
    <w:rsid w:val="00FE72AB"/>
    <w:rsid w:val="00FE7DF1"/>
    <w:rsid w:val="00FF13A1"/>
    <w:rsid w:val="00FF195C"/>
    <w:rsid w:val="00FF28B8"/>
    <w:rsid w:val="00FF3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46E96"/>
  <w14:defaultImageDpi w14:val="330"/>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5EEA"/>
    <w:pPr>
      <w:jc w:val="both"/>
    </w:pPr>
  </w:style>
  <w:style w:type="paragraph" w:styleId="Heading1">
    <w:name w:val="heading 1"/>
    <w:basedOn w:val="Normal"/>
    <w:next w:val="Normal"/>
    <w:link w:val="Heading1Char"/>
    <w:autoRedefine/>
    <w:qFormat/>
    <w:rsid w:val="00FC25F9"/>
    <w:pPr>
      <w:numPr>
        <w:numId w:val="9"/>
      </w:numPr>
      <w:autoSpaceDE w:val="0"/>
      <w:autoSpaceDN w:val="0"/>
      <w:adjustRightInd w:val="0"/>
      <w:spacing w:line="480" w:lineRule="auto"/>
      <w:jc w:val="center"/>
      <w:outlineLvl w:val="0"/>
    </w:pPr>
    <w:rPr>
      <w:rFonts w:cs="Times New Roman"/>
      <w:b/>
      <w:bCs/>
      <w:caps/>
      <w:color w:val="000000" w:themeColor="text1"/>
    </w:rPr>
  </w:style>
  <w:style w:type="paragraph" w:styleId="Heading2">
    <w:name w:val="heading 2"/>
    <w:basedOn w:val="Normal"/>
    <w:next w:val="Normal"/>
    <w:autoRedefine/>
    <w:qFormat/>
    <w:rsid w:val="00A61CF4"/>
    <w:pPr>
      <w:keepNext/>
      <w:spacing w:before="240" w:after="60" w:line="480" w:lineRule="auto"/>
      <w:jc w:val="center"/>
      <w:outlineLvl w:val="1"/>
    </w:pPr>
    <w:rPr>
      <w:rFonts w:cs="Times New Roman"/>
      <w:b/>
      <w:bCs/>
      <w:iCs/>
    </w:rPr>
  </w:style>
  <w:style w:type="paragraph" w:styleId="Heading3">
    <w:name w:val="heading 3"/>
    <w:basedOn w:val="Normal"/>
    <w:next w:val="Normal"/>
    <w:autoRedefine/>
    <w:qFormat/>
    <w:rsid w:val="00070085"/>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551A2"/>
    <w:pPr>
      <w:tabs>
        <w:tab w:val="right" w:leader="dot" w:pos="8630"/>
      </w:tabs>
      <w:spacing w:line="480" w:lineRule="auto"/>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FC25F9"/>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BD46F8"/>
    <w:pPr>
      <w:keepNext/>
      <w:spacing w:before="120" w:after="120"/>
    </w:pPr>
    <w:rPr>
      <w:iCs/>
      <w:color w:val="000000" w:themeColor="text1"/>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134D00"/>
    <w:pPr>
      <w:numPr>
        <w:ilvl w:val="12"/>
        <w:numId w:val="0"/>
      </w:numPr>
    </w:pPr>
    <w:rPr>
      <w:bCs w:val="0"/>
    </w:rPr>
  </w:style>
  <w:style w:type="character" w:customStyle="1" w:styleId="Mencinsinresolver1">
    <w:name w:val="Mención sin resolver1"/>
    <w:basedOn w:val="DefaultParagraphFont"/>
    <w:uiPriority w:val="99"/>
    <w:semiHidden/>
    <w:unhideWhenUsed/>
    <w:rsid w:val="00646C9A"/>
    <w:rPr>
      <w:color w:val="605E5C"/>
      <w:shd w:val="clear" w:color="auto" w:fill="E1DFDD"/>
    </w:rPr>
  </w:style>
  <w:style w:type="paragraph" w:styleId="NormalWeb">
    <w:name w:val="Normal (Web)"/>
    <w:basedOn w:val="Normal"/>
    <w:uiPriority w:val="99"/>
    <w:unhideWhenUsed/>
    <w:rsid w:val="006D303C"/>
    <w:pPr>
      <w:spacing w:before="100" w:beforeAutospacing="1" w:after="100" w:afterAutospacing="1"/>
    </w:pPr>
    <w:rPr>
      <w:rFonts w:cs="Times New Roman"/>
    </w:rPr>
  </w:style>
  <w:style w:type="paragraph" w:customStyle="1" w:styleId="Abbreviations">
    <w:name w:val="Abbreviations"/>
    <w:basedOn w:val="Normal"/>
    <w:rsid w:val="00640A14"/>
    <w:pPr>
      <w:spacing w:before="120"/>
    </w:pPr>
    <w:rPr>
      <w:rFonts w:cs="Times New Roman"/>
      <w:sz w:val="20"/>
      <w:szCs w:val="20"/>
    </w:rPr>
  </w:style>
  <w:style w:type="character" w:customStyle="1" w:styleId="HTMLPreformattedChar1">
    <w:name w:val="HTML Preformatted Char1"/>
    <w:basedOn w:val="DefaultParagraphFont"/>
    <w:uiPriority w:val="99"/>
    <w:semiHidden/>
    <w:rsid w:val="00B32FFF"/>
    <w:rPr>
      <w:rFonts w:ascii="Consolas" w:hAnsi="Consolas"/>
      <w:sz w:val="20"/>
      <w:szCs w:val="20"/>
    </w:rPr>
  </w:style>
  <w:style w:type="paragraph" w:customStyle="1" w:styleId="ParaText">
    <w:name w:val="Para_Text"/>
    <w:link w:val="ParaTextChar"/>
    <w:rsid w:val="0042446F"/>
    <w:pPr>
      <w:spacing w:before="120"/>
      <w:ind w:firstLine="360"/>
    </w:pPr>
    <w:rPr>
      <w:rFonts w:cs="Times New Roman"/>
      <w:szCs w:val="20"/>
    </w:rPr>
  </w:style>
  <w:style w:type="character" w:customStyle="1" w:styleId="ParaTextChar">
    <w:name w:val="Para_Text Char"/>
    <w:basedOn w:val="DefaultParagraphFont"/>
    <w:link w:val="ParaText"/>
    <w:rsid w:val="0042446F"/>
    <w:rPr>
      <w:rFonts w:cs="Times New Roman"/>
      <w:szCs w:val="20"/>
    </w:rPr>
  </w:style>
  <w:style w:type="character" w:styleId="CommentReference">
    <w:name w:val="annotation reference"/>
    <w:basedOn w:val="DefaultParagraphFont"/>
    <w:uiPriority w:val="99"/>
    <w:semiHidden/>
    <w:unhideWhenUsed/>
    <w:rsid w:val="004E7294"/>
    <w:rPr>
      <w:sz w:val="16"/>
      <w:szCs w:val="16"/>
    </w:rPr>
  </w:style>
  <w:style w:type="table" w:customStyle="1" w:styleId="Tablaconcuadrcula1">
    <w:name w:val="Tabla con cuadrícula1"/>
    <w:basedOn w:val="TableNormal"/>
    <w:next w:val="TableGrid"/>
    <w:uiPriority w:val="39"/>
    <w:rsid w:val="00932E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x">
    <w:name w:val="stix"/>
    <w:basedOn w:val="DefaultParagraphFont"/>
    <w:rsid w:val="00E814D7"/>
  </w:style>
  <w:style w:type="paragraph" w:customStyle="1" w:styleId="H1">
    <w:name w:val="H1"/>
    <w:basedOn w:val="Normal"/>
    <w:rsid w:val="00974626"/>
    <w:pPr>
      <w:keepNext/>
      <w:spacing w:before="240"/>
      <w:jc w:val="center"/>
      <w:outlineLvl w:val="0"/>
    </w:pPr>
    <w:rPr>
      <w:rFonts w:cs="Times New Roman"/>
      <w:b/>
      <w:caps/>
      <w:kern w:val="28"/>
      <w:sz w:val="28"/>
      <w:szCs w:val="20"/>
    </w:rPr>
  </w:style>
  <w:style w:type="paragraph" w:customStyle="1" w:styleId="Ttulo1">
    <w:name w:val="Título 1"/>
    <w:basedOn w:val="Normal"/>
    <w:rsid w:val="00BD46F8"/>
    <w:pPr>
      <w:numPr>
        <w:numId w:val="8"/>
      </w:numPr>
    </w:pPr>
  </w:style>
  <w:style w:type="paragraph" w:customStyle="1" w:styleId="Ttulo2">
    <w:name w:val="Título 2"/>
    <w:basedOn w:val="Normal"/>
    <w:rsid w:val="00BD46F8"/>
    <w:pPr>
      <w:numPr>
        <w:ilvl w:val="1"/>
        <w:numId w:val="8"/>
      </w:numPr>
    </w:pPr>
  </w:style>
  <w:style w:type="paragraph" w:customStyle="1" w:styleId="Ttulo3">
    <w:name w:val="Título 3"/>
    <w:basedOn w:val="Normal"/>
    <w:rsid w:val="00BD46F8"/>
    <w:pPr>
      <w:numPr>
        <w:ilvl w:val="2"/>
        <w:numId w:val="8"/>
      </w:numPr>
    </w:pPr>
  </w:style>
  <w:style w:type="paragraph" w:customStyle="1" w:styleId="Ttulo4">
    <w:name w:val="Título 4"/>
    <w:basedOn w:val="Normal"/>
    <w:rsid w:val="00BD46F8"/>
    <w:pPr>
      <w:numPr>
        <w:ilvl w:val="3"/>
        <w:numId w:val="8"/>
      </w:numPr>
    </w:pPr>
  </w:style>
  <w:style w:type="paragraph" w:customStyle="1" w:styleId="Ttulo5">
    <w:name w:val="Título 5"/>
    <w:basedOn w:val="Normal"/>
    <w:rsid w:val="00BD46F8"/>
    <w:pPr>
      <w:numPr>
        <w:ilvl w:val="4"/>
        <w:numId w:val="8"/>
      </w:numPr>
    </w:pPr>
  </w:style>
  <w:style w:type="paragraph" w:customStyle="1" w:styleId="Ttulo6">
    <w:name w:val="Título 6"/>
    <w:basedOn w:val="Normal"/>
    <w:rsid w:val="00BD46F8"/>
    <w:pPr>
      <w:numPr>
        <w:ilvl w:val="5"/>
        <w:numId w:val="8"/>
      </w:numPr>
    </w:pPr>
  </w:style>
  <w:style w:type="paragraph" w:customStyle="1" w:styleId="Ttulo7">
    <w:name w:val="Título 7"/>
    <w:basedOn w:val="Normal"/>
    <w:rsid w:val="00BD46F8"/>
    <w:pPr>
      <w:numPr>
        <w:ilvl w:val="6"/>
        <w:numId w:val="8"/>
      </w:numPr>
    </w:pPr>
  </w:style>
  <w:style w:type="paragraph" w:customStyle="1" w:styleId="Ttulo8">
    <w:name w:val="Título 8"/>
    <w:basedOn w:val="Normal"/>
    <w:rsid w:val="00BD46F8"/>
    <w:pPr>
      <w:numPr>
        <w:ilvl w:val="7"/>
        <w:numId w:val="8"/>
      </w:numPr>
    </w:pPr>
  </w:style>
  <w:style w:type="paragraph" w:customStyle="1" w:styleId="Ttulo9">
    <w:name w:val="Título 9"/>
    <w:basedOn w:val="Normal"/>
    <w:rsid w:val="00BD46F8"/>
    <w:pPr>
      <w:numPr>
        <w:ilvl w:val="8"/>
        <w:numId w:val="8"/>
      </w:numPr>
    </w:pPr>
  </w:style>
  <w:style w:type="character" w:styleId="UnresolvedMention">
    <w:name w:val="Unresolved Mention"/>
    <w:basedOn w:val="DefaultParagraphFont"/>
    <w:uiPriority w:val="99"/>
    <w:semiHidden/>
    <w:unhideWhenUsed/>
    <w:rsid w:val="00D56363"/>
    <w:rPr>
      <w:color w:val="605E5C"/>
      <w:shd w:val="clear" w:color="auto" w:fill="E1DFDD"/>
    </w:rPr>
  </w:style>
  <w:style w:type="paragraph" w:styleId="Revision">
    <w:name w:val="Revision"/>
    <w:hidden/>
    <w:uiPriority w:val="99"/>
    <w:semiHidden/>
    <w:rsid w:val="00AD0C70"/>
  </w:style>
  <w:style w:type="paragraph" w:styleId="CommentText">
    <w:name w:val="annotation text"/>
    <w:basedOn w:val="Normal"/>
    <w:link w:val="CommentTextChar"/>
    <w:unhideWhenUsed/>
    <w:rsid w:val="00551D88"/>
    <w:rPr>
      <w:sz w:val="20"/>
      <w:szCs w:val="20"/>
    </w:rPr>
  </w:style>
  <w:style w:type="character" w:customStyle="1" w:styleId="CommentTextChar">
    <w:name w:val="Comment Text Char"/>
    <w:basedOn w:val="DefaultParagraphFont"/>
    <w:link w:val="CommentText"/>
    <w:rsid w:val="00551D88"/>
    <w:rPr>
      <w:sz w:val="20"/>
      <w:szCs w:val="20"/>
    </w:rPr>
  </w:style>
  <w:style w:type="paragraph" w:styleId="CommentSubject">
    <w:name w:val="annotation subject"/>
    <w:basedOn w:val="CommentText"/>
    <w:next w:val="CommentText"/>
    <w:link w:val="CommentSubjectChar"/>
    <w:semiHidden/>
    <w:unhideWhenUsed/>
    <w:rsid w:val="00551D88"/>
    <w:rPr>
      <w:b/>
      <w:bCs/>
    </w:rPr>
  </w:style>
  <w:style w:type="character" w:customStyle="1" w:styleId="CommentSubjectChar">
    <w:name w:val="Comment Subject Char"/>
    <w:basedOn w:val="CommentTextChar"/>
    <w:link w:val="CommentSubject"/>
    <w:semiHidden/>
    <w:rsid w:val="00551D88"/>
    <w:rPr>
      <w:b/>
      <w:bCs/>
      <w:sz w:val="20"/>
      <w:szCs w:val="20"/>
    </w:rPr>
  </w:style>
  <w:style w:type="character" w:styleId="PlaceholderText">
    <w:name w:val="Placeholder Text"/>
    <w:basedOn w:val="DefaultParagraphFont"/>
    <w:uiPriority w:val="99"/>
    <w:semiHidden/>
    <w:rsid w:val="003D184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jpe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2.xml"/><Relationship Id="rId49" Type="http://schemas.openxmlformats.org/officeDocument/2006/relationships/image" Target="media/image35.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jpeg"/><Relationship Id="rId44" Type="http://schemas.openxmlformats.org/officeDocument/2006/relationships/image" Target="media/image30.jpe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image" Target="media/image29.jpeg"/><Relationship Id="rId48" Type="http://schemas.openxmlformats.org/officeDocument/2006/relationships/image" Target="media/image34.jpe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jpeg"/><Relationship Id="rId46" Type="http://schemas.openxmlformats.org/officeDocument/2006/relationships/image" Target="media/image32.jpeg"/><Relationship Id="rId20" Type="http://schemas.openxmlformats.org/officeDocument/2006/relationships/image" Target="media/image7.pn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012A7-5D83-4912-9FD5-B7BB64333AA2}">
  <ds:schemaRefs>
    <ds:schemaRef ds:uri="http://schemas.openxmlformats.org/officeDocument/2006/bibliography"/>
  </ds:schemaRefs>
</ds:datastoreItem>
</file>

<file path=customXml/itemProps2.xml><?xml version="1.0" encoding="utf-8"?>
<ds:datastoreItem xmlns:ds="http://schemas.openxmlformats.org/officeDocument/2006/customXml" ds:itemID="{138A4157-1647-466E-8FD9-307C84FAA777}">
  <ds:schemaRefs>
    <ds:schemaRef ds:uri="http://schemas.microsoft.com/sharepoint/v3/contenttype/forms"/>
  </ds:schemaRefs>
</ds:datastoreItem>
</file>

<file path=customXml/itemProps3.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4.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etd-word-template-1 (1).dotx</Template>
  <TotalTime>259</TotalTime>
  <Pages>229</Pages>
  <Words>244326</Words>
  <Characters>1409762</Characters>
  <Application>Microsoft Office Word</Application>
  <DocSecurity>0</DocSecurity>
  <Lines>30647</Lines>
  <Paragraphs>12073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Guide to the Preparation of</vt:lpstr>
      <vt:lpstr>Guide to the Preparation of</vt:lpstr>
    </vt:vector>
  </TitlesOfParts>
  <Company>University of Tennessee</Company>
  <LinksUpToDate>false</LinksUpToDate>
  <CharactersWithSpaces>1642015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Lussich Rachetti, Facundo</cp:lastModifiedBy>
  <cp:revision>103</cp:revision>
  <cp:lastPrinted>2005-09-22T13:02:00Z</cp:lastPrinted>
  <dcterms:created xsi:type="dcterms:W3CDTF">2025-11-03T13:45:00Z</dcterms:created>
  <dcterms:modified xsi:type="dcterms:W3CDTF">2025-11-05T20:54:00Z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http://www.zotero.org/styles/harvard-cite-them-right</vt:lpwstr>
  </property>
  <property fmtid="{D5CDD505-2E9C-101B-9397-08002B2CF9AE}" pid="8" name="Mendeley Recent Style Name 2_1">
    <vt:lpwstr>Cite Them Right 12th edition - Harvard</vt:lpwstr>
  </property>
  <property fmtid="{D5CDD505-2E9C-101B-9397-08002B2CF9AE}" pid="9" name="Mendeley Recent Style Id 3_1">
    <vt:lpwstr>http://www.zotero.org/styles/geoderma</vt:lpwstr>
  </property>
  <property fmtid="{D5CDD505-2E9C-101B-9397-08002B2CF9AE}" pid="10" name="Mendeley Recent Style Name 3_1">
    <vt:lpwstr>Geoderma</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http://www.zotero.org/styles/journal-of-environmental-quality</vt:lpwstr>
  </property>
  <property fmtid="{D5CDD505-2E9C-101B-9397-08002B2CF9AE}" pid="14" name="Mendeley Recent Style Name 5_1">
    <vt:lpwstr>Journal of Environmental Quality</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http://www.zotero.org/styles/soil-biology-and-biochemistry</vt:lpwstr>
  </property>
  <property fmtid="{D5CDD505-2E9C-101B-9397-08002B2CF9AE}" pid="22" name="Mendeley Recent Style Name 9_1">
    <vt:lpwstr>Soil Biology and Biochemistry</vt:lpwstr>
  </property>
  <property fmtid="{D5CDD505-2E9C-101B-9397-08002B2CF9AE}" pid="23" name="Mendeley Document_1">
    <vt:lpwstr>True</vt:lpwstr>
  </property>
  <property fmtid="{D5CDD505-2E9C-101B-9397-08002B2CF9AE}" pid="24" name="Mendeley Unique User Id_1">
    <vt:lpwstr>9e2b1c78-706d-39fa-8a82-371bb4c483f3</vt:lpwstr>
  </property>
  <property fmtid="{D5CDD505-2E9C-101B-9397-08002B2CF9AE}" pid="25" name="Mendeley Citation Style_1">
    <vt:lpwstr>http://www.zotero.org/styles/journal-of-environmental-quality</vt:lpwstr>
  </property>
</Properties>
</file>